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7112" w:rsidRPr="008B1F73" w:rsidRDefault="003B7112" w:rsidP="008B1F73">
      <w:pPr>
        <w:spacing w:before="120" w:after="120" w:line="240" w:lineRule="auto"/>
        <w:jc w:val="center"/>
        <w:rPr>
          <w:rFonts w:cstheme="minorHAnsi"/>
          <w:b/>
          <w:i/>
        </w:rPr>
      </w:pPr>
      <w:bookmarkStart w:id="0" w:name="_GoBack"/>
      <w:bookmarkEnd w:id="0"/>
      <w:r w:rsidRPr="008B1F73">
        <w:rPr>
          <w:rFonts w:cstheme="minorHAnsi"/>
          <w:b/>
          <w:i/>
        </w:rPr>
        <w:t>Editorial</w:t>
      </w:r>
    </w:p>
    <w:p w:rsidR="008B1F73" w:rsidRDefault="008B1F73" w:rsidP="008B1F73">
      <w:pPr>
        <w:spacing w:before="120" w:after="120" w:line="240" w:lineRule="auto"/>
        <w:jc w:val="center"/>
        <w:rPr>
          <w:rFonts w:cstheme="minorHAnsi"/>
          <w:b/>
        </w:rPr>
      </w:pPr>
    </w:p>
    <w:p w:rsidR="00FD01E9" w:rsidRPr="00A139E1" w:rsidRDefault="00A12221" w:rsidP="008B1F73">
      <w:pPr>
        <w:spacing w:before="120" w:after="120" w:line="240" w:lineRule="auto"/>
        <w:jc w:val="center"/>
        <w:rPr>
          <w:rFonts w:cstheme="minorHAnsi"/>
          <w:b/>
        </w:rPr>
      </w:pPr>
      <w:r>
        <w:rPr>
          <w:rFonts w:cstheme="minorHAnsi"/>
          <w:b/>
        </w:rPr>
        <w:t xml:space="preserve">The Equality Act 2010: five </w:t>
      </w:r>
      <w:r w:rsidR="00BE54FE" w:rsidRPr="00A139E1">
        <w:rPr>
          <w:rFonts w:cstheme="minorHAnsi"/>
          <w:b/>
        </w:rPr>
        <w:t>years on</w:t>
      </w:r>
    </w:p>
    <w:p w:rsidR="00070A44" w:rsidRPr="00A139E1" w:rsidRDefault="00070A44" w:rsidP="008B1F73">
      <w:pPr>
        <w:spacing w:before="120" w:after="120" w:line="240" w:lineRule="auto"/>
        <w:jc w:val="both"/>
        <w:rPr>
          <w:rFonts w:cstheme="minorHAnsi"/>
        </w:rPr>
      </w:pPr>
    </w:p>
    <w:p w:rsidR="00070A44" w:rsidRPr="00A139E1" w:rsidRDefault="00070A44" w:rsidP="008B1F73">
      <w:pPr>
        <w:spacing w:before="120" w:after="120" w:line="240" w:lineRule="auto"/>
        <w:jc w:val="both"/>
        <w:rPr>
          <w:rFonts w:cstheme="minorHAnsi"/>
        </w:rPr>
      </w:pPr>
    </w:p>
    <w:p w:rsidR="00070A44" w:rsidRPr="00A139E1" w:rsidRDefault="00A139E1" w:rsidP="008B1F73">
      <w:pPr>
        <w:spacing w:before="120" w:after="120" w:line="240" w:lineRule="auto"/>
        <w:jc w:val="both"/>
        <w:rPr>
          <w:rFonts w:cstheme="minorHAnsi"/>
          <w:b/>
        </w:rPr>
      </w:pPr>
      <w:r w:rsidRPr="00A139E1">
        <w:rPr>
          <w:rFonts w:cstheme="minorHAnsi"/>
          <w:b/>
        </w:rPr>
        <w:t>The Conference</w:t>
      </w:r>
    </w:p>
    <w:p w:rsidR="004C4AD1" w:rsidRPr="00A139E1" w:rsidRDefault="004C4AD1" w:rsidP="008B1F73">
      <w:pPr>
        <w:spacing w:before="120" w:after="120" w:line="240" w:lineRule="auto"/>
        <w:jc w:val="both"/>
        <w:rPr>
          <w:rFonts w:cstheme="minorHAnsi"/>
        </w:rPr>
      </w:pPr>
    </w:p>
    <w:p w:rsidR="004C4AD1" w:rsidRPr="00A139E1" w:rsidRDefault="00A12221" w:rsidP="008B1F73">
      <w:pPr>
        <w:spacing w:before="120" w:after="120" w:line="240" w:lineRule="auto"/>
        <w:jc w:val="both"/>
        <w:rPr>
          <w:rFonts w:cstheme="minorHAnsi"/>
        </w:rPr>
      </w:pPr>
      <w:r>
        <w:rPr>
          <w:rFonts w:cstheme="minorHAnsi"/>
        </w:rPr>
        <w:t xml:space="preserve">‘The Equality Act 2010: five </w:t>
      </w:r>
      <w:r w:rsidR="004C4AD1" w:rsidRPr="00A139E1">
        <w:rPr>
          <w:rFonts w:cstheme="minorHAnsi"/>
        </w:rPr>
        <w:t>years on’ conference was organised as a collaboration between the Forum for Research into Equality a</w:t>
      </w:r>
      <w:r w:rsidR="00392804" w:rsidRPr="00A139E1">
        <w:rPr>
          <w:rFonts w:cstheme="minorHAnsi"/>
        </w:rPr>
        <w:t>n</w:t>
      </w:r>
      <w:r w:rsidR="004C4AD1" w:rsidRPr="00A139E1">
        <w:rPr>
          <w:rFonts w:cstheme="minorHAnsi"/>
        </w:rPr>
        <w:t>d Diversity (University of Chester) and the School of Law and Social Justice (University of Liverpool). The Equality Act 2010 has arguably been one of the most important and challenging pieces of legislation introduced in the last decade in the UK. As such, it was felt that the five-year anniversary of its implementation provided an excellent opportunity to bring together those researching and practising in this area of law. In particular, the conference was intended to provide the opportunity for a review of the implications and impact of the legislation during this period</w:t>
      </w:r>
      <w:r w:rsidR="00BE54FE" w:rsidRPr="00A139E1">
        <w:rPr>
          <w:rFonts w:cstheme="minorHAnsi"/>
        </w:rPr>
        <w:t>,</w:t>
      </w:r>
      <w:r w:rsidR="004C4AD1" w:rsidRPr="00A139E1">
        <w:rPr>
          <w:rFonts w:cstheme="minorHAnsi"/>
        </w:rPr>
        <w:t xml:space="preserve"> but also to consider the way in which it can continue to promote equality and protect against discrimination into the 21</w:t>
      </w:r>
      <w:r w:rsidR="004C4AD1" w:rsidRPr="00A139E1">
        <w:rPr>
          <w:rFonts w:cstheme="minorHAnsi"/>
          <w:vertAlign w:val="superscript"/>
        </w:rPr>
        <w:t>st</w:t>
      </w:r>
      <w:r w:rsidR="004C4AD1" w:rsidRPr="00A139E1">
        <w:rPr>
          <w:rFonts w:cstheme="minorHAnsi"/>
        </w:rPr>
        <w:t xml:space="preserve"> Century.</w:t>
      </w:r>
    </w:p>
    <w:p w:rsidR="004C4AD1" w:rsidRPr="00A139E1" w:rsidRDefault="004C4AD1" w:rsidP="008B1F73">
      <w:pPr>
        <w:spacing w:before="120" w:after="120" w:line="240" w:lineRule="auto"/>
        <w:ind w:firstLine="720"/>
        <w:jc w:val="both"/>
        <w:rPr>
          <w:rFonts w:cstheme="minorHAnsi"/>
        </w:rPr>
      </w:pPr>
      <w:r w:rsidRPr="00A139E1">
        <w:rPr>
          <w:rFonts w:cstheme="minorHAnsi"/>
        </w:rPr>
        <w:t>As organisers we were keen to focus the themes of the conference around the broad range of socio-legal study taking place across the UK in relation t</w:t>
      </w:r>
      <w:r w:rsidR="00A12221">
        <w:rPr>
          <w:rFonts w:cstheme="minorHAnsi"/>
        </w:rPr>
        <w:t>o the Equality Act 2010. Whilst</w:t>
      </w:r>
      <w:r w:rsidRPr="00A139E1">
        <w:rPr>
          <w:rFonts w:cstheme="minorHAnsi"/>
        </w:rPr>
        <w:t xml:space="preserve"> many conferences have focussed on the implications </w:t>
      </w:r>
      <w:r w:rsidR="00090485" w:rsidRPr="00A139E1">
        <w:rPr>
          <w:rFonts w:cstheme="minorHAnsi"/>
        </w:rPr>
        <w:t xml:space="preserve">of the legislation </w:t>
      </w:r>
      <w:r w:rsidRPr="00A139E1">
        <w:rPr>
          <w:rFonts w:cstheme="minorHAnsi"/>
        </w:rPr>
        <w:t>for practitioners and wider exploration of equality across a variety of sectors, it was felt that there were few academic gatherings permitting researchers to explore the impact of the Equality Act from a socio-legal perspective. Contributors were invited to submit papers and poster presentations across a range of themes around the legislation including</w:t>
      </w:r>
      <w:r w:rsidR="004A4A4B" w:rsidRPr="00A139E1">
        <w:rPr>
          <w:rFonts w:cstheme="minorHAnsi"/>
        </w:rPr>
        <w:t>,</w:t>
      </w:r>
      <w:r w:rsidRPr="00A139E1">
        <w:rPr>
          <w:rFonts w:cstheme="minorHAnsi"/>
        </w:rPr>
        <w:t xml:space="preserve"> but not limited to</w:t>
      </w:r>
      <w:r w:rsidR="00A12221">
        <w:rPr>
          <w:rFonts w:cstheme="minorHAnsi"/>
        </w:rPr>
        <w:t>,</w:t>
      </w:r>
      <w:r w:rsidRPr="00A139E1">
        <w:rPr>
          <w:rFonts w:cstheme="minorHAnsi"/>
        </w:rPr>
        <w:t xml:space="preserve"> the public sector equality duty, intersectionality, positive action, strategic enforcement, hierarchy of protected characteristics, education</w:t>
      </w:r>
      <w:r w:rsidR="004A4A4B" w:rsidRPr="00A139E1">
        <w:rPr>
          <w:rFonts w:cstheme="minorHAnsi"/>
        </w:rPr>
        <w:t>,</w:t>
      </w:r>
      <w:r w:rsidRPr="00A139E1">
        <w:rPr>
          <w:rFonts w:cstheme="minorHAnsi"/>
        </w:rPr>
        <w:t xml:space="preserve"> etc. </w:t>
      </w:r>
    </w:p>
    <w:p w:rsidR="004C4AD1" w:rsidRPr="00A139E1" w:rsidRDefault="004C4AD1" w:rsidP="008B1F73">
      <w:pPr>
        <w:spacing w:before="120" w:after="120" w:line="240" w:lineRule="auto"/>
        <w:ind w:firstLine="720"/>
        <w:jc w:val="both"/>
        <w:rPr>
          <w:rFonts w:cstheme="minorHAnsi"/>
        </w:rPr>
      </w:pPr>
      <w:r w:rsidRPr="00A139E1">
        <w:rPr>
          <w:rFonts w:cstheme="minorHAnsi"/>
        </w:rPr>
        <w:t>The quality and range of papers and posters submitted and presented at the conference exceeded expectations. As had been hoped, the variety of socio-legal study being carried out across the UK around the Equality Act was exceptional. The conference</w:t>
      </w:r>
      <w:r w:rsidR="004A4A4B" w:rsidRPr="00A139E1">
        <w:rPr>
          <w:rFonts w:cstheme="minorHAnsi"/>
        </w:rPr>
        <w:t>,</w:t>
      </w:r>
      <w:r w:rsidRPr="00A139E1">
        <w:rPr>
          <w:rFonts w:cstheme="minorHAnsi"/>
        </w:rPr>
        <w:t xml:space="preserve"> therefore</w:t>
      </w:r>
      <w:r w:rsidR="004A4A4B" w:rsidRPr="00A139E1">
        <w:rPr>
          <w:rFonts w:cstheme="minorHAnsi"/>
        </w:rPr>
        <w:t>,</w:t>
      </w:r>
      <w:r w:rsidRPr="00A139E1">
        <w:rPr>
          <w:rFonts w:cstheme="minorHAnsi"/>
        </w:rPr>
        <w:t xml:space="preserve"> provided the space and opportunity to come together to explore the implications of this work and to build upon existing dialogues and networks in order to provide a better connected and less isolated evidential basis for the future development of the legislation. The collection of papers within this publication is an excellent representation of some of the themes explored at the conference. We are very grateful to the </w:t>
      </w:r>
      <w:r w:rsidRPr="00A139E1">
        <w:rPr>
          <w:rFonts w:cstheme="minorHAnsi"/>
          <w:i/>
        </w:rPr>
        <w:t>I</w:t>
      </w:r>
      <w:r w:rsidR="004A4A4B" w:rsidRPr="00A139E1">
        <w:rPr>
          <w:rFonts w:cstheme="minorHAnsi"/>
          <w:i/>
        </w:rPr>
        <w:t>nternational Journal of Discrimination and the Law</w:t>
      </w:r>
      <w:r w:rsidR="004A4A4B" w:rsidRPr="00A139E1">
        <w:rPr>
          <w:rFonts w:cstheme="minorHAnsi"/>
        </w:rPr>
        <w:t xml:space="preserve"> (I</w:t>
      </w:r>
      <w:r w:rsidRPr="00A139E1">
        <w:rPr>
          <w:rFonts w:cstheme="minorHAnsi"/>
        </w:rPr>
        <w:t>JDL</w:t>
      </w:r>
      <w:r w:rsidR="004A4A4B" w:rsidRPr="00A139E1">
        <w:rPr>
          <w:rFonts w:cstheme="minorHAnsi"/>
        </w:rPr>
        <w:t>)</w:t>
      </w:r>
      <w:r w:rsidRPr="00A139E1">
        <w:rPr>
          <w:rFonts w:cstheme="minorHAnsi"/>
        </w:rPr>
        <w:t xml:space="preserve"> for providing the opportunity to expand the dialogue around the socio-legal implications of the Equality Act 2010 beyond the conference via this special edition.</w:t>
      </w:r>
    </w:p>
    <w:p w:rsidR="004C4AD1" w:rsidRPr="00A139E1" w:rsidRDefault="004C4AD1" w:rsidP="008B1F73">
      <w:pPr>
        <w:spacing w:before="120" w:after="120" w:line="240" w:lineRule="auto"/>
        <w:ind w:firstLine="720"/>
        <w:jc w:val="both"/>
        <w:rPr>
          <w:rFonts w:cstheme="minorHAnsi"/>
        </w:rPr>
      </w:pPr>
      <w:r w:rsidRPr="00A139E1">
        <w:rPr>
          <w:rFonts w:cstheme="minorHAnsi"/>
        </w:rPr>
        <w:t xml:space="preserve">In addition to the outstanding range of academic papers presented at the conference, we were also delighted to host two excellent keynote presentations: Professor Colm </w:t>
      </w:r>
      <w:proofErr w:type="spellStart"/>
      <w:r w:rsidRPr="00A139E1">
        <w:rPr>
          <w:rFonts w:cstheme="minorHAnsi"/>
        </w:rPr>
        <w:t>O’Cinneide</w:t>
      </w:r>
      <w:proofErr w:type="spellEnd"/>
      <w:r w:rsidRPr="00A139E1">
        <w:rPr>
          <w:rFonts w:cstheme="minorHAnsi"/>
        </w:rPr>
        <w:t xml:space="preserve"> and the late Professor Sir Bob </w:t>
      </w:r>
      <w:proofErr w:type="spellStart"/>
      <w:r w:rsidRPr="00A139E1">
        <w:rPr>
          <w:rFonts w:cstheme="minorHAnsi"/>
        </w:rPr>
        <w:t>Hepple</w:t>
      </w:r>
      <w:proofErr w:type="spellEnd"/>
      <w:r w:rsidRPr="00A139E1">
        <w:rPr>
          <w:rFonts w:cstheme="minorHAnsi"/>
        </w:rPr>
        <w:t xml:space="preserve"> QC. Colm </w:t>
      </w:r>
      <w:proofErr w:type="spellStart"/>
      <w:r w:rsidRPr="00A139E1">
        <w:rPr>
          <w:rFonts w:cstheme="minorHAnsi"/>
        </w:rPr>
        <w:t>O’Cinneide</w:t>
      </w:r>
      <w:proofErr w:type="spellEnd"/>
      <w:r w:rsidRPr="00A139E1">
        <w:rPr>
          <w:rFonts w:cstheme="minorHAnsi"/>
        </w:rPr>
        <w:t xml:space="preserve"> is a Professor in Law at University College London. He has published extensively in the field of human rights and anti-discrimination law, and is currently the General Rapporteur of the European Committee on Social Rights of the Council of Europe. He has also acted as specialist legal adviser to the Joint Committee on Human Rights of the UK Parliament in respect of the Equality Act 2010, and is a member of the academic advisory panel of Blackstone Chambers. Professor </w:t>
      </w:r>
      <w:proofErr w:type="spellStart"/>
      <w:r w:rsidRPr="00A139E1">
        <w:rPr>
          <w:rFonts w:cstheme="minorHAnsi"/>
        </w:rPr>
        <w:t>O’Cinneide</w:t>
      </w:r>
      <w:proofErr w:type="spellEnd"/>
      <w:r w:rsidRPr="00A139E1">
        <w:rPr>
          <w:rFonts w:cstheme="minorHAnsi"/>
        </w:rPr>
        <w:t xml:space="preserve"> provided a fascinating conceptual exploration of the future of the equality legislation in the UK and the tensions around this</w:t>
      </w:r>
      <w:r w:rsidR="00567B1B" w:rsidRPr="00A139E1">
        <w:rPr>
          <w:rFonts w:cstheme="minorHAnsi"/>
        </w:rPr>
        <w:t>,</w:t>
      </w:r>
      <w:r w:rsidRPr="00A139E1">
        <w:rPr>
          <w:rFonts w:cstheme="minorHAnsi"/>
        </w:rPr>
        <w:t xml:space="preserve"> which skilfully fed into the overall themes of the conference.</w:t>
      </w:r>
    </w:p>
    <w:p w:rsidR="004C4AD1" w:rsidRPr="00A139E1" w:rsidRDefault="004C4AD1" w:rsidP="008B1F73">
      <w:pPr>
        <w:spacing w:before="120" w:after="120" w:line="240" w:lineRule="auto"/>
        <w:ind w:firstLine="720"/>
        <w:jc w:val="both"/>
        <w:rPr>
          <w:rFonts w:cstheme="minorHAnsi"/>
        </w:rPr>
      </w:pPr>
      <w:r w:rsidRPr="00A139E1">
        <w:rPr>
          <w:rFonts w:cstheme="minorHAnsi"/>
        </w:rPr>
        <w:lastRenderedPageBreak/>
        <w:t>It is</w:t>
      </w:r>
      <w:r w:rsidR="00567B1B" w:rsidRPr="00A139E1">
        <w:rPr>
          <w:rFonts w:cstheme="minorHAnsi"/>
        </w:rPr>
        <w:t>,</w:t>
      </w:r>
      <w:r w:rsidRPr="00A139E1">
        <w:rPr>
          <w:rFonts w:cstheme="minorHAnsi"/>
        </w:rPr>
        <w:t xml:space="preserve"> however</w:t>
      </w:r>
      <w:r w:rsidR="00567B1B" w:rsidRPr="00A139E1">
        <w:rPr>
          <w:rFonts w:cstheme="minorHAnsi"/>
        </w:rPr>
        <w:t>,</w:t>
      </w:r>
      <w:r w:rsidRPr="00A139E1">
        <w:rPr>
          <w:rFonts w:cstheme="minorHAnsi"/>
        </w:rPr>
        <w:t xml:space="preserve"> to Professor Sir Bob </w:t>
      </w:r>
      <w:proofErr w:type="spellStart"/>
      <w:r w:rsidRPr="00A139E1">
        <w:rPr>
          <w:rFonts w:cstheme="minorHAnsi"/>
        </w:rPr>
        <w:t>Hepple</w:t>
      </w:r>
      <w:proofErr w:type="spellEnd"/>
      <w:r w:rsidRPr="00A139E1">
        <w:rPr>
          <w:rFonts w:cstheme="minorHAnsi"/>
        </w:rPr>
        <w:t xml:space="preserve"> QC, FBA that we posthumously dedicate the conference and this special edition. Very sadly</w:t>
      </w:r>
      <w:r w:rsidR="00567B1B" w:rsidRPr="00A139E1">
        <w:rPr>
          <w:rFonts w:cstheme="minorHAnsi"/>
        </w:rPr>
        <w:t>,</w:t>
      </w:r>
      <w:r w:rsidRPr="00A139E1">
        <w:rPr>
          <w:rFonts w:cstheme="minorHAnsi"/>
        </w:rPr>
        <w:t xml:space="preserve"> Professor </w:t>
      </w:r>
      <w:proofErr w:type="spellStart"/>
      <w:r w:rsidRPr="00A139E1">
        <w:rPr>
          <w:rFonts w:cstheme="minorHAnsi"/>
        </w:rPr>
        <w:t>Hepple</w:t>
      </w:r>
      <w:proofErr w:type="spellEnd"/>
      <w:r w:rsidRPr="00A139E1">
        <w:rPr>
          <w:rFonts w:cstheme="minorHAnsi"/>
        </w:rPr>
        <w:t xml:space="preserve"> passed away in August 2015 and we are enormously grateful that we were able to welcome him and hear his expertly woven keynote presentation analysing the implications and current position of the Equality Act 2010 at the conference in June 2015. The loss of Professor </w:t>
      </w:r>
      <w:proofErr w:type="spellStart"/>
      <w:r w:rsidRPr="00A139E1">
        <w:rPr>
          <w:rFonts w:cstheme="minorHAnsi"/>
        </w:rPr>
        <w:t>Hepple</w:t>
      </w:r>
      <w:proofErr w:type="spellEnd"/>
      <w:r w:rsidRPr="00A139E1">
        <w:rPr>
          <w:rFonts w:cstheme="minorHAnsi"/>
        </w:rPr>
        <w:t xml:space="preserve"> will be keenly felt by all of those who have fought and continue </w:t>
      </w:r>
      <w:r w:rsidR="00A12221">
        <w:rPr>
          <w:rFonts w:cstheme="minorHAnsi"/>
        </w:rPr>
        <w:t xml:space="preserve">to </w:t>
      </w:r>
      <w:r w:rsidRPr="00A139E1">
        <w:rPr>
          <w:rFonts w:cstheme="minorHAnsi"/>
        </w:rPr>
        <w:t xml:space="preserve">fight to promote and secure equality in the UK. </w:t>
      </w:r>
    </w:p>
    <w:p w:rsidR="004C4AD1" w:rsidRPr="00A139E1" w:rsidRDefault="004C4AD1" w:rsidP="008B1F73">
      <w:pPr>
        <w:spacing w:before="120" w:after="120" w:line="240" w:lineRule="auto"/>
        <w:ind w:firstLine="720"/>
        <w:jc w:val="both"/>
        <w:rPr>
          <w:rFonts w:cstheme="minorHAnsi"/>
        </w:rPr>
      </w:pPr>
      <w:r w:rsidRPr="00A139E1">
        <w:rPr>
          <w:rFonts w:cstheme="minorHAnsi"/>
        </w:rPr>
        <w:t xml:space="preserve">Throughout his long and esteemed career Professor </w:t>
      </w:r>
      <w:proofErr w:type="spellStart"/>
      <w:r w:rsidRPr="00A139E1">
        <w:rPr>
          <w:rFonts w:cstheme="minorHAnsi"/>
        </w:rPr>
        <w:t>Hepple</w:t>
      </w:r>
      <w:proofErr w:type="spellEnd"/>
      <w:r w:rsidRPr="00A139E1">
        <w:rPr>
          <w:rFonts w:cstheme="minorHAnsi"/>
        </w:rPr>
        <w:t xml:space="preserve"> never ceased in his commitment to justice and equality. Born in 1934 in Johannesburg, he was raised in a politically and socially divided society. Even as a young student in South Africa</w:t>
      </w:r>
      <w:r w:rsidR="003F52B2" w:rsidRPr="00A139E1">
        <w:rPr>
          <w:rFonts w:cstheme="minorHAnsi"/>
        </w:rPr>
        <w:t>,</w:t>
      </w:r>
      <w:r w:rsidRPr="00A139E1">
        <w:rPr>
          <w:rFonts w:cstheme="minorHAnsi"/>
        </w:rPr>
        <w:t xml:space="preserve"> he demonstrated his strength of character by tirelessly campaigning against the apartheid regime. Later came his notable time representing Nelson Mandela and </w:t>
      </w:r>
      <w:r w:rsidR="006564C2">
        <w:rPr>
          <w:rFonts w:cstheme="minorHAnsi"/>
        </w:rPr>
        <w:t xml:space="preserve">following his own </w:t>
      </w:r>
      <w:r w:rsidRPr="00A139E1">
        <w:rPr>
          <w:rFonts w:cstheme="minorHAnsi"/>
        </w:rPr>
        <w:t xml:space="preserve">escape from South Africa (with the assistance of the ANC underground movement). This alone would have sufficed to secure Professor </w:t>
      </w:r>
      <w:proofErr w:type="spellStart"/>
      <w:r w:rsidRPr="00A139E1">
        <w:rPr>
          <w:rFonts w:cstheme="minorHAnsi"/>
        </w:rPr>
        <w:t>Hepple</w:t>
      </w:r>
      <w:proofErr w:type="spellEnd"/>
      <w:r w:rsidRPr="00A139E1">
        <w:rPr>
          <w:rFonts w:cstheme="minorHAnsi"/>
        </w:rPr>
        <w:t xml:space="preserve"> a place in history as a pioneer of equality. </w:t>
      </w:r>
      <w:r w:rsidR="009E71ED" w:rsidRPr="00A139E1">
        <w:rPr>
          <w:rFonts w:cstheme="minorHAnsi"/>
        </w:rPr>
        <w:t>Nonetheless</w:t>
      </w:r>
      <w:r w:rsidRPr="00A139E1">
        <w:rPr>
          <w:rFonts w:cstheme="minorHAnsi"/>
        </w:rPr>
        <w:t>, on arriving in the UK in December 1963, he was to commence on a most distinguished legal career over the next half a century</w:t>
      </w:r>
      <w:r w:rsidR="009E71ED" w:rsidRPr="00A139E1">
        <w:rPr>
          <w:rFonts w:cstheme="minorHAnsi"/>
        </w:rPr>
        <w:t>,</w:t>
      </w:r>
      <w:r w:rsidRPr="00A139E1">
        <w:rPr>
          <w:rFonts w:cstheme="minorHAnsi"/>
        </w:rPr>
        <w:t xml:space="preserve"> significantly impacting upon and developing the labour law and equality agenda in the UK.</w:t>
      </w:r>
    </w:p>
    <w:p w:rsidR="004C4AD1" w:rsidRPr="00A139E1" w:rsidRDefault="004C4AD1" w:rsidP="008B1F73">
      <w:pPr>
        <w:spacing w:before="120" w:after="120" w:line="240" w:lineRule="auto"/>
        <w:ind w:firstLine="720"/>
        <w:jc w:val="both"/>
        <w:rPr>
          <w:rFonts w:cstheme="minorHAnsi"/>
        </w:rPr>
      </w:pPr>
      <w:r w:rsidRPr="00A139E1">
        <w:rPr>
          <w:rFonts w:cstheme="minorHAnsi"/>
        </w:rPr>
        <w:t xml:space="preserve">Professor Sir Bob </w:t>
      </w:r>
      <w:proofErr w:type="spellStart"/>
      <w:r w:rsidRPr="00A139E1">
        <w:rPr>
          <w:rFonts w:cstheme="minorHAnsi"/>
        </w:rPr>
        <w:t>Hepple</w:t>
      </w:r>
      <w:proofErr w:type="spellEnd"/>
      <w:r w:rsidRPr="00A139E1">
        <w:rPr>
          <w:rFonts w:cstheme="minorHAnsi"/>
        </w:rPr>
        <w:t xml:space="preserve"> was Emeritus Master of Clare College, and Emeritus Professor of Law, University of Cambridge. He was Honorary President of the Industrial Law Society and of the Equal Rights Trust. In 2013 the International Labour Law Research Network gave him an award for distinguished career contribution to labour law, and in 2014 he was awarded the South African Order of Luthuli (Gold) for his exceptional contribution to the struggle for human rights and democracy. By way of further example of his commitment to equality and justice, he held three professorships, was Chairman of the Industrial Tribunals, was a Judge at the United National Administrative Tribunal, received a knighthood in 2004 and became a Fellow of the British Academy in 2003. In addition, Professor </w:t>
      </w:r>
      <w:proofErr w:type="spellStart"/>
      <w:r w:rsidRPr="00A139E1">
        <w:rPr>
          <w:rFonts w:cstheme="minorHAnsi"/>
        </w:rPr>
        <w:t>Hepple</w:t>
      </w:r>
      <w:proofErr w:type="spellEnd"/>
      <w:r w:rsidRPr="00A139E1">
        <w:rPr>
          <w:rFonts w:cstheme="minorHAnsi"/>
        </w:rPr>
        <w:t xml:space="preserve"> also extensively published and presented on equality issues throughout his esteemed career. </w:t>
      </w:r>
    </w:p>
    <w:p w:rsidR="004C4AD1" w:rsidRPr="00A139E1" w:rsidRDefault="004C4AD1" w:rsidP="008B1F73">
      <w:pPr>
        <w:spacing w:before="120" w:after="120" w:line="240" w:lineRule="auto"/>
        <w:ind w:firstLine="720"/>
        <w:jc w:val="both"/>
        <w:rPr>
          <w:rFonts w:cstheme="minorHAnsi"/>
        </w:rPr>
      </w:pPr>
      <w:r w:rsidRPr="00A139E1">
        <w:rPr>
          <w:rFonts w:cstheme="minorHAnsi"/>
        </w:rPr>
        <w:t xml:space="preserve">For all of these achievements, Professor </w:t>
      </w:r>
      <w:proofErr w:type="spellStart"/>
      <w:r w:rsidRPr="00A139E1">
        <w:rPr>
          <w:rFonts w:cstheme="minorHAnsi"/>
        </w:rPr>
        <w:t>Hepple</w:t>
      </w:r>
      <w:proofErr w:type="spellEnd"/>
      <w:r w:rsidRPr="00A139E1">
        <w:rPr>
          <w:rFonts w:cstheme="minorHAnsi"/>
        </w:rPr>
        <w:t xml:space="preserve"> was a most gracious, inspirational, intelligent and generous contributor to the equality agenda. From our limited time with him during the prep</w:t>
      </w:r>
      <w:r w:rsidR="00D65043" w:rsidRPr="00A139E1">
        <w:rPr>
          <w:rFonts w:cstheme="minorHAnsi"/>
        </w:rPr>
        <w:t>arations for and througho</w:t>
      </w:r>
      <w:r w:rsidR="00A12221">
        <w:rPr>
          <w:rFonts w:cstheme="minorHAnsi"/>
        </w:rPr>
        <w:t xml:space="preserve">ut ‘The Equality Act 2010: five </w:t>
      </w:r>
      <w:r w:rsidR="00D65043" w:rsidRPr="00A139E1">
        <w:rPr>
          <w:rFonts w:cstheme="minorHAnsi"/>
        </w:rPr>
        <w:t xml:space="preserve">years on’ </w:t>
      </w:r>
      <w:r w:rsidRPr="00A139E1">
        <w:rPr>
          <w:rFonts w:cstheme="minorHAnsi"/>
        </w:rPr>
        <w:t>conference, he demonstrated through his own actions and words the meaning of true equality. It is for this contribution to our human struggle that we acknowledge you</w:t>
      </w:r>
      <w:r w:rsidR="00D65043" w:rsidRPr="00A139E1">
        <w:rPr>
          <w:rFonts w:cstheme="minorHAnsi"/>
        </w:rPr>
        <w:t>,</w:t>
      </w:r>
      <w:r w:rsidRPr="00A139E1">
        <w:rPr>
          <w:rFonts w:cstheme="minorHAnsi"/>
        </w:rPr>
        <w:t xml:space="preserve"> Professor </w:t>
      </w:r>
      <w:proofErr w:type="spellStart"/>
      <w:r w:rsidRPr="00A139E1">
        <w:rPr>
          <w:rFonts w:cstheme="minorHAnsi"/>
        </w:rPr>
        <w:t>Hepple</w:t>
      </w:r>
      <w:proofErr w:type="spellEnd"/>
      <w:r w:rsidR="00D65043" w:rsidRPr="00A139E1">
        <w:rPr>
          <w:rFonts w:cstheme="minorHAnsi"/>
        </w:rPr>
        <w:t>,</w:t>
      </w:r>
      <w:r w:rsidRPr="00A139E1">
        <w:rPr>
          <w:rFonts w:cstheme="minorHAnsi"/>
        </w:rPr>
        <w:t xml:space="preserve"> and express our gratitude for the significant part you have played and the legacy you have left in the fight against discri</w:t>
      </w:r>
      <w:r w:rsidR="00D65043" w:rsidRPr="00A139E1">
        <w:rPr>
          <w:rFonts w:cstheme="minorHAnsi"/>
        </w:rPr>
        <w:t xml:space="preserve">mination in the UK and beyond. </w:t>
      </w:r>
      <w:r w:rsidRPr="00A139E1">
        <w:rPr>
          <w:rFonts w:cstheme="minorHAnsi"/>
        </w:rPr>
        <w:t xml:space="preserve">In Professor </w:t>
      </w:r>
      <w:proofErr w:type="spellStart"/>
      <w:r w:rsidRPr="00A139E1">
        <w:rPr>
          <w:rFonts w:cstheme="minorHAnsi"/>
        </w:rPr>
        <w:t>Hepple’s</w:t>
      </w:r>
      <w:proofErr w:type="spellEnd"/>
      <w:r w:rsidRPr="00A139E1">
        <w:rPr>
          <w:rFonts w:cstheme="minorHAnsi"/>
        </w:rPr>
        <w:t xml:space="preserve"> opening words at the Equality Act conference:</w:t>
      </w:r>
    </w:p>
    <w:p w:rsidR="004C4AD1" w:rsidRPr="00A139E1" w:rsidRDefault="004C4AD1" w:rsidP="008B1F73">
      <w:pPr>
        <w:spacing w:before="120" w:after="120" w:line="240" w:lineRule="auto"/>
        <w:jc w:val="both"/>
        <w:rPr>
          <w:rFonts w:eastAsia="Times New Roman" w:cstheme="minorHAnsi"/>
          <w:lang w:eastAsia="en-GB"/>
        </w:rPr>
      </w:pPr>
    </w:p>
    <w:p w:rsidR="004C4AD1" w:rsidRPr="00A139E1" w:rsidRDefault="004C4AD1" w:rsidP="008B1F73">
      <w:pPr>
        <w:spacing w:before="120" w:after="120" w:line="240" w:lineRule="auto"/>
        <w:jc w:val="center"/>
        <w:rPr>
          <w:rFonts w:cstheme="minorHAnsi"/>
        </w:rPr>
      </w:pPr>
      <w:r w:rsidRPr="00A139E1">
        <w:rPr>
          <w:rFonts w:cstheme="minorHAnsi"/>
        </w:rPr>
        <w:t>‘The fight for equality goes on and will go on for a long time.’</w:t>
      </w:r>
    </w:p>
    <w:p w:rsidR="004C4AD1" w:rsidRPr="00A139E1" w:rsidRDefault="004C4AD1" w:rsidP="008B1F73">
      <w:pPr>
        <w:spacing w:before="120" w:after="120" w:line="240" w:lineRule="auto"/>
        <w:jc w:val="center"/>
        <w:rPr>
          <w:rFonts w:cstheme="minorHAnsi"/>
        </w:rPr>
      </w:pPr>
    </w:p>
    <w:p w:rsidR="004C4AD1" w:rsidRPr="00A139E1" w:rsidRDefault="004C4AD1" w:rsidP="008B1F73">
      <w:pPr>
        <w:spacing w:before="120" w:after="120" w:line="240" w:lineRule="auto"/>
        <w:jc w:val="center"/>
        <w:rPr>
          <w:rFonts w:cstheme="minorHAnsi"/>
        </w:rPr>
      </w:pPr>
      <w:r w:rsidRPr="00A139E1">
        <w:rPr>
          <w:rFonts w:cstheme="minorHAnsi"/>
          <w:noProof/>
          <w:lang w:val="en-US"/>
        </w:rPr>
        <w:drawing>
          <wp:inline distT="0" distB="0" distL="0" distR="0" wp14:anchorId="6B8CE577" wp14:editId="174BE94A">
            <wp:extent cx="901700" cy="1193800"/>
            <wp:effectExtent l="0" t="0" r="1270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01700" cy="1193800"/>
                    </a:xfrm>
                    <a:prstGeom prst="rect">
                      <a:avLst/>
                    </a:prstGeom>
                    <a:noFill/>
                    <a:ln>
                      <a:noFill/>
                    </a:ln>
                  </pic:spPr>
                </pic:pic>
              </a:graphicData>
            </a:graphic>
          </wp:inline>
        </w:drawing>
      </w:r>
    </w:p>
    <w:p w:rsidR="004C4AD1" w:rsidRPr="00A139E1" w:rsidRDefault="004C4AD1" w:rsidP="008B1F73">
      <w:pPr>
        <w:spacing w:before="120" w:after="120" w:line="240" w:lineRule="auto"/>
        <w:jc w:val="center"/>
        <w:rPr>
          <w:rFonts w:cstheme="minorHAnsi"/>
        </w:rPr>
      </w:pPr>
    </w:p>
    <w:p w:rsidR="004C4AD1" w:rsidRPr="00A139E1" w:rsidRDefault="004C4AD1" w:rsidP="008B1F73">
      <w:pPr>
        <w:spacing w:before="120" w:after="120" w:line="240" w:lineRule="auto"/>
        <w:jc w:val="center"/>
        <w:rPr>
          <w:rFonts w:cstheme="minorHAnsi"/>
        </w:rPr>
      </w:pPr>
      <w:r w:rsidRPr="00A139E1">
        <w:rPr>
          <w:rFonts w:cstheme="minorHAnsi"/>
        </w:rPr>
        <w:t xml:space="preserve">Professor Sir Bob </w:t>
      </w:r>
      <w:proofErr w:type="spellStart"/>
      <w:r w:rsidRPr="00A139E1">
        <w:rPr>
          <w:rFonts w:cstheme="minorHAnsi"/>
        </w:rPr>
        <w:t>Hepple</w:t>
      </w:r>
      <w:proofErr w:type="spellEnd"/>
      <w:r w:rsidRPr="00A139E1">
        <w:rPr>
          <w:rFonts w:cstheme="minorHAnsi"/>
        </w:rPr>
        <w:t xml:space="preserve"> QC (11</w:t>
      </w:r>
      <w:r w:rsidRPr="00A139E1">
        <w:rPr>
          <w:rFonts w:cstheme="minorHAnsi"/>
          <w:vertAlign w:val="superscript"/>
        </w:rPr>
        <w:t>th</w:t>
      </w:r>
      <w:r w:rsidRPr="00A139E1">
        <w:rPr>
          <w:rFonts w:cstheme="minorHAnsi"/>
        </w:rPr>
        <w:t xml:space="preserve"> August 1934 – 21</w:t>
      </w:r>
      <w:r w:rsidRPr="00A139E1">
        <w:rPr>
          <w:rFonts w:cstheme="minorHAnsi"/>
          <w:vertAlign w:val="superscript"/>
        </w:rPr>
        <w:t>st</w:t>
      </w:r>
      <w:r w:rsidRPr="00A139E1">
        <w:rPr>
          <w:rFonts w:cstheme="minorHAnsi"/>
        </w:rPr>
        <w:t xml:space="preserve"> August 2015)</w:t>
      </w:r>
    </w:p>
    <w:p w:rsidR="00070A44" w:rsidRDefault="00070A44" w:rsidP="008B1F73">
      <w:pPr>
        <w:spacing w:before="120" w:after="120" w:line="240" w:lineRule="auto"/>
        <w:jc w:val="both"/>
        <w:rPr>
          <w:rFonts w:cstheme="minorHAnsi"/>
        </w:rPr>
      </w:pPr>
    </w:p>
    <w:p w:rsidR="008B1F73" w:rsidRPr="00A139E1" w:rsidRDefault="008B1F73" w:rsidP="008B1F73">
      <w:pPr>
        <w:spacing w:before="120" w:after="120" w:line="240" w:lineRule="auto"/>
        <w:jc w:val="both"/>
        <w:rPr>
          <w:rFonts w:cstheme="minorHAnsi"/>
        </w:rPr>
      </w:pPr>
    </w:p>
    <w:p w:rsidR="00070A44" w:rsidRPr="00A139E1" w:rsidRDefault="00A139E1" w:rsidP="008B1F73">
      <w:pPr>
        <w:spacing w:before="120" w:after="120" w:line="240" w:lineRule="auto"/>
        <w:jc w:val="both"/>
        <w:rPr>
          <w:rFonts w:cstheme="minorHAnsi"/>
          <w:b/>
        </w:rPr>
      </w:pPr>
      <w:r w:rsidRPr="00A139E1">
        <w:rPr>
          <w:rFonts w:cstheme="minorHAnsi"/>
          <w:b/>
        </w:rPr>
        <w:lastRenderedPageBreak/>
        <w:t>The selected contributions</w:t>
      </w:r>
    </w:p>
    <w:p w:rsidR="002B6892" w:rsidRDefault="002B6892" w:rsidP="008B1F73">
      <w:pPr>
        <w:spacing w:before="120" w:after="120" w:line="240" w:lineRule="auto"/>
        <w:jc w:val="both"/>
        <w:rPr>
          <w:rFonts w:cstheme="minorHAnsi"/>
        </w:rPr>
      </w:pPr>
    </w:p>
    <w:p w:rsidR="002A0B02" w:rsidRPr="00A139E1" w:rsidRDefault="00201549" w:rsidP="008B1F73">
      <w:pPr>
        <w:spacing w:before="120" w:after="120" w:line="240" w:lineRule="auto"/>
        <w:jc w:val="both"/>
        <w:rPr>
          <w:rFonts w:cstheme="minorHAnsi"/>
        </w:rPr>
      </w:pPr>
      <w:r>
        <w:rPr>
          <w:rFonts w:cstheme="minorHAnsi"/>
        </w:rPr>
        <w:t>All t</w:t>
      </w:r>
      <w:r w:rsidR="002A0B02">
        <w:rPr>
          <w:rFonts w:cstheme="minorHAnsi"/>
        </w:rPr>
        <w:t xml:space="preserve">he papers selected for publication in this double special issue have been </w:t>
      </w:r>
      <w:r w:rsidR="00F24EBB">
        <w:rPr>
          <w:rFonts w:cstheme="minorHAnsi"/>
        </w:rPr>
        <w:t xml:space="preserve">presented and discussed at </w:t>
      </w:r>
      <w:r w:rsidR="003E04E9">
        <w:rPr>
          <w:rFonts w:cstheme="minorHAnsi"/>
        </w:rPr>
        <w:t xml:space="preserve">‘The Equality Act 2010: five </w:t>
      </w:r>
      <w:r w:rsidR="00F24EBB" w:rsidRPr="00A139E1">
        <w:rPr>
          <w:rFonts w:cstheme="minorHAnsi"/>
        </w:rPr>
        <w:t>years on’ conference</w:t>
      </w:r>
      <w:r w:rsidR="00F24EBB">
        <w:rPr>
          <w:rFonts w:cstheme="minorHAnsi"/>
        </w:rPr>
        <w:t xml:space="preserve">. Some – like those by </w:t>
      </w:r>
      <w:proofErr w:type="spellStart"/>
      <w:r w:rsidR="00F24EBB">
        <w:rPr>
          <w:rFonts w:cstheme="minorHAnsi"/>
        </w:rPr>
        <w:t>Sigafoos</w:t>
      </w:r>
      <w:proofErr w:type="spellEnd"/>
      <w:r w:rsidR="00F24EBB">
        <w:rPr>
          <w:rFonts w:cstheme="minorHAnsi"/>
        </w:rPr>
        <w:t xml:space="preserve"> and Davies </w:t>
      </w:r>
      <w:r w:rsidR="00C52BC7">
        <w:rPr>
          <w:rFonts w:cstheme="minorHAnsi"/>
        </w:rPr>
        <w:t>and</w:t>
      </w:r>
      <w:r w:rsidR="00F24EBB">
        <w:rPr>
          <w:rFonts w:cstheme="minorHAnsi"/>
        </w:rPr>
        <w:t xml:space="preserve"> Robison – relate to transversal equality themes such as the </w:t>
      </w:r>
      <w:r w:rsidR="00F24EBB" w:rsidRPr="00A139E1">
        <w:rPr>
          <w:rFonts w:cstheme="minorHAnsi"/>
        </w:rPr>
        <w:t xml:space="preserve">Public Sector Equality Duty </w:t>
      </w:r>
      <w:r w:rsidR="00F24EBB">
        <w:rPr>
          <w:rFonts w:cstheme="minorHAnsi"/>
        </w:rPr>
        <w:t>and positive action; others – such as those by Blackham</w:t>
      </w:r>
      <w:r w:rsidR="00F24EBB" w:rsidRPr="00F24EBB">
        <w:rPr>
          <w:rFonts w:cstheme="minorHAnsi"/>
        </w:rPr>
        <w:t xml:space="preserve"> </w:t>
      </w:r>
      <w:r w:rsidR="00F24EBB">
        <w:rPr>
          <w:rFonts w:cstheme="minorHAnsi"/>
        </w:rPr>
        <w:t xml:space="preserve">and </w:t>
      </w:r>
      <w:r w:rsidR="00F24EBB" w:rsidRPr="00A139E1">
        <w:rPr>
          <w:rFonts w:cstheme="minorHAnsi"/>
        </w:rPr>
        <w:t xml:space="preserve">Gardiner </w:t>
      </w:r>
      <w:r w:rsidR="00C52BC7">
        <w:rPr>
          <w:rFonts w:cstheme="minorHAnsi"/>
        </w:rPr>
        <w:t>and</w:t>
      </w:r>
      <w:r w:rsidR="00F24EBB">
        <w:rPr>
          <w:rFonts w:cstheme="minorHAnsi"/>
        </w:rPr>
        <w:t xml:space="preserve"> </w:t>
      </w:r>
      <w:r w:rsidR="00F24EBB" w:rsidRPr="00A139E1">
        <w:rPr>
          <w:rFonts w:cstheme="minorHAnsi"/>
        </w:rPr>
        <w:t>Riches</w:t>
      </w:r>
      <w:r w:rsidR="00F24EBB">
        <w:rPr>
          <w:rFonts w:cstheme="minorHAnsi"/>
        </w:rPr>
        <w:t xml:space="preserve"> – focus on particular protected characteristics, including age, race and sexual orientation; yet other contributions – namely that by </w:t>
      </w:r>
      <w:r w:rsidR="00F24EBB" w:rsidRPr="00A139E1">
        <w:rPr>
          <w:rFonts w:cstheme="minorHAnsi"/>
        </w:rPr>
        <w:t xml:space="preserve">Roberts </w:t>
      </w:r>
      <w:r w:rsidR="00C52BC7">
        <w:rPr>
          <w:rFonts w:cstheme="minorHAnsi"/>
        </w:rPr>
        <w:t>and</w:t>
      </w:r>
      <w:r w:rsidR="00F24EBB" w:rsidRPr="00A139E1">
        <w:rPr>
          <w:rFonts w:cstheme="minorHAnsi"/>
        </w:rPr>
        <w:t xml:space="preserve"> </w:t>
      </w:r>
      <w:proofErr w:type="spellStart"/>
      <w:r w:rsidR="00F24EBB" w:rsidRPr="00A139E1">
        <w:rPr>
          <w:rFonts w:cstheme="minorHAnsi"/>
        </w:rPr>
        <w:t>Hou</w:t>
      </w:r>
      <w:proofErr w:type="spellEnd"/>
      <w:r w:rsidR="00F24EBB" w:rsidRPr="00A139E1">
        <w:rPr>
          <w:rFonts w:cstheme="minorHAnsi"/>
        </w:rPr>
        <w:t xml:space="preserve"> </w:t>
      </w:r>
      <w:r w:rsidR="00F24EBB">
        <w:rPr>
          <w:rFonts w:cstheme="minorHAnsi"/>
        </w:rPr>
        <w:t xml:space="preserve">– concentrate on specific fields, specifically higher education; finally, some contributions look </w:t>
      </w:r>
      <w:r w:rsidR="003040E0">
        <w:rPr>
          <w:rFonts w:cstheme="minorHAnsi"/>
        </w:rPr>
        <w:t xml:space="preserve">at </w:t>
      </w:r>
      <w:r w:rsidR="00F24EBB">
        <w:rPr>
          <w:rFonts w:cstheme="minorHAnsi"/>
        </w:rPr>
        <w:t>key areas of potential evolution of the current UK equality framework, namely in relation to reasonable accommodation in the context of religious belief and to caste discrimination.</w:t>
      </w:r>
    </w:p>
    <w:p w:rsidR="002B6892" w:rsidRPr="00A139E1" w:rsidRDefault="002B6892" w:rsidP="002A0B02">
      <w:pPr>
        <w:spacing w:before="120" w:after="120" w:line="240" w:lineRule="auto"/>
        <w:ind w:firstLine="720"/>
        <w:jc w:val="both"/>
        <w:rPr>
          <w:rFonts w:cstheme="minorHAnsi"/>
        </w:rPr>
      </w:pPr>
      <w:r w:rsidRPr="00A139E1">
        <w:rPr>
          <w:rFonts w:cstheme="minorHAnsi"/>
        </w:rPr>
        <w:t xml:space="preserve">In the first paper, </w:t>
      </w:r>
      <w:proofErr w:type="spellStart"/>
      <w:r w:rsidRPr="00A139E1">
        <w:rPr>
          <w:rFonts w:cstheme="minorHAnsi"/>
        </w:rPr>
        <w:t>Sigafoos</w:t>
      </w:r>
      <w:proofErr w:type="spellEnd"/>
      <w:r w:rsidRPr="00A139E1">
        <w:rPr>
          <w:rFonts w:cstheme="minorHAnsi"/>
        </w:rPr>
        <w:t xml:space="preserve"> builds on her earlier work on the impact of the Equality Act 2010 on charities in the UK, in which it was found that charities have successfully used judicial reviews to challenge whether local governments have properly fulfilled their Public Sector Equality Duty (PSED) when making funding cuts.</w:t>
      </w:r>
      <w:r w:rsidR="00A139E1" w:rsidRPr="00A139E1">
        <w:rPr>
          <w:rFonts w:cstheme="minorHAnsi"/>
        </w:rPr>
        <w:t xml:space="preserve"> </w:t>
      </w:r>
      <w:proofErr w:type="spellStart"/>
      <w:r w:rsidRPr="00A139E1">
        <w:rPr>
          <w:rFonts w:cstheme="minorHAnsi"/>
        </w:rPr>
        <w:t>Sigafoos</w:t>
      </w:r>
      <w:proofErr w:type="spellEnd"/>
      <w:r w:rsidRPr="00A139E1">
        <w:rPr>
          <w:rFonts w:cstheme="minorHAnsi"/>
        </w:rPr>
        <w:t xml:space="preserve"> notes how the PSED has empowered some charities and service users, even when the positive outcome of a judicial review might only lead to a more considered re-distribution of the same limited resources by a local authority.</w:t>
      </w:r>
      <w:r w:rsidR="00A139E1" w:rsidRPr="00A139E1">
        <w:rPr>
          <w:rFonts w:cstheme="minorHAnsi"/>
        </w:rPr>
        <w:t xml:space="preserve"> </w:t>
      </w:r>
      <w:r w:rsidRPr="00A139E1">
        <w:rPr>
          <w:rFonts w:cstheme="minorHAnsi"/>
        </w:rPr>
        <w:t xml:space="preserve">However, she predicts less success in the future, concluding that cuts to legal aid and judicial review reforms may well blunt the Equality Act sword. </w:t>
      </w:r>
    </w:p>
    <w:p w:rsidR="002B6892" w:rsidRPr="00A139E1" w:rsidRDefault="002B6892" w:rsidP="00F52C19">
      <w:pPr>
        <w:spacing w:before="120" w:after="120" w:line="240" w:lineRule="auto"/>
        <w:ind w:firstLine="720"/>
        <w:jc w:val="both"/>
        <w:rPr>
          <w:rFonts w:cstheme="minorHAnsi"/>
        </w:rPr>
      </w:pPr>
      <w:r w:rsidRPr="00A139E1">
        <w:rPr>
          <w:rFonts w:cstheme="minorHAnsi"/>
        </w:rPr>
        <w:t>Davies</w:t>
      </w:r>
      <w:r w:rsidR="00F52C19">
        <w:rPr>
          <w:rFonts w:cstheme="minorHAnsi"/>
        </w:rPr>
        <w:t xml:space="preserve"> and</w:t>
      </w:r>
      <w:r w:rsidRPr="00A139E1">
        <w:rPr>
          <w:rFonts w:cstheme="minorHAnsi"/>
        </w:rPr>
        <w:t xml:space="preserve"> </w:t>
      </w:r>
      <w:r w:rsidR="00F52C19" w:rsidRPr="00A139E1">
        <w:rPr>
          <w:rFonts w:cstheme="minorHAnsi"/>
        </w:rPr>
        <w:t xml:space="preserve">Robison </w:t>
      </w:r>
      <w:r w:rsidRPr="00A139E1">
        <w:rPr>
          <w:rFonts w:cstheme="minorHAnsi"/>
        </w:rPr>
        <w:t>investigate the development and operation of positive action.</w:t>
      </w:r>
      <w:r w:rsidR="00A139E1" w:rsidRPr="00A139E1">
        <w:rPr>
          <w:rFonts w:cstheme="minorHAnsi"/>
        </w:rPr>
        <w:t xml:space="preserve"> </w:t>
      </w:r>
      <w:r w:rsidRPr="00A139E1">
        <w:rPr>
          <w:rFonts w:cstheme="minorHAnsi"/>
        </w:rPr>
        <w:t>Basing their discussion on the findings of their on-going scoping study, the authors argue that</w:t>
      </w:r>
      <w:r w:rsidR="00DC188F">
        <w:rPr>
          <w:rFonts w:cstheme="minorHAnsi"/>
        </w:rPr>
        <w:t>,</w:t>
      </w:r>
      <w:r w:rsidRPr="00A139E1">
        <w:rPr>
          <w:rFonts w:cstheme="minorHAnsi"/>
        </w:rPr>
        <w:t xml:space="preserve"> while positive action has the potential to be an effective tool in achieving substantive equality, its use is hampered by caution on the part of those who, although willing to address disadvantage in the workplace, are wary of possible negative outcomes, including liability for ‘reverse discrimination’.</w:t>
      </w:r>
      <w:r w:rsidR="00A139E1" w:rsidRPr="00A139E1">
        <w:rPr>
          <w:rFonts w:cstheme="minorHAnsi"/>
        </w:rPr>
        <w:t xml:space="preserve"> </w:t>
      </w:r>
      <w:r w:rsidR="00DC188F">
        <w:rPr>
          <w:rFonts w:cstheme="minorHAnsi"/>
        </w:rPr>
        <w:t>They conclude that if positive action</w:t>
      </w:r>
      <w:r w:rsidRPr="00A139E1">
        <w:rPr>
          <w:rFonts w:cstheme="minorHAnsi"/>
        </w:rPr>
        <w:t xml:space="preserve"> is not to become a ‘forgotten treasure’</w:t>
      </w:r>
      <w:r w:rsidR="00DC188F">
        <w:rPr>
          <w:rFonts w:cstheme="minorHAnsi"/>
        </w:rPr>
        <w:t>,</w:t>
      </w:r>
      <w:r w:rsidRPr="00A139E1">
        <w:rPr>
          <w:rFonts w:cstheme="minorHAnsi"/>
        </w:rPr>
        <w:t xml:space="preserve"> more empirical work must be done to discover how best to overcome employer reticence and ensure a greater role for positive action.</w:t>
      </w:r>
    </w:p>
    <w:p w:rsidR="002B6892" w:rsidRPr="00A139E1" w:rsidRDefault="002B6892" w:rsidP="00DC188F">
      <w:pPr>
        <w:spacing w:before="120" w:after="120" w:line="240" w:lineRule="auto"/>
        <w:ind w:firstLine="720"/>
        <w:jc w:val="both"/>
        <w:rPr>
          <w:rFonts w:cstheme="minorHAnsi"/>
        </w:rPr>
      </w:pPr>
      <w:r w:rsidRPr="00A139E1">
        <w:rPr>
          <w:rFonts w:cstheme="minorHAnsi"/>
        </w:rPr>
        <w:t>Within the context of an ageing population, Blackham focuses on age discrimination and considers whether the Equality Act 2010 represents a form of reflexive law or is, rather, a form of command and control regulation with the limitations that implies.</w:t>
      </w:r>
      <w:r w:rsidR="00A139E1" w:rsidRPr="00A139E1">
        <w:rPr>
          <w:rFonts w:cstheme="minorHAnsi"/>
        </w:rPr>
        <w:t xml:space="preserve"> </w:t>
      </w:r>
      <w:r w:rsidRPr="00A139E1">
        <w:rPr>
          <w:rFonts w:cstheme="minorHAnsi"/>
        </w:rPr>
        <w:t xml:space="preserve">Using data from the 2011 </w:t>
      </w:r>
      <w:r w:rsidRPr="00A139E1">
        <w:rPr>
          <w:rFonts w:cstheme="minorHAnsi"/>
          <w:bCs/>
        </w:rPr>
        <w:t xml:space="preserve">Workplace Employment Relations Study </w:t>
      </w:r>
      <w:r w:rsidRPr="00A139E1">
        <w:rPr>
          <w:rFonts w:cstheme="minorHAnsi"/>
        </w:rPr>
        <w:t>survey, the author contends that the Act has made limited progress in promoting age-aware activities in the UK.</w:t>
      </w:r>
      <w:r w:rsidR="00A139E1" w:rsidRPr="00A139E1">
        <w:rPr>
          <w:rFonts w:cstheme="minorHAnsi"/>
        </w:rPr>
        <w:t xml:space="preserve"> </w:t>
      </w:r>
      <w:r w:rsidRPr="00A139E1">
        <w:rPr>
          <w:rFonts w:cstheme="minorHAnsi"/>
        </w:rPr>
        <w:t>Noting that there are concerns with existing statistical evidence relating to age equality in organisations, the author proposes reforms</w:t>
      </w:r>
      <w:r w:rsidR="00797DB3">
        <w:rPr>
          <w:rFonts w:cstheme="minorHAnsi"/>
        </w:rPr>
        <w:t>,</w:t>
      </w:r>
      <w:r w:rsidRPr="00A139E1">
        <w:rPr>
          <w:rFonts w:cstheme="minorHAnsi"/>
        </w:rPr>
        <w:t xml:space="preserve"> but with the caveat that future research is needed to consider whether such reforms would risk a move to </w:t>
      </w:r>
      <w:proofErr w:type="spellStart"/>
      <w:r w:rsidRPr="00A139E1">
        <w:rPr>
          <w:rFonts w:cstheme="minorHAnsi"/>
        </w:rPr>
        <w:t>proceduralism</w:t>
      </w:r>
      <w:proofErr w:type="spellEnd"/>
      <w:r w:rsidRPr="00A139E1">
        <w:rPr>
          <w:rFonts w:cstheme="minorHAnsi"/>
        </w:rPr>
        <w:t xml:space="preserve"> and a compliance approach. </w:t>
      </w:r>
    </w:p>
    <w:p w:rsidR="002B6892" w:rsidRPr="00A139E1" w:rsidRDefault="002B6892" w:rsidP="00797DB3">
      <w:pPr>
        <w:spacing w:before="120" w:after="120" w:line="240" w:lineRule="auto"/>
        <w:ind w:firstLine="720"/>
        <w:jc w:val="both"/>
        <w:rPr>
          <w:rFonts w:cstheme="minorHAnsi"/>
        </w:rPr>
      </w:pPr>
      <w:r w:rsidRPr="00A139E1">
        <w:rPr>
          <w:rFonts w:cstheme="minorHAnsi"/>
        </w:rPr>
        <w:t xml:space="preserve">Gardiner </w:t>
      </w:r>
      <w:r w:rsidR="00097BBF">
        <w:rPr>
          <w:rFonts w:cstheme="minorHAnsi"/>
        </w:rPr>
        <w:t xml:space="preserve">and </w:t>
      </w:r>
      <w:r w:rsidR="00097BBF" w:rsidRPr="00A139E1">
        <w:rPr>
          <w:rFonts w:cstheme="minorHAnsi"/>
        </w:rPr>
        <w:t xml:space="preserve">Riches </w:t>
      </w:r>
      <w:r w:rsidRPr="00A139E1">
        <w:rPr>
          <w:rFonts w:cstheme="minorHAnsi"/>
        </w:rPr>
        <w:t>examine discrimination in English male professional football.</w:t>
      </w:r>
      <w:r w:rsidR="00A139E1" w:rsidRPr="00A139E1">
        <w:rPr>
          <w:rFonts w:cstheme="minorHAnsi"/>
        </w:rPr>
        <w:t xml:space="preserve"> </w:t>
      </w:r>
      <w:r w:rsidRPr="00A139E1">
        <w:rPr>
          <w:rFonts w:cstheme="minorHAnsi"/>
        </w:rPr>
        <w:t>They consider first the relative under-representation of coaches and managers from BME backgrounds and ask whether the introduction of a rule currently operating in American football that requires BME candidates to be interviewed should be introduced.</w:t>
      </w:r>
      <w:r w:rsidR="00A139E1" w:rsidRPr="00A139E1">
        <w:rPr>
          <w:rFonts w:cstheme="minorHAnsi"/>
        </w:rPr>
        <w:t xml:space="preserve"> </w:t>
      </w:r>
      <w:r w:rsidRPr="00A139E1">
        <w:rPr>
          <w:rFonts w:cstheme="minorHAnsi"/>
        </w:rPr>
        <w:t>They then examine attitudes to sexual orientation that prevent professional players from being open about their sexuality.</w:t>
      </w:r>
      <w:r w:rsidR="00A139E1" w:rsidRPr="00A139E1">
        <w:rPr>
          <w:rFonts w:cstheme="minorHAnsi"/>
        </w:rPr>
        <w:t xml:space="preserve"> </w:t>
      </w:r>
      <w:r w:rsidRPr="00A139E1">
        <w:rPr>
          <w:rFonts w:cstheme="minorHAnsi"/>
        </w:rPr>
        <w:t>They focus on the positive action provisions in the Equality Act, and conclude that, despite some improvements, the slow progress suggests that there may be an argument for moving away from the traditional equal opportunities agenda to a more ambitious programme of affirmative action in order to achieve social justice.</w:t>
      </w:r>
    </w:p>
    <w:p w:rsidR="002E02AC" w:rsidRDefault="002B6892" w:rsidP="002E02AC">
      <w:pPr>
        <w:spacing w:before="120" w:after="120" w:line="240" w:lineRule="auto"/>
        <w:ind w:firstLine="720"/>
        <w:jc w:val="both"/>
        <w:rPr>
          <w:rFonts w:cstheme="minorHAnsi"/>
        </w:rPr>
      </w:pPr>
      <w:r w:rsidRPr="00A139E1">
        <w:rPr>
          <w:rFonts w:cstheme="minorHAnsi"/>
        </w:rPr>
        <w:t xml:space="preserve">In their paper, Roberts and </w:t>
      </w:r>
      <w:proofErr w:type="spellStart"/>
      <w:r w:rsidRPr="00A139E1">
        <w:rPr>
          <w:rFonts w:cstheme="minorHAnsi"/>
        </w:rPr>
        <w:t>Hou</w:t>
      </w:r>
      <w:proofErr w:type="spellEnd"/>
      <w:r w:rsidRPr="00A139E1">
        <w:rPr>
          <w:rFonts w:cstheme="minorHAnsi"/>
        </w:rPr>
        <w:t xml:space="preserve"> examine how the Equality Act 2010 promotes inclusive higher education, focusing on students with disabilities.</w:t>
      </w:r>
      <w:r w:rsidR="00A139E1" w:rsidRPr="00A139E1">
        <w:rPr>
          <w:rFonts w:cstheme="minorHAnsi"/>
        </w:rPr>
        <w:t xml:space="preserve"> </w:t>
      </w:r>
      <w:r w:rsidRPr="00A139E1">
        <w:rPr>
          <w:rFonts w:cstheme="minorHAnsi"/>
        </w:rPr>
        <w:t xml:space="preserve">Against the background of the rise of the ‘consumer-student’, together with the threat to the Disability Students’ Allowance, the authors assess the challenges faced by universities in complying with the duty to make reasonable </w:t>
      </w:r>
      <w:r w:rsidRPr="00A139E1">
        <w:rPr>
          <w:rFonts w:cstheme="minorHAnsi"/>
        </w:rPr>
        <w:lastRenderedPageBreak/>
        <w:t>adjustments.</w:t>
      </w:r>
      <w:r w:rsidR="00A139E1" w:rsidRPr="00A139E1">
        <w:rPr>
          <w:rFonts w:cstheme="minorHAnsi"/>
        </w:rPr>
        <w:t xml:space="preserve"> </w:t>
      </w:r>
      <w:r w:rsidRPr="00A139E1">
        <w:rPr>
          <w:rFonts w:cstheme="minorHAnsi"/>
        </w:rPr>
        <w:t>They note that, whilst students often raise allegations of failure to comply with the duty in their complaints to the Office of the Independent Adjudicator for Higher Education, there is lack of clarity as to its jurisdiction in matters of equality.</w:t>
      </w:r>
      <w:r w:rsidR="00A139E1" w:rsidRPr="00A139E1">
        <w:rPr>
          <w:rFonts w:cstheme="minorHAnsi"/>
        </w:rPr>
        <w:t xml:space="preserve"> </w:t>
      </w:r>
      <w:r w:rsidRPr="00A139E1">
        <w:rPr>
          <w:rFonts w:cstheme="minorHAnsi"/>
        </w:rPr>
        <w:t xml:space="preserve">They also point to the potential for consumer legislation to play a part in encouraging universities to meet their obligations under the equality framework. </w:t>
      </w:r>
    </w:p>
    <w:p w:rsidR="002B6892" w:rsidRPr="002E02AC" w:rsidRDefault="002B6892" w:rsidP="002E02AC">
      <w:pPr>
        <w:spacing w:before="120" w:after="120" w:line="240" w:lineRule="auto"/>
        <w:ind w:firstLine="720"/>
        <w:jc w:val="both"/>
        <w:rPr>
          <w:rFonts w:cstheme="minorHAnsi"/>
        </w:rPr>
      </w:pPr>
      <w:r w:rsidRPr="00A139E1">
        <w:rPr>
          <w:rFonts w:cstheme="minorHAnsi"/>
        </w:rPr>
        <w:t>Griffiths explores the notion of the ‘reasonable accommodation’ of manifestations of religion and belief in the workplace. Arguing that this might be a more straightforward approach than the current complexities of indirect discrimination, the author postulates that allowing</w:t>
      </w:r>
      <w:r w:rsidRPr="00A139E1">
        <w:rPr>
          <w:rFonts w:eastAsia="Times New Roman" w:cstheme="minorHAnsi"/>
          <w:lang w:eastAsia="en-GB"/>
        </w:rPr>
        <w:t xml:space="preserve"> employees to manifest their religious belief, provided no harm is done to others, could bring benefits for employers and employees, and could also further the aim of social inclusion. </w:t>
      </w:r>
    </w:p>
    <w:p w:rsidR="002B6892" w:rsidRDefault="002B6892" w:rsidP="006232FD">
      <w:pPr>
        <w:spacing w:before="120" w:after="120" w:line="240" w:lineRule="auto"/>
        <w:ind w:firstLine="720"/>
        <w:jc w:val="both"/>
        <w:rPr>
          <w:rFonts w:cstheme="minorHAnsi"/>
        </w:rPr>
      </w:pPr>
      <w:r w:rsidRPr="00A139E1">
        <w:rPr>
          <w:rFonts w:cstheme="minorHAnsi"/>
        </w:rPr>
        <w:t xml:space="preserve">Finally, </w:t>
      </w:r>
      <w:proofErr w:type="spellStart"/>
      <w:r w:rsidRPr="00A139E1">
        <w:rPr>
          <w:rFonts w:cstheme="minorHAnsi"/>
        </w:rPr>
        <w:t>Waughray</w:t>
      </w:r>
      <w:proofErr w:type="spellEnd"/>
      <w:r w:rsidRPr="00A139E1">
        <w:rPr>
          <w:rFonts w:cstheme="minorHAnsi"/>
        </w:rPr>
        <w:t xml:space="preserve"> and </w:t>
      </w:r>
      <w:proofErr w:type="spellStart"/>
      <w:r w:rsidRPr="00A139E1">
        <w:rPr>
          <w:rFonts w:cstheme="minorHAnsi"/>
        </w:rPr>
        <w:t>Dhanda</w:t>
      </w:r>
      <w:proofErr w:type="spellEnd"/>
      <w:r w:rsidRPr="00A139E1">
        <w:rPr>
          <w:rFonts w:cstheme="minorHAnsi"/>
        </w:rPr>
        <w:t xml:space="preserve"> turn their attention to caste discrimination and whether the Equality Act 2010 should at long last be extended in order to specifically cover this form of discrimination, in compliance with the duty now contained in the Act (as a result of the Enterprise and Regulatory Reform Act 2013).</w:t>
      </w:r>
      <w:r w:rsidR="00A139E1" w:rsidRPr="00A139E1">
        <w:rPr>
          <w:rFonts w:cstheme="minorHAnsi"/>
        </w:rPr>
        <w:t xml:space="preserve"> </w:t>
      </w:r>
      <w:r w:rsidRPr="00A139E1">
        <w:rPr>
          <w:rFonts w:cstheme="minorHAnsi"/>
        </w:rPr>
        <w:t>The authors note that, in the meantime, lawyers have claimed that caste discrimination falls within the current protected ground of ‘race’</w:t>
      </w:r>
      <w:r w:rsidR="00A139E1" w:rsidRPr="00A139E1">
        <w:rPr>
          <w:rFonts w:cstheme="minorHAnsi"/>
        </w:rPr>
        <w:t xml:space="preserve"> </w:t>
      </w:r>
      <w:r w:rsidRPr="00A139E1">
        <w:rPr>
          <w:rFonts w:cstheme="minorHAnsi"/>
        </w:rPr>
        <w:t>and</w:t>
      </w:r>
      <w:r w:rsidR="00247170">
        <w:rPr>
          <w:rFonts w:cstheme="minorHAnsi"/>
        </w:rPr>
        <w:t>,</w:t>
      </w:r>
      <w:r w:rsidRPr="00A139E1">
        <w:rPr>
          <w:rFonts w:cstheme="minorHAnsi"/>
        </w:rPr>
        <w:t xml:space="preserve"> as a result of a recent decision of the Employment Tribunal, successful claims of caste discrimination via this case law route are possible.</w:t>
      </w:r>
      <w:r w:rsidR="00A139E1" w:rsidRPr="00A139E1">
        <w:rPr>
          <w:rFonts w:cstheme="minorHAnsi"/>
        </w:rPr>
        <w:t xml:space="preserve"> </w:t>
      </w:r>
      <w:r w:rsidRPr="00A139E1">
        <w:rPr>
          <w:rFonts w:cstheme="minorHAnsi"/>
        </w:rPr>
        <w:t>The authors argue that Parliament’s decision that caste discrimination should be prohibited by statute has played a historic role in facilitating this outcome, and that, for the sake of legal certainty, the Act should still be amended</w:t>
      </w:r>
      <w:r w:rsidR="00247170">
        <w:rPr>
          <w:rFonts w:cstheme="minorHAnsi"/>
        </w:rPr>
        <w:t>,</w:t>
      </w:r>
      <w:r w:rsidRPr="00A139E1">
        <w:rPr>
          <w:rFonts w:cstheme="minorHAnsi"/>
        </w:rPr>
        <w:t xml:space="preserve"> so as to make it clear that caste falls within the definition of race.</w:t>
      </w:r>
    </w:p>
    <w:p w:rsidR="002B6892" w:rsidRPr="00A139E1" w:rsidRDefault="002B6892" w:rsidP="008B1F73">
      <w:pPr>
        <w:spacing w:before="120" w:after="120" w:line="240" w:lineRule="auto"/>
        <w:jc w:val="both"/>
        <w:rPr>
          <w:rFonts w:cstheme="minorHAnsi"/>
        </w:rPr>
      </w:pPr>
    </w:p>
    <w:p w:rsidR="00070A44" w:rsidRPr="00A139E1" w:rsidRDefault="00070A44" w:rsidP="008B1F73">
      <w:pPr>
        <w:spacing w:before="120" w:after="120" w:line="240" w:lineRule="auto"/>
        <w:jc w:val="both"/>
        <w:rPr>
          <w:rFonts w:cstheme="minorHAnsi"/>
        </w:rPr>
      </w:pPr>
    </w:p>
    <w:p w:rsidR="00966392" w:rsidRPr="00A139E1" w:rsidRDefault="00A028C4" w:rsidP="008B1F73">
      <w:pPr>
        <w:spacing w:before="120" w:after="120" w:line="240" w:lineRule="auto"/>
        <w:jc w:val="both"/>
        <w:rPr>
          <w:rFonts w:cstheme="minorHAnsi"/>
          <w:b/>
        </w:rPr>
      </w:pPr>
      <w:r>
        <w:rPr>
          <w:rFonts w:cstheme="minorHAnsi"/>
          <w:b/>
        </w:rPr>
        <w:t>Final r</w:t>
      </w:r>
      <w:r w:rsidR="002A0B02">
        <w:rPr>
          <w:rFonts w:cstheme="minorHAnsi"/>
          <w:b/>
        </w:rPr>
        <w:t>emarks</w:t>
      </w:r>
    </w:p>
    <w:p w:rsidR="00966392" w:rsidRDefault="00966392" w:rsidP="008B1F73">
      <w:pPr>
        <w:spacing w:before="120" w:after="120" w:line="240" w:lineRule="auto"/>
        <w:jc w:val="both"/>
        <w:rPr>
          <w:rFonts w:cstheme="minorHAnsi"/>
        </w:rPr>
      </w:pPr>
    </w:p>
    <w:p w:rsidR="00247170" w:rsidRPr="00A139E1" w:rsidRDefault="00247170" w:rsidP="00247170">
      <w:pPr>
        <w:spacing w:before="120" w:after="120" w:line="240" w:lineRule="auto"/>
        <w:jc w:val="both"/>
        <w:rPr>
          <w:rFonts w:cstheme="minorHAnsi"/>
        </w:rPr>
      </w:pPr>
      <w:r>
        <w:rPr>
          <w:rFonts w:cstheme="minorHAnsi"/>
        </w:rPr>
        <w:t>The selection of papers included in this double special issue is clearly the t</w:t>
      </w:r>
      <w:r w:rsidR="003E04E9">
        <w:rPr>
          <w:rFonts w:cstheme="minorHAnsi"/>
        </w:rPr>
        <w:t>i</w:t>
      </w:r>
      <w:r>
        <w:rPr>
          <w:rFonts w:cstheme="minorHAnsi"/>
        </w:rPr>
        <w:t xml:space="preserve">p of the iceberg of the wealth of work being carried out by academics, legal practitioners, the third sector, and public authorities on the effective implementation of the Equality Act 2010. Many questions </w:t>
      </w:r>
      <w:r w:rsidR="00533F2D">
        <w:rPr>
          <w:rFonts w:cstheme="minorHAnsi"/>
        </w:rPr>
        <w:t xml:space="preserve">remain unanswered </w:t>
      </w:r>
      <w:r>
        <w:rPr>
          <w:rFonts w:cstheme="minorHAnsi"/>
        </w:rPr>
        <w:t>and many areas of enquiry remain un</w:t>
      </w:r>
      <w:r w:rsidR="00533F2D">
        <w:rPr>
          <w:rFonts w:cstheme="minorHAnsi"/>
        </w:rPr>
        <w:t>explored</w:t>
      </w:r>
      <w:r w:rsidR="001A6063">
        <w:rPr>
          <w:rFonts w:cstheme="minorHAnsi"/>
        </w:rPr>
        <w:t>; still, we believe that this double special issue constitutes an important contribution to current debates on equality and non-discrimination in the UK, and to such debates in other jurisdictions as well.</w:t>
      </w:r>
    </w:p>
    <w:p w:rsidR="00C26551" w:rsidRPr="00A139E1" w:rsidRDefault="001A6063" w:rsidP="001A6063">
      <w:pPr>
        <w:spacing w:before="120" w:after="120" w:line="240" w:lineRule="auto"/>
        <w:ind w:firstLine="720"/>
        <w:jc w:val="both"/>
        <w:rPr>
          <w:rFonts w:cstheme="minorHAnsi"/>
        </w:rPr>
      </w:pPr>
      <w:r>
        <w:rPr>
          <w:rFonts w:cstheme="minorHAnsi"/>
        </w:rPr>
        <w:t xml:space="preserve">It has been a great pleasure for us – as conference organisers and editors – to come across such enthusiastic authors, practitioners and activists, who in their daily activities act as implementers and guardians of the Equality Act 2010. Indeed, this conference and special issue have, incidentally but usefully, also served the purpose of </w:t>
      </w:r>
      <w:r w:rsidR="00C26551" w:rsidRPr="00A139E1">
        <w:rPr>
          <w:rFonts w:cstheme="minorHAnsi"/>
        </w:rPr>
        <w:t>contribut</w:t>
      </w:r>
      <w:r>
        <w:rPr>
          <w:rFonts w:cstheme="minorHAnsi"/>
        </w:rPr>
        <w:t>ing</w:t>
      </w:r>
      <w:r w:rsidR="00C26551" w:rsidRPr="00A139E1">
        <w:rPr>
          <w:rFonts w:cstheme="minorHAnsi"/>
        </w:rPr>
        <w:t xml:space="preserve"> to </w:t>
      </w:r>
      <w:r>
        <w:rPr>
          <w:rFonts w:cstheme="minorHAnsi"/>
        </w:rPr>
        <w:t xml:space="preserve">the strengthening of the British equality and non-discrimination community. This special issue is also dedicated to these individuals, as it is thanks to them that the Equality Act remains a live instrument and that scope for improvement is </w:t>
      </w:r>
      <w:r w:rsidR="00533F2D">
        <w:rPr>
          <w:rFonts w:cstheme="minorHAnsi"/>
        </w:rPr>
        <w:t xml:space="preserve">continuously </w:t>
      </w:r>
      <w:r>
        <w:rPr>
          <w:rFonts w:cstheme="minorHAnsi"/>
        </w:rPr>
        <w:t>identified.</w:t>
      </w:r>
    </w:p>
    <w:p w:rsidR="00C26551" w:rsidRPr="00A139E1" w:rsidRDefault="001A6063" w:rsidP="001A6063">
      <w:pPr>
        <w:spacing w:before="120" w:after="120" w:line="240" w:lineRule="auto"/>
        <w:ind w:firstLine="720"/>
        <w:jc w:val="both"/>
        <w:rPr>
          <w:rFonts w:cstheme="minorHAnsi"/>
        </w:rPr>
      </w:pPr>
      <w:r>
        <w:rPr>
          <w:rFonts w:cstheme="minorHAnsi"/>
        </w:rPr>
        <w:t xml:space="preserve">It is our hope that the papers in this special issue will stir further debate on the adequacy of the implementation of the Equality Act as it stands, on </w:t>
      </w:r>
      <w:r w:rsidR="00C26551" w:rsidRPr="00A139E1">
        <w:rPr>
          <w:rFonts w:cstheme="minorHAnsi"/>
        </w:rPr>
        <w:t>future avenues of research</w:t>
      </w:r>
      <w:r>
        <w:rPr>
          <w:rFonts w:cstheme="minorHAnsi"/>
        </w:rPr>
        <w:t>,</w:t>
      </w:r>
      <w:r w:rsidR="00C26551" w:rsidRPr="00A139E1">
        <w:rPr>
          <w:rFonts w:cstheme="minorHAnsi"/>
        </w:rPr>
        <w:t xml:space="preserve"> and </w:t>
      </w:r>
      <w:r>
        <w:rPr>
          <w:rFonts w:cstheme="minorHAnsi"/>
        </w:rPr>
        <w:t xml:space="preserve">on </w:t>
      </w:r>
      <w:r w:rsidR="00C26551" w:rsidRPr="00A139E1">
        <w:rPr>
          <w:rFonts w:cstheme="minorHAnsi"/>
        </w:rPr>
        <w:t xml:space="preserve">future </w:t>
      </w:r>
      <w:r>
        <w:rPr>
          <w:rFonts w:cstheme="minorHAnsi"/>
        </w:rPr>
        <w:t xml:space="preserve">statutory and </w:t>
      </w:r>
      <w:r w:rsidR="00C26551" w:rsidRPr="00A139E1">
        <w:rPr>
          <w:rFonts w:cstheme="minorHAnsi"/>
        </w:rPr>
        <w:t xml:space="preserve">policy </w:t>
      </w:r>
      <w:r>
        <w:rPr>
          <w:rFonts w:cstheme="minorHAnsi"/>
        </w:rPr>
        <w:t>reform.</w:t>
      </w:r>
      <w:r w:rsidR="001B5314">
        <w:rPr>
          <w:rFonts w:cstheme="minorHAnsi"/>
        </w:rPr>
        <w:t xml:space="preserve"> Much work undoubtedly remains to be done: if one conclusion may be derived from this special issue, that conclusion is that the UK Parliament, the Judiciary and the equality community more generally have to still face and tackle many challenges.</w:t>
      </w:r>
    </w:p>
    <w:p w:rsidR="00966392" w:rsidRPr="00A139E1" w:rsidRDefault="00D10D46" w:rsidP="00D10D46">
      <w:pPr>
        <w:spacing w:before="120" w:after="120" w:line="240" w:lineRule="auto"/>
        <w:ind w:firstLine="720"/>
        <w:jc w:val="both"/>
        <w:rPr>
          <w:rFonts w:cstheme="minorHAnsi"/>
        </w:rPr>
      </w:pPr>
      <w:r>
        <w:rPr>
          <w:rFonts w:cstheme="minorHAnsi"/>
        </w:rPr>
        <w:t xml:space="preserve">Finally, a word of thanks to the colleagues who kindly collaborated in the review of the papers included in this special issue: </w:t>
      </w:r>
      <w:r w:rsidR="00966392" w:rsidRPr="00A139E1">
        <w:rPr>
          <w:rFonts w:cstheme="minorHAnsi"/>
        </w:rPr>
        <w:t>Tessa Wright</w:t>
      </w:r>
      <w:r>
        <w:rPr>
          <w:rFonts w:cstheme="minorHAnsi"/>
        </w:rPr>
        <w:t xml:space="preserve">, </w:t>
      </w:r>
      <w:proofErr w:type="spellStart"/>
      <w:r w:rsidR="00966392" w:rsidRPr="00A139E1">
        <w:rPr>
          <w:rFonts w:cstheme="minorHAnsi"/>
        </w:rPr>
        <w:t>Tarunabh</w:t>
      </w:r>
      <w:proofErr w:type="spellEnd"/>
      <w:r w:rsidR="00966392" w:rsidRPr="00A139E1">
        <w:rPr>
          <w:rFonts w:cstheme="minorHAnsi"/>
        </w:rPr>
        <w:t xml:space="preserve"> </w:t>
      </w:r>
      <w:proofErr w:type="spellStart"/>
      <w:r>
        <w:rPr>
          <w:rFonts w:cstheme="minorHAnsi"/>
        </w:rPr>
        <w:t>Khaitan</w:t>
      </w:r>
      <w:proofErr w:type="spellEnd"/>
      <w:r>
        <w:rPr>
          <w:rFonts w:cstheme="minorHAnsi"/>
        </w:rPr>
        <w:t xml:space="preserve">, Michael Connolly, Mark Butler, Mark Bell, and Lucy Vickers. </w:t>
      </w:r>
      <w:r w:rsidR="00816A23">
        <w:rPr>
          <w:rFonts w:cstheme="minorHAnsi"/>
        </w:rPr>
        <w:t xml:space="preserve">To these colleagues and all authors who contributed to this special issue goes our wholehearted appreciation. </w:t>
      </w:r>
    </w:p>
    <w:p w:rsidR="00966392" w:rsidRPr="00A139E1" w:rsidRDefault="00966392" w:rsidP="008B1F73">
      <w:pPr>
        <w:spacing w:before="120" w:after="120" w:line="240" w:lineRule="auto"/>
        <w:ind w:left="5760"/>
        <w:jc w:val="both"/>
        <w:rPr>
          <w:rFonts w:cstheme="minorHAnsi"/>
        </w:rPr>
      </w:pPr>
    </w:p>
    <w:p w:rsidR="00BE54FE" w:rsidRPr="000763E9" w:rsidRDefault="00BE54FE" w:rsidP="008B1F73">
      <w:pPr>
        <w:spacing w:before="120" w:after="120" w:line="240" w:lineRule="auto"/>
        <w:ind w:left="5760"/>
        <w:jc w:val="both"/>
        <w:rPr>
          <w:rFonts w:cstheme="minorHAnsi"/>
          <w:i/>
          <w:lang w:val="pt-BR"/>
        </w:rPr>
      </w:pPr>
      <w:r w:rsidRPr="000763E9">
        <w:rPr>
          <w:rFonts w:cstheme="minorHAnsi"/>
          <w:i/>
          <w:lang w:val="pt-BR"/>
        </w:rPr>
        <w:lastRenderedPageBreak/>
        <w:t>Chantal Davies</w:t>
      </w:r>
    </w:p>
    <w:p w:rsidR="00BE54FE" w:rsidRPr="000763E9" w:rsidRDefault="00BE54FE" w:rsidP="008B1F73">
      <w:pPr>
        <w:spacing w:before="120" w:after="120" w:line="240" w:lineRule="auto"/>
        <w:ind w:left="5760"/>
        <w:jc w:val="both"/>
        <w:rPr>
          <w:rFonts w:cstheme="minorHAnsi"/>
          <w:i/>
          <w:lang w:val="pt-BR"/>
        </w:rPr>
      </w:pPr>
      <w:r w:rsidRPr="000763E9">
        <w:rPr>
          <w:rFonts w:cstheme="minorHAnsi"/>
          <w:i/>
          <w:lang w:val="pt-BR"/>
        </w:rPr>
        <w:t>Nuno Ferreira</w:t>
      </w:r>
    </w:p>
    <w:p w:rsidR="00BE54FE" w:rsidRPr="000763E9" w:rsidRDefault="00BE54FE" w:rsidP="008B1F73">
      <w:pPr>
        <w:spacing w:before="120" w:after="120" w:line="240" w:lineRule="auto"/>
        <w:ind w:left="5760"/>
        <w:jc w:val="both"/>
        <w:rPr>
          <w:rFonts w:cstheme="minorHAnsi"/>
          <w:i/>
          <w:lang w:val="pt-BR"/>
        </w:rPr>
      </w:pPr>
      <w:r w:rsidRPr="000763E9">
        <w:rPr>
          <w:rFonts w:cstheme="minorHAnsi"/>
          <w:i/>
          <w:lang w:val="pt-BR"/>
        </w:rPr>
        <w:t>Anne Morris</w:t>
      </w:r>
    </w:p>
    <w:p w:rsidR="00BE54FE" w:rsidRPr="00A139E1" w:rsidRDefault="00BE54FE" w:rsidP="008B1F73">
      <w:pPr>
        <w:spacing w:before="120" w:after="120" w:line="240" w:lineRule="auto"/>
        <w:ind w:left="5760"/>
        <w:jc w:val="both"/>
        <w:rPr>
          <w:rFonts w:cstheme="minorHAnsi"/>
          <w:i/>
        </w:rPr>
      </w:pPr>
      <w:r w:rsidRPr="00A139E1">
        <w:rPr>
          <w:rFonts w:cstheme="minorHAnsi"/>
          <w:i/>
        </w:rPr>
        <w:t>Debra Morris</w:t>
      </w:r>
    </w:p>
    <w:p w:rsidR="00BE54FE" w:rsidRPr="00A139E1" w:rsidRDefault="00BE54FE" w:rsidP="008B1F73">
      <w:pPr>
        <w:spacing w:before="120" w:after="120" w:line="240" w:lineRule="auto"/>
        <w:ind w:left="5760"/>
        <w:jc w:val="both"/>
        <w:rPr>
          <w:rFonts w:cstheme="minorHAnsi"/>
        </w:rPr>
      </w:pPr>
    </w:p>
    <w:p w:rsidR="00BE54FE" w:rsidRPr="00A139E1" w:rsidRDefault="00BE54FE" w:rsidP="008B1F73">
      <w:pPr>
        <w:spacing w:before="120" w:after="120" w:line="240" w:lineRule="auto"/>
        <w:ind w:left="5760"/>
        <w:jc w:val="both"/>
        <w:rPr>
          <w:rFonts w:cstheme="minorHAnsi"/>
        </w:rPr>
      </w:pPr>
      <w:r w:rsidRPr="00A139E1">
        <w:rPr>
          <w:rFonts w:cstheme="minorHAnsi"/>
        </w:rPr>
        <w:t>Chester and Liverpool, January 2016</w:t>
      </w:r>
    </w:p>
    <w:sectPr w:rsidR="00BE54FE" w:rsidRPr="00A139E1">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10BC" w:rsidRDefault="002610BC" w:rsidP="00D53F13">
      <w:pPr>
        <w:spacing w:after="0" w:line="240" w:lineRule="auto"/>
      </w:pPr>
      <w:r>
        <w:separator/>
      </w:r>
    </w:p>
  </w:endnote>
  <w:endnote w:type="continuationSeparator" w:id="0">
    <w:p w:rsidR="002610BC" w:rsidRDefault="002610BC" w:rsidP="00D53F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0932255"/>
      <w:docPartObj>
        <w:docPartGallery w:val="Page Numbers (Bottom of Page)"/>
        <w:docPartUnique/>
      </w:docPartObj>
    </w:sdtPr>
    <w:sdtEndPr>
      <w:rPr>
        <w:noProof/>
      </w:rPr>
    </w:sdtEndPr>
    <w:sdtContent>
      <w:p w:rsidR="00D53F13" w:rsidRDefault="00D53F13">
        <w:pPr>
          <w:pStyle w:val="Footer"/>
          <w:jc w:val="right"/>
        </w:pPr>
        <w:r>
          <w:fldChar w:fldCharType="begin"/>
        </w:r>
        <w:r>
          <w:instrText xml:space="preserve"> PAGE   \* MERGEFORMAT </w:instrText>
        </w:r>
        <w:r>
          <w:fldChar w:fldCharType="separate"/>
        </w:r>
        <w:r w:rsidR="00782870">
          <w:rPr>
            <w:noProof/>
          </w:rPr>
          <w:t>1</w:t>
        </w:r>
        <w:r>
          <w:rPr>
            <w:noProof/>
          </w:rPr>
          <w:fldChar w:fldCharType="end"/>
        </w:r>
      </w:p>
    </w:sdtContent>
  </w:sdt>
  <w:p w:rsidR="00D53F13" w:rsidRDefault="00D53F1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10BC" w:rsidRDefault="002610BC" w:rsidP="00D53F13">
      <w:pPr>
        <w:spacing w:after="0" w:line="240" w:lineRule="auto"/>
      </w:pPr>
      <w:r>
        <w:separator/>
      </w:r>
    </w:p>
  </w:footnote>
  <w:footnote w:type="continuationSeparator" w:id="0">
    <w:p w:rsidR="002610BC" w:rsidRDefault="002610BC" w:rsidP="00D53F1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A44"/>
    <w:rsid w:val="00067308"/>
    <w:rsid w:val="00070A44"/>
    <w:rsid w:val="000763E9"/>
    <w:rsid w:val="00090485"/>
    <w:rsid w:val="00097BBF"/>
    <w:rsid w:val="001A6063"/>
    <w:rsid w:val="001B5314"/>
    <w:rsid w:val="00201549"/>
    <w:rsid w:val="00247170"/>
    <w:rsid w:val="002610BC"/>
    <w:rsid w:val="00273AB9"/>
    <w:rsid w:val="002A0B02"/>
    <w:rsid w:val="002B6892"/>
    <w:rsid w:val="002E02AC"/>
    <w:rsid w:val="003040E0"/>
    <w:rsid w:val="00392804"/>
    <w:rsid w:val="003B7112"/>
    <w:rsid w:val="003E04E9"/>
    <w:rsid w:val="003F0B70"/>
    <w:rsid w:val="003F52B2"/>
    <w:rsid w:val="0049120F"/>
    <w:rsid w:val="004A4A4B"/>
    <w:rsid w:val="004C4AD1"/>
    <w:rsid w:val="00533F2D"/>
    <w:rsid w:val="00567B1B"/>
    <w:rsid w:val="005C6D35"/>
    <w:rsid w:val="005D01C3"/>
    <w:rsid w:val="006232FD"/>
    <w:rsid w:val="006564C2"/>
    <w:rsid w:val="00712CDD"/>
    <w:rsid w:val="00782870"/>
    <w:rsid w:val="00797DB3"/>
    <w:rsid w:val="00816A23"/>
    <w:rsid w:val="008A2A5B"/>
    <w:rsid w:val="008B1F73"/>
    <w:rsid w:val="0090259C"/>
    <w:rsid w:val="00906E0A"/>
    <w:rsid w:val="00966392"/>
    <w:rsid w:val="009B5321"/>
    <w:rsid w:val="009E0984"/>
    <w:rsid w:val="009E71ED"/>
    <w:rsid w:val="00A028C4"/>
    <w:rsid w:val="00A12221"/>
    <w:rsid w:val="00A139E1"/>
    <w:rsid w:val="00A77F2C"/>
    <w:rsid w:val="00B06111"/>
    <w:rsid w:val="00B60DC6"/>
    <w:rsid w:val="00B93633"/>
    <w:rsid w:val="00B9727D"/>
    <w:rsid w:val="00BE54FE"/>
    <w:rsid w:val="00C26551"/>
    <w:rsid w:val="00C37610"/>
    <w:rsid w:val="00C52BC7"/>
    <w:rsid w:val="00C728AA"/>
    <w:rsid w:val="00D10D46"/>
    <w:rsid w:val="00D53F13"/>
    <w:rsid w:val="00D57D6D"/>
    <w:rsid w:val="00D65043"/>
    <w:rsid w:val="00D65A14"/>
    <w:rsid w:val="00DC188F"/>
    <w:rsid w:val="00E67AA4"/>
    <w:rsid w:val="00F15EAC"/>
    <w:rsid w:val="00F24EBB"/>
    <w:rsid w:val="00F52C19"/>
    <w:rsid w:val="00FD01E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C728AA"/>
    <w:rPr>
      <w:sz w:val="16"/>
      <w:szCs w:val="16"/>
    </w:rPr>
  </w:style>
  <w:style w:type="paragraph" w:styleId="CommentText">
    <w:name w:val="annotation text"/>
    <w:basedOn w:val="Normal"/>
    <w:link w:val="CommentTextChar"/>
    <w:uiPriority w:val="99"/>
    <w:semiHidden/>
    <w:unhideWhenUsed/>
    <w:rsid w:val="00C728AA"/>
    <w:pPr>
      <w:spacing w:line="240" w:lineRule="auto"/>
    </w:pPr>
    <w:rPr>
      <w:sz w:val="20"/>
      <w:szCs w:val="20"/>
    </w:rPr>
  </w:style>
  <w:style w:type="character" w:customStyle="1" w:styleId="CommentTextChar">
    <w:name w:val="Comment Text Char"/>
    <w:basedOn w:val="DefaultParagraphFont"/>
    <w:link w:val="CommentText"/>
    <w:uiPriority w:val="99"/>
    <w:semiHidden/>
    <w:rsid w:val="00C728AA"/>
    <w:rPr>
      <w:sz w:val="20"/>
      <w:szCs w:val="20"/>
    </w:rPr>
  </w:style>
  <w:style w:type="paragraph" w:styleId="CommentSubject">
    <w:name w:val="annotation subject"/>
    <w:basedOn w:val="CommentText"/>
    <w:next w:val="CommentText"/>
    <w:link w:val="CommentSubjectChar"/>
    <w:uiPriority w:val="99"/>
    <w:semiHidden/>
    <w:unhideWhenUsed/>
    <w:rsid w:val="00C728AA"/>
    <w:rPr>
      <w:b/>
      <w:bCs/>
    </w:rPr>
  </w:style>
  <w:style w:type="character" w:customStyle="1" w:styleId="CommentSubjectChar">
    <w:name w:val="Comment Subject Char"/>
    <w:basedOn w:val="CommentTextChar"/>
    <w:link w:val="CommentSubject"/>
    <w:uiPriority w:val="99"/>
    <w:semiHidden/>
    <w:rsid w:val="00C728AA"/>
    <w:rPr>
      <w:b/>
      <w:bCs/>
      <w:sz w:val="20"/>
      <w:szCs w:val="20"/>
    </w:rPr>
  </w:style>
  <w:style w:type="paragraph" w:styleId="BalloonText">
    <w:name w:val="Balloon Text"/>
    <w:basedOn w:val="Normal"/>
    <w:link w:val="BalloonTextChar"/>
    <w:uiPriority w:val="99"/>
    <w:semiHidden/>
    <w:unhideWhenUsed/>
    <w:rsid w:val="00C728A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28AA"/>
    <w:rPr>
      <w:rFonts w:ascii="Tahoma" w:hAnsi="Tahoma" w:cs="Tahoma"/>
      <w:sz w:val="16"/>
      <w:szCs w:val="16"/>
    </w:rPr>
  </w:style>
  <w:style w:type="table" w:styleId="TableGrid">
    <w:name w:val="Table Grid"/>
    <w:basedOn w:val="TableNormal"/>
    <w:uiPriority w:val="59"/>
    <w:rsid w:val="000673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53F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53F13"/>
  </w:style>
  <w:style w:type="paragraph" w:styleId="Footer">
    <w:name w:val="footer"/>
    <w:basedOn w:val="Normal"/>
    <w:link w:val="FooterChar"/>
    <w:uiPriority w:val="99"/>
    <w:unhideWhenUsed/>
    <w:rsid w:val="00D53F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53F13"/>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C728AA"/>
    <w:rPr>
      <w:sz w:val="16"/>
      <w:szCs w:val="16"/>
    </w:rPr>
  </w:style>
  <w:style w:type="paragraph" w:styleId="CommentText">
    <w:name w:val="annotation text"/>
    <w:basedOn w:val="Normal"/>
    <w:link w:val="CommentTextChar"/>
    <w:uiPriority w:val="99"/>
    <w:semiHidden/>
    <w:unhideWhenUsed/>
    <w:rsid w:val="00C728AA"/>
    <w:pPr>
      <w:spacing w:line="240" w:lineRule="auto"/>
    </w:pPr>
    <w:rPr>
      <w:sz w:val="20"/>
      <w:szCs w:val="20"/>
    </w:rPr>
  </w:style>
  <w:style w:type="character" w:customStyle="1" w:styleId="CommentTextChar">
    <w:name w:val="Comment Text Char"/>
    <w:basedOn w:val="DefaultParagraphFont"/>
    <w:link w:val="CommentText"/>
    <w:uiPriority w:val="99"/>
    <w:semiHidden/>
    <w:rsid w:val="00C728AA"/>
    <w:rPr>
      <w:sz w:val="20"/>
      <w:szCs w:val="20"/>
    </w:rPr>
  </w:style>
  <w:style w:type="paragraph" w:styleId="CommentSubject">
    <w:name w:val="annotation subject"/>
    <w:basedOn w:val="CommentText"/>
    <w:next w:val="CommentText"/>
    <w:link w:val="CommentSubjectChar"/>
    <w:uiPriority w:val="99"/>
    <w:semiHidden/>
    <w:unhideWhenUsed/>
    <w:rsid w:val="00C728AA"/>
    <w:rPr>
      <w:b/>
      <w:bCs/>
    </w:rPr>
  </w:style>
  <w:style w:type="character" w:customStyle="1" w:styleId="CommentSubjectChar">
    <w:name w:val="Comment Subject Char"/>
    <w:basedOn w:val="CommentTextChar"/>
    <w:link w:val="CommentSubject"/>
    <w:uiPriority w:val="99"/>
    <w:semiHidden/>
    <w:rsid w:val="00C728AA"/>
    <w:rPr>
      <w:b/>
      <w:bCs/>
      <w:sz w:val="20"/>
      <w:szCs w:val="20"/>
    </w:rPr>
  </w:style>
  <w:style w:type="paragraph" w:styleId="BalloonText">
    <w:name w:val="Balloon Text"/>
    <w:basedOn w:val="Normal"/>
    <w:link w:val="BalloonTextChar"/>
    <w:uiPriority w:val="99"/>
    <w:semiHidden/>
    <w:unhideWhenUsed/>
    <w:rsid w:val="00C728A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28AA"/>
    <w:rPr>
      <w:rFonts w:ascii="Tahoma" w:hAnsi="Tahoma" w:cs="Tahoma"/>
      <w:sz w:val="16"/>
      <w:szCs w:val="16"/>
    </w:rPr>
  </w:style>
  <w:style w:type="table" w:styleId="TableGrid">
    <w:name w:val="Table Grid"/>
    <w:basedOn w:val="TableNormal"/>
    <w:uiPriority w:val="59"/>
    <w:rsid w:val="000673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53F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53F13"/>
  </w:style>
  <w:style w:type="paragraph" w:styleId="Footer">
    <w:name w:val="footer"/>
    <w:basedOn w:val="Normal"/>
    <w:link w:val="FooterChar"/>
    <w:uiPriority w:val="99"/>
    <w:unhideWhenUsed/>
    <w:rsid w:val="00D53F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53F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056384">
      <w:bodyDiv w:val="1"/>
      <w:marLeft w:val="0"/>
      <w:marRight w:val="0"/>
      <w:marTop w:val="0"/>
      <w:marBottom w:val="0"/>
      <w:divBdr>
        <w:top w:val="none" w:sz="0" w:space="0" w:color="auto"/>
        <w:left w:val="none" w:sz="0" w:space="0" w:color="auto"/>
        <w:bottom w:val="none" w:sz="0" w:space="0" w:color="auto"/>
        <w:right w:val="none" w:sz="0" w:space="0" w:color="auto"/>
      </w:divBdr>
    </w:div>
    <w:div w:id="2019966766">
      <w:bodyDiv w:val="1"/>
      <w:marLeft w:val="0"/>
      <w:marRight w:val="0"/>
      <w:marTop w:val="0"/>
      <w:marBottom w:val="0"/>
      <w:divBdr>
        <w:top w:val="none" w:sz="0" w:space="0" w:color="auto"/>
        <w:left w:val="none" w:sz="0" w:space="0" w:color="auto"/>
        <w:bottom w:val="none" w:sz="0" w:space="0" w:color="auto"/>
        <w:right w:val="none" w:sz="0" w:space="0" w:color="auto"/>
      </w:divBdr>
      <w:divsChild>
        <w:div w:id="1190333090">
          <w:marLeft w:val="0"/>
          <w:marRight w:val="0"/>
          <w:marTop w:val="0"/>
          <w:marBottom w:val="0"/>
          <w:divBdr>
            <w:top w:val="none" w:sz="0" w:space="0" w:color="auto"/>
            <w:left w:val="none" w:sz="0" w:space="0" w:color="auto"/>
            <w:bottom w:val="none" w:sz="0" w:space="0" w:color="auto"/>
            <w:right w:val="none" w:sz="0" w:space="0" w:color="auto"/>
          </w:divBdr>
        </w:div>
        <w:div w:id="1631400439">
          <w:marLeft w:val="0"/>
          <w:marRight w:val="0"/>
          <w:marTop w:val="0"/>
          <w:marBottom w:val="0"/>
          <w:divBdr>
            <w:top w:val="none" w:sz="0" w:space="0" w:color="auto"/>
            <w:left w:val="none" w:sz="0" w:space="0" w:color="auto"/>
            <w:bottom w:val="none" w:sz="0" w:space="0" w:color="auto"/>
            <w:right w:val="none" w:sz="0" w:space="0" w:color="auto"/>
          </w:divBdr>
          <w:divsChild>
            <w:div w:id="1720859291">
              <w:marLeft w:val="0"/>
              <w:marRight w:val="0"/>
              <w:marTop w:val="0"/>
              <w:marBottom w:val="0"/>
              <w:divBdr>
                <w:top w:val="none" w:sz="0" w:space="0" w:color="auto"/>
                <w:left w:val="none" w:sz="0" w:space="0" w:color="auto"/>
                <w:bottom w:val="none" w:sz="0" w:space="0" w:color="auto"/>
                <w:right w:val="none" w:sz="0" w:space="0" w:color="auto"/>
              </w:divBdr>
              <w:divsChild>
                <w:div w:id="1188060433">
                  <w:marLeft w:val="0"/>
                  <w:marRight w:val="0"/>
                  <w:marTop w:val="0"/>
                  <w:marBottom w:val="0"/>
                  <w:divBdr>
                    <w:top w:val="none" w:sz="0" w:space="0" w:color="auto"/>
                    <w:left w:val="none" w:sz="0" w:space="0" w:color="auto"/>
                    <w:bottom w:val="none" w:sz="0" w:space="0" w:color="auto"/>
                    <w:right w:val="none" w:sz="0" w:space="0" w:color="auto"/>
                  </w:divBdr>
                  <w:divsChild>
                    <w:div w:id="203183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B4B2C5-C80D-FA4A-B2F3-4EB4286C83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2170</Words>
  <Characters>12370</Characters>
  <Application>Microsoft Macintosh Word</Application>
  <DocSecurity>4</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nfgm09</dc:creator>
  <cp:lastModifiedBy>chantald</cp:lastModifiedBy>
  <cp:revision>2</cp:revision>
  <dcterms:created xsi:type="dcterms:W3CDTF">2016-01-20T09:41:00Z</dcterms:created>
  <dcterms:modified xsi:type="dcterms:W3CDTF">2016-01-20T09:41:00Z</dcterms:modified>
</cp:coreProperties>
</file>