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57F9" w:rsidRDefault="00F557F9" w:rsidP="009370EA">
      <w:pPr>
        <w:spacing w:after="0" w:line="360" w:lineRule="auto"/>
        <w:jc w:val="center"/>
        <w:rPr>
          <w:b/>
          <w:i/>
          <w:sz w:val="32"/>
        </w:rPr>
      </w:pPr>
    </w:p>
    <w:p w:rsidR="00F557F9" w:rsidRDefault="00F557F9" w:rsidP="009370EA">
      <w:pPr>
        <w:spacing w:after="0" w:line="360" w:lineRule="auto"/>
        <w:rPr>
          <w:b/>
          <w:i/>
          <w:sz w:val="32"/>
        </w:rPr>
      </w:pPr>
    </w:p>
    <w:p w:rsidR="00F557F9" w:rsidRDefault="00F557F9" w:rsidP="009370EA">
      <w:pPr>
        <w:spacing w:after="0" w:line="360" w:lineRule="auto"/>
        <w:jc w:val="center"/>
        <w:rPr>
          <w:b/>
          <w:i/>
          <w:sz w:val="32"/>
        </w:rPr>
      </w:pPr>
    </w:p>
    <w:p w:rsidR="00F557F9" w:rsidRPr="00F557F9" w:rsidRDefault="00B5491E" w:rsidP="009370EA">
      <w:pPr>
        <w:spacing w:after="0" w:line="360" w:lineRule="auto"/>
        <w:jc w:val="center"/>
        <w:rPr>
          <w:i/>
          <w:sz w:val="36"/>
        </w:rPr>
      </w:pPr>
      <w:r w:rsidRPr="00F557F9">
        <w:rPr>
          <w:i/>
          <w:sz w:val="36"/>
        </w:rPr>
        <w:t xml:space="preserve">The Church in the Eternal Purpose of the Triune God: </w:t>
      </w:r>
    </w:p>
    <w:p w:rsidR="00F557F9" w:rsidRPr="00F557F9" w:rsidRDefault="00B5491E" w:rsidP="009370EA">
      <w:pPr>
        <w:spacing w:after="0" w:line="360" w:lineRule="auto"/>
        <w:jc w:val="center"/>
        <w:rPr>
          <w:i/>
          <w:sz w:val="32"/>
        </w:rPr>
      </w:pPr>
      <w:r w:rsidRPr="00F557F9">
        <w:rPr>
          <w:i/>
          <w:sz w:val="32"/>
        </w:rPr>
        <w:t xml:space="preserve">Toward a Pentecostal Trinitarian Ecclesiology of Theosis </w:t>
      </w:r>
    </w:p>
    <w:p w:rsidR="00F557F9" w:rsidRPr="00F557F9" w:rsidRDefault="00B5491E" w:rsidP="009370EA">
      <w:pPr>
        <w:spacing w:after="0" w:line="360" w:lineRule="auto"/>
        <w:jc w:val="center"/>
        <w:rPr>
          <w:i/>
          <w:sz w:val="32"/>
        </w:rPr>
      </w:pPr>
      <w:r w:rsidRPr="00F557F9">
        <w:rPr>
          <w:i/>
          <w:sz w:val="32"/>
        </w:rPr>
        <w:t xml:space="preserve">drawing on the early theology of </w:t>
      </w:r>
    </w:p>
    <w:p w:rsidR="00F557F9" w:rsidRPr="00F557F9" w:rsidRDefault="00B5491E" w:rsidP="009370EA">
      <w:pPr>
        <w:spacing w:line="360" w:lineRule="auto"/>
        <w:jc w:val="center"/>
        <w:rPr>
          <w:i/>
          <w:sz w:val="32"/>
        </w:rPr>
      </w:pPr>
      <w:r w:rsidRPr="00F557F9">
        <w:rPr>
          <w:i/>
          <w:sz w:val="32"/>
        </w:rPr>
        <w:t>the Apostolic Church in the United Kingdom</w:t>
      </w:r>
    </w:p>
    <w:p w:rsidR="00F557F9" w:rsidRPr="00F557F9" w:rsidRDefault="00F557F9" w:rsidP="009370EA">
      <w:pPr>
        <w:spacing w:line="360" w:lineRule="auto"/>
        <w:jc w:val="center"/>
        <w:rPr>
          <w:b/>
          <w:i/>
          <w:sz w:val="32"/>
        </w:rPr>
      </w:pPr>
    </w:p>
    <w:p w:rsidR="00F557F9" w:rsidRPr="00F557F9" w:rsidRDefault="00F557F9" w:rsidP="009370EA">
      <w:pPr>
        <w:spacing w:line="360" w:lineRule="auto"/>
        <w:jc w:val="center"/>
        <w:rPr>
          <w:b/>
          <w:i/>
          <w:sz w:val="32"/>
        </w:rPr>
      </w:pPr>
    </w:p>
    <w:p w:rsidR="00F557F9" w:rsidRPr="00F557F9" w:rsidRDefault="00F557F9" w:rsidP="009370EA">
      <w:pPr>
        <w:spacing w:line="360" w:lineRule="auto"/>
        <w:jc w:val="center"/>
        <w:rPr>
          <w:b/>
          <w:i/>
          <w:sz w:val="32"/>
        </w:rPr>
      </w:pPr>
    </w:p>
    <w:p w:rsidR="00F557F9" w:rsidRDefault="00F557F9" w:rsidP="009370EA">
      <w:pPr>
        <w:spacing w:line="360" w:lineRule="auto"/>
        <w:jc w:val="center"/>
        <w:rPr>
          <w:b/>
          <w:i/>
          <w:sz w:val="32"/>
        </w:rPr>
      </w:pPr>
    </w:p>
    <w:p w:rsidR="0029485E" w:rsidRDefault="0029485E" w:rsidP="009370EA">
      <w:pPr>
        <w:spacing w:line="360" w:lineRule="auto"/>
        <w:jc w:val="center"/>
        <w:rPr>
          <w:b/>
          <w:i/>
          <w:sz w:val="32"/>
        </w:rPr>
      </w:pPr>
    </w:p>
    <w:p w:rsidR="0029485E" w:rsidRDefault="0029485E" w:rsidP="009370EA">
      <w:pPr>
        <w:spacing w:line="360" w:lineRule="auto"/>
        <w:jc w:val="center"/>
        <w:rPr>
          <w:b/>
          <w:i/>
          <w:sz w:val="32"/>
        </w:rPr>
      </w:pPr>
    </w:p>
    <w:p w:rsidR="0029485E" w:rsidRDefault="0029485E" w:rsidP="009370EA">
      <w:pPr>
        <w:spacing w:line="360" w:lineRule="auto"/>
        <w:jc w:val="center"/>
        <w:rPr>
          <w:b/>
          <w:i/>
          <w:sz w:val="32"/>
        </w:rPr>
      </w:pPr>
    </w:p>
    <w:p w:rsidR="0029485E" w:rsidRPr="00F557F9" w:rsidRDefault="0029485E" w:rsidP="009370EA">
      <w:pPr>
        <w:spacing w:line="360" w:lineRule="auto"/>
        <w:jc w:val="center"/>
        <w:rPr>
          <w:b/>
          <w:i/>
          <w:sz w:val="32"/>
        </w:rPr>
      </w:pPr>
    </w:p>
    <w:p w:rsidR="00F557F9" w:rsidRPr="00F557F9" w:rsidRDefault="00F557F9" w:rsidP="009370EA">
      <w:pPr>
        <w:spacing w:after="0" w:line="360" w:lineRule="auto"/>
        <w:jc w:val="center"/>
        <w:rPr>
          <w:sz w:val="28"/>
          <w:szCs w:val="24"/>
        </w:rPr>
      </w:pPr>
      <w:r w:rsidRPr="00F557F9">
        <w:rPr>
          <w:sz w:val="28"/>
          <w:szCs w:val="24"/>
        </w:rPr>
        <w:t xml:space="preserve">Thesis submitted in accordance with the requirements of the </w:t>
      </w:r>
    </w:p>
    <w:p w:rsidR="00F557F9" w:rsidRPr="00F557F9" w:rsidRDefault="00F557F9" w:rsidP="009370EA">
      <w:pPr>
        <w:spacing w:after="0" w:line="360" w:lineRule="auto"/>
        <w:jc w:val="center"/>
        <w:rPr>
          <w:sz w:val="28"/>
          <w:szCs w:val="24"/>
        </w:rPr>
      </w:pPr>
      <w:r w:rsidRPr="00F557F9">
        <w:rPr>
          <w:sz w:val="28"/>
          <w:szCs w:val="24"/>
        </w:rPr>
        <w:t xml:space="preserve">University of Chester </w:t>
      </w:r>
    </w:p>
    <w:p w:rsidR="00F557F9" w:rsidRPr="00F557F9" w:rsidRDefault="00F557F9" w:rsidP="009370EA">
      <w:pPr>
        <w:spacing w:after="0" w:line="360" w:lineRule="auto"/>
        <w:jc w:val="center"/>
        <w:rPr>
          <w:sz w:val="28"/>
          <w:szCs w:val="24"/>
        </w:rPr>
      </w:pPr>
      <w:r w:rsidRPr="00F557F9">
        <w:rPr>
          <w:sz w:val="28"/>
          <w:szCs w:val="24"/>
        </w:rPr>
        <w:t>for the degree of Doctor of Philosophy</w:t>
      </w:r>
    </w:p>
    <w:p w:rsidR="00F557F9" w:rsidRPr="00F557F9" w:rsidRDefault="00F557F9" w:rsidP="009370EA">
      <w:pPr>
        <w:spacing w:after="0" w:line="360" w:lineRule="auto"/>
        <w:jc w:val="center"/>
        <w:rPr>
          <w:sz w:val="28"/>
          <w:szCs w:val="24"/>
        </w:rPr>
      </w:pPr>
      <w:r w:rsidRPr="00F557F9">
        <w:rPr>
          <w:sz w:val="28"/>
          <w:szCs w:val="24"/>
        </w:rPr>
        <w:t xml:space="preserve">by Jonathan Alan Black </w:t>
      </w:r>
    </w:p>
    <w:p w:rsidR="006610BF" w:rsidRDefault="001F1886" w:rsidP="009370EA">
      <w:pPr>
        <w:spacing w:line="360" w:lineRule="auto"/>
        <w:jc w:val="center"/>
        <w:rPr>
          <w:sz w:val="28"/>
          <w:szCs w:val="24"/>
        </w:rPr>
      </w:pPr>
      <w:r>
        <w:rPr>
          <w:sz w:val="28"/>
          <w:szCs w:val="24"/>
        </w:rPr>
        <w:t>April</w:t>
      </w:r>
      <w:r w:rsidR="00254136">
        <w:rPr>
          <w:sz w:val="28"/>
          <w:szCs w:val="24"/>
        </w:rPr>
        <w:t>, 2016</w:t>
      </w:r>
      <w:r w:rsidR="00F557F9" w:rsidRPr="001B4EE1">
        <w:rPr>
          <w:sz w:val="28"/>
          <w:szCs w:val="24"/>
        </w:rPr>
        <w:t>.</w:t>
      </w:r>
      <w:r w:rsidR="00F557F9" w:rsidRPr="00F557F9">
        <w:rPr>
          <w:sz w:val="28"/>
          <w:szCs w:val="24"/>
        </w:rPr>
        <w:t xml:space="preserve"> </w:t>
      </w:r>
    </w:p>
    <w:p w:rsidR="00F40116" w:rsidRDefault="006610BF" w:rsidP="009370EA">
      <w:pPr>
        <w:spacing w:line="360" w:lineRule="auto"/>
        <w:rPr>
          <w:sz w:val="28"/>
          <w:szCs w:val="24"/>
        </w:rPr>
      </w:pPr>
      <w:r>
        <w:rPr>
          <w:sz w:val="28"/>
          <w:szCs w:val="24"/>
        </w:rPr>
        <w:br w:type="page"/>
      </w:r>
    </w:p>
    <w:p w:rsidR="00CA42FD" w:rsidRPr="00CA42FD" w:rsidRDefault="00CA42FD" w:rsidP="009370EA">
      <w:pPr>
        <w:spacing w:line="360" w:lineRule="auto"/>
        <w:rPr>
          <w:b/>
          <w:smallCaps/>
          <w:sz w:val="28"/>
        </w:rPr>
      </w:pPr>
      <w:r w:rsidRPr="00CA42FD">
        <w:rPr>
          <w:b/>
          <w:smallCaps/>
          <w:sz w:val="28"/>
        </w:rPr>
        <w:lastRenderedPageBreak/>
        <w:t>The Church in the Eternal Purpose of the Triune God: Toward a Pentecostal Trinitarian Ecclesiology of Theosis drawing on the early theology of the Apostolic Church in the United Kingdom.</w:t>
      </w:r>
    </w:p>
    <w:p w:rsidR="00CA42FD" w:rsidRDefault="00CA42FD" w:rsidP="009370EA">
      <w:pPr>
        <w:spacing w:line="360" w:lineRule="auto"/>
        <w:rPr>
          <w:b/>
          <w:smallCaps/>
          <w:sz w:val="28"/>
        </w:rPr>
      </w:pPr>
      <w:r w:rsidRPr="00CA42FD">
        <w:rPr>
          <w:b/>
          <w:smallCaps/>
          <w:sz w:val="28"/>
        </w:rPr>
        <w:t>Jonathan Black</w:t>
      </w:r>
    </w:p>
    <w:p w:rsidR="00CA42FD" w:rsidRPr="00CA42FD" w:rsidRDefault="00CA42FD" w:rsidP="009370EA">
      <w:pPr>
        <w:spacing w:line="360" w:lineRule="auto"/>
        <w:rPr>
          <w:b/>
          <w:smallCaps/>
          <w:sz w:val="28"/>
        </w:rPr>
      </w:pPr>
    </w:p>
    <w:p w:rsidR="00CA42FD" w:rsidRPr="00CA42FD" w:rsidRDefault="00CA42FD" w:rsidP="009370EA">
      <w:pPr>
        <w:spacing w:line="360" w:lineRule="auto"/>
        <w:rPr>
          <w:b/>
          <w:smallCaps/>
          <w:sz w:val="28"/>
        </w:rPr>
      </w:pPr>
      <w:r w:rsidRPr="00CA42FD">
        <w:rPr>
          <w:b/>
          <w:smallCaps/>
          <w:sz w:val="28"/>
        </w:rPr>
        <w:t>Abstract</w:t>
      </w:r>
    </w:p>
    <w:p w:rsidR="00CA42FD" w:rsidRDefault="00CA42FD" w:rsidP="009370EA">
      <w:pPr>
        <w:spacing w:line="360" w:lineRule="auto"/>
      </w:pPr>
    </w:p>
    <w:p w:rsidR="00CA42FD" w:rsidRDefault="00CA42FD" w:rsidP="00DC7A22">
      <w:pPr>
        <w:spacing w:line="360" w:lineRule="auto"/>
        <w:jc w:val="both"/>
      </w:pPr>
      <w:bookmarkStart w:id="0" w:name="_GoBack"/>
      <w:r>
        <w:t xml:space="preserve">This dissertation examines the ecclesiology of the early writers of the Apostolic Church in the United Kingdom, and seeks to build upon this largely neglected body of Pentecostal thought for the contrastive work of contemporary Pentecostal systematic theology. A particular emphasis is placed on the thought of D.P. Williams as the most significant Apostolic writer of the early years of the movement. Connections between Apostolic ecclesiology and the Pentecostal distinctive of the baptism in the Holy Spirit are examined, as well as the role of Trinitarian theology in early Apostolic ecclesiology. Attention is then given both to distinctive Apostolic themes, including the 5-fold ministry and the Eternal Purpose, as well as their approach to other ecclesiological doctrines including the </w:t>
      </w:r>
      <w:r w:rsidRPr="00FC7805">
        <w:rPr>
          <w:i/>
        </w:rPr>
        <w:t>Totus Christus</w:t>
      </w:r>
      <w:r>
        <w:t xml:space="preserve"> and the Lord’s Supper, before moving on to a constructive synthesis. </w:t>
      </w:r>
    </w:p>
    <w:bookmarkEnd w:id="0"/>
    <w:p w:rsidR="00CA42FD" w:rsidRPr="00EF30D6" w:rsidRDefault="00CA42FD" w:rsidP="00DC7A22">
      <w:pPr>
        <w:spacing w:line="360" w:lineRule="auto"/>
        <w:jc w:val="both"/>
      </w:pPr>
      <w:r>
        <w:t>This research demonstrates that the</w:t>
      </w:r>
      <w:r w:rsidR="00BD19E1">
        <w:t>se</w:t>
      </w:r>
      <w:r>
        <w:t xml:space="preserve"> early British Pentecostals were not naïve fundamentalists with the addition of a few Pentecostal distinctives, but rather engaged in significant theological reflexion, rooted in Trinitarian theology. Resonances are found between early 20</w:t>
      </w:r>
      <w:r w:rsidRPr="00804426">
        <w:rPr>
          <w:vertAlign w:val="superscript"/>
        </w:rPr>
        <w:t>th</w:t>
      </w:r>
      <w:r>
        <w:t xml:space="preserve"> Century British Apostolic thought and the Great Tradition of the classical period of the church, particularly in the area of theosis. The dissertation also shows that these early British Pentecostal</w:t>
      </w:r>
      <w:r w:rsidR="00405C08">
        <w:t>s</w:t>
      </w:r>
      <w:r>
        <w:t xml:space="preserve"> could hold together a doctrine of theosis with a forensic/Reformation approach to justification. Finally, suggestions are made toward a theological understanding of the Pentecostal experience of baptism in the Holy Spirit.</w:t>
      </w:r>
    </w:p>
    <w:p w:rsidR="008A6635" w:rsidRDefault="008A6635" w:rsidP="009370EA">
      <w:pPr>
        <w:spacing w:line="360" w:lineRule="auto"/>
        <w:rPr>
          <w:sz w:val="28"/>
          <w:szCs w:val="24"/>
        </w:rPr>
      </w:pPr>
      <w:r>
        <w:rPr>
          <w:sz w:val="28"/>
          <w:szCs w:val="24"/>
        </w:rPr>
        <w:br w:type="page"/>
      </w:r>
    </w:p>
    <w:p w:rsidR="001E0000" w:rsidRPr="001B4C51" w:rsidRDefault="001E0000" w:rsidP="009370EA">
      <w:pPr>
        <w:pStyle w:val="PhDChapterTitle"/>
        <w:spacing w:line="360" w:lineRule="auto"/>
      </w:pPr>
      <w:r>
        <w:lastRenderedPageBreak/>
        <w:t>Acknowledgements</w:t>
      </w:r>
    </w:p>
    <w:p w:rsidR="001E0000" w:rsidRPr="00955B2F" w:rsidRDefault="001E0000" w:rsidP="009370EA">
      <w:pPr>
        <w:spacing w:line="360" w:lineRule="auto"/>
        <w:jc w:val="center"/>
        <w:rPr>
          <w:b/>
          <w:i/>
          <w:sz w:val="28"/>
        </w:rPr>
      </w:pPr>
    </w:p>
    <w:p w:rsidR="008A6635" w:rsidRDefault="008A6635" w:rsidP="00153213">
      <w:pPr>
        <w:spacing w:line="360" w:lineRule="auto"/>
        <w:jc w:val="both"/>
      </w:pPr>
      <w:r>
        <w:t>First of all, I would like to thank my parents, Fred and Sandra Black. Not only did they introduce me to the Apostolic Church on the first Sunday of my life and raise me to know the importance of the Body of Christ, but when my interests turned to research, they also patiently helped me to trawl through old cellars and cupboards to find and photograph many of the primary sources on which this dissertation relies. Without such help and encouragement, not to mention their funding of the project, this research would never have been possible.</w:t>
      </w:r>
    </w:p>
    <w:p w:rsidR="008A6635" w:rsidRDefault="008A6635" w:rsidP="00153213">
      <w:pPr>
        <w:spacing w:line="360" w:lineRule="auto"/>
        <w:jc w:val="both"/>
      </w:pPr>
      <w:r>
        <w:t>Thanks also to P</w:t>
      </w:r>
      <w:r w:rsidR="004B1B86">
        <w:t>s</w:t>
      </w:r>
      <w:r>
        <w:t xml:space="preserve"> Warren Jones, former national leader of the Apostolic Church in the United Kingdom, who encouraged me to continue my theological research to the doctoral level.</w:t>
      </w:r>
    </w:p>
    <w:p w:rsidR="008A6635" w:rsidRDefault="008A6635" w:rsidP="00153213">
      <w:pPr>
        <w:spacing w:line="360" w:lineRule="auto"/>
        <w:jc w:val="both"/>
      </w:pPr>
      <w:r>
        <w:t>I am immensely grateful to all those members of the Apostolic Church (too numerous to list) who have given, lent, or granted access to primary source materials. Unfortunately the Bible College and Archives of the Apostolic Church in the UK closed before this project began, although I will always be grateful to Ps Bryn Thomas, the former dean of the college, for the open access he allowed me to the archives over the course of several trips to Penygroes. If it hadn’t been for such access to the archives before the college was closed, I would never have dreamt of the current project.</w:t>
      </w:r>
    </w:p>
    <w:p w:rsidR="008A6635" w:rsidRDefault="008A6635" w:rsidP="00153213">
      <w:pPr>
        <w:spacing w:line="360" w:lineRule="auto"/>
        <w:jc w:val="both"/>
      </w:pPr>
      <w:r>
        <w:t>The staff and students of the Department of Theology and Religious Studies at the University of Chester have also given me cause for thanksgiving due to their insightful questions and comments, as well as encouraging words, in research seminars over the past few years.</w:t>
      </w:r>
    </w:p>
    <w:p w:rsidR="008A6635" w:rsidRDefault="008A6635" w:rsidP="00153213">
      <w:pPr>
        <w:spacing w:line="360" w:lineRule="auto"/>
        <w:jc w:val="both"/>
      </w:pPr>
      <w:r>
        <w:t xml:space="preserve">Finally, </w:t>
      </w:r>
      <w:r w:rsidR="00153213">
        <w:t xml:space="preserve">special </w:t>
      </w:r>
      <w:r>
        <w:t>thanks to Dr Steve Knowles, my supervisor, for all his help, guidance and encouragement throughout the course of this project.</w:t>
      </w:r>
    </w:p>
    <w:p w:rsidR="008A6635" w:rsidRPr="008A6635" w:rsidRDefault="008A6635" w:rsidP="00153213">
      <w:pPr>
        <w:spacing w:line="360" w:lineRule="auto"/>
        <w:jc w:val="both"/>
        <w:rPr>
          <w:i/>
        </w:rPr>
      </w:pPr>
      <w:r w:rsidRPr="008A6635">
        <w:rPr>
          <w:i/>
        </w:rPr>
        <w:t>Soli Deo Gloria.</w:t>
      </w:r>
    </w:p>
    <w:p w:rsidR="00DA6BB1" w:rsidRDefault="008A6635" w:rsidP="009370EA">
      <w:pPr>
        <w:spacing w:line="360" w:lineRule="auto"/>
        <w:rPr>
          <w:sz w:val="28"/>
          <w:szCs w:val="24"/>
        </w:rPr>
      </w:pPr>
      <w:r>
        <w:rPr>
          <w:sz w:val="28"/>
          <w:szCs w:val="24"/>
        </w:rPr>
        <w:br w:type="page"/>
      </w:r>
      <w:r w:rsidR="00DA6BB1">
        <w:rPr>
          <w:sz w:val="28"/>
          <w:szCs w:val="24"/>
        </w:rPr>
        <w:lastRenderedPageBreak/>
        <w:br w:type="page"/>
      </w:r>
    </w:p>
    <w:p w:rsidR="00DA6BB1" w:rsidRPr="001B4C51" w:rsidRDefault="00DA6BB1" w:rsidP="009370EA">
      <w:pPr>
        <w:pStyle w:val="PhDChapterTitle"/>
        <w:spacing w:line="360" w:lineRule="auto"/>
      </w:pPr>
      <w:r>
        <w:lastRenderedPageBreak/>
        <w:t>Abbreviations</w:t>
      </w:r>
    </w:p>
    <w:p w:rsidR="00DA6BB1" w:rsidRPr="00955B2F" w:rsidRDefault="00DA6BB1" w:rsidP="009370EA">
      <w:pPr>
        <w:spacing w:line="360" w:lineRule="auto"/>
        <w:jc w:val="center"/>
        <w:rPr>
          <w:b/>
          <w:i/>
          <w:sz w:val="28"/>
        </w:rPr>
      </w:pPr>
    </w:p>
    <w:p w:rsidR="00216A67" w:rsidRDefault="00216A67" w:rsidP="009370EA">
      <w:pPr>
        <w:spacing w:line="360" w:lineRule="auto"/>
        <w:rPr>
          <w:i/>
        </w:rPr>
      </w:pPr>
    </w:p>
    <w:p w:rsidR="008A6635" w:rsidRPr="00DA6BB1" w:rsidRDefault="00DA6BB1" w:rsidP="009370EA">
      <w:pPr>
        <w:spacing w:line="360" w:lineRule="auto"/>
        <w:rPr>
          <w:i/>
        </w:rPr>
      </w:pPr>
      <w:r w:rsidRPr="00DA6BB1">
        <w:rPr>
          <w:i/>
        </w:rPr>
        <w:t>AH</w:t>
      </w:r>
      <w:r w:rsidRPr="00DA6BB1">
        <w:rPr>
          <w:i/>
        </w:rPr>
        <w:tab/>
      </w:r>
      <w:r w:rsidRPr="00DA6BB1">
        <w:rPr>
          <w:i/>
        </w:rPr>
        <w:tab/>
        <w:t>Apostolic Herald</w:t>
      </w:r>
    </w:p>
    <w:p w:rsidR="00DA6BB1" w:rsidRDefault="00DA6BB1" w:rsidP="009370EA">
      <w:pPr>
        <w:spacing w:line="360" w:lineRule="auto"/>
      </w:pPr>
      <w:r>
        <w:t>AoG</w:t>
      </w:r>
      <w:r>
        <w:tab/>
      </w:r>
      <w:r>
        <w:tab/>
        <w:t>Assemblies of God</w:t>
      </w:r>
    </w:p>
    <w:p w:rsidR="00DA6BB1" w:rsidRDefault="00DA6BB1" w:rsidP="009370EA">
      <w:pPr>
        <w:spacing w:line="360" w:lineRule="auto"/>
      </w:pPr>
      <w:r>
        <w:t>BHS</w:t>
      </w:r>
      <w:r>
        <w:tab/>
      </w:r>
      <w:r>
        <w:tab/>
        <w:t>(the) baptism of/in the Holy Spirit</w:t>
      </w:r>
    </w:p>
    <w:p w:rsidR="00DA6BB1" w:rsidRDefault="00DA6BB1" w:rsidP="009370EA">
      <w:pPr>
        <w:spacing w:line="360" w:lineRule="auto"/>
      </w:pPr>
      <w:r>
        <w:t>ET</w:t>
      </w:r>
      <w:r>
        <w:tab/>
      </w:r>
      <w:r>
        <w:tab/>
        <w:t>English translation</w:t>
      </w:r>
    </w:p>
    <w:p w:rsidR="00DA6BB1" w:rsidRPr="00DA6BB1" w:rsidRDefault="00DA6BB1" w:rsidP="009370EA">
      <w:pPr>
        <w:spacing w:line="360" w:lineRule="auto"/>
        <w:rPr>
          <w:i/>
        </w:rPr>
      </w:pPr>
      <w:r w:rsidRPr="00DA6BB1">
        <w:rPr>
          <w:i/>
        </w:rPr>
        <w:t>HoG</w:t>
      </w:r>
      <w:r w:rsidRPr="00DA6BB1">
        <w:rPr>
          <w:i/>
        </w:rPr>
        <w:tab/>
      </w:r>
      <w:r w:rsidRPr="00DA6BB1">
        <w:rPr>
          <w:i/>
        </w:rPr>
        <w:tab/>
        <w:t>Herald of Grace</w:t>
      </w:r>
    </w:p>
    <w:p w:rsidR="00DA6BB1" w:rsidRDefault="00DA6BB1" w:rsidP="009370EA">
      <w:pPr>
        <w:spacing w:line="360" w:lineRule="auto"/>
      </w:pPr>
      <w:r>
        <w:t>LW</w:t>
      </w:r>
      <w:r>
        <w:tab/>
      </w:r>
      <w:r>
        <w:tab/>
        <w:t>Luther’s Works, American Edition</w:t>
      </w:r>
    </w:p>
    <w:p w:rsidR="00DA6BB1" w:rsidRPr="00DA6BB1" w:rsidRDefault="00DA6BB1" w:rsidP="009370EA">
      <w:pPr>
        <w:spacing w:line="360" w:lineRule="auto"/>
        <w:rPr>
          <w:i/>
        </w:rPr>
      </w:pPr>
      <w:r w:rsidRPr="00DA6BB1">
        <w:rPr>
          <w:i/>
        </w:rPr>
        <w:t>MDd</w:t>
      </w:r>
      <w:r w:rsidRPr="00DA6BB1">
        <w:rPr>
          <w:i/>
        </w:rPr>
        <w:tab/>
      </w:r>
      <w:r w:rsidRPr="00DA6BB1">
        <w:rPr>
          <w:i/>
        </w:rPr>
        <w:tab/>
        <w:t>Molwch Dduw</w:t>
      </w:r>
    </w:p>
    <w:p w:rsidR="00DA6BB1" w:rsidRPr="00DA6BB1" w:rsidRDefault="00DA6BB1" w:rsidP="009370EA">
      <w:pPr>
        <w:spacing w:line="360" w:lineRule="auto"/>
        <w:rPr>
          <w:i/>
        </w:rPr>
      </w:pPr>
      <w:r w:rsidRPr="00DA6BB1">
        <w:rPr>
          <w:i/>
        </w:rPr>
        <w:t>NIDCPM</w:t>
      </w:r>
      <w:r w:rsidRPr="00DA6BB1">
        <w:rPr>
          <w:i/>
        </w:rPr>
        <w:tab/>
        <w:t>New International Dictionary of Pentecostal and Charismatic Movements</w:t>
      </w:r>
    </w:p>
    <w:p w:rsidR="00DA6BB1" w:rsidRPr="00DA6BB1" w:rsidRDefault="00DA6BB1" w:rsidP="009370EA">
      <w:pPr>
        <w:spacing w:line="360" w:lineRule="auto"/>
        <w:rPr>
          <w:i/>
          <w:sz w:val="28"/>
          <w:szCs w:val="24"/>
        </w:rPr>
      </w:pPr>
      <w:r w:rsidRPr="00DA6BB1">
        <w:rPr>
          <w:i/>
        </w:rPr>
        <w:t>RoG</w:t>
      </w:r>
      <w:r w:rsidRPr="00DA6BB1">
        <w:rPr>
          <w:i/>
        </w:rPr>
        <w:tab/>
      </w:r>
      <w:r w:rsidRPr="00DA6BB1">
        <w:rPr>
          <w:i/>
        </w:rPr>
        <w:tab/>
        <w:t>Riches of Grace</w:t>
      </w:r>
    </w:p>
    <w:p w:rsidR="00DA2834" w:rsidRDefault="00DA2834" w:rsidP="009370EA">
      <w:pPr>
        <w:spacing w:line="360" w:lineRule="auto"/>
        <w:rPr>
          <w:sz w:val="28"/>
          <w:szCs w:val="24"/>
        </w:rPr>
      </w:pPr>
      <w:r>
        <w:rPr>
          <w:sz w:val="28"/>
          <w:szCs w:val="24"/>
        </w:rPr>
        <w:br w:type="page"/>
      </w:r>
    </w:p>
    <w:p w:rsidR="00D37EAC" w:rsidRPr="00BA13FE" w:rsidRDefault="006610BF" w:rsidP="009370EA">
      <w:pPr>
        <w:spacing w:line="360" w:lineRule="auto"/>
        <w:jc w:val="center"/>
        <w:rPr>
          <w:b/>
          <w:sz w:val="28"/>
          <w:szCs w:val="24"/>
        </w:rPr>
      </w:pPr>
      <w:r w:rsidRPr="00BA13FE">
        <w:rPr>
          <w:b/>
          <w:sz w:val="28"/>
          <w:szCs w:val="24"/>
        </w:rPr>
        <w:lastRenderedPageBreak/>
        <w:t>Table of Contents</w:t>
      </w:r>
    </w:p>
    <w:sdt>
      <w:sdtPr>
        <w:rPr>
          <w:rFonts w:asciiTheme="minorHAnsi" w:eastAsiaTheme="minorHAnsi" w:hAnsiTheme="minorHAnsi" w:cstheme="minorBidi"/>
          <w:b w:val="0"/>
          <w:bCs w:val="0"/>
          <w:color w:val="auto"/>
          <w:sz w:val="22"/>
          <w:szCs w:val="22"/>
          <w:lang w:val="en-GB" w:eastAsia="en-US"/>
        </w:rPr>
        <w:id w:val="221803627"/>
        <w:docPartObj>
          <w:docPartGallery w:val="Table of Contents"/>
          <w:docPartUnique/>
        </w:docPartObj>
      </w:sdtPr>
      <w:sdtEndPr/>
      <w:sdtContent>
        <w:p w:rsidR="00990541" w:rsidRDefault="00990541" w:rsidP="009370EA">
          <w:pPr>
            <w:pStyle w:val="TOCHeading"/>
            <w:spacing w:line="360" w:lineRule="auto"/>
          </w:pPr>
        </w:p>
        <w:p w:rsidR="001163B5" w:rsidRDefault="001163B5" w:rsidP="009370EA">
          <w:pPr>
            <w:pStyle w:val="TOC1"/>
            <w:spacing w:line="360" w:lineRule="auto"/>
            <w:rPr>
              <w:b/>
              <w:bCs/>
            </w:rPr>
          </w:pPr>
          <w:r>
            <w:rPr>
              <w:b/>
              <w:bCs/>
            </w:rPr>
            <w:t xml:space="preserve">Abbreviations </w:t>
          </w:r>
          <w:r>
            <w:ptab w:relativeTo="margin" w:alignment="right" w:leader="dot"/>
          </w:r>
          <w:r w:rsidR="00923DAB">
            <w:rPr>
              <w:b/>
              <w:bCs/>
            </w:rPr>
            <w:t>5</w:t>
          </w:r>
        </w:p>
        <w:p w:rsidR="00990541" w:rsidRDefault="00990541" w:rsidP="009370EA">
          <w:pPr>
            <w:pStyle w:val="TOC1"/>
            <w:spacing w:line="360" w:lineRule="auto"/>
          </w:pPr>
          <w:r>
            <w:rPr>
              <w:b/>
              <w:bCs/>
            </w:rPr>
            <w:t>Chapter 1: Introduction</w:t>
          </w:r>
          <w:r>
            <w:ptab w:relativeTo="margin" w:alignment="right" w:leader="dot"/>
          </w:r>
          <w:r w:rsidR="00D64A7E">
            <w:rPr>
              <w:b/>
              <w:bCs/>
            </w:rPr>
            <w:t>11</w:t>
          </w:r>
        </w:p>
        <w:p w:rsidR="00990541" w:rsidRDefault="00990541" w:rsidP="009370EA">
          <w:pPr>
            <w:pStyle w:val="TOC2"/>
            <w:spacing w:line="360" w:lineRule="auto"/>
            <w:ind w:left="216"/>
          </w:pPr>
          <w:r>
            <w:t>1.1 Background: The Apostolic Church</w:t>
          </w:r>
          <w:r>
            <w:ptab w:relativeTo="margin" w:alignment="right" w:leader="dot"/>
          </w:r>
          <w:r w:rsidR="00D64A7E">
            <w:t>12</w:t>
          </w:r>
        </w:p>
        <w:p w:rsidR="00990541" w:rsidRDefault="00990541" w:rsidP="009370EA">
          <w:pPr>
            <w:pStyle w:val="TOC2"/>
            <w:spacing w:line="360" w:lineRule="auto"/>
            <w:ind w:left="216"/>
          </w:pPr>
          <w:r>
            <w:t>1.2 The Significance of D.P. Williams</w:t>
          </w:r>
          <w:r>
            <w:ptab w:relativeTo="margin" w:alignment="right" w:leader="dot"/>
          </w:r>
          <w:r w:rsidR="00D64A7E">
            <w:t>13</w:t>
          </w:r>
        </w:p>
        <w:p w:rsidR="00990541" w:rsidRDefault="00990541" w:rsidP="009370EA">
          <w:pPr>
            <w:pStyle w:val="TOC2"/>
            <w:spacing w:line="360" w:lineRule="auto"/>
            <w:ind w:left="216"/>
          </w:pPr>
          <w:r>
            <w:t>1.3 Why Draw on the British Apostolics?</w:t>
          </w:r>
          <w:r>
            <w:ptab w:relativeTo="margin" w:alignment="right" w:leader="dot"/>
          </w:r>
          <w:r w:rsidR="00D64A7E">
            <w:t>14</w:t>
          </w:r>
        </w:p>
        <w:p w:rsidR="00990541" w:rsidRDefault="00990541" w:rsidP="009370EA">
          <w:pPr>
            <w:pStyle w:val="TOC2"/>
            <w:spacing w:line="360" w:lineRule="auto"/>
            <w:ind w:left="216"/>
          </w:pPr>
          <w:r>
            <w:t>1.4 Purpose of Research</w:t>
          </w:r>
          <w:r>
            <w:ptab w:relativeTo="margin" w:alignment="right" w:leader="dot"/>
          </w:r>
          <w:r w:rsidR="00D64A7E">
            <w:t>16</w:t>
          </w:r>
        </w:p>
        <w:p w:rsidR="00990541" w:rsidRDefault="00990541" w:rsidP="009370EA">
          <w:pPr>
            <w:pStyle w:val="TOC2"/>
            <w:spacing w:line="360" w:lineRule="auto"/>
            <w:ind w:left="216"/>
          </w:pPr>
          <w:r>
            <w:t>1.5 Challenges to Research on the Early British Apostolics</w:t>
          </w:r>
          <w:r>
            <w:ptab w:relativeTo="margin" w:alignment="right" w:leader="dot"/>
          </w:r>
          <w:r w:rsidR="00D64A7E">
            <w:t>17</w:t>
          </w:r>
        </w:p>
        <w:p w:rsidR="00990541" w:rsidRDefault="00990541" w:rsidP="009370EA">
          <w:pPr>
            <w:pStyle w:val="TOC2"/>
            <w:spacing w:line="360" w:lineRule="auto"/>
            <w:ind w:left="216"/>
          </w:pPr>
          <w:r>
            <w:t>1.6 Research Limitations</w:t>
          </w:r>
          <w:r>
            <w:ptab w:relativeTo="margin" w:alignment="right" w:leader="dot"/>
          </w:r>
          <w:r w:rsidR="00D64A7E">
            <w:t>18</w:t>
          </w:r>
        </w:p>
        <w:p w:rsidR="00990541" w:rsidRDefault="00990541" w:rsidP="009370EA">
          <w:pPr>
            <w:pStyle w:val="TOC2"/>
            <w:spacing w:line="360" w:lineRule="auto"/>
            <w:ind w:left="216"/>
          </w:pPr>
          <w:r>
            <w:t>1.7 Methodology</w:t>
          </w:r>
          <w:r>
            <w:ptab w:relativeTo="margin" w:alignment="right" w:leader="dot"/>
          </w:r>
          <w:r w:rsidR="00D64A7E">
            <w:t>19</w:t>
          </w:r>
        </w:p>
        <w:p w:rsidR="00990541" w:rsidRPr="00990541" w:rsidRDefault="00990541" w:rsidP="009370EA">
          <w:pPr>
            <w:spacing w:line="360" w:lineRule="auto"/>
            <w:rPr>
              <w:lang w:val="en-US" w:eastAsia="ja-JP"/>
            </w:rPr>
          </w:pPr>
        </w:p>
        <w:p w:rsidR="00990541" w:rsidRDefault="00990541" w:rsidP="009370EA">
          <w:pPr>
            <w:pStyle w:val="TOC1"/>
            <w:spacing w:line="360" w:lineRule="auto"/>
          </w:pPr>
          <w:r>
            <w:rPr>
              <w:b/>
              <w:bCs/>
            </w:rPr>
            <w:t>Chapter 2: The Spirit and the Bride: Pneumatology for a Pentecostal Ecclesiology</w:t>
          </w:r>
          <w:r>
            <w:ptab w:relativeTo="margin" w:alignment="right" w:leader="dot"/>
          </w:r>
          <w:r w:rsidR="00D64A7E">
            <w:rPr>
              <w:b/>
              <w:bCs/>
            </w:rPr>
            <w:t>21</w:t>
          </w:r>
        </w:p>
        <w:p w:rsidR="00990541" w:rsidRDefault="00990541" w:rsidP="009370EA">
          <w:pPr>
            <w:pStyle w:val="TOC2"/>
            <w:spacing w:line="360" w:lineRule="auto"/>
            <w:ind w:left="216"/>
          </w:pPr>
          <w:r>
            <w:t>2.1 The Baptism of the Holy Spirit</w:t>
          </w:r>
          <w:r>
            <w:ptab w:relativeTo="margin" w:alignment="right" w:leader="dot"/>
          </w:r>
          <w:r w:rsidR="00AB3F05">
            <w:t>21</w:t>
          </w:r>
        </w:p>
        <w:p w:rsidR="00D16B71" w:rsidRDefault="00990541" w:rsidP="009370EA">
          <w:pPr>
            <w:pStyle w:val="TOC3"/>
            <w:spacing w:line="360" w:lineRule="auto"/>
            <w:ind w:left="446"/>
          </w:pPr>
          <w:r>
            <w:t>2.1.1 Classical Pentecostal Attempts at Defining BHS</w:t>
          </w:r>
          <w:r>
            <w:ptab w:relativeTo="margin" w:alignment="right" w:leader="dot"/>
          </w:r>
          <w:r w:rsidR="00AB3F05">
            <w:t>21</w:t>
          </w:r>
        </w:p>
        <w:p w:rsidR="00D16B71" w:rsidRDefault="00D16B71" w:rsidP="009370EA">
          <w:pPr>
            <w:pStyle w:val="TOC3"/>
            <w:spacing w:line="360" w:lineRule="auto"/>
            <w:ind w:left="446" w:firstLine="274"/>
          </w:pPr>
          <w:r>
            <w:t>2.1.1.1 Myer Pearlman: ‘Enduement with Power’</w:t>
          </w:r>
          <w:r>
            <w:ptab w:relativeTo="margin" w:alignment="right" w:leader="dot"/>
          </w:r>
          <w:r w:rsidR="00AB3F05">
            <w:t>23</w:t>
          </w:r>
        </w:p>
        <w:p w:rsidR="00D16B71" w:rsidRDefault="00D16B71" w:rsidP="009370EA">
          <w:pPr>
            <w:pStyle w:val="TOC3"/>
            <w:spacing w:line="360" w:lineRule="auto"/>
            <w:ind w:left="446" w:firstLine="274"/>
          </w:pPr>
          <w:r>
            <w:t>2.1.1.2 Ralph M. Riggs: ‘The Spirit Himself’</w:t>
          </w:r>
          <w:r>
            <w:ptab w:relativeTo="margin" w:alignment="right" w:leader="dot"/>
          </w:r>
          <w:r w:rsidR="00AB3F05">
            <w:t>24</w:t>
          </w:r>
        </w:p>
        <w:p w:rsidR="00D16B71" w:rsidRDefault="00D16B71" w:rsidP="009370EA">
          <w:pPr>
            <w:pStyle w:val="TOC3"/>
            <w:spacing w:line="360" w:lineRule="auto"/>
            <w:ind w:left="446" w:firstLine="274"/>
          </w:pPr>
          <w:r>
            <w:t>2.1.1.3 Harold Horton: ‘That we might receive power’</w:t>
          </w:r>
          <w:r>
            <w:ptab w:relativeTo="margin" w:alignment="right" w:leader="dot"/>
          </w:r>
          <w:r w:rsidR="00AB3F05">
            <w:t>26</w:t>
          </w:r>
        </w:p>
        <w:p w:rsidR="00D16B71" w:rsidRDefault="00D16B71" w:rsidP="009370EA">
          <w:pPr>
            <w:pStyle w:val="TOC3"/>
            <w:spacing w:line="360" w:lineRule="auto"/>
            <w:ind w:left="446" w:firstLine="274"/>
          </w:pPr>
          <w:r>
            <w:t>2.1.1.4 Conclusions from Pearlman, Riggs and Horton</w:t>
          </w:r>
          <w:r>
            <w:ptab w:relativeTo="margin" w:alignment="right" w:leader="dot"/>
          </w:r>
          <w:r w:rsidR="00AB3F05">
            <w:t>28</w:t>
          </w:r>
        </w:p>
        <w:p w:rsidR="00D16B71" w:rsidRDefault="00D16B71" w:rsidP="009370EA">
          <w:pPr>
            <w:pStyle w:val="TOC3"/>
            <w:spacing w:line="360" w:lineRule="auto"/>
            <w:ind w:left="446"/>
          </w:pPr>
          <w:r>
            <w:t>2.1.2 Searching for an Apostolic Definition of BHS in Foundational Dogmatic Writings</w:t>
          </w:r>
          <w:r>
            <w:ptab w:relativeTo="margin" w:alignment="right" w:leader="dot"/>
          </w:r>
          <w:r w:rsidR="00AB3F05">
            <w:t>28</w:t>
          </w:r>
        </w:p>
        <w:p w:rsidR="00D16B71" w:rsidRDefault="00D16B71" w:rsidP="009370EA">
          <w:pPr>
            <w:pStyle w:val="TOC3"/>
            <w:spacing w:line="360" w:lineRule="auto"/>
            <w:ind w:left="446" w:firstLine="274"/>
          </w:pPr>
          <w:r>
            <w:t xml:space="preserve">2.1.2.1 </w:t>
          </w:r>
          <w:r w:rsidRPr="005C09AD">
            <w:rPr>
              <w:i/>
            </w:rPr>
            <w:t>The Tenets of the Apostolic Church</w:t>
          </w:r>
          <w:r>
            <w:ptab w:relativeTo="margin" w:alignment="right" w:leader="dot"/>
          </w:r>
          <w:r w:rsidR="00AB3F05">
            <w:t>30</w:t>
          </w:r>
        </w:p>
        <w:p w:rsidR="00D16B71" w:rsidRDefault="00D16B71" w:rsidP="009370EA">
          <w:pPr>
            <w:pStyle w:val="TOC3"/>
            <w:spacing w:line="360" w:lineRule="auto"/>
            <w:ind w:left="446" w:firstLine="274"/>
          </w:pPr>
          <w:r>
            <w:t xml:space="preserve">2.1.2.2 </w:t>
          </w:r>
          <w:r w:rsidRPr="005C09AD">
            <w:rPr>
              <w:i/>
            </w:rPr>
            <w:t>Fundamental Truths</w:t>
          </w:r>
          <w:r>
            <w:t xml:space="preserve"> (</w:t>
          </w:r>
          <w:r w:rsidRPr="005C09AD">
            <w:rPr>
              <w:i/>
            </w:rPr>
            <w:t>Guiding Principles</w:t>
          </w:r>
          <w:r>
            <w:t>)</w:t>
          </w:r>
          <w:r>
            <w:ptab w:relativeTo="margin" w:alignment="right" w:leader="dot"/>
          </w:r>
          <w:r w:rsidR="00AB3F05">
            <w:t>31</w:t>
          </w:r>
        </w:p>
        <w:p w:rsidR="00D16B71" w:rsidRDefault="00D16B71" w:rsidP="009370EA">
          <w:pPr>
            <w:pStyle w:val="TOC3"/>
            <w:spacing w:line="360" w:lineRule="auto"/>
            <w:ind w:left="446" w:firstLine="274"/>
          </w:pPr>
          <w:r>
            <w:t xml:space="preserve">2.1.2.3 </w:t>
          </w:r>
          <w:r w:rsidRPr="005C09AD">
            <w:rPr>
              <w:i/>
            </w:rPr>
            <w:t>The Guidebook of the Apostolic Church</w:t>
          </w:r>
          <w:r>
            <w:ptab w:relativeTo="margin" w:alignment="right" w:leader="dot"/>
          </w:r>
          <w:r w:rsidR="00AB3F05">
            <w:t>33</w:t>
          </w:r>
        </w:p>
        <w:p w:rsidR="00D16B71" w:rsidRDefault="00D16B71" w:rsidP="009370EA">
          <w:pPr>
            <w:pStyle w:val="TOC3"/>
            <w:spacing w:line="360" w:lineRule="auto"/>
            <w:ind w:left="446" w:firstLine="274"/>
          </w:pPr>
          <w:r>
            <w:t xml:space="preserve">2.1.2.4 </w:t>
          </w:r>
          <w:r w:rsidRPr="005C09AD">
            <w:rPr>
              <w:i/>
            </w:rPr>
            <w:t>Fundamentals</w:t>
          </w:r>
          <w:r>
            <w:ptab w:relativeTo="margin" w:alignment="right" w:leader="dot"/>
          </w:r>
          <w:r w:rsidR="00AB3F05">
            <w:t>34</w:t>
          </w:r>
        </w:p>
        <w:p w:rsidR="00D16B71" w:rsidRDefault="00D16B71" w:rsidP="009370EA">
          <w:pPr>
            <w:pStyle w:val="TOC3"/>
            <w:spacing w:line="360" w:lineRule="auto"/>
            <w:ind w:left="446" w:firstLine="274"/>
          </w:pPr>
          <w:r>
            <w:t xml:space="preserve">2.1.2.5 </w:t>
          </w:r>
          <w:r w:rsidRPr="005C09AD">
            <w:rPr>
              <w:i/>
            </w:rPr>
            <w:t>Athrawiaethau Sylfeinol Eglwys y Ffydd Apostolaidd yn Nghymru</w:t>
          </w:r>
          <w:r>
            <w:ptab w:relativeTo="margin" w:alignment="right" w:leader="dot"/>
          </w:r>
          <w:r w:rsidR="00AB3F05">
            <w:t>34</w:t>
          </w:r>
        </w:p>
        <w:p w:rsidR="00D16B71" w:rsidRDefault="00D16B71" w:rsidP="009370EA">
          <w:pPr>
            <w:pStyle w:val="TOC3"/>
            <w:spacing w:line="360" w:lineRule="auto"/>
            <w:ind w:left="446"/>
          </w:pPr>
          <w:r>
            <w:t>2.1.3 Searching for a Definition of BHS in the Early Apostolic Theological Thinkers</w:t>
          </w:r>
          <w:r>
            <w:ptab w:relativeTo="margin" w:alignment="right" w:leader="dot"/>
          </w:r>
          <w:r w:rsidR="00AB3F05">
            <w:t>36</w:t>
          </w:r>
        </w:p>
        <w:p w:rsidR="00D16B71" w:rsidRDefault="00D16B71" w:rsidP="009370EA">
          <w:pPr>
            <w:pStyle w:val="TOC3"/>
            <w:spacing w:line="360" w:lineRule="auto"/>
            <w:ind w:left="446" w:firstLine="274"/>
          </w:pPr>
          <w:r>
            <w:t>2.1.3.1 D.P. Williams: Baptised in the Cruciform God</w:t>
          </w:r>
          <w:r>
            <w:ptab w:relativeTo="margin" w:alignment="right" w:leader="dot"/>
          </w:r>
          <w:r w:rsidR="00AB3F05">
            <w:t>36</w:t>
          </w:r>
        </w:p>
        <w:p w:rsidR="00D16B71" w:rsidRDefault="00D16B71" w:rsidP="009370EA">
          <w:pPr>
            <w:pStyle w:val="TOC3"/>
            <w:spacing w:line="360" w:lineRule="auto"/>
            <w:ind w:left="446" w:firstLine="274"/>
          </w:pPr>
          <w:r>
            <w:lastRenderedPageBreak/>
            <w:t>2.1.3.2 Frank Hodges: Baptism of Love</w:t>
          </w:r>
          <w:r>
            <w:ptab w:relativeTo="margin" w:alignment="right" w:leader="dot"/>
          </w:r>
          <w:r w:rsidR="00AB3F05">
            <w:t>46</w:t>
          </w:r>
        </w:p>
        <w:p w:rsidR="00D16B71" w:rsidRDefault="00D16B71" w:rsidP="009370EA">
          <w:pPr>
            <w:pStyle w:val="TOC3"/>
            <w:spacing w:line="360" w:lineRule="auto"/>
            <w:ind w:left="446" w:firstLine="274"/>
          </w:pPr>
          <w:r>
            <w:t>2.1.3.3 T.N. Turnbull: Filled with the Spirit who Speaks</w:t>
          </w:r>
          <w:r>
            <w:ptab w:relativeTo="margin" w:alignment="right" w:leader="dot"/>
          </w:r>
          <w:r w:rsidR="00AB3F05">
            <w:t>48</w:t>
          </w:r>
        </w:p>
        <w:p w:rsidR="00D16B71" w:rsidRDefault="00D16B71" w:rsidP="009370EA">
          <w:pPr>
            <w:pStyle w:val="TOC3"/>
            <w:spacing w:line="360" w:lineRule="auto"/>
            <w:ind w:left="446" w:firstLine="274"/>
          </w:pPr>
          <w:r>
            <w:t>2.1.3.4 W.R. Thomas: Communion with the Triune God</w:t>
          </w:r>
          <w:r>
            <w:ptab w:relativeTo="margin" w:alignment="right" w:leader="dot"/>
          </w:r>
          <w:r w:rsidR="00AB3F05">
            <w:t>50</w:t>
          </w:r>
        </w:p>
        <w:p w:rsidR="00D16B71" w:rsidRDefault="00D16B71" w:rsidP="009370EA">
          <w:pPr>
            <w:pStyle w:val="TOC3"/>
            <w:spacing w:line="360" w:lineRule="auto"/>
            <w:ind w:left="446"/>
          </w:pPr>
          <w:r>
            <w:t>2.1.</w:t>
          </w:r>
          <w:r w:rsidR="00056E39">
            <w:t>4 The Baptism of the Holy Spirit and Early Apostolic Ecclesiology</w:t>
          </w:r>
          <w:r>
            <w:ptab w:relativeTo="margin" w:alignment="right" w:leader="dot"/>
          </w:r>
          <w:r w:rsidR="00AB3F05">
            <w:t>52</w:t>
          </w:r>
        </w:p>
        <w:p w:rsidR="00D16B71" w:rsidRDefault="00D16B71" w:rsidP="009370EA">
          <w:pPr>
            <w:pStyle w:val="TOC3"/>
            <w:spacing w:line="360" w:lineRule="auto"/>
            <w:ind w:left="446" w:firstLine="274"/>
          </w:pPr>
          <w:r>
            <w:t>2.1.</w:t>
          </w:r>
          <w:r w:rsidR="00056E39">
            <w:t>4.1 BHS and the Inception of the Church</w:t>
          </w:r>
          <w:r>
            <w:ptab w:relativeTo="margin" w:alignment="right" w:leader="dot"/>
          </w:r>
          <w:r w:rsidR="00AB3F05">
            <w:t>53</w:t>
          </w:r>
        </w:p>
        <w:p w:rsidR="00D16B71" w:rsidRDefault="00D16B71" w:rsidP="009370EA">
          <w:pPr>
            <w:pStyle w:val="TOC3"/>
            <w:spacing w:line="360" w:lineRule="auto"/>
            <w:ind w:left="446" w:firstLine="274"/>
          </w:pPr>
          <w:r>
            <w:t>2.1.</w:t>
          </w:r>
          <w:r w:rsidR="00056E39">
            <w:t>4.2 BHS and Membership of the Body of Christ</w:t>
          </w:r>
          <w:r>
            <w:ptab w:relativeTo="margin" w:alignment="right" w:leader="dot"/>
          </w:r>
          <w:r w:rsidR="00AB3F05">
            <w:t>54</w:t>
          </w:r>
        </w:p>
        <w:p w:rsidR="00D16B71" w:rsidRDefault="00D16B71" w:rsidP="009370EA">
          <w:pPr>
            <w:pStyle w:val="TOC3"/>
            <w:spacing w:line="360" w:lineRule="auto"/>
            <w:ind w:left="446"/>
          </w:pPr>
          <w:r>
            <w:t>2.1.</w:t>
          </w:r>
          <w:r w:rsidR="00056E39">
            <w:t>5 The Trinitarian Nature of Spirit Baptism in Early Apostolic Thought</w:t>
          </w:r>
          <w:r>
            <w:ptab w:relativeTo="margin" w:alignment="right" w:leader="dot"/>
          </w:r>
          <w:r w:rsidR="003F1BAD">
            <w:t>58</w:t>
          </w:r>
        </w:p>
        <w:p w:rsidR="00D16B71" w:rsidRDefault="00D16B71" w:rsidP="009370EA">
          <w:pPr>
            <w:pStyle w:val="TOC3"/>
            <w:spacing w:line="360" w:lineRule="auto"/>
            <w:ind w:left="446" w:firstLine="274"/>
          </w:pPr>
          <w:r>
            <w:t>2.1.</w:t>
          </w:r>
          <w:r w:rsidR="00056E39">
            <w:t>5.1 Spirit Baptism and Theosis</w:t>
          </w:r>
          <w:r>
            <w:ptab w:relativeTo="margin" w:alignment="right" w:leader="dot"/>
          </w:r>
          <w:r w:rsidR="003F1BAD">
            <w:t>59</w:t>
          </w:r>
        </w:p>
        <w:p w:rsidR="00056E39" w:rsidRPr="00056E39" w:rsidRDefault="00056E39" w:rsidP="009370EA">
          <w:pPr>
            <w:pStyle w:val="TOC2"/>
            <w:spacing w:line="360" w:lineRule="auto"/>
            <w:ind w:left="216"/>
          </w:pPr>
          <w:r>
            <w:t>2.2 The Spirit and the Ecclesial Fullness</w:t>
          </w:r>
          <w:r>
            <w:ptab w:relativeTo="margin" w:alignment="right" w:leader="dot"/>
          </w:r>
          <w:r w:rsidR="003F1BAD">
            <w:t>60</w:t>
          </w:r>
        </w:p>
        <w:p w:rsidR="00D16B71" w:rsidRDefault="00056E39" w:rsidP="009370EA">
          <w:pPr>
            <w:pStyle w:val="TOC3"/>
            <w:spacing w:line="360" w:lineRule="auto"/>
            <w:ind w:left="446"/>
          </w:pPr>
          <w:r>
            <w:t>2.2.1 D.P. Williams</w:t>
          </w:r>
          <w:r w:rsidR="00D16B71">
            <w:ptab w:relativeTo="margin" w:alignment="right" w:leader="dot"/>
          </w:r>
          <w:r w:rsidR="003F1BAD">
            <w:t>60</w:t>
          </w:r>
        </w:p>
        <w:p w:rsidR="00D16B71" w:rsidRDefault="00D16B71" w:rsidP="009370EA">
          <w:pPr>
            <w:pStyle w:val="TOC3"/>
            <w:spacing w:line="360" w:lineRule="auto"/>
            <w:ind w:left="446"/>
          </w:pPr>
          <w:r>
            <w:t>2</w:t>
          </w:r>
          <w:r w:rsidR="00056E39">
            <w:t>.2.2 Thomas Rees</w:t>
          </w:r>
          <w:r>
            <w:ptab w:relativeTo="margin" w:alignment="right" w:leader="dot"/>
          </w:r>
          <w:r w:rsidR="003F1BAD">
            <w:t>63</w:t>
          </w:r>
        </w:p>
        <w:p w:rsidR="00D16B71" w:rsidRDefault="00D16B71" w:rsidP="009370EA">
          <w:pPr>
            <w:pStyle w:val="TOC3"/>
            <w:spacing w:line="360" w:lineRule="auto"/>
            <w:ind w:left="446"/>
          </w:pPr>
          <w:r>
            <w:t>2.</w:t>
          </w:r>
          <w:r w:rsidR="00056E39">
            <w:t>2.3 W.R. Thomas</w:t>
          </w:r>
          <w:r>
            <w:ptab w:relativeTo="margin" w:alignment="right" w:leader="dot"/>
          </w:r>
          <w:r w:rsidR="003F1BAD">
            <w:t>66</w:t>
          </w:r>
        </w:p>
        <w:p w:rsidR="00056E39" w:rsidRDefault="00056E39" w:rsidP="009370EA">
          <w:pPr>
            <w:pStyle w:val="TOC2"/>
            <w:spacing w:line="360" w:lineRule="auto"/>
            <w:ind w:left="216"/>
          </w:pPr>
          <w:r>
            <w:t>2.3 Conclusion</w:t>
          </w:r>
          <w:r>
            <w:ptab w:relativeTo="margin" w:alignment="right" w:leader="dot"/>
          </w:r>
          <w:r w:rsidR="003F1BAD">
            <w:t>69</w:t>
          </w:r>
        </w:p>
        <w:p w:rsidR="007C6AA2" w:rsidRPr="007C6AA2" w:rsidRDefault="007C6AA2" w:rsidP="009370EA">
          <w:pPr>
            <w:spacing w:line="360" w:lineRule="auto"/>
            <w:rPr>
              <w:lang w:val="en-US" w:eastAsia="ja-JP"/>
            </w:rPr>
          </w:pPr>
        </w:p>
        <w:p w:rsidR="007C6AA2" w:rsidRDefault="007C6AA2" w:rsidP="009370EA">
          <w:pPr>
            <w:pStyle w:val="TOC1"/>
            <w:spacing w:line="360" w:lineRule="auto"/>
          </w:pPr>
          <w:r>
            <w:rPr>
              <w:b/>
              <w:bCs/>
            </w:rPr>
            <w:t>Chapter 3: The Early Apostolics and the Trinity</w:t>
          </w:r>
          <w:r>
            <w:ptab w:relativeTo="margin" w:alignment="right" w:leader="dot"/>
          </w:r>
          <w:r w:rsidR="00C64BB8">
            <w:rPr>
              <w:b/>
              <w:bCs/>
            </w:rPr>
            <w:t>71</w:t>
          </w:r>
        </w:p>
        <w:p w:rsidR="007C6AA2" w:rsidRDefault="007C6AA2" w:rsidP="009370EA">
          <w:pPr>
            <w:pStyle w:val="TOC2"/>
            <w:spacing w:line="360" w:lineRule="auto"/>
            <w:ind w:left="216"/>
          </w:pPr>
          <w:r>
            <w:t xml:space="preserve">3.1 D.P. Williams and Thomas Rees: </w:t>
          </w:r>
          <w:r w:rsidRPr="007C6AA2">
            <w:rPr>
              <w:i/>
            </w:rPr>
            <w:t>The Trinity</w:t>
          </w:r>
          <w:r>
            <w:t xml:space="preserve"> and the Trinitarian Undergirding of all Theology</w:t>
          </w:r>
          <w:r>
            <w:ptab w:relativeTo="margin" w:alignment="right" w:leader="dot"/>
          </w:r>
          <w:r w:rsidR="00C64BB8">
            <w:t>71</w:t>
          </w:r>
        </w:p>
        <w:p w:rsidR="007C6AA2" w:rsidRDefault="007C6AA2" w:rsidP="009370EA">
          <w:pPr>
            <w:pStyle w:val="TOC2"/>
            <w:spacing w:line="360" w:lineRule="auto"/>
            <w:ind w:left="216"/>
          </w:pPr>
          <w:r>
            <w:t>3.2 The Trinitarian Hymnody of D.P. Williams</w:t>
          </w:r>
          <w:r>
            <w:ptab w:relativeTo="margin" w:alignment="right" w:leader="dot"/>
          </w:r>
          <w:r w:rsidR="00C64BB8">
            <w:t>75</w:t>
          </w:r>
        </w:p>
        <w:p w:rsidR="007C6AA2" w:rsidRDefault="007C6AA2" w:rsidP="009370EA">
          <w:pPr>
            <w:pStyle w:val="TOC3"/>
            <w:spacing w:line="360" w:lineRule="auto"/>
            <w:ind w:left="446"/>
          </w:pPr>
          <w:r>
            <w:t>3.2.1 The Economic Trinity</w:t>
          </w:r>
          <w:r>
            <w:ptab w:relativeTo="margin" w:alignment="right" w:leader="dot"/>
          </w:r>
          <w:r w:rsidR="00C64BB8">
            <w:t>77</w:t>
          </w:r>
        </w:p>
        <w:p w:rsidR="007C6AA2" w:rsidRDefault="007C6AA2" w:rsidP="009370EA">
          <w:pPr>
            <w:pStyle w:val="TOC3"/>
            <w:spacing w:line="360" w:lineRule="auto"/>
            <w:ind w:left="446"/>
          </w:pPr>
          <w:r>
            <w:t>3.2.2 The Immanent Trinity</w:t>
          </w:r>
          <w:r>
            <w:ptab w:relativeTo="margin" w:alignment="right" w:leader="dot"/>
          </w:r>
          <w:r w:rsidR="00C64BB8">
            <w:t>80</w:t>
          </w:r>
        </w:p>
        <w:p w:rsidR="007C6AA2" w:rsidRDefault="007C6AA2" w:rsidP="009370EA">
          <w:pPr>
            <w:pStyle w:val="TOC3"/>
            <w:spacing w:line="360" w:lineRule="auto"/>
            <w:ind w:left="446"/>
          </w:pPr>
          <w:r>
            <w:t>3.2.3 The Trinitarian Covenant of Redemption</w:t>
          </w:r>
          <w:r>
            <w:ptab w:relativeTo="margin" w:alignment="right" w:leader="dot"/>
          </w:r>
          <w:r w:rsidR="00C64BB8">
            <w:t>81</w:t>
          </w:r>
        </w:p>
        <w:p w:rsidR="007C6AA2" w:rsidRDefault="007C6AA2" w:rsidP="009370EA">
          <w:pPr>
            <w:pStyle w:val="TOC3"/>
            <w:spacing w:line="360" w:lineRule="auto"/>
            <w:ind w:left="446"/>
          </w:pPr>
          <w:r>
            <w:t>3.2.4 The Eternal Purpose of the Triune God</w:t>
          </w:r>
          <w:r>
            <w:ptab w:relativeTo="margin" w:alignment="right" w:leader="dot"/>
          </w:r>
          <w:r w:rsidR="00C64BB8">
            <w:t>83</w:t>
          </w:r>
        </w:p>
        <w:p w:rsidR="007C6AA2" w:rsidRDefault="007C6AA2" w:rsidP="009370EA">
          <w:pPr>
            <w:pStyle w:val="TOC2"/>
            <w:spacing w:line="360" w:lineRule="auto"/>
            <w:ind w:left="216"/>
          </w:pPr>
          <w:r>
            <w:t>3.3 The Significance of the Role of Election and the Covenant of Redemption in D.P. Williams’ theology for Apostolic Trinitarian Thought</w:t>
          </w:r>
          <w:r>
            <w:ptab w:relativeTo="margin" w:alignment="right" w:leader="dot"/>
          </w:r>
          <w:r w:rsidR="00C64BB8">
            <w:t>85</w:t>
          </w:r>
        </w:p>
        <w:p w:rsidR="007C6AA2" w:rsidRDefault="007C6AA2" w:rsidP="009370EA">
          <w:pPr>
            <w:pStyle w:val="TOC2"/>
            <w:spacing w:line="360" w:lineRule="auto"/>
            <w:ind w:left="216"/>
          </w:pPr>
          <w:r>
            <w:t>3.4 W.R. Thomas’ Italian Trilogy and the Trinity</w:t>
          </w:r>
          <w:r>
            <w:ptab w:relativeTo="margin" w:alignment="right" w:leader="dot"/>
          </w:r>
          <w:r w:rsidR="00C64BB8">
            <w:t>86</w:t>
          </w:r>
        </w:p>
        <w:p w:rsidR="007C6AA2" w:rsidRDefault="007C6AA2" w:rsidP="009370EA">
          <w:pPr>
            <w:pStyle w:val="TOC2"/>
            <w:spacing w:line="360" w:lineRule="auto"/>
            <w:ind w:left="216"/>
          </w:pPr>
          <w:r>
            <w:t>3.5 Hugh Dawson’s Strong Trinitarianism and its detachment from the other Theological Loci</w:t>
          </w:r>
          <w:r>
            <w:ptab w:relativeTo="margin" w:alignment="right" w:leader="dot"/>
          </w:r>
          <w:r w:rsidR="00C64BB8">
            <w:t>89</w:t>
          </w:r>
        </w:p>
        <w:p w:rsidR="007C6AA2" w:rsidRDefault="007C6AA2" w:rsidP="009370EA">
          <w:pPr>
            <w:pStyle w:val="TOC2"/>
            <w:spacing w:line="360" w:lineRule="auto"/>
            <w:ind w:left="216"/>
          </w:pPr>
          <w:r>
            <w:t>3.6 W.A.C. Rowe’s One Lord, One Faith and the Westward Drift from Cappadocian Trinitarianism</w:t>
          </w:r>
          <w:r>
            <w:ptab w:relativeTo="margin" w:alignment="right" w:leader="dot"/>
          </w:r>
          <w:r w:rsidR="00C64BB8">
            <w:t>91</w:t>
          </w:r>
        </w:p>
        <w:p w:rsidR="007C6AA2" w:rsidRPr="007C6AA2" w:rsidRDefault="007C6AA2" w:rsidP="009370EA">
          <w:pPr>
            <w:spacing w:line="360" w:lineRule="auto"/>
            <w:rPr>
              <w:lang w:val="en-US" w:eastAsia="ja-JP"/>
            </w:rPr>
          </w:pPr>
        </w:p>
        <w:p w:rsidR="007C6AA2" w:rsidRDefault="007C6AA2" w:rsidP="009370EA">
          <w:pPr>
            <w:pStyle w:val="TOC1"/>
            <w:spacing w:line="360" w:lineRule="auto"/>
          </w:pPr>
          <w:r>
            <w:rPr>
              <w:b/>
              <w:bCs/>
            </w:rPr>
            <w:t>Chapter 4: Totus Christus: The Church which Ontologically is the Body of Christ in the Theology of D.P. Williams</w:t>
          </w:r>
          <w:r>
            <w:ptab w:relativeTo="margin" w:alignment="right" w:leader="dot"/>
          </w:r>
          <w:r w:rsidR="00ED3ADB">
            <w:rPr>
              <w:b/>
              <w:bCs/>
            </w:rPr>
            <w:t>93</w:t>
          </w:r>
        </w:p>
        <w:p w:rsidR="007C6AA2" w:rsidRDefault="007C6AA2" w:rsidP="009370EA">
          <w:pPr>
            <w:pStyle w:val="TOC2"/>
            <w:spacing w:line="360" w:lineRule="auto"/>
            <w:ind w:left="216"/>
          </w:pPr>
          <w:r>
            <w:t xml:space="preserve">4.1 The Beginnings of Williams’ Apostolic Ecclesiology: The </w:t>
          </w:r>
          <w:r w:rsidRPr="007C6AA2">
            <w:rPr>
              <w:i/>
            </w:rPr>
            <w:t>Athrawiaethau Sylfeinol</w:t>
          </w:r>
          <w:r>
            <w:ptab w:relativeTo="margin" w:alignment="right" w:leader="dot"/>
          </w:r>
          <w:r w:rsidR="00ED3ADB">
            <w:t>94</w:t>
          </w:r>
        </w:p>
        <w:p w:rsidR="007C6AA2" w:rsidRDefault="007C6AA2" w:rsidP="009370EA">
          <w:pPr>
            <w:pStyle w:val="TOC2"/>
            <w:spacing w:line="360" w:lineRule="auto"/>
            <w:ind w:left="216"/>
          </w:pPr>
          <w:r>
            <w:t>4.2 The Church in the Thought of D.P. Williams: The Body of the Incarnate Word</w:t>
          </w:r>
          <w:r>
            <w:ptab w:relativeTo="margin" w:alignment="right" w:leader="dot"/>
          </w:r>
          <w:r w:rsidR="00ED3ADB">
            <w:t>96</w:t>
          </w:r>
        </w:p>
        <w:p w:rsidR="007C6AA2" w:rsidRDefault="007C6AA2" w:rsidP="009370EA">
          <w:pPr>
            <w:pStyle w:val="TOC3"/>
            <w:spacing w:line="360" w:lineRule="auto"/>
            <w:ind w:left="446"/>
          </w:pPr>
          <w:r>
            <w:t>4.2.1 The Church as the Body of the Crucified Christ</w:t>
          </w:r>
          <w:r>
            <w:ptab w:relativeTo="margin" w:alignment="right" w:leader="dot"/>
          </w:r>
          <w:r w:rsidR="00ED3ADB">
            <w:t>101</w:t>
          </w:r>
        </w:p>
        <w:p w:rsidR="007C6AA2" w:rsidRDefault="000D6392" w:rsidP="009370EA">
          <w:pPr>
            <w:pStyle w:val="TOC3"/>
            <w:spacing w:line="360" w:lineRule="auto"/>
            <w:ind w:left="446" w:firstLine="274"/>
          </w:pPr>
          <w:r>
            <w:t>4.2.1.1 Theologia Crucis</w:t>
          </w:r>
          <w:r>
            <w:ptab w:relativeTo="margin" w:alignment="right" w:leader="dot"/>
          </w:r>
          <w:r w:rsidR="00ED3ADB">
            <w:t>102</w:t>
          </w:r>
        </w:p>
        <w:p w:rsidR="000D6392" w:rsidRPr="000D6392" w:rsidRDefault="000D6392" w:rsidP="009370EA">
          <w:pPr>
            <w:pStyle w:val="TOC3"/>
            <w:spacing w:line="360" w:lineRule="auto"/>
            <w:ind w:left="446" w:firstLine="274"/>
          </w:pPr>
          <w:r>
            <w:t>4.2.1.2 The Breaking of Bread</w:t>
          </w:r>
          <w:r>
            <w:ptab w:relativeTo="margin" w:alignment="right" w:leader="dot"/>
          </w:r>
          <w:r w:rsidR="00ED3ADB">
            <w:t>104</w:t>
          </w:r>
        </w:p>
        <w:p w:rsidR="007C6AA2" w:rsidRDefault="007C6AA2" w:rsidP="009370EA">
          <w:pPr>
            <w:pStyle w:val="TOC3"/>
            <w:spacing w:line="360" w:lineRule="auto"/>
            <w:ind w:left="446"/>
          </w:pPr>
          <w:r>
            <w:t xml:space="preserve">4.2.2 The Church as the Body of the </w:t>
          </w:r>
          <w:r w:rsidR="000D6392">
            <w:t>Risen</w:t>
          </w:r>
          <w:r>
            <w:t xml:space="preserve"> Christ</w:t>
          </w:r>
          <w:r>
            <w:ptab w:relativeTo="margin" w:alignment="right" w:leader="dot"/>
          </w:r>
          <w:r w:rsidR="00ED3ADB">
            <w:t>113</w:t>
          </w:r>
        </w:p>
        <w:p w:rsidR="007C6AA2" w:rsidRDefault="007C6AA2" w:rsidP="009370EA">
          <w:pPr>
            <w:pStyle w:val="TOC3"/>
            <w:spacing w:line="360" w:lineRule="auto"/>
            <w:ind w:left="446"/>
          </w:pPr>
          <w:r>
            <w:t xml:space="preserve">4.2.3 The Church as the Body of the </w:t>
          </w:r>
          <w:r w:rsidR="000D6392">
            <w:t>Ascended</w:t>
          </w:r>
          <w:r>
            <w:t xml:space="preserve"> Christ</w:t>
          </w:r>
          <w:r>
            <w:ptab w:relativeTo="margin" w:alignment="right" w:leader="dot"/>
          </w:r>
          <w:r w:rsidR="00ED3ADB">
            <w:t>116</w:t>
          </w:r>
        </w:p>
        <w:p w:rsidR="000D6392" w:rsidRDefault="000D6392" w:rsidP="009370EA">
          <w:pPr>
            <w:pStyle w:val="TOC3"/>
            <w:spacing w:line="360" w:lineRule="auto"/>
            <w:ind w:left="446" w:firstLine="274"/>
          </w:pPr>
          <w:r>
            <w:t>4.2.3.1 The Spirit Outpoured Upon the Body</w:t>
          </w:r>
          <w:r>
            <w:ptab w:relativeTo="margin" w:alignment="right" w:leader="dot"/>
          </w:r>
          <w:r w:rsidR="00ED3ADB">
            <w:t>117</w:t>
          </w:r>
        </w:p>
        <w:p w:rsidR="000D6392" w:rsidRPr="000D6392" w:rsidRDefault="000D6392" w:rsidP="009370EA">
          <w:pPr>
            <w:pStyle w:val="TOC3"/>
            <w:spacing w:line="360" w:lineRule="auto"/>
            <w:ind w:left="446" w:firstLine="274"/>
          </w:pPr>
          <w:r>
            <w:t>4.2.3.2 The Ordained Ministry</w:t>
          </w:r>
          <w:r>
            <w:ptab w:relativeTo="margin" w:alignment="right" w:leader="dot"/>
          </w:r>
          <w:r w:rsidR="00ED3ADB">
            <w:t>120</w:t>
          </w:r>
        </w:p>
        <w:p w:rsidR="007C6AA2" w:rsidRDefault="007C6AA2" w:rsidP="009370EA">
          <w:pPr>
            <w:pStyle w:val="TOC3"/>
            <w:spacing w:line="360" w:lineRule="auto"/>
            <w:ind w:left="446"/>
          </w:pPr>
          <w:r>
            <w:t xml:space="preserve">4.2.4 The Church as the Body of the </w:t>
          </w:r>
          <w:r w:rsidR="000D6392">
            <w:t>Coming</w:t>
          </w:r>
          <w:r>
            <w:t xml:space="preserve"> Christ</w:t>
          </w:r>
          <w:r>
            <w:ptab w:relativeTo="margin" w:alignment="right" w:leader="dot"/>
          </w:r>
          <w:r w:rsidR="00ED3ADB">
            <w:t>140</w:t>
          </w:r>
        </w:p>
        <w:p w:rsidR="000D6392" w:rsidRDefault="000D6392" w:rsidP="009370EA">
          <w:pPr>
            <w:spacing w:line="360" w:lineRule="auto"/>
            <w:rPr>
              <w:lang w:val="en-US" w:eastAsia="ja-JP"/>
            </w:rPr>
          </w:pPr>
        </w:p>
        <w:p w:rsidR="000D6392" w:rsidRDefault="000D6392" w:rsidP="009370EA">
          <w:pPr>
            <w:pStyle w:val="TOC1"/>
            <w:spacing w:line="360" w:lineRule="auto"/>
          </w:pPr>
          <w:r>
            <w:rPr>
              <w:b/>
              <w:bCs/>
            </w:rPr>
            <w:t>Chapter 5: The Eternal Purpose of God: An Ecclesiology of Theosis</w:t>
          </w:r>
          <w:r>
            <w:ptab w:relativeTo="margin" w:alignment="right" w:leader="dot"/>
          </w:r>
          <w:r w:rsidR="00CF2EA5">
            <w:rPr>
              <w:b/>
              <w:bCs/>
            </w:rPr>
            <w:t>145</w:t>
          </w:r>
        </w:p>
        <w:p w:rsidR="000D6392" w:rsidRDefault="000D6392" w:rsidP="009370EA">
          <w:pPr>
            <w:pStyle w:val="TOC2"/>
            <w:spacing w:line="360" w:lineRule="auto"/>
            <w:ind w:left="216"/>
          </w:pPr>
          <w:r>
            <w:t>5.1 D.P. Williams and the Eternal Purpose</w:t>
          </w:r>
          <w:r>
            <w:ptab w:relativeTo="margin" w:alignment="right" w:leader="dot"/>
          </w:r>
          <w:r w:rsidR="00CF2EA5">
            <w:t>147</w:t>
          </w:r>
        </w:p>
        <w:p w:rsidR="000D6392" w:rsidRDefault="000D6392" w:rsidP="009370EA">
          <w:pPr>
            <w:pStyle w:val="TOC3"/>
            <w:spacing w:line="360" w:lineRule="auto"/>
            <w:ind w:left="446"/>
          </w:pPr>
          <w:r>
            <w:t>5.1.1 The Purpose of the Father: The Trinitarian Origin and Basis of the Eternal Purpose</w:t>
          </w:r>
          <w:r>
            <w:ptab w:relativeTo="margin" w:alignment="right" w:leader="dot"/>
          </w:r>
          <w:r w:rsidR="00CF2EA5">
            <w:t>147</w:t>
          </w:r>
        </w:p>
        <w:p w:rsidR="000D6392" w:rsidRDefault="000D6392" w:rsidP="009370EA">
          <w:pPr>
            <w:pStyle w:val="TOC3"/>
            <w:spacing w:line="360" w:lineRule="auto"/>
            <w:ind w:left="446"/>
          </w:pPr>
          <w:r>
            <w:t>5.1.2 Sons in the Son: The Church’s Participation in the Trinity</w:t>
          </w:r>
          <w:r>
            <w:ptab w:relativeTo="margin" w:alignment="right" w:leader="dot"/>
          </w:r>
          <w:r w:rsidR="00CF2EA5">
            <w:t>152</w:t>
          </w:r>
        </w:p>
        <w:p w:rsidR="000D6392" w:rsidRDefault="000D6392" w:rsidP="009370EA">
          <w:pPr>
            <w:pStyle w:val="TOC3"/>
            <w:spacing w:line="360" w:lineRule="auto"/>
            <w:ind w:left="446"/>
          </w:pPr>
          <w:r>
            <w:t>5.1.3 Now Through the Spirit: The Holy Spirit’s Role in the Outworking of the Eternal Purpose and the Experience of Theosis</w:t>
          </w:r>
          <w:r>
            <w:ptab w:relativeTo="margin" w:alignment="right" w:leader="dot"/>
          </w:r>
          <w:r w:rsidR="00CF2EA5">
            <w:t>165</w:t>
          </w:r>
        </w:p>
        <w:p w:rsidR="000D6392" w:rsidRDefault="000D6392" w:rsidP="009370EA">
          <w:pPr>
            <w:pStyle w:val="TOC2"/>
            <w:spacing w:line="360" w:lineRule="auto"/>
            <w:ind w:left="216"/>
          </w:pPr>
          <w:r>
            <w:t>5.2 The Eternal Purpose in the thought of other key early Apostolic writers</w:t>
          </w:r>
          <w:r>
            <w:ptab w:relativeTo="margin" w:alignment="right" w:leader="dot"/>
          </w:r>
          <w:r w:rsidR="00CF2EA5">
            <w:t>167</w:t>
          </w:r>
        </w:p>
        <w:p w:rsidR="000D6392" w:rsidRDefault="000D6392" w:rsidP="009370EA">
          <w:pPr>
            <w:pStyle w:val="TOC3"/>
            <w:spacing w:line="360" w:lineRule="auto"/>
            <w:ind w:left="446"/>
          </w:pPr>
          <w:r>
            <w:t>5.2.1 The Prophetic Theology of William Jones Williams: The Election of sons to be found in God’s essence</w:t>
          </w:r>
          <w:r>
            <w:ptab w:relativeTo="margin" w:alignment="right" w:leader="dot"/>
          </w:r>
          <w:r w:rsidR="00CF2EA5">
            <w:t>167</w:t>
          </w:r>
        </w:p>
        <w:p w:rsidR="000D6392" w:rsidRDefault="000D6392" w:rsidP="009370EA">
          <w:pPr>
            <w:pStyle w:val="TOC3"/>
            <w:spacing w:line="360" w:lineRule="auto"/>
            <w:ind w:left="446"/>
          </w:pPr>
          <w:r>
            <w:t>5.2.2 William Cathcart: Inheriting the Son’s relationship to His Father</w:t>
          </w:r>
          <w:r>
            <w:ptab w:relativeTo="margin" w:alignment="right" w:leader="dot"/>
          </w:r>
          <w:r w:rsidR="00CF2EA5">
            <w:t>170</w:t>
          </w:r>
        </w:p>
        <w:p w:rsidR="000D6392" w:rsidRDefault="000D6392" w:rsidP="009370EA">
          <w:pPr>
            <w:pStyle w:val="TOC3"/>
            <w:spacing w:line="360" w:lineRule="auto"/>
            <w:ind w:left="446"/>
          </w:pPr>
          <w:r>
            <w:t>5.2.3 Thomas Rees: The Masterpiece of Love</w:t>
          </w:r>
          <w:r>
            <w:ptab w:relativeTo="margin" w:alignment="right" w:leader="dot"/>
          </w:r>
          <w:r w:rsidR="00CF2EA5">
            <w:t>173</w:t>
          </w:r>
        </w:p>
        <w:p w:rsidR="000D6392" w:rsidRDefault="000D6392" w:rsidP="009370EA">
          <w:pPr>
            <w:pStyle w:val="TOC3"/>
            <w:spacing w:line="360" w:lineRule="auto"/>
            <w:ind w:left="446"/>
          </w:pPr>
          <w:r>
            <w:t>5.2.4 W.R. Ricketts: The Body Baptised in Love</w:t>
          </w:r>
          <w:r>
            <w:ptab w:relativeTo="margin" w:alignment="right" w:leader="dot"/>
          </w:r>
          <w:r w:rsidR="00CF2EA5">
            <w:t>176</w:t>
          </w:r>
        </w:p>
        <w:p w:rsidR="000D6392" w:rsidRDefault="000D6392" w:rsidP="009370EA">
          <w:pPr>
            <w:pStyle w:val="TOC3"/>
            <w:spacing w:line="360" w:lineRule="auto"/>
            <w:ind w:left="446"/>
          </w:pPr>
          <w:r>
            <w:t>5.2.5 W.H. Lewis: The Outworking of Eternity through the Cross</w:t>
          </w:r>
          <w:r>
            <w:ptab w:relativeTo="margin" w:alignment="right" w:leader="dot"/>
          </w:r>
          <w:r w:rsidR="00CF2EA5">
            <w:t>177</w:t>
          </w:r>
        </w:p>
        <w:p w:rsidR="000D6392" w:rsidRDefault="000D6392" w:rsidP="009370EA">
          <w:pPr>
            <w:pStyle w:val="TOC3"/>
            <w:spacing w:line="360" w:lineRule="auto"/>
            <w:ind w:left="446"/>
          </w:pPr>
          <w:r>
            <w:t>5.2.6 W.R. Thomas: The Eternal Purpose of the Totus Christus</w:t>
          </w:r>
          <w:r>
            <w:ptab w:relativeTo="margin" w:alignment="right" w:leader="dot"/>
          </w:r>
          <w:r w:rsidR="00CF2EA5">
            <w:t>180</w:t>
          </w:r>
        </w:p>
        <w:p w:rsidR="000D6392" w:rsidRPr="000D6392" w:rsidRDefault="000D6392" w:rsidP="009370EA">
          <w:pPr>
            <w:spacing w:line="360" w:lineRule="auto"/>
            <w:rPr>
              <w:lang w:val="en-US" w:eastAsia="ja-JP"/>
            </w:rPr>
          </w:pPr>
        </w:p>
        <w:p w:rsidR="00430E28" w:rsidRDefault="00430E28" w:rsidP="009370EA">
          <w:pPr>
            <w:pStyle w:val="TOC1"/>
            <w:spacing w:line="360" w:lineRule="auto"/>
          </w:pPr>
          <w:r>
            <w:rPr>
              <w:b/>
              <w:bCs/>
            </w:rPr>
            <w:t>Chapter 6: Concorporeal Theosis: Toward an Apostolic and Pentecostal Ecclesiology</w:t>
          </w:r>
          <w:r>
            <w:ptab w:relativeTo="margin" w:alignment="right" w:leader="dot"/>
          </w:r>
          <w:r w:rsidR="0012720D">
            <w:rPr>
              <w:b/>
              <w:bCs/>
            </w:rPr>
            <w:t>183</w:t>
          </w:r>
        </w:p>
        <w:p w:rsidR="00430E28" w:rsidRDefault="00430E28" w:rsidP="009370EA">
          <w:pPr>
            <w:pStyle w:val="TOC2"/>
            <w:spacing w:line="360" w:lineRule="auto"/>
            <w:ind w:left="216"/>
          </w:pPr>
          <w:r>
            <w:t>6.1 The Body of Christ, the Crucified and Risen Head</w:t>
          </w:r>
          <w:r>
            <w:ptab w:relativeTo="margin" w:alignment="right" w:leader="dot"/>
          </w:r>
          <w:r w:rsidR="0012720D">
            <w:t>184</w:t>
          </w:r>
        </w:p>
        <w:p w:rsidR="00430E28" w:rsidRDefault="00430E28" w:rsidP="009370EA">
          <w:pPr>
            <w:pStyle w:val="TOC3"/>
            <w:spacing w:line="360" w:lineRule="auto"/>
            <w:ind w:left="446"/>
          </w:pPr>
          <w:r>
            <w:t>6.1.1 Concorporeal with the Son</w:t>
          </w:r>
          <w:r>
            <w:ptab w:relativeTo="margin" w:alignment="right" w:leader="dot"/>
          </w:r>
          <w:r w:rsidR="0012720D">
            <w:t>184</w:t>
          </w:r>
        </w:p>
        <w:p w:rsidR="00430E28" w:rsidRDefault="00430E28" w:rsidP="009370EA">
          <w:pPr>
            <w:pStyle w:val="TOC3"/>
            <w:spacing w:line="360" w:lineRule="auto"/>
            <w:ind w:left="446" w:firstLine="274"/>
          </w:pPr>
          <w:r>
            <w:t>6.1.1.1 Cyril of Alexandria on Theosis through the Body of Christ</w:t>
          </w:r>
          <w:r>
            <w:ptab w:relativeTo="margin" w:alignment="right" w:leader="dot"/>
          </w:r>
          <w:r w:rsidR="0012720D">
            <w:t>184</w:t>
          </w:r>
        </w:p>
        <w:p w:rsidR="00430E28" w:rsidRDefault="00430E28" w:rsidP="009370EA">
          <w:pPr>
            <w:pStyle w:val="TOC3"/>
            <w:spacing w:line="360" w:lineRule="auto"/>
            <w:ind w:left="446" w:firstLine="274"/>
          </w:pPr>
          <w:r>
            <w:t>6.1.1.2 The Apostolic connection of Theosis with the Totus Christus</w:t>
          </w:r>
          <w:r>
            <w:ptab w:relativeTo="margin" w:alignment="right" w:leader="dot"/>
          </w:r>
          <w:r w:rsidR="0012720D">
            <w:t>185</w:t>
          </w:r>
        </w:p>
        <w:p w:rsidR="00430E28" w:rsidRDefault="00430E28" w:rsidP="009370EA">
          <w:pPr>
            <w:pStyle w:val="TOC3"/>
            <w:spacing w:line="360" w:lineRule="auto"/>
            <w:ind w:left="446" w:firstLine="274"/>
          </w:pPr>
          <w:r>
            <w:t>6.1.1.3 The Body of Christ as an Ontological Reality</w:t>
          </w:r>
          <w:r>
            <w:ptab w:relativeTo="margin" w:alignment="right" w:leader="dot"/>
          </w:r>
          <w:r w:rsidR="0012720D">
            <w:t>187</w:t>
          </w:r>
        </w:p>
        <w:p w:rsidR="00430E28" w:rsidRDefault="00430E28" w:rsidP="009370EA">
          <w:pPr>
            <w:pStyle w:val="TOC3"/>
            <w:spacing w:line="360" w:lineRule="auto"/>
            <w:ind w:left="446" w:firstLine="274"/>
          </w:pPr>
          <w:r>
            <w:t>6.1.1.4 The Theosis of the Church as the Eternal Purpose of the Triune God</w:t>
          </w:r>
          <w:r>
            <w:ptab w:relativeTo="margin" w:alignment="right" w:leader="dot"/>
          </w:r>
          <w:r w:rsidR="0012720D">
            <w:t>188</w:t>
          </w:r>
        </w:p>
        <w:p w:rsidR="00430E28" w:rsidRDefault="00430E28" w:rsidP="009370EA">
          <w:pPr>
            <w:pStyle w:val="TOC3"/>
            <w:spacing w:line="360" w:lineRule="auto"/>
            <w:ind w:left="720" w:firstLine="274"/>
          </w:pPr>
          <w:r>
            <w:t>6.1.1.4.1 Summing Up All Things in Christ</w:t>
          </w:r>
          <w:r>
            <w:ptab w:relativeTo="margin" w:alignment="right" w:leader="dot"/>
          </w:r>
          <w:r w:rsidR="0012720D">
            <w:t>188</w:t>
          </w:r>
        </w:p>
        <w:p w:rsidR="00430E28" w:rsidRDefault="00430E28" w:rsidP="009370EA">
          <w:pPr>
            <w:pStyle w:val="TOC3"/>
            <w:spacing w:line="360" w:lineRule="auto"/>
            <w:ind w:left="720" w:firstLine="274"/>
          </w:pPr>
          <w:r>
            <w:t>6.1.1.4.2 Partakers of the Divine Nature</w:t>
          </w:r>
          <w:r>
            <w:ptab w:relativeTo="margin" w:alignment="right" w:leader="dot"/>
          </w:r>
          <w:r w:rsidR="0012720D">
            <w:t>188</w:t>
          </w:r>
        </w:p>
        <w:p w:rsidR="00430E28" w:rsidRDefault="00430E28" w:rsidP="009370EA">
          <w:pPr>
            <w:pStyle w:val="TOC3"/>
            <w:spacing w:line="360" w:lineRule="auto"/>
            <w:ind w:left="720" w:firstLine="274"/>
          </w:pPr>
          <w:r>
            <w:t>6.1.1.4.3 Sonship in the Son</w:t>
          </w:r>
          <w:r>
            <w:ptab w:relativeTo="margin" w:alignment="right" w:leader="dot"/>
          </w:r>
          <w:r w:rsidR="0012720D">
            <w:t>189</w:t>
          </w:r>
        </w:p>
        <w:p w:rsidR="00430E28" w:rsidRDefault="00430E28" w:rsidP="009370EA">
          <w:pPr>
            <w:pStyle w:val="TOC3"/>
            <w:spacing w:line="360" w:lineRule="auto"/>
            <w:ind w:left="720" w:firstLine="274"/>
          </w:pPr>
          <w:r>
            <w:t>6.1.1.4.4 Transfiguration</w:t>
          </w:r>
          <w:r>
            <w:ptab w:relativeTo="margin" w:alignment="right" w:leader="dot"/>
          </w:r>
          <w:r w:rsidR="0012720D">
            <w:t>189</w:t>
          </w:r>
        </w:p>
        <w:p w:rsidR="00430E28" w:rsidRDefault="00430E28" w:rsidP="009370EA">
          <w:pPr>
            <w:pStyle w:val="TOC3"/>
            <w:spacing w:line="360" w:lineRule="auto"/>
            <w:ind w:left="720" w:firstLine="274"/>
          </w:pPr>
          <w:r>
            <w:t>6.1.1.4.5 Conformity to the Image of Christ</w:t>
          </w:r>
          <w:r>
            <w:ptab w:relativeTo="margin" w:alignment="right" w:leader="dot"/>
          </w:r>
          <w:r w:rsidR="0012720D">
            <w:t>190</w:t>
          </w:r>
        </w:p>
        <w:p w:rsidR="00430E28" w:rsidRDefault="00430E28" w:rsidP="009370EA">
          <w:pPr>
            <w:pStyle w:val="TOC3"/>
            <w:spacing w:line="360" w:lineRule="auto"/>
            <w:ind w:left="720" w:firstLine="274"/>
          </w:pPr>
          <w:r>
            <w:t>6.1.1.4.6 The Formula of Exchange (</w:t>
          </w:r>
          <w:r w:rsidRPr="00430E28">
            <w:rPr>
              <w:i/>
            </w:rPr>
            <w:t>Admirabile Commercium</w:t>
          </w:r>
          <w:r>
            <w:t>)</w:t>
          </w:r>
          <w:r>
            <w:ptab w:relativeTo="margin" w:alignment="right" w:leader="dot"/>
          </w:r>
          <w:r w:rsidR="0012720D">
            <w:t>190</w:t>
          </w:r>
        </w:p>
        <w:p w:rsidR="00430E28" w:rsidRDefault="00430E28" w:rsidP="009370EA">
          <w:pPr>
            <w:pStyle w:val="TOC3"/>
            <w:spacing w:line="360" w:lineRule="auto"/>
            <w:ind w:left="446" w:firstLine="274"/>
          </w:pPr>
          <w:r>
            <w:t>6.1.1.5 Ecclesial Theosis and Love</w:t>
          </w:r>
          <w:r>
            <w:ptab w:relativeTo="margin" w:alignment="right" w:leader="dot"/>
          </w:r>
          <w:r w:rsidR="0012720D">
            <w:t>191</w:t>
          </w:r>
        </w:p>
        <w:p w:rsidR="00430E28" w:rsidRDefault="00430E28" w:rsidP="009370EA">
          <w:pPr>
            <w:pStyle w:val="TOC3"/>
            <w:spacing w:line="360" w:lineRule="auto"/>
            <w:ind w:left="446"/>
          </w:pPr>
          <w:r>
            <w:t>6.1.2 Concorporeal Union with God: Ecclesial Theosis</w:t>
          </w:r>
          <w:r>
            <w:ptab w:relativeTo="margin" w:alignment="right" w:leader="dot"/>
          </w:r>
          <w:r w:rsidR="0012720D">
            <w:t>192</w:t>
          </w:r>
        </w:p>
        <w:p w:rsidR="00430E28" w:rsidRDefault="00430E28" w:rsidP="009370EA">
          <w:pPr>
            <w:pStyle w:val="TOC3"/>
            <w:spacing w:line="360" w:lineRule="auto"/>
            <w:ind w:left="446" w:firstLine="274"/>
          </w:pPr>
          <w:r>
            <w:t>6.1.2.1 Ecclesial Theosis and Grace</w:t>
          </w:r>
          <w:r>
            <w:ptab w:relativeTo="margin" w:alignment="right" w:leader="dot"/>
          </w:r>
          <w:r w:rsidR="0012720D">
            <w:t>192</w:t>
          </w:r>
        </w:p>
        <w:p w:rsidR="00430E28" w:rsidRDefault="00430E28" w:rsidP="009370EA">
          <w:pPr>
            <w:pStyle w:val="TOC3"/>
            <w:spacing w:line="360" w:lineRule="auto"/>
            <w:ind w:left="446" w:firstLine="274"/>
          </w:pPr>
          <w:r>
            <w:t>6.1.2.2 Grace, Theosis, Justification, and Pentecostal Theology</w:t>
          </w:r>
          <w:r>
            <w:ptab w:relativeTo="margin" w:alignment="right" w:leader="dot"/>
          </w:r>
          <w:r w:rsidR="0012720D">
            <w:t>193</w:t>
          </w:r>
        </w:p>
        <w:p w:rsidR="00430E28" w:rsidRDefault="00430E28" w:rsidP="009370EA">
          <w:pPr>
            <w:pStyle w:val="TOC3"/>
            <w:spacing w:line="360" w:lineRule="auto"/>
            <w:ind w:left="446"/>
          </w:pPr>
          <w:r>
            <w:t>6.1.3 The Body Under Christ’s Headship</w:t>
          </w:r>
          <w:r>
            <w:ptab w:relativeTo="margin" w:alignment="right" w:leader="dot"/>
          </w:r>
          <w:r w:rsidR="0012720D">
            <w:t>203</w:t>
          </w:r>
        </w:p>
        <w:p w:rsidR="00430E28" w:rsidRDefault="00430E28" w:rsidP="009370EA">
          <w:pPr>
            <w:pStyle w:val="TOC3"/>
            <w:spacing w:line="360" w:lineRule="auto"/>
            <w:ind w:left="446" w:firstLine="274"/>
          </w:pPr>
          <w:r>
            <w:t>6.1.3.1 The Authority of the Head: Headship Ministries and the Word</w:t>
          </w:r>
          <w:r>
            <w:ptab w:relativeTo="margin" w:alignment="right" w:leader="dot"/>
          </w:r>
          <w:r w:rsidR="0012720D">
            <w:t>203</w:t>
          </w:r>
        </w:p>
        <w:p w:rsidR="00430E28" w:rsidRDefault="00430E28" w:rsidP="009370EA">
          <w:pPr>
            <w:pStyle w:val="TOC3"/>
            <w:spacing w:line="360" w:lineRule="auto"/>
            <w:ind w:left="446" w:firstLine="274"/>
          </w:pPr>
          <w:r>
            <w:t>6.1.3.2 Supply from the Head: A Foretaste of the Heavenly Banquet in Breaking of Bread</w:t>
          </w:r>
          <w:r>
            <w:ptab w:relativeTo="margin" w:alignment="right" w:leader="dot"/>
          </w:r>
          <w:r w:rsidR="0012720D">
            <w:t>204</w:t>
          </w:r>
        </w:p>
        <w:p w:rsidR="00B91C0C" w:rsidRDefault="00B91C0C" w:rsidP="009370EA">
          <w:pPr>
            <w:pStyle w:val="TOC2"/>
            <w:spacing w:line="360" w:lineRule="auto"/>
            <w:ind w:left="216"/>
          </w:pPr>
          <w:r>
            <w:t>6.2 The Body of the Father’s Election in Christ</w:t>
          </w:r>
          <w:r>
            <w:ptab w:relativeTo="margin" w:alignment="right" w:leader="dot"/>
          </w:r>
          <w:r w:rsidR="0012720D">
            <w:t>205</w:t>
          </w:r>
        </w:p>
        <w:p w:rsidR="00B91C0C" w:rsidRDefault="00B91C0C" w:rsidP="009370EA">
          <w:pPr>
            <w:pStyle w:val="TOC3"/>
            <w:spacing w:line="360" w:lineRule="auto"/>
            <w:ind w:left="446"/>
          </w:pPr>
          <w:r>
            <w:t>6.2.1 Predestined for Sonship</w:t>
          </w:r>
          <w:r>
            <w:ptab w:relativeTo="margin" w:alignment="right" w:leader="dot"/>
          </w:r>
          <w:r w:rsidR="0012720D">
            <w:t>205</w:t>
          </w:r>
        </w:p>
        <w:p w:rsidR="00B91C0C" w:rsidRDefault="00B91C0C" w:rsidP="009370EA">
          <w:pPr>
            <w:pStyle w:val="TOC3"/>
            <w:spacing w:line="360" w:lineRule="auto"/>
            <w:ind w:left="446"/>
          </w:pPr>
          <w:r>
            <w:t>6.2.2 The Priority of the Church</w:t>
          </w:r>
          <w:r>
            <w:ptab w:relativeTo="margin" w:alignment="right" w:leader="dot"/>
          </w:r>
          <w:r w:rsidR="0012720D">
            <w:t>206</w:t>
          </w:r>
        </w:p>
        <w:p w:rsidR="00B91C0C" w:rsidRDefault="00B91C0C" w:rsidP="009370EA">
          <w:pPr>
            <w:pStyle w:val="TOC3"/>
            <w:spacing w:line="360" w:lineRule="auto"/>
            <w:ind w:left="446"/>
          </w:pPr>
          <w:r>
            <w:t>6.2.3 Three Things Before the Foundation of the World</w:t>
          </w:r>
          <w:r>
            <w:ptab w:relativeTo="margin" w:alignment="right" w:leader="dot"/>
          </w:r>
          <w:r w:rsidR="0012720D">
            <w:t>208</w:t>
          </w:r>
        </w:p>
        <w:p w:rsidR="00B91C0C" w:rsidRDefault="00B91C0C" w:rsidP="009370EA">
          <w:pPr>
            <w:pStyle w:val="TOC2"/>
            <w:spacing w:line="360" w:lineRule="auto"/>
            <w:ind w:left="216"/>
          </w:pPr>
          <w:r>
            <w:t>6.3 The Body Baptised by Christ in the Spirit</w:t>
          </w:r>
          <w:r>
            <w:ptab w:relativeTo="margin" w:alignment="right" w:leader="dot"/>
          </w:r>
          <w:r w:rsidR="0012720D">
            <w:t>208</w:t>
          </w:r>
        </w:p>
        <w:p w:rsidR="00B91C0C" w:rsidRDefault="00B91C0C" w:rsidP="009370EA">
          <w:pPr>
            <w:pStyle w:val="TOC3"/>
            <w:spacing w:line="360" w:lineRule="auto"/>
            <w:ind w:left="446"/>
          </w:pPr>
          <w:r>
            <w:t>6.3.1 Filled with all the Fullness of God: Theosis and BHS</w:t>
          </w:r>
          <w:r>
            <w:ptab w:relativeTo="margin" w:alignment="right" w:leader="dot"/>
          </w:r>
          <w:r w:rsidR="0012720D">
            <w:t>208</w:t>
          </w:r>
        </w:p>
        <w:p w:rsidR="00B91C0C" w:rsidRDefault="00B91C0C" w:rsidP="009370EA">
          <w:pPr>
            <w:pStyle w:val="TOC3"/>
            <w:spacing w:line="360" w:lineRule="auto"/>
            <w:ind w:left="446"/>
          </w:pPr>
          <w:r>
            <w:lastRenderedPageBreak/>
            <w:t>6.3.2 What is the Baptism in the Holy Spirit?</w:t>
          </w:r>
          <w:r>
            <w:ptab w:relativeTo="margin" w:alignment="right" w:leader="dot"/>
          </w:r>
          <w:r w:rsidR="0012720D">
            <w:t>209</w:t>
          </w:r>
        </w:p>
        <w:p w:rsidR="00B91C0C" w:rsidRDefault="00B91C0C" w:rsidP="009370EA">
          <w:pPr>
            <w:pStyle w:val="TOC3"/>
            <w:spacing w:line="360" w:lineRule="auto"/>
            <w:ind w:left="446"/>
          </w:pPr>
          <w:r>
            <w:t>6.3.3 The Meaning of the Spirit’s Personal Presence in the Pentecostal Baptism</w:t>
          </w:r>
          <w:r>
            <w:ptab w:relativeTo="margin" w:alignment="right" w:leader="dot"/>
          </w:r>
          <w:r w:rsidR="0012720D">
            <w:t>209</w:t>
          </w:r>
        </w:p>
        <w:p w:rsidR="00B91C0C" w:rsidRDefault="00B91C0C" w:rsidP="009370EA">
          <w:pPr>
            <w:pStyle w:val="TOC3"/>
            <w:spacing w:line="360" w:lineRule="auto"/>
            <w:ind w:left="446" w:firstLine="274"/>
          </w:pPr>
          <w:r>
            <w:t>6.3.3.1 The Spirit of Sonship</w:t>
          </w:r>
          <w:r>
            <w:ptab w:relativeTo="margin" w:alignment="right" w:leader="dot"/>
          </w:r>
          <w:r w:rsidR="0012720D">
            <w:t>209</w:t>
          </w:r>
        </w:p>
        <w:p w:rsidR="00B91C0C" w:rsidRDefault="00B91C0C" w:rsidP="009370EA">
          <w:pPr>
            <w:pStyle w:val="TOC3"/>
            <w:spacing w:line="360" w:lineRule="auto"/>
            <w:ind w:left="446" w:firstLine="274"/>
          </w:pPr>
          <w:r>
            <w:t>6.3.3.2 Where does power fit in?</w:t>
          </w:r>
          <w:r>
            <w:ptab w:relativeTo="margin" w:alignment="right" w:leader="dot"/>
          </w:r>
          <w:r w:rsidR="0012720D">
            <w:t>212</w:t>
          </w:r>
        </w:p>
        <w:p w:rsidR="00B91C0C" w:rsidRDefault="00B91C0C" w:rsidP="009370EA">
          <w:pPr>
            <w:pStyle w:val="TOC3"/>
            <w:spacing w:line="360" w:lineRule="auto"/>
            <w:ind w:left="446" w:firstLine="274"/>
          </w:pPr>
          <w:r>
            <w:t>6.3.3.3 The Spirit of Love</w:t>
          </w:r>
          <w:r>
            <w:ptab w:relativeTo="margin" w:alignment="right" w:leader="dot"/>
          </w:r>
          <w:r w:rsidR="0012720D">
            <w:t>214</w:t>
          </w:r>
        </w:p>
        <w:p w:rsidR="00B91C0C" w:rsidRDefault="00B91C0C" w:rsidP="009370EA">
          <w:pPr>
            <w:pStyle w:val="TOC3"/>
            <w:spacing w:line="360" w:lineRule="auto"/>
            <w:ind w:left="446"/>
          </w:pPr>
          <w:r>
            <w:t>6.3.4 Immersion in the Trinity</w:t>
          </w:r>
          <w:r>
            <w:ptab w:relativeTo="margin" w:alignment="right" w:leader="dot"/>
          </w:r>
          <w:r w:rsidR="0012720D">
            <w:t>215</w:t>
          </w:r>
        </w:p>
        <w:p w:rsidR="00B91C0C" w:rsidRDefault="00B91C0C" w:rsidP="009370EA">
          <w:pPr>
            <w:pStyle w:val="TOC3"/>
            <w:spacing w:line="360" w:lineRule="auto"/>
            <w:ind w:left="446" w:firstLine="274"/>
          </w:pPr>
          <w:r>
            <w:t>6.3.4.1 Baptism of the Holy Spirit as an Experience of Theosis</w:t>
          </w:r>
          <w:r>
            <w:ptab w:relativeTo="margin" w:alignment="right" w:leader="dot"/>
          </w:r>
          <w:r w:rsidR="0012720D">
            <w:t>216</w:t>
          </w:r>
        </w:p>
        <w:p w:rsidR="00B91C0C" w:rsidRDefault="00B91C0C" w:rsidP="009370EA">
          <w:pPr>
            <w:pStyle w:val="TOC3"/>
            <w:spacing w:line="360" w:lineRule="auto"/>
            <w:ind w:left="446" w:firstLine="274"/>
          </w:pPr>
          <w:r>
            <w:t>6.3.4.2 An Ecclesial Experience</w:t>
          </w:r>
          <w:r>
            <w:ptab w:relativeTo="margin" w:alignment="right" w:leader="dot"/>
          </w:r>
          <w:r w:rsidR="0012720D">
            <w:t>217</w:t>
          </w:r>
        </w:p>
        <w:p w:rsidR="00B91C0C" w:rsidRDefault="00B91C0C" w:rsidP="009370EA">
          <w:pPr>
            <w:pStyle w:val="TOC3"/>
            <w:spacing w:line="360" w:lineRule="auto"/>
            <w:ind w:left="446" w:firstLine="274"/>
          </w:pPr>
          <w:r>
            <w:t>6.3.4.3 Corporatizing the Experience: Baptised in the Spirit into the Body</w:t>
          </w:r>
          <w:r>
            <w:ptab w:relativeTo="margin" w:alignment="right" w:leader="dot"/>
          </w:r>
          <w:r w:rsidR="0012720D">
            <w:t>218</w:t>
          </w:r>
        </w:p>
        <w:p w:rsidR="00B91C0C" w:rsidRDefault="00B91C0C" w:rsidP="009370EA">
          <w:pPr>
            <w:spacing w:line="360" w:lineRule="auto"/>
          </w:pPr>
          <w:r>
            <w:t>6.4 Conclusion: The Body which lives in the Trinity (or Concorporeal Theosis)</w:t>
          </w:r>
          <w:r>
            <w:ptab w:relativeTo="margin" w:alignment="right" w:leader="dot"/>
          </w:r>
          <w:r w:rsidR="0012720D">
            <w:t>226</w:t>
          </w:r>
        </w:p>
        <w:p w:rsidR="00B91C0C" w:rsidRPr="00B91C0C" w:rsidRDefault="00B91C0C" w:rsidP="009370EA">
          <w:pPr>
            <w:spacing w:line="360" w:lineRule="auto"/>
            <w:rPr>
              <w:lang w:val="en-US" w:eastAsia="ja-JP"/>
            </w:rPr>
          </w:pPr>
        </w:p>
        <w:p w:rsidR="00B91C0C" w:rsidRDefault="00B91C0C" w:rsidP="009370EA">
          <w:pPr>
            <w:pStyle w:val="TOC1"/>
            <w:spacing w:line="360" w:lineRule="auto"/>
            <w:rPr>
              <w:b/>
              <w:bCs/>
            </w:rPr>
          </w:pPr>
          <w:r>
            <w:rPr>
              <w:b/>
              <w:bCs/>
            </w:rPr>
            <w:t>Chapter 7: Conclusion</w:t>
          </w:r>
          <w:r>
            <w:ptab w:relativeTo="margin" w:alignment="right" w:leader="dot"/>
          </w:r>
          <w:r w:rsidR="0012720D">
            <w:rPr>
              <w:b/>
              <w:bCs/>
            </w:rPr>
            <w:t>227</w:t>
          </w:r>
        </w:p>
        <w:p w:rsidR="00B91C0C" w:rsidRDefault="00B91C0C" w:rsidP="009370EA">
          <w:pPr>
            <w:spacing w:line="360" w:lineRule="auto"/>
            <w:rPr>
              <w:lang w:val="en-US" w:eastAsia="ja-JP"/>
            </w:rPr>
          </w:pPr>
        </w:p>
        <w:p w:rsidR="00B91C0C" w:rsidRDefault="00B91C0C" w:rsidP="009370EA">
          <w:pPr>
            <w:pStyle w:val="TOC1"/>
            <w:spacing w:line="360" w:lineRule="auto"/>
          </w:pPr>
          <w:r>
            <w:rPr>
              <w:b/>
              <w:bCs/>
            </w:rPr>
            <w:t>Bibliography</w:t>
          </w:r>
          <w:r>
            <w:ptab w:relativeTo="margin" w:alignment="right" w:leader="dot"/>
          </w:r>
          <w:r w:rsidR="0012720D">
            <w:rPr>
              <w:b/>
              <w:bCs/>
            </w:rPr>
            <w:t>229</w:t>
          </w:r>
        </w:p>
        <w:p w:rsidR="00B91C0C" w:rsidRPr="00B91C0C" w:rsidRDefault="00B91C0C" w:rsidP="009370EA">
          <w:pPr>
            <w:spacing w:line="360" w:lineRule="auto"/>
            <w:rPr>
              <w:lang w:val="en-US" w:eastAsia="ja-JP"/>
            </w:rPr>
          </w:pPr>
        </w:p>
        <w:p w:rsidR="00B91C0C" w:rsidRPr="00B91C0C" w:rsidRDefault="00B91C0C" w:rsidP="009370EA">
          <w:pPr>
            <w:spacing w:line="360" w:lineRule="auto"/>
            <w:rPr>
              <w:lang w:val="en-US" w:eastAsia="ja-JP"/>
            </w:rPr>
          </w:pPr>
        </w:p>
        <w:p w:rsidR="00430E28" w:rsidRPr="00430E28" w:rsidRDefault="00430E28" w:rsidP="009370EA">
          <w:pPr>
            <w:spacing w:line="360" w:lineRule="auto"/>
            <w:rPr>
              <w:lang w:val="en-US" w:eastAsia="ja-JP"/>
            </w:rPr>
          </w:pPr>
        </w:p>
        <w:p w:rsidR="00430E28" w:rsidRPr="00430E28" w:rsidRDefault="00430E28" w:rsidP="009370EA">
          <w:pPr>
            <w:spacing w:line="360" w:lineRule="auto"/>
            <w:rPr>
              <w:lang w:val="en-US" w:eastAsia="ja-JP"/>
            </w:rPr>
          </w:pPr>
        </w:p>
        <w:p w:rsidR="00430E28" w:rsidRPr="00430E28" w:rsidRDefault="00430E28" w:rsidP="009370EA">
          <w:pPr>
            <w:spacing w:line="360" w:lineRule="auto"/>
            <w:rPr>
              <w:lang w:val="en-US" w:eastAsia="ja-JP"/>
            </w:rPr>
          </w:pPr>
        </w:p>
        <w:p w:rsidR="00430E28" w:rsidRPr="00430E28" w:rsidRDefault="00430E28" w:rsidP="009370EA">
          <w:pPr>
            <w:spacing w:line="360" w:lineRule="auto"/>
            <w:rPr>
              <w:lang w:val="en-US" w:eastAsia="ja-JP"/>
            </w:rPr>
          </w:pPr>
        </w:p>
        <w:p w:rsidR="007C6AA2" w:rsidRPr="007C6AA2" w:rsidRDefault="007C6AA2" w:rsidP="009370EA">
          <w:pPr>
            <w:spacing w:line="360" w:lineRule="auto"/>
            <w:rPr>
              <w:lang w:val="en-US" w:eastAsia="ja-JP"/>
            </w:rPr>
          </w:pPr>
        </w:p>
        <w:p w:rsidR="007C6AA2" w:rsidRPr="007C6AA2" w:rsidRDefault="007C6AA2" w:rsidP="009370EA">
          <w:pPr>
            <w:spacing w:line="360" w:lineRule="auto"/>
            <w:rPr>
              <w:lang w:val="en-US" w:eastAsia="ja-JP"/>
            </w:rPr>
          </w:pPr>
        </w:p>
        <w:p w:rsidR="007C6AA2" w:rsidRPr="007C6AA2" w:rsidRDefault="007C6AA2" w:rsidP="009370EA">
          <w:pPr>
            <w:spacing w:line="360" w:lineRule="auto"/>
            <w:rPr>
              <w:lang w:val="en-US" w:eastAsia="ja-JP"/>
            </w:rPr>
          </w:pPr>
        </w:p>
        <w:p w:rsidR="00990541" w:rsidRPr="00D16B71" w:rsidRDefault="004B52C0" w:rsidP="009370EA">
          <w:pPr>
            <w:spacing w:line="360" w:lineRule="auto"/>
            <w:rPr>
              <w:lang w:val="en-US" w:eastAsia="ja-JP"/>
            </w:rPr>
          </w:pPr>
        </w:p>
      </w:sdtContent>
    </w:sdt>
    <w:p w:rsidR="00B5491E" w:rsidRPr="006610BF" w:rsidRDefault="00E33F3A" w:rsidP="00E33F3A">
      <w:pPr>
        <w:rPr>
          <w:sz w:val="28"/>
          <w:szCs w:val="24"/>
        </w:rPr>
      </w:pPr>
      <w:r>
        <w:rPr>
          <w:sz w:val="28"/>
          <w:szCs w:val="24"/>
        </w:rPr>
        <w:br w:type="page"/>
      </w:r>
    </w:p>
    <w:p w:rsidR="00062AED" w:rsidRPr="001B4C51" w:rsidRDefault="00062AED" w:rsidP="009370EA">
      <w:pPr>
        <w:pStyle w:val="PhDChapterTitle"/>
        <w:spacing w:line="360" w:lineRule="auto"/>
      </w:pPr>
      <w:r w:rsidRPr="001B4C51">
        <w:lastRenderedPageBreak/>
        <w:t>Chapter 1</w:t>
      </w:r>
    </w:p>
    <w:p w:rsidR="00062AED" w:rsidRPr="001B4C51" w:rsidRDefault="00062AED" w:rsidP="009370EA">
      <w:pPr>
        <w:pStyle w:val="PhDChapterTitle"/>
        <w:spacing w:line="360" w:lineRule="auto"/>
      </w:pPr>
      <w:r w:rsidRPr="001B4C51">
        <w:t>Introduction</w:t>
      </w:r>
    </w:p>
    <w:p w:rsidR="001B4C51" w:rsidRPr="00955B2F" w:rsidRDefault="001B4C51" w:rsidP="009370EA">
      <w:pPr>
        <w:spacing w:line="360" w:lineRule="auto"/>
        <w:jc w:val="center"/>
        <w:rPr>
          <w:b/>
          <w:i/>
          <w:sz w:val="28"/>
        </w:rPr>
      </w:pPr>
    </w:p>
    <w:p w:rsidR="00062AED" w:rsidRDefault="00062AED" w:rsidP="009370EA">
      <w:pPr>
        <w:spacing w:line="360" w:lineRule="auto"/>
        <w:jc w:val="both"/>
      </w:pPr>
      <w:r>
        <w:t>The lack of a developed ecclesiology in much Pentecostal practice is a serious problem for the movement. Peter Althouse argues that underdeveloped ecclesiology leads to the situation where:</w:t>
      </w:r>
    </w:p>
    <w:p w:rsidR="00062AED" w:rsidRPr="00F4625C" w:rsidRDefault="00062AED" w:rsidP="009370EA">
      <w:pPr>
        <w:spacing w:line="360" w:lineRule="auto"/>
        <w:ind w:left="720" w:right="720"/>
        <w:jc w:val="both"/>
        <w:rPr>
          <w:sz w:val="20"/>
        </w:rPr>
      </w:pPr>
      <w:r w:rsidRPr="00F4625C">
        <w:rPr>
          <w:sz w:val="20"/>
        </w:rPr>
        <w:t>Pentecostal churches eclectically borrow from other theological traditions and apply their practices in pragmatic and technical ways, but with little understanding of their philosophical and theological implications. As a result, Pentecostal churches today appear to sustain and advocate social ideologies of consumer capitalism and market place values, borrowing heavily from corporate business practices to govern the Church.</w:t>
      </w:r>
      <w:r w:rsidRPr="00F4625C">
        <w:rPr>
          <w:rStyle w:val="FootnoteReference"/>
          <w:sz w:val="20"/>
        </w:rPr>
        <w:footnoteReference w:id="1"/>
      </w:r>
    </w:p>
    <w:p w:rsidR="00062AED" w:rsidRDefault="00062AED" w:rsidP="009370EA">
      <w:pPr>
        <w:spacing w:line="360" w:lineRule="auto"/>
        <w:jc w:val="both"/>
      </w:pPr>
      <w:r>
        <w:t xml:space="preserve">The contention of this dissertation is that the solution to such a problem lies in a re-appropriation of the near-forgotten theological thought of our early Pentecostal forbears: a Pentecostal </w:t>
      </w:r>
      <w:r w:rsidRPr="00520B61">
        <w:rPr>
          <w:i/>
        </w:rPr>
        <w:t>ressourcement</w:t>
      </w:r>
      <w:r>
        <w:t>. As Simon Chan has put it:</w:t>
      </w:r>
    </w:p>
    <w:p w:rsidR="00062AED" w:rsidRPr="00612C96" w:rsidRDefault="00062AED" w:rsidP="009370EA">
      <w:pPr>
        <w:spacing w:line="360" w:lineRule="auto"/>
        <w:ind w:left="720" w:right="720"/>
        <w:jc w:val="both"/>
        <w:rPr>
          <w:sz w:val="20"/>
        </w:rPr>
      </w:pPr>
      <w:r w:rsidRPr="00AC7ACC">
        <w:rPr>
          <w:i/>
          <w:sz w:val="20"/>
        </w:rPr>
        <w:t>Ressourcement</w:t>
      </w:r>
      <w:r w:rsidRPr="00612C96">
        <w:rPr>
          <w:sz w:val="20"/>
        </w:rPr>
        <w:t xml:space="preserve"> is not merely a return to the past; rather it is a creative engagement with earlier sources, the fountainhead of spiritual life. Only in this way can we begin to engage in the work of </w:t>
      </w:r>
      <w:r w:rsidRPr="00AC7ACC">
        <w:rPr>
          <w:i/>
          <w:sz w:val="20"/>
        </w:rPr>
        <w:t>aggiornamento</w:t>
      </w:r>
      <w:r w:rsidRPr="00612C96">
        <w:rPr>
          <w:sz w:val="20"/>
        </w:rPr>
        <w:t xml:space="preserve">, or adaptation and updating in light of the new situations in which the church finds itself. Without the prerequisite of </w:t>
      </w:r>
      <w:r w:rsidRPr="00AC7ACC">
        <w:rPr>
          <w:i/>
          <w:sz w:val="20"/>
        </w:rPr>
        <w:t>ressourcement</w:t>
      </w:r>
      <w:r w:rsidRPr="00612C96">
        <w:rPr>
          <w:sz w:val="20"/>
        </w:rPr>
        <w:t xml:space="preserve">, </w:t>
      </w:r>
      <w:r w:rsidRPr="00AC7ACC">
        <w:rPr>
          <w:i/>
          <w:sz w:val="20"/>
        </w:rPr>
        <w:t>aggiornamento</w:t>
      </w:r>
      <w:r w:rsidRPr="00612C96">
        <w:rPr>
          <w:sz w:val="20"/>
        </w:rPr>
        <w:t xml:space="preserve"> could easily end up with the church capitulating to the spirit of the age.</w:t>
      </w:r>
      <w:r w:rsidRPr="00612C96">
        <w:rPr>
          <w:rStyle w:val="FootnoteReference"/>
          <w:sz w:val="20"/>
        </w:rPr>
        <w:footnoteReference w:id="2"/>
      </w:r>
    </w:p>
    <w:p w:rsidR="00062AED" w:rsidRDefault="00062AED" w:rsidP="009370EA">
      <w:pPr>
        <w:spacing w:line="360" w:lineRule="auto"/>
        <w:jc w:val="both"/>
      </w:pPr>
      <w:r>
        <w:t xml:space="preserve">Although Chan argues that Pentecostals should ‘look further afield’ in their ecclesiological </w:t>
      </w:r>
      <w:r w:rsidRPr="005F7711">
        <w:rPr>
          <w:i/>
        </w:rPr>
        <w:t>ressourcement</w:t>
      </w:r>
      <w:r>
        <w:t>,</w:t>
      </w:r>
      <w:r>
        <w:rPr>
          <w:rStyle w:val="FootnoteReference"/>
        </w:rPr>
        <w:footnoteReference w:id="3"/>
      </w:r>
      <w:r>
        <w:t xml:space="preserve"> he also maintains that Pentecostal theologians must ‘take the Pentecostal story … seriously’</w:t>
      </w:r>
      <w:r>
        <w:rPr>
          <w:rStyle w:val="FootnoteReference"/>
        </w:rPr>
        <w:footnoteReference w:id="4"/>
      </w:r>
      <w:r>
        <w:t xml:space="preserve"> and be familiar ‘with their own ecclesial tradition.’</w:t>
      </w:r>
      <w:r>
        <w:rPr>
          <w:rStyle w:val="FootnoteReference"/>
        </w:rPr>
        <w:footnoteReference w:id="5"/>
      </w:r>
      <w:r>
        <w:t xml:space="preserve"> Thus, in order to advance a constructive Pentecostal ecclesiology for today, Pentecostal theologians would be wise to rediscover and engage with the ecclesiological thought of the early Pentecostals. That is precisely what I intend to do from the perspective of one particular British Pentecostal ecclesial tradition. It is to be hoped that such a Pentecostal </w:t>
      </w:r>
      <w:r w:rsidRPr="006756D7">
        <w:rPr>
          <w:i/>
        </w:rPr>
        <w:t>ressourcement</w:t>
      </w:r>
      <w:r>
        <w:t xml:space="preserve"> could renew and develop present-day Pentecostal ecclesiological thought.</w:t>
      </w:r>
    </w:p>
    <w:p w:rsidR="00062AED" w:rsidRPr="00C8511E" w:rsidRDefault="00062AED" w:rsidP="009370EA">
      <w:pPr>
        <w:pStyle w:val="PhDSubheading"/>
        <w:spacing w:line="360" w:lineRule="auto"/>
      </w:pPr>
      <w:r>
        <w:lastRenderedPageBreak/>
        <w:t xml:space="preserve">1.1 Background: </w:t>
      </w:r>
      <w:r w:rsidRPr="00913541">
        <w:t xml:space="preserve">The </w:t>
      </w:r>
      <w:r>
        <w:t>Apostolic Church</w:t>
      </w:r>
    </w:p>
    <w:p w:rsidR="00062AED" w:rsidRPr="00913541" w:rsidRDefault="00062AED" w:rsidP="009370EA">
      <w:pPr>
        <w:spacing w:line="360" w:lineRule="auto"/>
        <w:jc w:val="both"/>
      </w:pPr>
      <w:r w:rsidRPr="00913541">
        <w:t xml:space="preserve">The Apostolic Church is </w:t>
      </w:r>
      <w:r>
        <w:t>a</w:t>
      </w:r>
      <w:r w:rsidRPr="00913541">
        <w:t xml:space="preserve"> British </w:t>
      </w:r>
      <w:r>
        <w:t>P</w:t>
      </w:r>
      <w:r w:rsidRPr="00913541">
        <w:t xml:space="preserve">entecostal denomination which traces its roots to the Welsh Revival of 1904-1905, an event which had a major impact on many of the church’s early leaders. </w:t>
      </w:r>
      <w:r>
        <w:t>The first Apostolic churches in Wales date to 1910,</w:t>
      </w:r>
      <w:r>
        <w:rPr>
          <w:rStyle w:val="FootnoteReference"/>
        </w:rPr>
        <w:footnoteReference w:id="6"/>
      </w:r>
      <w:r>
        <w:t xml:space="preserve"> and t</w:t>
      </w:r>
      <w:r w:rsidRPr="00913541">
        <w:t>he denomination has existed as a u</w:t>
      </w:r>
      <w:r>
        <w:t>nique entity since January 1916 (having previously, for a period,</w:t>
      </w:r>
      <w:r w:rsidRPr="00913541">
        <w:t xml:space="preserve"> formed part of the Apostolic Faith Church, headquartered in Bournemouth</w:t>
      </w:r>
      <w:r>
        <w:t>)</w:t>
      </w:r>
      <w:r w:rsidRPr="00913541">
        <w:t>.</w:t>
      </w:r>
      <w:r w:rsidRPr="00913541">
        <w:rPr>
          <w:vertAlign w:val="superscript"/>
        </w:rPr>
        <w:footnoteReference w:id="7"/>
      </w:r>
      <w:r w:rsidRPr="00913541">
        <w:t xml:space="preserve">  Although some important aspects of ecclesiology were shared between the AFC and the Apostolic Church, there were also ecclesiological issues involved in the separation of the two movements, and more sustained thought was given to ecclesiology by the Apostolics after the separation.</w:t>
      </w:r>
    </w:p>
    <w:p w:rsidR="00062AED" w:rsidRPr="00913541" w:rsidRDefault="00062AED" w:rsidP="009370EA">
      <w:pPr>
        <w:spacing w:line="360" w:lineRule="auto"/>
        <w:jc w:val="both"/>
      </w:pPr>
      <w:r w:rsidRPr="00913541">
        <w:t xml:space="preserve">The Apostolic Church is, therefore, the oldest of the three main British </w:t>
      </w:r>
      <w:r>
        <w:t>P</w:t>
      </w:r>
      <w:r w:rsidRPr="00913541">
        <w:t>entecostal denominations</w:t>
      </w:r>
      <w:r>
        <w:t>.</w:t>
      </w:r>
      <w:r>
        <w:rPr>
          <w:rStyle w:val="FootnoteReference"/>
        </w:rPr>
        <w:footnoteReference w:id="8"/>
      </w:r>
      <w:r w:rsidRPr="00913541">
        <w:t xml:space="preserve"> It also differs from Elim and </w:t>
      </w:r>
      <w:r w:rsidR="00797DBE">
        <w:t>the Assemblies of God</w:t>
      </w:r>
      <w:r w:rsidRPr="00913541">
        <w:t xml:space="preserve"> in that, originally, it was not an English-speaking movement.  The Apostolic Church finds its roots in Welsh-speaking Wales; all the early leaders were Welsh-speakers and, initially, </w:t>
      </w:r>
      <w:r>
        <w:t xml:space="preserve">nearly </w:t>
      </w:r>
      <w:r w:rsidRPr="00913541">
        <w:t>all assemblies used the Welsh language.</w:t>
      </w:r>
      <w:r w:rsidRPr="00913541">
        <w:rPr>
          <w:vertAlign w:val="superscript"/>
        </w:rPr>
        <w:footnoteReference w:id="9"/>
      </w:r>
      <w:r w:rsidRPr="00913541">
        <w:t xml:space="preserve">  This language issue plays a role in contemporary research into the origins, history and theology of the Apostolic Church, as m</w:t>
      </w:r>
      <w:r>
        <w:t>any</w:t>
      </w:r>
      <w:r w:rsidRPr="00913541">
        <w:t xml:space="preserve"> of the earliest sources exist only in Welsh.</w:t>
      </w:r>
    </w:p>
    <w:p w:rsidR="00062AED" w:rsidRDefault="00062AED" w:rsidP="009370EA">
      <w:pPr>
        <w:spacing w:line="360" w:lineRule="auto"/>
        <w:jc w:val="both"/>
      </w:pPr>
    </w:p>
    <w:p w:rsidR="00062AED" w:rsidRPr="00A80A81" w:rsidRDefault="00062AED" w:rsidP="009370EA">
      <w:pPr>
        <w:pStyle w:val="PhDSubheading"/>
        <w:spacing w:line="360" w:lineRule="auto"/>
      </w:pPr>
      <w:r>
        <w:lastRenderedPageBreak/>
        <w:t xml:space="preserve">1.2 </w:t>
      </w:r>
      <w:r w:rsidRPr="00C8511E">
        <w:t>The Significance of</w:t>
      </w:r>
      <w:r>
        <w:t xml:space="preserve"> </w:t>
      </w:r>
      <w:r w:rsidRPr="00A80A81">
        <w:t>D.P. Williams</w:t>
      </w:r>
      <w:r>
        <w:rPr>
          <w:rStyle w:val="FootnoteReference"/>
        </w:rPr>
        <w:footnoteReference w:id="10"/>
      </w:r>
    </w:p>
    <w:p w:rsidR="00062AED" w:rsidRDefault="00062AED" w:rsidP="009370EA">
      <w:pPr>
        <w:spacing w:line="360" w:lineRule="auto"/>
        <w:jc w:val="both"/>
      </w:pPr>
      <w:r>
        <w:t>D.P. Williams (1882-1947) is popularly considered the founder of the Apostolic Church. He was certainly the leading figure among the movement’s founding fathers, serving as the first president of the Missionary Council and General Council until his death in 1947. Williams was profoundly impacted by the Welsh Revival of 1904-1905.</w:t>
      </w:r>
      <w:r>
        <w:rPr>
          <w:rStyle w:val="FootnoteReference"/>
        </w:rPr>
        <w:footnoteReference w:id="11"/>
      </w:r>
      <w:r>
        <w:t xml:space="preserve"> Initially a preacher and candidate for the ministry among the Annibynwyr (Welsh Congregationalists), Williams received a Pentecostal baptism in the Spirit in Aberaeron in 1907. He parted company with the Annibynwyr over an issue of ecclesiology,</w:t>
      </w:r>
      <w:r>
        <w:rPr>
          <w:rStyle w:val="FootnoteReference"/>
        </w:rPr>
        <w:footnoteReference w:id="12"/>
      </w:r>
      <w:r w:rsidR="00516D98">
        <w:t xml:space="preserve"> and joined with </w:t>
      </w:r>
      <w:r w:rsidRPr="00A80A81">
        <w:rPr>
          <w:i/>
        </w:rPr>
        <w:t>plant y diwygiad</w:t>
      </w:r>
      <w:r>
        <w:t xml:space="preserve"> (children of the revival) in his home village of Penygroes, Carmarthenshire. This group in Penygroes (together with other groups in the vicinity) went on to become part of the AFC, and Williams was recognised as pastor, and later called through prophecy as an apostle.</w:t>
      </w:r>
      <w:r>
        <w:rPr>
          <w:rStyle w:val="FootnoteReference"/>
        </w:rPr>
        <w:footnoteReference w:id="13"/>
      </w:r>
      <w:r>
        <w:t xml:space="preserve"> Already by the time of the parting of ways between the Apostolic Faith Church and the Apostolic Church, Williams was the leading figure among the Welsh group.</w:t>
      </w:r>
      <w:r>
        <w:rPr>
          <w:rStyle w:val="FootnoteReference"/>
        </w:rPr>
        <w:footnoteReference w:id="14"/>
      </w:r>
    </w:p>
    <w:p w:rsidR="00062AED" w:rsidRDefault="00062AED" w:rsidP="009370EA">
      <w:pPr>
        <w:spacing w:line="360" w:lineRule="auto"/>
        <w:jc w:val="both"/>
      </w:pPr>
      <w:r>
        <w:t xml:space="preserve">With the separate establishment of the Apostolic Church in January 1916, Williams became, not only leader of the new movement, but also editor of its doctrinal mouthpiece, the </w:t>
      </w:r>
      <w:r w:rsidRPr="00CA5E1A">
        <w:rPr>
          <w:i/>
        </w:rPr>
        <w:t>Riches of Grace</w:t>
      </w:r>
      <w:r>
        <w:t>, which he would continue to edit and to which he would continue to contribute until his death in 1947. Williams’ literary output spans languages (Welsh and English), forms (books, pamphlets, articles, poetry and hymnody) and genres (doctrinal, devotional, governmental, practical, evangelistic, and missionary). He was the most prolific writer of the Apostolic Church and its most significant thinker.</w:t>
      </w:r>
      <w:r>
        <w:rPr>
          <w:rStyle w:val="FootnoteReference"/>
        </w:rPr>
        <w:footnoteReference w:id="15"/>
      </w:r>
      <w:r>
        <w:t xml:space="preserve"> As </w:t>
      </w:r>
      <w:r w:rsidR="0000056B">
        <w:t>he</w:t>
      </w:r>
      <w:r>
        <w:t xml:space="preserve"> contributed significantly more theological output than any other Apostolic writer, and as his</w:t>
      </w:r>
      <w:r w:rsidRPr="007F561C">
        <w:t xml:space="preserve"> </w:t>
      </w:r>
      <w:r>
        <w:t>theology was foundational for all later Apostolic writers, he will play a much greater role than any other figure in this research.</w:t>
      </w:r>
    </w:p>
    <w:p w:rsidR="00D64A7E" w:rsidRDefault="00D64A7E" w:rsidP="009370EA">
      <w:pPr>
        <w:spacing w:line="360" w:lineRule="auto"/>
        <w:jc w:val="both"/>
      </w:pPr>
    </w:p>
    <w:p w:rsidR="00D64A7E" w:rsidRPr="00913541" w:rsidRDefault="00D64A7E" w:rsidP="009370EA">
      <w:pPr>
        <w:spacing w:line="360" w:lineRule="auto"/>
        <w:jc w:val="both"/>
      </w:pPr>
    </w:p>
    <w:p w:rsidR="00062AED" w:rsidRPr="00506C13" w:rsidRDefault="00062AED" w:rsidP="009370EA">
      <w:pPr>
        <w:pStyle w:val="PhDSubheading"/>
        <w:spacing w:line="360" w:lineRule="auto"/>
      </w:pPr>
      <w:r>
        <w:lastRenderedPageBreak/>
        <w:t>1.3 Why draw on the British Apostolics?</w:t>
      </w:r>
    </w:p>
    <w:p w:rsidR="00062AED" w:rsidRDefault="00062AED" w:rsidP="009370EA">
      <w:pPr>
        <w:spacing w:line="360" w:lineRule="auto"/>
        <w:jc w:val="both"/>
      </w:pPr>
      <w:r>
        <w:t>The Apostolic Church, whether as a UK denomination or a worldwide movement, has not attracted much scholarly attention,</w:t>
      </w:r>
      <w:r>
        <w:rPr>
          <w:rStyle w:val="FootnoteReference"/>
        </w:rPr>
        <w:footnoteReference w:id="16"/>
      </w:r>
      <w:r>
        <w:t xml:space="preserve"> so why draw upon the ecclesiology of what Neil Hudson has termed ‘</w:t>
      </w:r>
      <w:r w:rsidRPr="008B5D45">
        <w:t>a small grouping … largely invisible to the rest of the British church, let alone wider society</w:t>
      </w:r>
      <w:r>
        <w:t>’?</w:t>
      </w:r>
      <w:r>
        <w:rPr>
          <w:rStyle w:val="FootnoteReference"/>
        </w:rPr>
        <w:footnoteReference w:id="17"/>
      </w:r>
      <w:r>
        <w:t xml:space="preserve"> First, irrespective of present-day statistics, the Apostolic Church was a significant movement in the early days of British Pentecostalism and its ecclesiology played a role beyond the Apostolic Church in the formation of</w:t>
      </w:r>
      <w:r w:rsidR="000E50AD">
        <w:t>,</w:t>
      </w:r>
      <w:r>
        <w:t xml:space="preserve"> and fault lines between</w:t>
      </w:r>
      <w:r w:rsidR="000E50AD">
        <w:t>,</w:t>
      </w:r>
      <w:r>
        <w:t xml:space="preserve"> the three indigenous British Pentecostal denominations.</w:t>
      </w:r>
      <w:r>
        <w:rPr>
          <w:rStyle w:val="FootnoteReference"/>
        </w:rPr>
        <w:footnoteReference w:id="18"/>
      </w:r>
      <w:r>
        <w:t xml:space="preserve"> Thus the theology of the early British Apostolics is significant historically, irrespective of present-day denominational statistics. As Timothy Walsh has argued concerning early English Pentecostalism, ‘its underlying motivations, ambiguities, curiosities, eccentricities, and guiding principles … would remain deserving of attention had the movement not embarked upon another phase but rather become moribund during the 1920s.’</w:t>
      </w:r>
      <w:r>
        <w:rPr>
          <w:rStyle w:val="FootnoteReference"/>
        </w:rPr>
        <w:footnoteReference w:id="19"/>
      </w:r>
    </w:p>
    <w:p w:rsidR="00062AED" w:rsidRDefault="00062AED" w:rsidP="009370EA">
      <w:pPr>
        <w:spacing w:line="360" w:lineRule="auto"/>
        <w:jc w:val="both"/>
      </w:pPr>
      <w:r>
        <w:lastRenderedPageBreak/>
        <w:t xml:space="preserve">Second, the early Apostolics devoted considerable reflection to ecclesiology, not only in functional and practical terms, but at a much more deeply theological level. </w:t>
      </w:r>
      <w:r w:rsidRPr="006C1790">
        <w:t>For the Apostolic Church, ecclesiology was of the utmost importance.</w:t>
      </w:r>
      <w:r w:rsidRPr="006C1790">
        <w:rPr>
          <w:vertAlign w:val="superscript"/>
        </w:rPr>
        <w:footnoteReference w:id="20"/>
      </w:r>
      <w:r w:rsidRPr="006C1790">
        <w:t xml:space="preserve">  Contrary to </w:t>
      </w:r>
      <w:r>
        <w:t xml:space="preserve">Amos </w:t>
      </w:r>
      <w:r w:rsidRPr="006C1790">
        <w:t xml:space="preserve">Yong’s claims concerning Pentecostalism more generally, for the Apostolics the doctrine of the Church was no mere </w:t>
      </w:r>
      <w:r>
        <w:t>‘</w:t>
      </w:r>
      <w:r w:rsidRPr="006C1790">
        <w:t>afterthought</w:t>
      </w:r>
      <w:r>
        <w:t>’</w:t>
      </w:r>
      <w:r w:rsidRPr="006C1790">
        <w:t>;</w:t>
      </w:r>
      <w:r>
        <w:rPr>
          <w:rStyle w:val="FootnoteReference"/>
        </w:rPr>
        <w:footnoteReference w:id="21"/>
      </w:r>
      <w:r w:rsidRPr="006C1790">
        <w:t xml:space="preserve"> rather it was their very </w:t>
      </w:r>
      <w:r w:rsidRPr="006C1790">
        <w:rPr>
          <w:i/>
          <w:iCs/>
        </w:rPr>
        <w:t>raison d’être</w:t>
      </w:r>
      <w:r w:rsidRPr="006C1790">
        <w:t>.</w:t>
      </w:r>
    </w:p>
    <w:p w:rsidR="00062AED" w:rsidRDefault="00062AED" w:rsidP="009370EA">
      <w:pPr>
        <w:spacing w:line="360" w:lineRule="auto"/>
        <w:jc w:val="both"/>
      </w:pPr>
      <w:r>
        <w:t>Third, the ecclesiology of the Apostolic Church has had an impact, not only on the structures and thought of British Pentecostalism (and the Pentecostalisms of countries closely connected to that of the UK, such as Australia and New Zealand), but also further afield in the emergence of significant west African Pentecostal movements, such as Christ Apostolic Church (Nigeria) and the Church of Pentecost (Ghana). Both of these significant West African denominations broke away from the Apostolic Church, yet retained its fundamental theology.</w:t>
      </w:r>
      <w:r w:rsidRPr="000C66B2">
        <w:rPr>
          <w:rStyle w:val="FootnoteReference"/>
        </w:rPr>
        <w:t xml:space="preserve"> </w:t>
      </w:r>
      <w:r>
        <w:rPr>
          <w:rStyle w:val="FootnoteReference"/>
        </w:rPr>
        <w:footnoteReference w:id="22"/>
      </w:r>
      <w:r>
        <w:t xml:space="preserve"> </w:t>
      </w:r>
    </w:p>
    <w:p w:rsidR="00062AED" w:rsidRPr="00913541" w:rsidRDefault="00062AED" w:rsidP="009370EA">
      <w:pPr>
        <w:spacing w:line="360" w:lineRule="auto"/>
        <w:jc w:val="both"/>
      </w:pPr>
      <w:r>
        <w:t>Fourth, Apostolic ecclesiology has also had a significant impact upon the British ‘new church’ movements</w:t>
      </w:r>
      <w:r>
        <w:rPr>
          <w:rStyle w:val="FootnoteReference"/>
        </w:rPr>
        <w:footnoteReference w:id="23"/>
      </w:r>
      <w:r>
        <w:t xml:space="preserve"> and North American charismatic movements.</w:t>
      </w:r>
      <w:r>
        <w:rPr>
          <w:rStyle w:val="FootnoteReference"/>
        </w:rPr>
        <w:footnoteReference w:id="24"/>
      </w:r>
      <w:r>
        <w:t xml:space="preserve"> Therefore Apostolic ecclesiological thought has had a quiet influence far beyond the bounds of British Classical Pentecostalism.</w:t>
      </w:r>
    </w:p>
    <w:p w:rsidR="00062AED" w:rsidRDefault="00062AED" w:rsidP="009370EA">
      <w:pPr>
        <w:spacing w:line="360" w:lineRule="auto"/>
        <w:jc w:val="both"/>
      </w:pPr>
      <w:r>
        <w:t xml:space="preserve">Finally, although Hudson may judge the Apostolic Church to be ‘a small grouping’ in the UK, it </w:t>
      </w:r>
      <w:r w:rsidRPr="006C1790">
        <w:t xml:space="preserve">has always placed a strong emphasis on missionary work, and this emphasis has led to the world-wide spread of the Apostolic Church, with currently more than 15 million members in </w:t>
      </w:r>
      <w:r w:rsidRPr="006C1790">
        <w:lastRenderedPageBreak/>
        <w:t>approximately 100 countries.</w:t>
      </w:r>
      <w:r w:rsidRPr="006C1790">
        <w:rPr>
          <w:vertAlign w:val="superscript"/>
        </w:rPr>
        <w:footnoteReference w:id="25"/>
      </w:r>
      <w:r w:rsidRPr="006C1790">
        <w:t xml:space="preserve">  Although the Barrett/Johnson figure of 612 million ‘Pentecostals/Charismatics’ in the world is frequently cited, Allan Anderson cautions that</w:t>
      </w:r>
      <w:r>
        <w:t>:</w:t>
      </w:r>
    </w:p>
    <w:p w:rsidR="00062AED" w:rsidRPr="00180FC2" w:rsidRDefault="00062AED" w:rsidP="009370EA">
      <w:pPr>
        <w:spacing w:line="360" w:lineRule="auto"/>
        <w:ind w:left="720" w:right="720"/>
        <w:jc w:val="both"/>
        <w:rPr>
          <w:sz w:val="20"/>
        </w:rPr>
      </w:pPr>
      <w:r w:rsidRPr="00180FC2">
        <w:rPr>
          <w:sz w:val="20"/>
        </w:rPr>
        <w:t>Scholars of Pentecostalism, both within and without the movement use these figures with abandon to claim that Pentecostalism is the second largest force in Christianity after Catholicism. They do not always point out that most of the 600 million people are not classical Pentecostals.</w:t>
      </w:r>
      <w:r w:rsidRPr="00180FC2">
        <w:rPr>
          <w:sz w:val="20"/>
          <w:vertAlign w:val="superscript"/>
        </w:rPr>
        <w:footnoteReference w:id="26"/>
      </w:r>
      <w:r w:rsidRPr="00180FC2">
        <w:rPr>
          <w:sz w:val="20"/>
        </w:rPr>
        <w:t xml:space="preserve"> </w:t>
      </w:r>
    </w:p>
    <w:p w:rsidR="00062AED" w:rsidRDefault="00062AED" w:rsidP="009370EA">
      <w:pPr>
        <w:spacing w:line="360" w:lineRule="auto"/>
        <w:jc w:val="both"/>
      </w:pPr>
      <w:r w:rsidRPr="006C1790">
        <w:t>Furthermore, ‘many classical Pentecostals do not feel comfortable with a broad classification, especially those who would see themselves more squarely as “evangelicals”.’</w:t>
      </w:r>
      <w:r w:rsidRPr="006C1790">
        <w:rPr>
          <w:vertAlign w:val="superscript"/>
        </w:rPr>
        <w:footnoteReference w:id="27"/>
      </w:r>
      <w:r w:rsidRPr="006C1790">
        <w:t xml:space="preserve"> Jason Mandryk has produced more conservative figures, distinguishing between ‘Renewalists’ and ‘Pentecostals’, putting the number of ‘Pentecostals’ at 178 million.</w:t>
      </w:r>
      <w:r w:rsidRPr="006C1790">
        <w:rPr>
          <w:vertAlign w:val="superscript"/>
        </w:rPr>
        <w:footnoteReference w:id="28"/>
      </w:r>
      <w:r w:rsidRPr="006C1790">
        <w:t xml:space="preserve"> This would mean that the Apostolic Church accounts for approximately 8.5% of worldwide classical Pentecostals.</w:t>
      </w:r>
      <w:r w:rsidRPr="006C1790">
        <w:rPr>
          <w:vertAlign w:val="superscript"/>
        </w:rPr>
        <w:footnoteReference w:id="29"/>
      </w:r>
      <w:r w:rsidRPr="006C1790">
        <w:t xml:space="preserve"> Thus the Apostolics are not insignificant in terms of the study of Pentecostalism.</w:t>
      </w:r>
      <w:r w:rsidRPr="006C1790">
        <w:rPr>
          <w:vertAlign w:val="superscript"/>
        </w:rPr>
        <w:footnoteReference w:id="30"/>
      </w:r>
    </w:p>
    <w:p w:rsidR="00062AED" w:rsidRDefault="00062AED" w:rsidP="009370EA">
      <w:pPr>
        <w:spacing w:line="360" w:lineRule="auto"/>
        <w:jc w:val="both"/>
      </w:pPr>
    </w:p>
    <w:p w:rsidR="00062AED" w:rsidRDefault="00062AED" w:rsidP="009370EA">
      <w:pPr>
        <w:pStyle w:val="PhDSubheading"/>
        <w:spacing w:line="360" w:lineRule="auto"/>
      </w:pPr>
      <w:r>
        <w:t>1.4 Purpose of Research</w:t>
      </w:r>
    </w:p>
    <w:p w:rsidR="00062AED" w:rsidRDefault="00062AED" w:rsidP="009370EA">
      <w:pPr>
        <w:spacing w:line="360" w:lineRule="auto"/>
        <w:jc w:val="both"/>
      </w:pPr>
      <w:r>
        <w:t>The primary purpose of this research is to examine the ecclesiological thought underpinning the Apostolic Church in the United Kingdom and around the world in order to both establish that there are significant theological (and particularly ecclesiological) resources to be mined within the history of Pentecostalism, and to contribute towards an authentically Pentecostal constructive ecclesiology.</w:t>
      </w:r>
    </w:p>
    <w:p w:rsidR="00062AED" w:rsidRDefault="00062AED" w:rsidP="009370EA">
      <w:pPr>
        <w:spacing w:line="360" w:lineRule="auto"/>
        <w:jc w:val="both"/>
      </w:pPr>
      <w:r>
        <w:lastRenderedPageBreak/>
        <w:t>Furthermore, this research will demonstrate that the popular understanding of Apostolic ecclesiology is an oversimplification, focusing merely on the functional at the expense of the underlying ontology. Luke Worsfold expresses this popular misconception:</w:t>
      </w:r>
    </w:p>
    <w:p w:rsidR="00062AED" w:rsidRPr="00395401" w:rsidRDefault="00062AED" w:rsidP="009370EA">
      <w:pPr>
        <w:spacing w:line="360" w:lineRule="auto"/>
        <w:ind w:left="720" w:right="720"/>
        <w:jc w:val="both"/>
        <w:rPr>
          <w:sz w:val="20"/>
        </w:rPr>
      </w:pPr>
      <w:r w:rsidRPr="00395401">
        <w:rPr>
          <w:sz w:val="20"/>
        </w:rPr>
        <w:t>The ecclesiology of the Apostolic Church can be adequately described by the phrase ‘divine government through the restoration of apostles and prophets.’  It is the revelation via the prophet for guidance in administration of the church which distinguishes the Apostolic Church from other pentecostal groups.</w:t>
      </w:r>
      <w:r>
        <w:rPr>
          <w:rStyle w:val="FootnoteReference"/>
          <w:sz w:val="20"/>
        </w:rPr>
        <w:footnoteReference w:id="31"/>
      </w:r>
    </w:p>
    <w:p w:rsidR="00062AED" w:rsidRDefault="00062AED" w:rsidP="009370EA">
      <w:pPr>
        <w:spacing w:line="360" w:lineRule="auto"/>
        <w:jc w:val="both"/>
      </w:pPr>
      <w:r>
        <w:t xml:space="preserve">While the ministry of apostles and prophets is indeed a significant feature of Apostolic ecclesiology, this dissertation will show that there is a deeper underlying ontology of the church in Apostolic theology, and thus a richer well for Pentecostal </w:t>
      </w:r>
      <w:r w:rsidRPr="0008461C">
        <w:rPr>
          <w:i/>
        </w:rPr>
        <w:t>ressourcement</w:t>
      </w:r>
      <w:r>
        <w:t>. There is much more to Apostolic ecclesiology than simply apostles and prophets.</w:t>
      </w:r>
    </w:p>
    <w:p w:rsidR="00062AED" w:rsidRPr="00C16D8C" w:rsidRDefault="00062AED" w:rsidP="009370EA">
      <w:pPr>
        <w:spacing w:line="360" w:lineRule="auto"/>
        <w:jc w:val="both"/>
      </w:pPr>
    </w:p>
    <w:p w:rsidR="00062AED" w:rsidRPr="00BF07D6" w:rsidRDefault="00062AED" w:rsidP="009370EA">
      <w:pPr>
        <w:pStyle w:val="PhDSubheading"/>
        <w:spacing w:line="360" w:lineRule="auto"/>
      </w:pPr>
      <w:r>
        <w:t xml:space="preserve">1.5 </w:t>
      </w:r>
      <w:r w:rsidRPr="00BF07D6">
        <w:t>Challenges to Research on the Early British Apostolics</w:t>
      </w:r>
    </w:p>
    <w:p w:rsidR="00062AED" w:rsidRDefault="00062AED" w:rsidP="009370EA">
      <w:pPr>
        <w:spacing w:line="360" w:lineRule="auto"/>
        <w:jc w:val="both"/>
      </w:pPr>
      <w:r>
        <w:t xml:space="preserve">Unfortunately there are some significant obstacles to research on the early British Apostolics and their theology. Although English was increasingly adopted for communication with </w:t>
      </w:r>
      <w:r w:rsidR="00342985">
        <w:t>an increasing number</w:t>
      </w:r>
      <w:r>
        <w:t xml:space="preserve"> of members </w:t>
      </w:r>
      <w:r w:rsidR="00D9387E">
        <w:t>located outside</w:t>
      </w:r>
      <w:r>
        <w:t xml:space="preserve"> Welsh-speaking Wales, a full picture of the movement and its theology cannot be gained without access to the Welsh material. Furthermore, many Welsh Apostolic works were published before the effects of the standardisation of Welsh spelling in 1928 took hold, providing an additional challenge to the non-native Welsh reader.</w:t>
      </w:r>
    </w:p>
    <w:p w:rsidR="00062AED" w:rsidRDefault="00062AED" w:rsidP="009370EA">
      <w:pPr>
        <w:spacing w:line="360" w:lineRule="auto"/>
        <w:jc w:val="both"/>
      </w:pPr>
      <w:r>
        <w:t>An additional challenge is posed by the inaccessibility of research material. Although an accessible and well-organised archive formerly existed in the Apostolic Church Bible College in Penygroes, since the closure of the college in 2010 the archive has lost its home, suffered significant damage to materials, and is no longer accessible. This means that there is nowhere to find a complete set of British Apostolic Church publications, nor does a complete list of works exist. Any research on the early Apostolics then compels the researcher to somehow acquire as many of their writings as possible, and thus it is exceedingly difficult to be exhaustive.</w:t>
      </w:r>
      <w:r>
        <w:rPr>
          <w:rStyle w:val="FootnoteReference"/>
        </w:rPr>
        <w:footnoteReference w:id="32"/>
      </w:r>
      <w:r>
        <w:t xml:space="preserve"> </w:t>
      </w:r>
    </w:p>
    <w:p w:rsidR="00062AED" w:rsidRDefault="00062AED" w:rsidP="009370EA">
      <w:pPr>
        <w:spacing w:line="360" w:lineRule="auto"/>
        <w:jc w:val="both"/>
      </w:pPr>
    </w:p>
    <w:p w:rsidR="00062AED" w:rsidRPr="00327936" w:rsidRDefault="00062AED" w:rsidP="009370EA">
      <w:pPr>
        <w:pStyle w:val="PhDSubheading"/>
        <w:spacing w:line="360" w:lineRule="auto"/>
      </w:pPr>
      <w:r>
        <w:lastRenderedPageBreak/>
        <w:t xml:space="preserve">1.6 </w:t>
      </w:r>
      <w:r w:rsidRPr="00327936">
        <w:t>Research Limitations</w:t>
      </w:r>
    </w:p>
    <w:p w:rsidR="00062AED" w:rsidRDefault="00062AED" w:rsidP="009370EA">
      <w:pPr>
        <w:spacing w:line="360" w:lineRule="auto"/>
        <w:jc w:val="both"/>
      </w:pPr>
      <w:r w:rsidRPr="006C658D">
        <w:t xml:space="preserve">Some limitations will, of course, need to be placed on this work.  </w:t>
      </w:r>
      <w:r>
        <w:t xml:space="preserve">Firstly, consideration will be limited to </w:t>
      </w:r>
      <w:r w:rsidRPr="006C658D">
        <w:t xml:space="preserve">written sources.  Although it has often been noted that Pentecostalism is essentially an oral tradition, the early Apostolics seem to have been particularly keen to preserve their tradition in writing. Despite a lack of scholarly publications, the early leaders have left behind a sizeable amount of written material, ranging from transcribed lectures prepared for the Bible college to transcribed sermons and prophetical ministry from the international convention at Penygroes (published annually for many years), as well as a number of books and the doctrinal magazine, </w:t>
      </w:r>
      <w:r w:rsidRPr="006C658D">
        <w:rPr>
          <w:i/>
          <w:iCs/>
        </w:rPr>
        <w:t>Riches of Grace</w:t>
      </w:r>
      <w:r w:rsidRPr="006C658D">
        <w:t xml:space="preserve">.  </w:t>
      </w:r>
    </w:p>
    <w:p w:rsidR="00062AED" w:rsidRPr="006C658D" w:rsidRDefault="00062AED" w:rsidP="009370EA">
      <w:pPr>
        <w:spacing w:line="360" w:lineRule="auto"/>
        <w:jc w:val="both"/>
      </w:pPr>
      <w:r>
        <w:t>The</w:t>
      </w:r>
      <w:r w:rsidRPr="006C658D">
        <w:t xml:space="preserve"> second limitation </w:t>
      </w:r>
      <w:r>
        <w:t>will be</w:t>
      </w:r>
      <w:r w:rsidRPr="006C658D">
        <w:t xml:space="preserve"> that of nationality: </w:t>
      </w:r>
      <w:r>
        <w:t>the research into the early Apostolics will be confined to</w:t>
      </w:r>
      <w:r w:rsidRPr="006C658D">
        <w:t xml:space="preserve"> British writers.  This is fitting, as the Apostolic Church began in the United Kingdom and all i</w:t>
      </w:r>
      <w:r>
        <w:t xml:space="preserve">ts early leaders were British. </w:t>
      </w:r>
      <w:r w:rsidRPr="006C658D">
        <w:t xml:space="preserve">Thus the true distinctives of Apostolic </w:t>
      </w:r>
      <w:r>
        <w:t>ecclesiology</w:t>
      </w:r>
      <w:r w:rsidRPr="006C658D">
        <w:t xml:space="preserve"> should all be found among her early British leaders.  Two caveats are in order here.  Firstly, the nationality of the writer may not always be known, thus any official publication of the Apostolic Church in the United Kingdom will be accepted for the purposes of this research as ‘British’ (the link to the British Church rather than British citizenship being the important matter).  Secondly, many prominent leaders and writers were sent out from the UK as missionaries and served in other countries; in these cases their writings will also be accepted as British.</w:t>
      </w:r>
    </w:p>
    <w:p w:rsidR="00062AED" w:rsidRPr="006C658D" w:rsidRDefault="00062AED" w:rsidP="009370EA">
      <w:pPr>
        <w:spacing w:line="360" w:lineRule="auto"/>
        <w:jc w:val="both"/>
      </w:pPr>
      <w:r w:rsidRPr="006C658D">
        <w:t>This leads me on to my third limitation: that of language. Only writings available in English or Welsh will be included in the research, these being the languages of the Apostolic Church in the UK.</w:t>
      </w:r>
    </w:p>
    <w:p w:rsidR="00062AED" w:rsidRPr="006C658D" w:rsidRDefault="00062AED" w:rsidP="009370EA">
      <w:pPr>
        <w:spacing w:line="360" w:lineRule="auto"/>
        <w:jc w:val="both"/>
      </w:pPr>
      <w:r w:rsidRPr="006C658D">
        <w:t>Finally, a</w:t>
      </w:r>
      <w:r>
        <w:t>n</w:t>
      </w:r>
      <w:r w:rsidRPr="006C658D">
        <w:t xml:space="preserve"> historical limitation is in order. The Apostolic Church has been in existence since 1916, with a pre-history which stretches back to the Welsh Revival of 1904.  In the past century emphases have changed, as have the external influences upon the Apostolic Church.  </w:t>
      </w:r>
      <w:r>
        <w:t>I</w:t>
      </w:r>
      <w:r w:rsidRPr="006C658D">
        <w:t>t will not be possible to take into account the full sweep of this history. Thus I shall not look at the pre-history of the Apostolic Church and its period as part of the Apostolic Faith Church.</w:t>
      </w:r>
      <w:r>
        <w:rPr>
          <w:rStyle w:val="FootnoteReference"/>
        </w:rPr>
        <w:footnoteReference w:id="33"/>
      </w:r>
      <w:r w:rsidRPr="006C658D">
        <w:t xml:space="preserve"> Rather I shall commence in 1916 at the commencement of the Apostolic Church as a separate movement. This means that no Apostolic Faith Church sources will be consulted</w:t>
      </w:r>
      <w:r>
        <w:t>.</w:t>
      </w:r>
    </w:p>
    <w:p w:rsidR="00062AED" w:rsidRPr="006C658D" w:rsidRDefault="00062AED" w:rsidP="009370EA">
      <w:pPr>
        <w:spacing w:line="360" w:lineRule="auto"/>
        <w:jc w:val="both"/>
      </w:pPr>
      <w:r>
        <w:t>The choice of an end point</w:t>
      </w:r>
      <w:r w:rsidRPr="006C658D">
        <w:t xml:space="preserve"> is rather more arbitrary. Desiring to include the work of all the early leaders of the movement means continuing until at least 1977 when T.N. Turnbull wrote a series </w:t>
      </w:r>
      <w:r w:rsidRPr="006C658D">
        <w:lastRenderedPageBreak/>
        <w:t xml:space="preserve">of articles on ‘The Body of Christ’ in </w:t>
      </w:r>
      <w:r w:rsidRPr="006C658D">
        <w:rPr>
          <w:i/>
          <w:iCs/>
        </w:rPr>
        <w:t>Riches of Grace</w:t>
      </w:r>
      <w:r w:rsidRPr="006C658D">
        <w:t xml:space="preserve">. Turnbull </w:t>
      </w:r>
      <w:r>
        <w:t>was part of the Apostolic Church from its commencement in Scotland, was</w:t>
      </w:r>
      <w:r w:rsidRPr="006C658D">
        <w:t xml:space="preserve"> ordained a prophet in 1920</w:t>
      </w:r>
      <w:r>
        <w:t>,</w:t>
      </w:r>
      <w:r w:rsidRPr="006C658D">
        <w:t xml:space="preserve"> and was an important writer in the Church.</w:t>
      </w:r>
    </w:p>
    <w:p w:rsidR="00062AED" w:rsidRDefault="00062AED" w:rsidP="009370EA">
      <w:pPr>
        <w:spacing w:line="360" w:lineRule="auto"/>
        <w:jc w:val="both"/>
      </w:pPr>
      <w:r w:rsidRPr="006C658D">
        <w:t>Thus I am limiting my research to documents written in either English or Welsh between 1916 and 1977 in the context of the British Apostolic Church (as clarified above).</w:t>
      </w:r>
      <w:r>
        <w:t xml:space="preserve"> This will be further limited by the availability of extant materials. Due to limitations of space, the dissertation will concentrate on significant themes and figures.</w:t>
      </w:r>
    </w:p>
    <w:p w:rsidR="00062AED" w:rsidRDefault="00062AED" w:rsidP="009370EA">
      <w:pPr>
        <w:spacing w:line="360" w:lineRule="auto"/>
        <w:jc w:val="both"/>
      </w:pPr>
    </w:p>
    <w:p w:rsidR="00062AED" w:rsidRPr="00B1032A" w:rsidRDefault="00062AED" w:rsidP="009370EA">
      <w:pPr>
        <w:pStyle w:val="PhDSubheading"/>
        <w:spacing w:line="360" w:lineRule="auto"/>
      </w:pPr>
      <w:r>
        <w:t xml:space="preserve">1.7 </w:t>
      </w:r>
      <w:r w:rsidRPr="00B1032A">
        <w:t>Methodology</w:t>
      </w:r>
    </w:p>
    <w:p w:rsidR="00062AED" w:rsidRDefault="00062AED" w:rsidP="009370EA">
      <w:pPr>
        <w:spacing w:line="360" w:lineRule="auto"/>
        <w:jc w:val="both"/>
      </w:pPr>
      <w:r>
        <w:t>The first four chapters of this work will deal with historical theology, looking at several significant aspects of the ecclesiology of the early British Apostolics. As this is a Pentecostal ecclesiology, we shall commence with the Baptism in the Holy Spirit, before moving on to look at the Trinity, the church as the Body of Christ, and the central theme of Apostolic theology, the Eternal Purpose of God. Due to the vast number of Apostolic writers and the large quantity of material which they produced, this investigation of historical theology will not be able to treat all Apostolic Church writings within the timeframe covered by the research. Major focus will be given to D.P. Williams’ thought, both as representative and foundational to Apostolic theology.</w:t>
      </w:r>
    </w:p>
    <w:p w:rsidR="00062AED" w:rsidRDefault="00062AED" w:rsidP="009370EA">
      <w:pPr>
        <w:spacing w:line="360" w:lineRule="auto"/>
        <w:jc w:val="both"/>
      </w:pPr>
      <w:r>
        <w:t>A thematic, rather than chronological, approach will be followed in the historical theology chapters. For most of the writers under consideration this is necessary as there is insufficient material to trace any potential development of thought. In the case of D.P. Williams, while there is ample material to consider such development (and a few developments in his thought will be noted), on the whole his theology demonstrates a marked consistency. Furthermore, as this is not purely a piece of historical theology, a thematic approach will make a greater contribution to the constructive part of this project.</w:t>
      </w:r>
    </w:p>
    <w:p w:rsidR="00062AED" w:rsidRDefault="00062AED" w:rsidP="009370EA">
      <w:pPr>
        <w:spacing w:line="360" w:lineRule="auto"/>
        <w:jc w:val="both"/>
      </w:pPr>
      <w:r>
        <w:t>The final chapter of the dissertation will be an exercise in constructive systematic theology. As this constructive theology is not only based upon the early theology of the British Apostolic Church, but also seeks to make a constructive contribution back to the Apostolic Church and other Pentecostals, it will proceed by working within a set of presuppositions which would be accepted by an Apostolic/Pentecostal readership. While some of these presuppositions, such as the doctrine of subsequence, are noted later, here it will suffice to say that the constructive work will proceed by assuming the presupposition of the authority of Scripture for theology, as well as assuming a canonical reading of Scripture.</w:t>
      </w:r>
    </w:p>
    <w:p w:rsidR="00062AED" w:rsidRDefault="00062AED" w:rsidP="009370EA">
      <w:pPr>
        <w:spacing w:line="360" w:lineRule="auto"/>
        <w:rPr>
          <w:b/>
          <w:i/>
          <w:sz w:val="28"/>
        </w:rPr>
      </w:pPr>
      <w:r>
        <w:rPr>
          <w:b/>
          <w:i/>
          <w:sz w:val="28"/>
        </w:rPr>
        <w:lastRenderedPageBreak/>
        <w:br w:type="page"/>
      </w:r>
    </w:p>
    <w:p w:rsidR="00AB7F70" w:rsidRDefault="00AB7F70" w:rsidP="009370EA">
      <w:pPr>
        <w:pStyle w:val="PhDChapterTitle"/>
        <w:spacing w:line="360" w:lineRule="auto"/>
      </w:pPr>
      <w:r>
        <w:lastRenderedPageBreak/>
        <w:t>Chapter 2</w:t>
      </w:r>
    </w:p>
    <w:p w:rsidR="00CE0848" w:rsidRDefault="00CE0848" w:rsidP="009370EA">
      <w:pPr>
        <w:pStyle w:val="PhDChapterTitle"/>
        <w:spacing w:line="360" w:lineRule="auto"/>
      </w:pPr>
      <w:r w:rsidRPr="00CE0848">
        <w:t xml:space="preserve">The Spirit and the Bride: Pneumatology for a Pentecostal Ecclesiology </w:t>
      </w:r>
    </w:p>
    <w:p w:rsidR="00973BD0" w:rsidRDefault="00973BD0" w:rsidP="009370EA">
      <w:pPr>
        <w:pStyle w:val="PhDChapterTitle"/>
        <w:spacing w:line="360" w:lineRule="auto"/>
      </w:pPr>
    </w:p>
    <w:p w:rsidR="00973BD0" w:rsidRPr="00CE0848" w:rsidRDefault="00973BD0" w:rsidP="009370EA">
      <w:pPr>
        <w:pStyle w:val="PhDChapterTitle"/>
        <w:spacing w:line="360" w:lineRule="auto"/>
      </w:pPr>
    </w:p>
    <w:p w:rsidR="002F06A9" w:rsidRPr="00CE0848" w:rsidRDefault="009F2554" w:rsidP="009370EA">
      <w:pPr>
        <w:pStyle w:val="PhDSubheading"/>
        <w:spacing w:line="360" w:lineRule="auto"/>
      </w:pPr>
      <w:r>
        <w:t xml:space="preserve">2.1 </w:t>
      </w:r>
      <w:r w:rsidR="002F7333" w:rsidRPr="00CE0848">
        <w:t>The Baptism of the Holy Spirit</w:t>
      </w:r>
    </w:p>
    <w:p w:rsidR="00D02F38" w:rsidRDefault="00D02F38" w:rsidP="009370EA">
      <w:pPr>
        <w:spacing w:line="360" w:lineRule="auto"/>
        <w:jc w:val="both"/>
      </w:pPr>
      <w:r>
        <w:t>No discussion of Pentecostal theology is possible without an acknowledgement of the significant role played by the Pentecostal concept of the baptism of the Holy Spirit</w:t>
      </w:r>
      <w:r w:rsidR="00682D80">
        <w:t xml:space="preserve"> (BHS)</w:t>
      </w:r>
      <w:r>
        <w:t>. As Frank Macchia has argued substantially, this baptism of the Spirit is the central distinctive of Pentecostal thought.</w:t>
      </w:r>
      <w:r>
        <w:rPr>
          <w:rStyle w:val="FootnoteReference"/>
        </w:rPr>
        <w:footnoteReference w:id="34"/>
      </w:r>
      <w:r w:rsidR="002073A0">
        <w:t xml:space="preserve"> While Macchia notes that there have been variations in the understanding of </w:t>
      </w:r>
      <w:r w:rsidR="00336C5A">
        <w:t>BHS</w:t>
      </w:r>
      <w:r w:rsidR="002073A0">
        <w:t xml:space="preserve"> among different varieties of Pentecostalism around the world, he argues that the concept, irrespective of these differences</w:t>
      </w:r>
      <w:r w:rsidR="00336C5A">
        <w:t>,</w:t>
      </w:r>
      <w:r w:rsidR="002073A0">
        <w:t xml:space="preserve"> remains central to Pentecostal identity, seeing a ‘global Pentecostal affirmation of Spirit baptism as a central theological concern.’</w:t>
      </w:r>
      <w:r w:rsidR="002073A0">
        <w:rPr>
          <w:rStyle w:val="FootnoteReference"/>
        </w:rPr>
        <w:footnoteReference w:id="35"/>
      </w:r>
      <w:r w:rsidR="00F5249B">
        <w:t xml:space="preserve"> Macchia makes the case that </w:t>
      </w:r>
      <w:r w:rsidR="00336C5A">
        <w:t>BHS</w:t>
      </w:r>
      <w:r w:rsidR="00F5249B">
        <w:t xml:space="preserve"> is ‘the crown jewel of Pentecostal distinctives’,</w:t>
      </w:r>
      <w:r w:rsidR="00F5249B">
        <w:rPr>
          <w:rStyle w:val="FootnoteReference"/>
        </w:rPr>
        <w:footnoteReference w:id="36"/>
      </w:r>
      <w:r w:rsidR="00F5249B">
        <w:t xml:space="preserve"> a case which has received support from other prominent Pentecostal theologians such as Simon Chan.</w:t>
      </w:r>
      <w:r w:rsidR="00F5249B">
        <w:rPr>
          <w:rStyle w:val="FootnoteReference"/>
        </w:rPr>
        <w:footnoteReference w:id="37"/>
      </w:r>
      <w:r w:rsidR="000732F6">
        <w:t xml:space="preserve"> </w:t>
      </w:r>
    </w:p>
    <w:p w:rsidR="00A55DCB" w:rsidRPr="00D02F38" w:rsidRDefault="006808C4" w:rsidP="00A55DCB">
      <w:pPr>
        <w:spacing w:line="360" w:lineRule="auto"/>
        <w:jc w:val="both"/>
      </w:pPr>
      <w:r>
        <w:t xml:space="preserve">If this is the case, then it is to be expected that the doctrine of </w:t>
      </w:r>
      <w:r w:rsidR="00336C5A">
        <w:t>BHS</w:t>
      </w:r>
      <w:r>
        <w:t xml:space="preserve"> would have a significant impact on the ecclesiological thought of the </w:t>
      </w:r>
      <w:r w:rsidR="009B0FFC">
        <w:t xml:space="preserve">early British Apostolics. This matter is of particular importance if their ecclesiology is to make a contribution to wider Pentecostal theological thought. The question of the role of </w:t>
      </w:r>
      <w:r w:rsidR="00336C5A">
        <w:t>BHS</w:t>
      </w:r>
      <w:r w:rsidR="009B0FFC">
        <w:t xml:space="preserve"> in Apostolic ecclesiology will lead to an answer to the question of the wider significance of Apostolic ecclesiology. Did they merely borrow from conservative evangelical ecclesiology (an accusation levelled against much Pentecostal ecclesiology)? Did they develop an idiosyncratic ecclesiology that is of interest only as a historical curiosity? Or did they develop an ecclesiology which speaks and can make a contribution to Pentecostal ecclesiology today?</w:t>
      </w:r>
      <w:r w:rsidR="002F2EC4">
        <w:t xml:space="preserve"> If </w:t>
      </w:r>
      <w:r w:rsidR="00D9000A">
        <w:t>BHS</w:t>
      </w:r>
      <w:r w:rsidR="002F2EC4">
        <w:t xml:space="preserve"> plays a significant role in their ecclesiology that would suggest that the third of these options is correct.</w:t>
      </w:r>
    </w:p>
    <w:p w:rsidR="002F7333" w:rsidRPr="002F7333" w:rsidRDefault="009F2554" w:rsidP="009370EA">
      <w:pPr>
        <w:pStyle w:val="PhDSubheading"/>
        <w:spacing w:line="360" w:lineRule="auto"/>
      </w:pPr>
      <w:r>
        <w:t xml:space="preserve">2.1.1  </w:t>
      </w:r>
      <w:r w:rsidR="002F7333" w:rsidRPr="002F7333">
        <w:t xml:space="preserve">Classical Pentecostal Attempts at Defining </w:t>
      </w:r>
      <w:r w:rsidR="00D9000A">
        <w:t>BHS</w:t>
      </w:r>
    </w:p>
    <w:p w:rsidR="002F7333" w:rsidRDefault="002F7333" w:rsidP="009370EA">
      <w:pPr>
        <w:spacing w:line="360" w:lineRule="auto"/>
        <w:jc w:val="both"/>
      </w:pPr>
      <w:r w:rsidRPr="002F7333">
        <w:t xml:space="preserve">Given that </w:t>
      </w:r>
      <w:r w:rsidR="00D9000A">
        <w:t>BHS</w:t>
      </w:r>
      <w:r w:rsidRPr="002F7333">
        <w:t xml:space="preserve"> is widely considered to be the Pentecostal distinctive, it must be asked what Pentecostals mean by </w:t>
      </w:r>
      <w:r w:rsidR="00D9000A">
        <w:t>BHS</w:t>
      </w:r>
      <w:r w:rsidRPr="002F7333">
        <w:t xml:space="preserve">. Contemporary Pentecostal theologians have taken a wide variety of approaches to defining this distinctive, however, given the historical nature of this research, it </w:t>
      </w:r>
      <w:r w:rsidRPr="002F7333">
        <w:lastRenderedPageBreak/>
        <w:t xml:space="preserve">will </w:t>
      </w:r>
      <w:r w:rsidR="00C66AB1">
        <w:t xml:space="preserve">be </w:t>
      </w:r>
      <w:r w:rsidRPr="002F7333">
        <w:t xml:space="preserve">profitable to consider some typical historical representatives of the tradition in their attempts at defining </w:t>
      </w:r>
      <w:r w:rsidR="00D9000A">
        <w:t>BHS</w:t>
      </w:r>
      <w:r w:rsidRPr="002F7333">
        <w:t xml:space="preserve">. Thus, we shall make a brief consideration of three typical representatives of the classical Pentecostal tradition in its approach to </w:t>
      </w:r>
      <w:r w:rsidR="00D9000A">
        <w:t>BHS</w:t>
      </w:r>
      <w:r w:rsidRPr="002F7333">
        <w:t xml:space="preserve">, before moving on to focus on how this Pentecostal distinctive was defined specifically within the context of the British Apostolic Church. </w:t>
      </w:r>
    </w:p>
    <w:p w:rsidR="002F7333" w:rsidRDefault="002F7333" w:rsidP="009370EA">
      <w:pPr>
        <w:spacing w:line="360" w:lineRule="auto"/>
        <w:jc w:val="both"/>
      </w:pPr>
      <w:r>
        <w:t>The three typical representatives of wider Pentecostalism on wh</w:t>
      </w:r>
      <w:r w:rsidR="00806BA7">
        <w:t>om</w:t>
      </w:r>
      <w:r>
        <w:t xml:space="preserve"> we shall now focus our attention are Myer Pearlman, Ralph Riggs and Harold Horton. Pearlman (1898-1943) was a Scot who emigrated to the United States in 1915, where he converted to Pentecostalism. Upon graduating from the Central Bible Institute (the main training school of the American </w:t>
      </w:r>
      <w:r w:rsidR="00806BA7">
        <w:t>AoG</w:t>
      </w:r>
      <w:r>
        <w:t>) Pearlman was asked to remain as a lecturer</w:t>
      </w:r>
      <w:r w:rsidR="00F66EA7">
        <w:t>. He was a major writer of 1930s and 1940s American Pentecostalism, and several of his works have been widely translated and are still used today in Pentecostal education around the world.</w:t>
      </w:r>
      <w:r w:rsidR="00F66EA7">
        <w:rPr>
          <w:rStyle w:val="FootnoteReference"/>
        </w:rPr>
        <w:footnoteReference w:id="38"/>
      </w:r>
      <w:r w:rsidR="00F66EA7">
        <w:t xml:space="preserve"> In 1937 his outline of theology, </w:t>
      </w:r>
      <w:r w:rsidR="00F66EA7" w:rsidRPr="00F66EA7">
        <w:rPr>
          <w:i/>
        </w:rPr>
        <w:t>Knowing the Doctrines of the Bible</w:t>
      </w:r>
      <w:r w:rsidR="00F66EA7">
        <w:t xml:space="preserve"> was published, which has had an enduring influence on Pentecostal thought.</w:t>
      </w:r>
      <w:r w:rsidR="00F66EA7">
        <w:rPr>
          <w:rStyle w:val="FootnoteReference"/>
        </w:rPr>
        <w:footnoteReference w:id="39"/>
      </w:r>
      <w:r w:rsidR="00F66EA7">
        <w:t xml:space="preserve"> This </w:t>
      </w:r>
      <w:r w:rsidR="00AF314B">
        <w:t>best</w:t>
      </w:r>
      <w:r w:rsidR="00F66EA7">
        <w:t>-known of Pearlman’s works is in fact ‘a complete systematic theology in itself’</w:t>
      </w:r>
      <w:r w:rsidR="00F66EA7">
        <w:rPr>
          <w:rStyle w:val="FootnoteReference"/>
        </w:rPr>
        <w:footnoteReference w:id="40"/>
      </w:r>
      <w:r w:rsidR="0049664F">
        <w:t>, although, like other early Pentecostal attempts at systematic theology, ‘marketed by denominational publishing houses that do not specialize in literature which meets the criteria of critical scholarship or academic theology’</w:t>
      </w:r>
      <w:r w:rsidR="0049664F">
        <w:rPr>
          <w:rStyle w:val="FootnoteReference"/>
        </w:rPr>
        <w:footnoteReference w:id="41"/>
      </w:r>
      <w:r w:rsidR="0049664F">
        <w:t>, and following ‘what some call the “Bible Doctrines” theological method, according to which systematic theology is little more than a comprehensive, topical organization of the Bible’s contents.’</w:t>
      </w:r>
      <w:r w:rsidR="0049664F">
        <w:rPr>
          <w:rStyle w:val="FootnoteReference"/>
        </w:rPr>
        <w:footnoteReference w:id="42"/>
      </w:r>
      <w:r w:rsidR="001725F2">
        <w:t xml:space="preserve"> Thus Pearlman provides a relatively early, internationally influential, and systematic approach to the Pentecostal doctrine of </w:t>
      </w:r>
      <w:r w:rsidR="0094213C">
        <w:t>BHS</w:t>
      </w:r>
      <w:r w:rsidR="001725F2">
        <w:t>.</w:t>
      </w:r>
    </w:p>
    <w:p w:rsidR="001725F2" w:rsidRDefault="001725F2" w:rsidP="009370EA">
      <w:pPr>
        <w:spacing w:line="360" w:lineRule="auto"/>
        <w:jc w:val="both"/>
      </w:pPr>
      <w:r>
        <w:t xml:space="preserve">Ralph M. Riggs (1895-1971) wrote just over a decade later than Pearlman, although the two taught together at Central Bible Institute for two years </w:t>
      </w:r>
      <w:r w:rsidR="009A4F4C">
        <w:t>from 1929.</w:t>
      </w:r>
      <w:r w:rsidR="009A4F4C">
        <w:rPr>
          <w:rStyle w:val="FootnoteReference"/>
        </w:rPr>
        <w:footnoteReference w:id="43"/>
      </w:r>
      <w:r>
        <w:t xml:space="preserve">  Like Pearlman, Riggs was setting out a systematic account of </w:t>
      </w:r>
      <w:r w:rsidR="0094213C">
        <w:t>BHS</w:t>
      </w:r>
      <w:r>
        <w:t xml:space="preserve"> from within the context of North American Pentecostalism, and specifically from an </w:t>
      </w:r>
      <w:r w:rsidR="00806BA7">
        <w:t>AoG</w:t>
      </w:r>
      <w:r>
        <w:t xml:space="preserve"> perspective.</w:t>
      </w:r>
      <w:r w:rsidR="009A4F4C">
        <w:t xml:space="preserve"> Unlike Pearlman, Riggs was not doing so within the confines of a work setting out the whole scope of Christian doctrine.</w:t>
      </w:r>
      <w:r w:rsidR="0023390C">
        <w:rPr>
          <w:rStyle w:val="FootnoteReference"/>
        </w:rPr>
        <w:footnoteReference w:id="44"/>
      </w:r>
      <w:r w:rsidR="009A4F4C">
        <w:t xml:space="preserve"> Later Riggs would serve as General Superintendent of the </w:t>
      </w:r>
      <w:r w:rsidR="00806BA7">
        <w:t>AoG</w:t>
      </w:r>
      <w:r w:rsidR="009A4F4C">
        <w:t xml:space="preserve">, which may be a significant factor in the </w:t>
      </w:r>
      <w:r w:rsidR="009A4F4C">
        <w:lastRenderedPageBreak/>
        <w:t>influence of his writing.</w:t>
      </w:r>
      <w:r w:rsidR="0023390C">
        <w:rPr>
          <w:rStyle w:val="FootnoteReference"/>
        </w:rPr>
        <w:footnoteReference w:id="45"/>
      </w:r>
      <w:r w:rsidR="00C96AD4">
        <w:t xml:space="preserve"> Frederick Dale Bruner points to Riggs’ work on the baptism in the Holy Spirit as taking first place among the more important writings on the doctrine produced by Pentecostals after those of Donald Gee.</w:t>
      </w:r>
      <w:r w:rsidR="00C96AD4">
        <w:rPr>
          <w:rStyle w:val="FootnoteReference"/>
        </w:rPr>
        <w:footnoteReference w:id="46"/>
      </w:r>
    </w:p>
    <w:p w:rsidR="00386EE7" w:rsidRDefault="00386EE7" w:rsidP="009370EA">
      <w:pPr>
        <w:spacing w:line="360" w:lineRule="auto"/>
        <w:jc w:val="both"/>
      </w:pPr>
      <w:r>
        <w:t xml:space="preserve">Finally, as both Pearlman and Riggs, despite their wide influence, represent North American Pentecostalism, it would be prudent also to examine the work of an influential British Pentecostal writer. Harold Horton trained as a Methodist </w:t>
      </w:r>
      <w:r w:rsidR="00B574BE">
        <w:t>local preacher and worked as an elocution tutor in West London</w:t>
      </w:r>
      <w:r>
        <w:t xml:space="preserve">, but became a Pentecostal </w:t>
      </w:r>
      <w:r w:rsidR="00B574BE">
        <w:t>after hearing Smith Wigglesworth preach and being healed of a double hernia</w:t>
      </w:r>
      <w:r>
        <w:t>.</w:t>
      </w:r>
      <w:r w:rsidR="00B574BE">
        <w:rPr>
          <w:rStyle w:val="FootnoteReference"/>
        </w:rPr>
        <w:footnoteReference w:id="47"/>
      </w:r>
      <w:r>
        <w:t xml:space="preserve"> </w:t>
      </w:r>
      <w:r w:rsidR="001319FD">
        <w:t>Horton then went on to teach at</w:t>
      </w:r>
      <w:r>
        <w:t xml:space="preserve"> Bible </w:t>
      </w:r>
      <w:r w:rsidR="001319FD">
        <w:t>institutes</w:t>
      </w:r>
      <w:r>
        <w:t xml:space="preserve"> of the British </w:t>
      </w:r>
      <w:r w:rsidR="00806BA7">
        <w:t>AoG</w:t>
      </w:r>
      <w:r w:rsidR="001319FD">
        <w:t xml:space="preserve"> (as well as pastoring several assemblies), and is recognised as </w:t>
      </w:r>
      <w:r>
        <w:t xml:space="preserve">being of particular influence in the development and defence of the doctrine of ‘initial physical evidence’ in the UK (particularly within the </w:t>
      </w:r>
      <w:r w:rsidR="00806BA7">
        <w:t>AoG</w:t>
      </w:r>
      <w:r>
        <w:t>).</w:t>
      </w:r>
      <w:r>
        <w:rPr>
          <w:rStyle w:val="FootnoteReference"/>
        </w:rPr>
        <w:footnoteReference w:id="48"/>
      </w:r>
      <w:r w:rsidR="001319FD">
        <w:t xml:space="preserve"> He is also remembered as one of British Pentecostalism’s foremost English-language hymnwriters.</w:t>
      </w:r>
      <w:r w:rsidR="001319FD">
        <w:rPr>
          <w:rStyle w:val="FootnoteReference"/>
        </w:rPr>
        <w:footnoteReference w:id="49"/>
      </w:r>
      <w:r w:rsidR="002B4669">
        <w:t xml:space="preserve"> Horton’s most influential book was </w:t>
      </w:r>
      <w:r w:rsidR="002B4669" w:rsidRPr="002B4669">
        <w:rPr>
          <w:i/>
        </w:rPr>
        <w:t>The Gifts of the Spirit</w:t>
      </w:r>
      <w:r w:rsidR="002B4669">
        <w:t>,</w:t>
      </w:r>
      <w:r w:rsidR="002B4669">
        <w:rPr>
          <w:rStyle w:val="FootnoteReference"/>
        </w:rPr>
        <w:footnoteReference w:id="50"/>
      </w:r>
      <w:r w:rsidR="002B4669">
        <w:t xml:space="preserve"> which found an international audience and has been translated into several languages.</w:t>
      </w:r>
      <w:r w:rsidR="002B4669">
        <w:rPr>
          <w:rStyle w:val="FootnoteReference"/>
        </w:rPr>
        <w:footnoteReference w:id="51"/>
      </w:r>
    </w:p>
    <w:p w:rsidR="008154B6" w:rsidRDefault="008154B6" w:rsidP="009370EA">
      <w:pPr>
        <w:spacing w:line="360" w:lineRule="auto"/>
        <w:jc w:val="both"/>
      </w:pPr>
    </w:p>
    <w:p w:rsidR="008154B6" w:rsidRPr="008154B6" w:rsidRDefault="009F2554" w:rsidP="009370EA">
      <w:pPr>
        <w:pStyle w:val="PhDSubheading"/>
        <w:spacing w:line="360" w:lineRule="auto"/>
      </w:pPr>
      <w:r>
        <w:t xml:space="preserve">2.1.1.1 </w:t>
      </w:r>
      <w:r w:rsidR="008154B6" w:rsidRPr="008154B6">
        <w:t>Myer Pearlman</w:t>
      </w:r>
      <w:r w:rsidR="00D16811">
        <w:t>:</w:t>
      </w:r>
      <w:r w:rsidR="008154B6" w:rsidRPr="008154B6">
        <w:t xml:space="preserve"> ‘Enduement with Power’</w:t>
      </w:r>
    </w:p>
    <w:p w:rsidR="008154B6" w:rsidRDefault="007D184A" w:rsidP="009370EA">
      <w:pPr>
        <w:spacing w:line="360" w:lineRule="auto"/>
        <w:jc w:val="both"/>
      </w:pPr>
      <w:r>
        <w:t xml:space="preserve">Within his doctrinal work, Pearlman treats the subject of </w:t>
      </w:r>
      <w:r w:rsidR="0094213C">
        <w:t>BHS</w:t>
      </w:r>
      <w:r>
        <w:t xml:space="preserve"> under the heading of ‘Enduement with Power’</w:t>
      </w:r>
      <w:r>
        <w:rPr>
          <w:rStyle w:val="FootnoteReference"/>
        </w:rPr>
        <w:footnoteReference w:id="52"/>
      </w:r>
      <w:r w:rsidR="001D6289">
        <w:t>, which adequately sums up his approach to the doctrine. Having already treated the Spirit’s work in regeneration, Pearlman uses the difference between ‘power for service’ and ‘regeneration for eternal life’ to distinguish between these two works of the Spirit, and hence to undergird a Pentecostal doctrine of subsequence.</w:t>
      </w:r>
      <w:r w:rsidR="001D6289">
        <w:rPr>
          <w:rStyle w:val="FootnoteReference"/>
        </w:rPr>
        <w:footnoteReference w:id="53"/>
      </w:r>
      <w:r w:rsidR="001D6289">
        <w:t xml:space="preserve"> He sees ‘power for service’ as the ‘main </w:t>
      </w:r>
      <w:r w:rsidR="001D6289">
        <w:lastRenderedPageBreak/>
        <w:t>feature’ of Spirit baptism,</w:t>
      </w:r>
      <w:r w:rsidR="001D6289">
        <w:rPr>
          <w:rStyle w:val="FootnoteReference"/>
        </w:rPr>
        <w:footnoteReference w:id="54"/>
      </w:r>
      <w:r w:rsidR="001D6289">
        <w:t xml:space="preserve"> and characterises </w:t>
      </w:r>
      <w:r w:rsidR="0094213C">
        <w:t>BHS</w:t>
      </w:r>
      <w:r w:rsidR="001D6289">
        <w:t xml:space="preserve"> as ‘immersion in the energizing power of the Divine Spirit.’</w:t>
      </w:r>
      <w:r w:rsidR="001D6289">
        <w:rPr>
          <w:rStyle w:val="FootnoteReference"/>
        </w:rPr>
        <w:footnoteReference w:id="55"/>
      </w:r>
    </w:p>
    <w:p w:rsidR="00384D74" w:rsidRDefault="00384D74" w:rsidP="009370EA">
      <w:pPr>
        <w:spacing w:line="360" w:lineRule="auto"/>
        <w:jc w:val="both"/>
      </w:pPr>
      <w:r>
        <w:t>This divine energising is, for Pearlman, particularly associated with outward manifestations of a supernatural character. ‘Accompanying the fulfilment of this promise (Acts 1:8) were supernatural manifestations (Acts 2:1-4), the most important an</w:t>
      </w:r>
      <w:r w:rsidR="0046170F">
        <w:t>d</w:t>
      </w:r>
      <w:r>
        <w:t xml:space="preserve"> common of which was the miraculous utterance in other languages.’</w:t>
      </w:r>
      <w:r>
        <w:rPr>
          <w:rStyle w:val="FootnoteReference"/>
        </w:rPr>
        <w:footnoteReference w:id="56"/>
      </w:r>
      <w:r>
        <w:t xml:space="preserve"> Having established both the difference between </w:t>
      </w:r>
      <w:r w:rsidR="0094213C">
        <w:t>BHS</w:t>
      </w:r>
      <w:r>
        <w:t xml:space="preserve"> and regeneration and tongues as the sign of the baptism, Pearlman draws together his definition of </w:t>
      </w:r>
      <w:r w:rsidR="0094213C">
        <w:t>BHS</w:t>
      </w:r>
      <w:r>
        <w:t>:</w:t>
      </w:r>
    </w:p>
    <w:p w:rsidR="00384D74" w:rsidRPr="00384D74" w:rsidRDefault="00384D74" w:rsidP="009370EA">
      <w:pPr>
        <w:spacing w:line="360" w:lineRule="auto"/>
        <w:ind w:left="720" w:right="720"/>
        <w:jc w:val="both"/>
        <w:rPr>
          <w:sz w:val="20"/>
        </w:rPr>
      </w:pPr>
      <w:r w:rsidRPr="00384D74">
        <w:rPr>
          <w:sz w:val="20"/>
        </w:rPr>
        <w:t>The above facts lead us to this conclusion that in addition and subsequent to conversion, a believer may experience an enduement of power whose initial oncoming is signalized by a miraculous utterance in a language never learned by the speaker.</w:t>
      </w:r>
      <w:r w:rsidRPr="00384D74">
        <w:rPr>
          <w:rStyle w:val="FootnoteReference"/>
          <w:sz w:val="20"/>
        </w:rPr>
        <w:footnoteReference w:id="57"/>
      </w:r>
    </w:p>
    <w:p w:rsidR="00384D74" w:rsidRDefault="008B04E9" w:rsidP="009370EA">
      <w:pPr>
        <w:spacing w:line="360" w:lineRule="auto"/>
        <w:jc w:val="both"/>
      </w:pPr>
      <w:r>
        <w:t xml:space="preserve">Thus Pearlman argues that </w:t>
      </w:r>
      <w:r w:rsidR="0094213C">
        <w:t>BHS</w:t>
      </w:r>
      <w:r>
        <w:t xml:space="preserve"> has ‘for its special purpose the energizing of human nature for special service for God, and issu[es] in an outward expression of a supernatural character.’</w:t>
      </w:r>
      <w:r>
        <w:rPr>
          <w:rStyle w:val="FootnoteReference"/>
        </w:rPr>
        <w:footnoteReference w:id="58"/>
      </w:r>
      <w:r w:rsidR="00DC7230">
        <w:t xml:space="preserve"> The main feature then in Pearlman’s thought on the doctrine is the concept of power for service. It is power given to the believer as an individual and is particularly linked with supernatural manifestations (although Pearlman does not explicitly limit this power to the ability to perform miraculous signs). Although he writes on ecclesiology later in the volume, Pearlman makes no connection between the doctrine of the Church and the ongoing (in contradistinction to the event of the Day of Pentecost) </w:t>
      </w:r>
      <w:r w:rsidR="0094213C">
        <w:t>BHS</w:t>
      </w:r>
      <w:r w:rsidR="00DC7230">
        <w:t>.</w:t>
      </w:r>
    </w:p>
    <w:p w:rsidR="00F831B0" w:rsidRDefault="00F831B0" w:rsidP="009370EA">
      <w:pPr>
        <w:spacing w:line="360" w:lineRule="auto"/>
        <w:jc w:val="both"/>
      </w:pPr>
    </w:p>
    <w:p w:rsidR="00F831B0" w:rsidRPr="00F831B0" w:rsidRDefault="009F2554" w:rsidP="009370EA">
      <w:pPr>
        <w:pStyle w:val="PhDSubheading"/>
        <w:spacing w:line="360" w:lineRule="auto"/>
      </w:pPr>
      <w:r>
        <w:t xml:space="preserve">2.1.1.2 </w:t>
      </w:r>
      <w:r w:rsidR="00F831B0" w:rsidRPr="00F831B0">
        <w:t xml:space="preserve">Ralph M. Riggs: </w:t>
      </w:r>
      <w:r w:rsidR="00D16811">
        <w:t>‘</w:t>
      </w:r>
      <w:r w:rsidR="00F831B0" w:rsidRPr="00F831B0">
        <w:t>The Spirit Himself</w:t>
      </w:r>
      <w:r w:rsidR="00D16811">
        <w:t>’</w:t>
      </w:r>
    </w:p>
    <w:p w:rsidR="00F831B0" w:rsidRDefault="00F831B0" w:rsidP="009370EA">
      <w:pPr>
        <w:spacing w:line="360" w:lineRule="auto"/>
        <w:jc w:val="both"/>
      </w:pPr>
      <w:r>
        <w:t xml:space="preserve">Riggs has considerably more space to devote to the doctrine of </w:t>
      </w:r>
      <w:r w:rsidR="0094213C">
        <w:t>BHS</w:t>
      </w:r>
      <w:r>
        <w:t xml:space="preserve">, </w:t>
      </w:r>
      <w:r w:rsidR="00345126">
        <w:t>and, although agreeing with the content of his former colleague’s presentation</w:t>
      </w:r>
      <w:r w:rsidR="001C65DD">
        <w:t xml:space="preserve"> (not only in terms of significance, but also in terms of </w:t>
      </w:r>
      <w:r w:rsidR="00F6686F">
        <w:t>subsequence</w:t>
      </w:r>
      <w:r w:rsidR="001C65DD">
        <w:t xml:space="preserve"> and tongues as </w:t>
      </w:r>
      <w:r w:rsidR="00F6686F">
        <w:t>evidence</w:t>
      </w:r>
      <w:r w:rsidR="001C65DD">
        <w:t>)</w:t>
      </w:r>
      <w:r w:rsidR="00345126">
        <w:t>, is not afraid to add to Pearlman’s definition.</w:t>
      </w:r>
    </w:p>
    <w:p w:rsidR="00345126" w:rsidRDefault="00345126" w:rsidP="009370EA">
      <w:pPr>
        <w:spacing w:line="360" w:lineRule="auto"/>
        <w:jc w:val="both"/>
      </w:pPr>
      <w:r>
        <w:t xml:space="preserve">Riggs’ book is entitled </w:t>
      </w:r>
      <w:r w:rsidRPr="00345126">
        <w:rPr>
          <w:i/>
        </w:rPr>
        <w:t>The Spirit Himself</w:t>
      </w:r>
      <w:r>
        <w:t xml:space="preserve">, and that emphasis shines through clearly in his treatment of </w:t>
      </w:r>
      <w:r w:rsidR="0094213C">
        <w:t>BHS</w:t>
      </w:r>
      <w:r>
        <w:t xml:space="preserve">. While Pearlman is content to talk in terms of </w:t>
      </w:r>
      <w:r w:rsidRPr="00775A27">
        <w:t>power</w:t>
      </w:r>
      <w:r>
        <w:t xml:space="preserve">, Riggs is much more </w:t>
      </w:r>
      <w:r>
        <w:lastRenderedPageBreak/>
        <w:t>careful to locate that power in the very person of the Holy Spirit himself</w:t>
      </w:r>
      <w:r w:rsidR="00CA3C78">
        <w:t>,</w:t>
      </w:r>
      <w:r w:rsidR="00FB6B22">
        <w:rPr>
          <w:rStyle w:val="FootnoteReference"/>
        </w:rPr>
        <w:footnoteReference w:id="59"/>
      </w:r>
      <w:r w:rsidR="00CA3C78">
        <w:t xml:space="preserve"> and as a result can see a wider scope than merely power within </w:t>
      </w:r>
      <w:r w:rsidR="0094213C">
        <w:t>BHS</w:t>
      </w:r>
      <w:r w:rsidR="00CA3C78">
        <w:t>.</w:t>
      </w:r>
    </w:p>
    <w:p w:rsidR="00CA3C78" w:rsidRDefault="00CA3C78" w:rsidP="009370EA">
      <w:pPr>
        <w:spacing w:line="360" w:lineRule="auto"/>
        <w:jc w:val="both"/>
      </w:pPr>
      <w:r>
        <w:t>This wider scope includes refreshing,</w:t>
      </w:r>
      <w:r>
        <w:rPr>
          <w:rStyle w:val="FootnoteReference"/>
        </w:rPr>
        <w:footnoteReference w:id="60"/>
      </w:r>
      <w:r>
        <w:t xml:space="preserve"> preserving,</w:t>
      </w:r>
      <w:r>
        <w:rPr>
          <w:rStyle w:val="FootnoteReference"/>
        </w:rPr>
        <w:footnoteReference w:id="61"/>
      </w:r>
      <w:r>
        <w:t xml:space="preserve"> consecration,</w:t>
      </w:r>
      <w:r>
        <w:rPr>
          <w:rStyle w:val="FootnoteReference"/>
        </w:rPr>
        <w:footnoteReference w:id="62"/>
      </w:r>
      <w:r>
        <w:t xml:space="preserve"> and ‘a sample and foretaste of that effulgence of glory which will be ours at the coming of our Lord.’</w:t>
      </w:r>
      <w:r>
        <w:rPr>
          <w:rStyle w:val="FootnoteReference"/>
        </w:rPr>
        <w:footnoteReference w:id="63"/>
      </w:r>
      <w:r w:rsidR="00BD3CAD">
        <w:t xml:space="preserve"> </w:t>
      </w:r>
      <w:r w:rsidR="00AD3372">
        <w:t xml:space="preserve">Riggs writes somewhat ambiguously of </w:t>
      </w:r>
      <w:r w:rsidR="0094213C">
        <w:t>BHS</w:t>
      </w:r>
      <w:r w:rsidR="00AD3372">
        <w:t xml:space="preserve"> as a gateway to the leading and equipping of the Spirit, but he would seem here to be tending towards speaking of something that results after </w:t>
      </w:r>
      <w:r w:rsidR="0094213C">
        <w:t>BHS</w:t>
      </w:r>
      <w:r w:rsidR="00AD3372">
        <w:t xml:space="preserve"> (perhaps the gifts of the Spirit) rather than to something in the nature of </w:t>
      </w:r>
      <w:r w:rsidR="0094213C">
        <w:t>BHS</w:t>
      </w:r>
      <w:r w:rsidR="00AD3372">
        <w:t xml:space="preserve"> itself.</w:t>
      </w:r>
      <w:r w:rsidR="00AD3372">
        <w:rPr>
          <w:rStyle w:val="FootnoteReference"/>
        </w:rPr>
        <w:footnoteReference w:id="64"/>
      </w:r>
      <w:r w:rsidR="00AD3372">
        <w:t xml:space="preserve"> </w:t>
      </w:r>
      <w:r w:rsidR="00BD3CAD">
        <w:t>He also makes brief mention of ‘a life of intimacy with God’ as a significant proof ‘the one is filled with the Holy Spirit’, yet does not further develop this thought.</w:t>
      </w:r>
      <w:r w:rsidR="00BD3CAD">
        <w:rPr>
          <w:rStyle w:val="FootnoteReference"/>
        </w:rPr>
        <w:footnoteReference w:id="65"/>
      </w:r>
    </w:p>
    <w:p w:rsidR="00AB61D3" w:rsidRDefault="00AB61D3" w:rsidP="009370EA">
      <w:pPr>
        <w:spacing w:line="360" w:lineRule="auto"/>
        <w:jc w:val="both"/>
      </w:pPr>
      <w:r>
        <w:t xml:space="preserve">Despite these indications of a wider impact of </w:t>
      </w:r>
      <w:r w:rsidR="0094213C">
        <w:t>BHS</w:t>
      </w:r>
      <w:r>
        <w:t xml:space="preserve">, Riggs still keeps ‘power to witness’ at the centre of </w:t>
      </w:r>
      <w:r w:rsidR="0094213C">
        <w:t xml:space="preserve">the </w:t>
      </w:r>
      <w:r w:rsidR="00D23116">
        <w:t>concept. ‘“</w:t>
      </w:r>
      <w:r>
        <w:t>Power to witness” is this mighty Baptism in the Spirit.’</w:t>
      </w:r>
      <w:r>
        <w:rPr>
          <w:rStyle w:val="FootnoteReference"/>
        </w:rPr>
        <w:footnoteReference w:id="66"/>
      </w:r>
      <w:r w:rsidR="000A30EA">
        <w:t xml:space="preserve"> He links ‘the promise of the Father’ tightly to ‘power from on high’ and so sees </w:t>
      </w:r>
      <w:r w:rsidR="0094213C">
        <w:t>BHS</w:t>
      </w:r>
      <w:r w:rsidR="000A30EA">
        <w:t xml:space="preserve"> as ‘the </w:t>
      </w:r>
      <w:r w:rsidR="000A30EA" w:rsidRPr="000A30EA">
        <w:rPr>
          <w:i/>
        </w:rPr>
        <w:t>sine qua non</w:t>
      </w:r>
      <w:r w:rsidR="000A30EA">
        <w:t xml:space="preserve"> of </w:t>
      </w:r>
      <w:r w:rsidR="008C38C2">
        <w:t>Christian</w:t>
      </w:r>
      <w:r w:rsidR="000A30EA">
        <w:t xml:space="preserve"> service.’</w:t>
      </w:r>
      <w:r w:rsidR="000A30EA">
        <w:rPr>
          <w:rStyle w:val="FootnoteReference"/>
        </w:rPr>
        <w:footnoteReference w:id="67"/>
      </w:r>
    </w:p>
    <w:p w:rsidR="001B72F1" w:rsidRDefault="001B72F1" w:rsidP="009370EA">
      <w:pPr>
        <w:spacing w:line="360" w:lineRule="auto"/>
        <w:jc w:val="both"/>
      </w:pPr>
      <w:r>
        <w:t xml:space="preserve">Yet, when Riggs offers his own definition of </w:t>
      </w:r>
      <w:r w:rsidR="0094213C">
        <w:t>BHS</w:t>
      </w:r>
      <w:r>
        <w:t xml:space="preserve">, he approaches it from a somewhat different angle, which allows him both to maintain the emphasis on power for evangelism, yet at the same time to open up the experience to those other aspects which he has mentioned (even if he has not significantly developed those lines of thought). </w:t>
      </w:r>
      <w:r w:rsidR="00DD1F21">
        <w:t xml:space="preserve"> Riggs</w:t>
      </w:r>
      <w:r w:rsidR="00A030F7">
        <w:t>’</w:t>
      </w:r>
      <w:r w:rsidR="00DD1F21">
        <w:t xml:space="preserve"> definition then is:</w:t>
      </w:r>
    </w:p>
    <w:p w:rsidR="006A647B" w:rsidRPr="003F1081" w:rsidRDefault="006A647B" w:rsidP="009370EA">
      <w:pPr>
        <w:spacing w:line="360" w:lineRule="auto"/>
        <w:ind w:left="720" w:right="720"/>
        <w:jc w:val="both"/>
        <w:rPr>
          <w:sz w:val="20"/>
        </w:rPr>
      </w:pPr>
      <w:r w:rsidRPr="003F1081">
        <w:rPr>
          <w:sz w:val="20"/>
        </w:rPr>
        <w:t>This experience marks the coming of the Holy Spirit into one’s life as a Person in His own right. As the Spirit of Christ, He had come at conversion, imparting the Christ-life, revealing Christ, and making Him real. At the Baptism in the Spirit, He Himself in His own person comes upon and fills the waiting believer. This experience is as distinct from conversion as the Holy Spirit is distinct from Christ. His coming to the believer at the Baptism is the coming of the Third Person of the Trinity, in addition to the coming of Christ, which takes place at conversion. This is a part of ‘so great salvation’ and is God’s definite gift offered to man.</w:t>
      </w:r>
      <w:r w:rsidRPr="003F1081">
        <w:rPr>
          <w:rStyle w:val="FootnoteReference"/>
          <w:sz w:val="20"/>
        </w:rPr>
        <w:footnoteReference w:id="68"/>
      </w:r>
    </w:p>
    <w:p w:rsidR="003F1081" w:rsidRDefault="00C40283" w:rsidP="009370EA">
      <w:pPr>
        <w:spacing w:line="360" w:lineRule="auto"/>
        <w:jc w:val="both"/>
      </w:pPr>
      <w:r>
        <w:lastRenderedPageBreak/>
        <w:t>Riggs</w:t>
      </w:r>
      <w:r w:rsidR="007C32AC">
        <w:t>’</w:t>
      </w:r>
      <w:r>
        <w:t xml:space="preserve"> definition opens up significant Trinitarian questions, but, alas, he offers no answers. His defining of </w:t>
      </w:r>
      <w:r w:rsidR="00DE7001">
        <w:t>BHS</w:t>
      </w:r>
      <w:r>
        <w:t xml:space="preserve"> in terms of the person of the Spirit, however, does allow for a wider understanding of the Pentecostal experience than Pearlman’s strict limitation to power and supernatural manifestations, although still allowing power and supernatural manifestations to take the central place in his wider exposition of the doctrine.</w:t>
      </w:r>
    </w:p>
    <w:p w:rsidR="00C40283" w:rsidRDefault="00C40283" w:rsidP="009370EA">
      <w:pPr>
        <w:spacing w:line="360" w:lineRule="auto"/>
        <w:jc w:val="both"/>
      </w:pPr>
      <w:r>
        <w:t xml:space="preserve">Finally, like Pearlman, Riggs makes no connection between </w:t>
      </w:r>
      <w:r w:rsidR="00DE7001">
        <w:t>BHS</w:t>
      </w:r>
      <w:r>
        <w:t xml:space="preserve"> and the ontology of the Church. He does attempt to come to terms with 1 Corinthians 12:13 (‘</w:t>
      </w:r>
      <w:r w:rsidRPr="00C40283">
        <w:t>For by one Spirit we were all baptized into one body</w:t>
      </w:r>
      <w:r>
        <w:t>’), but does so by positing a baptism by the Spirit into the Body (at conversion) as distinct from the Pentecostal baptism by Christ in the Spirit.</w:t>
      </w:r>
      <w:r w:rsidR="00A36465">
        <w:t xml:space="preserve"> Ultimately such an interpretation is unsatisfactory, but it does enable Riggs to strictly separate </w:t>
      </w:r>
      <w:r w:rsidR="00DE7001">
        <w:t>BHS</w:t>
      </w:r>
      <w:r w:rsidR="00A36465">
        <w:t xml:space="preserve"> from the essence of the Church.</w:t>
      </w:r>
    </w:p>
    <w:p w:rsidR="00D16811" w:rsidRDefault="00D16811" w:rsidP="009370EA">
      <w:pPr>
        <w:spacing w:line="360" w:lineRule="auto"/>
        <w:jc w:val="both"/>
      </w:pPr>
    </w:p>
    <w:p w:rsidR="00D16811" w:rsidRPr="00D16811" w:rsidRDefault="009F2554" w:rsidP="009370EA">
      <w:pPr>
        <w:pStyle w:val="PhDSubheading"/>
        <w:spacing w:line="360" w:lineRule="auto"/>
      </w:pPr>
      <w:r>
        <w:t xml:space="preserve">2.1.1.3 </w:t>
      </w:r>
      <w:r w:rsidR="00D16811" w:rsidRPr="00D16811">
        <w:t>Harold Horton: ‘That we might receive power’</w:t>
      </w:r>
    </w:p>
    <w:p w:rsidR="00D16811" w:rsidRDefault="00D16811" w:rsidP="009370EA">
      <w:pPr>
        <w:spacing w:line="360" w:lineRule="auto"/>
        <w:jc w:val="both"/>
      </w:pPr>
      <w:r>
        <w:t xml:space="preserve">While Pearlman and Riggs were at one time colleagues, and even after that continued to live in the same city and minister in the same denomination, Harold Horton lived and worked on the other side of the Atlantic Ocean. While it may be possible to dismiss our findings from Pearlman and Riggs as merely North American, or even limited to the U.S. </w:t>
      </w:r>
      <w:r w:rsidR="00806BA7">
        <w:t>AoG</w:t>
      </w:r>
      <w:r>
        <w:t xml:space="preserve">, Horton allows us to see if there are commonalities with the classical Pentecostal position in the wider world, and, particularly of interest to our study, in the United Kingdom. </w:t>
      </w:r>
      <w:r w:rsidR="006E7674">
        <w:t xml:space="preserve">Horton commences his short book </w:t>
      </w:r>
      <w:r w:rsidR="006E7674" w:rsidRPr="006E7674">
        <w:rPr>
          <w:i/>
        </w:rPr>
        <w:t>The Baptism in the Holy Spirit</w:t>
      </w:r>
      <w:r w:rsidR="006E7674">
        <w:t xml:space="preserve"> by examining what </w:t>
      </w:r>
      <w:r w:rsidR="0075149F">
        <w:t>BHS</w:t>
      </w:r>
      <w:r w:rsidR="006E7674">
        <w:t xml:space="preserve"> is not.</w:t>
      </w:r>
      <w:r w:rsidR="006E7674">
        <w:rPr>
          <w:rStyle w:val="FootnoteReference"/>
        </w:rPr>
        <w:footnoteReference w:id="69"/>
      </w:r>
      <w:r w:rsidR="006E7674">
        <w:t xml:space="preserve"> Typically for a Pentecostal, he begins by demonstrating that the baptism in the Spirit is not regeneration,</w:t>
      </w:r>
      <w:r w:rsidR="006E7674">
        <w:rPr>
          <w:rStyle w:val="FootnoteReference"/>
        </w:rPr>
        <w:footnoteReference w:id="70"/>
      </w:r>
      <w:r w:rsidR="00B01A1F">
        <w:t xml:space="preserve"> yet he then goes on to eliminate four additional concepts from the content of this doctrine. Despite his Methodist background, he draws a clear line between Pentecostalism and Wesleyan Holiness teaching by next showing the Spirit baptism is not sanctification.</w:t>
      </w:r>
      <w:r w:rsidR="00B01A1F">
        <w:rPr>
          <w:rStyle w:val="FootnoteReference"/>
        </w:rPr>
        <w:footnoteReference w:id="71"/>
      </w:r>
      <w:r w:rsidR="0090058E">
        <w:t xml:space="preserve"> However, he then goes on to eliminate three understandings more commonly held among his fellow-Pentecostals: the baptism in the Holy Spirit is, for Horton, not ‘new light on the Word,’</w:t>
      </w:r>
      <w:r w:rsidR="0090058E">
        <w:rPr>
          <w:rStyle w:val="FootnoteReference"/>
        </w:rPr>
        <w:footnoteReference w:id="72"/>
      </w:r>
      <w:r w:rsidR="0090058E">
        <w:t xml:space="preserve"> ‘a new revelation of the nearness and reality of the Lord,’</w:t>
      </w:r>
      <w:r w:rsidR="0090058E">
        <w:rPr>
          <w:rStyle w:val="FootnoteReference"/>
        </w:rPr>
        <w:footnoteReference w:id="73"/>
      </w:r>
      <w:r w:rsidR="0090058E">
        <w:t xml:space="preserve"> or ‘a new-found joy in the heart.’</w:t>
      </w:r>
      <w:r w:rsidR="0090058E">
        <w:rPr>
          <w:rStyle w:val="FootnoteReference"/>
        </w:rPr>
        <w:footnoteReference w:id="74"/>
      </w:r>
    </w:p>
    <w:p w:rsidR="00B32F7D" w:rsidRDefault="00B32F7D" w:rsidP="009370EA">
      <w:pPr>
        <w:spacing w:line="360" w:lineRule="auto"/>
        <w:jc w:val="both"/>
      </w:pPr>
      <w:r>
        <w:lastRenderedPageBreak/>
        <w:t>Instead Horton goes on to argue nine points of what the baptism in the Holy Spirit actually is.</w:t>
      </w:r>
      <w:r w:rsidR="00100529">
        <w:rPr>
          <w:rStyle w:val="FootnoteReference"/>
        </w:rPr>
        <w:footnoteReference w:id="75"/>
      </w:r>
      <w:r>
        <w:t xml:space="preserve"> </w:t>
      </w:r>
      <w:r w:rsidR="002D141C">
        <w:t xml:space="preserve">A few of these are relevant here. </w:t>
      </w:r>
      <w:r>
        <w:t>Firstly, it is a baptism, and thus a sensational and memorable experience.</w:t>
      </w:r>
      <w:r>
        <w:rPr>
          <w:rStyle w:val="FootnoteReference"/>
        </w:rPr>
        <w:footnoteReference w:id="76"/>
      </w:r>
      <w:r w:rsidR="00100529">
        <w:t xml:space="preserve"> </w:t>
      </w:r>
      <w:r w:rsidR="002D141C">
        <w:t xml:space="preserve">Three of his nine points are specifically connected with power: ‘The </w:t>
      </w:r>
      <w:r w:rsidR="00190D3B">
        <w:t>p</w:t>
      </w:r>
      <w:r w:rsidR="002D141C">
        <w:t xml:space="preserve">ower of the Holy </w:t>
      </w:r>
      <w:r w:rsidR="00190D3B">
        <w:t>Ghost</w:t>
      </w:r>
      <w:r w:rsidR="002D141C">
        <w:t xml:space="preserve"> coming upon you,’</w:t>
      </w:r>
      <w:r w:rsidR="002D141C">
        <w:rPr>
          <w:rStyle w:val="FootnoteReference"/>
        </w:rPr>
        <w:footnoteReference w:id="77"/>
      </w:r>
      <w:r w:rsidR="002D141C">
        <w:t xml:space="preserve"> ‘being clothed with heavenly power,’</w:t>
      </w:r>
      <w:r w:rsidR="002D141C">
        <w:rPr>
          <w:rStyle w:val="FootnoteReference"/>
        </w:rPr>
        <w:footnoteReference w:id="78"/>
      </w:r>
      <w:r w:rsidR="002D141C">
        <w:t xml:space="preserve"> and ‘an anointing’ which is for both power and service.</w:t>
      </w:r>
      <w:r w:rsidR="002D141C">
        <w:rPr>
          <w:rStyle w:val="FootnoteReference"/>
        </w:rPr>
        <w:footnoteReference w:id="79"/>
      </w:r>
      <w:r w:rsidR="00B83EA8">
        <w:t xml:space="preserve"> Interestingly the last of these nine points is notably at variance with the position of Riggs: for Horton </w:t>
      </w:r>
      <w:r w:rsidR="0075149F">
        <w:t>BHS</w:t>
      </w:r>
      <w:r w:rsidR="00B83EA8">
        <w:t xml:space="preserve"> means the Spirit ‘</w:t>
      </w:r>
      <w:r w:rsidR="00190D3B">
        <w:t>”</w:t>
      </w:r>
      <w:r w:rsidR="00B83EA8">
        <w:t>in you</w:t>
      </w:r>
      <w:r w:rsidR="00190D3B">
        <w:t>”</w:t>
      </w:r>
      <w:r w:rsidR="00B83EA8">
        <w:t xml:space="preserve"> as distinct from </w:t>
      </w:r>
      <w:r w:rsidR="00190D3B">
        <w:t>“</w:t>
      </w:r>
      <w:r w:rsidR="00B83EA8">
        <w:t>with you.</w:t>
      </w:r>
      <w:r w:rsidR="00190D3B">
        <w:t>”</w:t>
      </w:r>
      <w:r w:rsidR="00B83EA8">
        <w:t>’</w:t>
      </w:r>
      <w:r w:rsidR="00B83EA8">
        <w:rPr>
          <w:rStyle w:val="FootnoteReference"/>
        </w:rPr>
        <w:footnoteReference w:id="80"/>
      </w:r>
      <w:r w:rsidR="00B83EA8">
        <w:t xml:space="preserve"> One of Horton’s points here also attenuates what he will go on to argue, for here he sees ‘drinking of the Spirit’ as pointing to a satisfaction which would appear to imply a form of communion with God.</w:t>
      </w:r>
      <w:r w:rsidR="00B83EA8">
        <w:rPr>
          <w:rStyle w:val="FootnoteReference"/>
        </w:rPr>
        <w:footnoteReference w:id="81"/>
      </w:r>
    </w:p>
    <w:p w:rsidR="004E6E5B" w:rsidRDefault="00190D3B" w:rsidP="009370EA">
      <w:pPr>
        <w:spacing w:line="360" w:lineRule="auto"/>
        <w:jc w:val="both"/>
      </w:pPr>
      <w:r>
        <w:t xml:space="preserve">Coming out of his nine points of what </w:t>
      </w:r>
      <w:r w:rsidR="0075149F">
        <w:t>BHS</w:t>
      </w:r>
      <w:r>
        <w:t xml:space="preserve"> is, Horton goes on to argue for tongues as the evidence of the baptism,</w:t>
      </w:r>
      <w:r>
        <w:rPr>
          <w:rStyle w:val="FootnoteReference"/>
        </w:rPr>
        <w:footnoteReference w:id="82"/>
      </w:r>
      <w:r>
        <w:t xml:space="preserve"> before moving on to state the purpose of </w:t>
      </w:r>
      <w:r w:rsidR="0075149F">
        <w:t>BHS</w:t>
      </w:r>
      <w:r>
        <w:t>. Horton sees this purpose as being ‘that we might receive power,’ and then further defines the nature of this power: ‘It is the promised confirmatory signs that constitute the power we have by the baptism.’</w:t>
      </w:r>
      <w:r>
        <w:rPr>
          <w:rStyle w:val="FootnoteReference"/>
        </w:rPr>
        <w:footnoteReference w:id="83"/>
      </w:r>
      <w:r>
        <w:t xml:space="preserve"> Explicitly he states that ‘power works miracles and power comes by the Baptism.’</w:t>
      </w:r>
      <w:r>
        <w:rPr>
          <w:rStyle w:val="FootnoteReference"/>
        </w:rPr>
        <w:footnoteReference w:id="84"/>
      </w:r>
      <w:r w:rsidR="004E6E5B">
        <w:t xml:space="preserve"> For Horton then, the power that comes through </w:t>
      </w:r>
      <w:r w:rsidR="0075149F">
        <w:t>BHS</w:t>
      </w:r>
      <w:r w:rsidR="004E6E5B">
        <w:t xml:space="preserve"> consists of the gifts and miraculous signs of the Spirit. He argues that the Pentecostal power in evangelism is not found in the preaching of the gospel, but in the accompanying signs. ‘Pentecostal sermons without miracles have no more power to convince than any other true sermons.’</w:t>
      </w:r>
      <w:r w:rsidR="004E6E5B">
        <w:rPr>
          <w:rStyle w:val="FootnoteReference"/>
        </w:rPr>
        <w:footnoteReference w:id="85"/>
      </w:r>
    </w:p>
    <w:p w:rsidR="000A7859" w:rsidRDefault="000A7859" w:rsidP="009370EA">
      <w:pPr>
        <w:spacing w:line="360" w:lineRule="auto"/>
        <w:jc w:val="both"/>
      </w:pPr>
      <w:r>
        <w:t xml:space="preserve">Yet, despite his strong insistence on power as the purpose of </w:t>
      </w:r>
      <w:r w:rsidR="0075149F">
        <w:t>BHS</w:t>
      </w:r>
      <w:r>
        <w:t xml:space="preserve"> and his equation of this power with the gifts and miraculous signs, Horton draws back somewhat before the end of his treatise. In the end he admits that, ‘the baptised believer is not only the empowered believer: he is the satisfied believer,’</w:t>
      </w:r>
      <w:r>
        <w:rPr>
          <w:rStyle w:val="FootnoteReference"/>
        </w:rPr>
        <w:footnoteReference w:id="86"/>
      </w:r>
      <w:r>
        <w:t xml:space="preserve"> allowing that, in fact, the baptism must consist of more than a gateway to the miraculous power of the gifts. Horton manages to do this while still clinging to his insistence on power as the purpose of the baptism by distinguishing between the ‘expressional’ and ‘experiential’ aspects of </w:t>
      </w:r>
      <w:r w:rsidR="0075149F">
        <w:t>BHS</w:t>
      </w:r>
      <w:r>
        <w:t>.</w:t>
      </w:r>
      <w:r>
        <w:rPr>
          <w:rStyle w:val="FootnoteReference"/>
        </w:rPr>
        <w:footnoteReference w:id="87"/>
      </w:r>
      <w:r>
        <w:t xml:space="preserve"> In other words the goal and true expression of </w:t>
      </w:r>
      <w:r w:rsidR="0075149F">
        <w:t>BHS</w:t>
      </w:r>
      <w:r>
        <w:t xml:space="preserve"> is found in the </w:t>
      </w:r>
      <w:r>
        <w:lastRenderedPageBreak/>
        <w:t>power of the miraculous signs, yet in receiving this power the believer will have a satisfying experience of God.</w:t>
      </w:r>
    </w:p>
    <w:p w:rsidR="00D16811" w:rsidRDefault="00D16811" w:rsidP="009370EA">
      <w:pPr>
        <w:spacing w:line="360" w:lineRule="auto"/>
        <w:jc w:val="both"/>
      </w:pPr>
    </w:p>
    <w:p w:rsidR="007D77B5" w:rsidRPr="00345E0B" w:rsidRDefault="009F2554" w:rsidP="009370EA">
      <w:pPr>
        <w:pStyle w:val="PhDSubheading"/>
        <w:spacing w:line="360" w:lineRule="auto"/>
      </w:pPr>
      <w:r>
        <w:t xml:space="preserve">2.1.1.4 </w:t>
      </w:r>
      <w:r w:rsidR="007D77B5" w:rsidRPr="00345E0B">
        <w:t>Conclusions from Pearlman, Riggs and Horton</w:t>
      </w:r>
    </w:p>
    <w:p w:rsidR="007D77B5" w:rsidRDefault="00345E0B" w:rsidP="009370EA">
      <w:pPr>
        <w:spacing w:line="360" w:lineRule="auto"/>
        <w:jc w:val="both"/>
      </w:pPr>
      <w:r>
        <w:t xml:space="preserve">Having examined the work of Pearlman, Riggs and Horton on </w:t>
      </w:r>
      <w:r w:rsidR="00C638BD">
        <w:t>BHS</w:t>
      </w:r>
      <w:r w:rsidR="00653666">
        <w:t xml:space="preserve">, it is apparent that, although there may be differences in emphases between these three influential writers, there is a fundamental consistency between the three. In each of </w:t>
      </w:r>
      <w:r w:rsidR="00C638BD">
        <w:t>these</w:t>
      </w:r>
      <w:r w:rsidR="00653666">
        <w:t xml:space="preserve"> writers, on both sides of the Atlantic, we see that </w:t>
      </w:r>
      <w:r w:rsidR="00C638BD">
        <w:t>BHS</w:t>
      </w:r>
      <w:r w:rsidR="00653666">
        <w:t xml:space="preserve"> is, above all, associated with receiving power. While Riggs insists that this power is received by receiving the Holy Spirit himself (and a similar conclusion would seem to logically follow from Horton’s point, in itself contrary to Riggs, that </w:t>
      </w:r>
      <w:r w:rsidR="00EA52CE">
        <w:t>BHS</w:t>
      </w:r>
      <w:r w:rsidR="00653666">
        <w:t xml:space="preserve"> is the Spirit ‘in’ as opposed to ‘with’ the believer), Horton and Pearlman appear to place more emphasis on the resulting supernatural signs as constituting the power received.</w:t>
      </w:r>
      <w:r w:rsidR="002275F7">
        <w:t xml:space="preserve"> Yet power remains for all three the key to understanding the Pentecostal experience of </w:t>
      </w:r>
      <w:r w:rsidR="00C638BD">
        <w:t>BHS</w:t>
      </w:r>
      <w:r w:rsidR="002275F7">
        <w:t xml:space="preserve">.  Furthermore, while </w:t>
      </w:r>
      <w:r w:rsidR="00C638BD">
        <w:t>BHS</w:t>
      </w:r>
      <w:r w:rsidR="002275F7">
        <w:t xml:space="preserve"> may have an impact in the life of the church (through the impact of this power for witness and service), none of these writers situate </w:t>
      </w:r>
      <w:r w:rsidR="00C638BD">
        <w:t>BHS</w:t>
      </w:r>
      <w:r w:rsidR="002275F7">
        <w:t xml:space="preserve"> ecclesiologically. </w:t>
      </w:r>
      <w:r w:rsidR="00C638BD">
        <w:t>BHS</w:t>
      </w:r>
      <w:r w:rsidR="002275F7">
        <w:t xml:space="preserve"> is considered a matter for the individual’s Christian walk and is not linked in any way to the ontology of the church.</w:t>
      </w:r>
    </w:p>
    <w:p w:rsidR="00330725" w:rsidRDefault="00330725" w:rsidP="009370EA">
      <w:pPr>
        <w:spacing w:line="360" w:lineRule="auto"/>
        <w:jc w:val="both"/>
      </w:pPr>
      <w:r>
        <w:t xml:space="preserve">These three writers provide us with a snapshot of typical Classical Pentecostal thinking as regards </w:t>
      </w:r>
      <w:r w:rsidR="00C638BD">
        <w:t>BHS</w:t>
      </w:r>
      <w:r>
        <w:t xml:space="preserve"> in the early and middle years of the twentieth century from both sides of the Atlantic, and from both those ministering as pastors in congregations and those lecturing in Pentecostal Bible colleges. Clearly there was a consistent understanding of what was meant by </w:t>
      </w:r>
      <w:r w:rsidR="00C638BD">
        <w:t>BHS</w:t>
      </w:r>
      <w:r>
        <w:t>.</w:t>
      </w:r>
    </w:p>
    <w:p w:rsidR="00B76BDF" w:rsidRDefault="00B76BDF" w:rsidP="009370EA">
      <w:pPr>
        <w:spacing w:line="360" w:lineRule="auto"/>
        <w:jc w:val="both"/>
      </w:pPr>
    </w:p>
    <w:p w:rsidR="00B76BDF" w:rsidRPr="00B76BDF" w:rsidRDefault="009F2554" w:rsidP="009370EA">
      <w:pPr>
        <w:pStyle w:val="PhDSubheading"/>
        <w:spacing w:line="360" w:lineRule="auto"/>
      </w:pPr>
      <w:r>
        <w:t xml:space="preserve">2.1.2 </w:t>
      </w:r>
      <w:r w:rsidR="00B76BDF" w:rsidRPr="00B76BDF">
        <w:t>Searching for a</w:t>
      </w:r>
      <w:r w:rsidR="009E53B3">
        <w:t>n Apostolic</w:t>
      </w:r>
      <w:r w:rsidR="00B76BDF" w:rsidRPr="00B76BDF">
        <w:t xml:space="preserve"> Definition of Baptism in the Holy Spirit in Foundational Dogmatic Writings</w:t>
      </w:r>
    </w:p>
    <w:p w:rsidR="00860AB8" w:rsidRDefault="00860AB8" w:rsidP="009370EA">
      <w:pPr>
        <w:spacing w:line="360" w:lineRule="auto"/>
        <w:jc w:val="both"/>
      </w:pPr>
      <w:r>
        <w:t xml:space="preserve">The obvious place to begin examining the understanding of </w:t>
      </w:r>
      <w:r w:rsidR="00BB6A11">
        <w:t>BHS</w:t>
      </w:r>
      <w:r>
        <w:t xml:space="preserve"> among the early Apostolics would be in their foundational dogmatic writings. Here five documents will be taken into consideration. First and foremost are the </w:t>
      </w:r>
      <w:r w:rsidRPr="00BB6A11">
        <w:rPr>
          <w:i/>
        </w:rPr>
        <w:t>Tenets of the Apostolic Church</w:t>
      </w:r>
      <w:r>
        <w:t xml:space="preserve">. According to the original constitution of the Apostolic Church, these Tenets are: </w:t>
      </w:r>
    </w:p>
    <w:p w:rsidR="00B76BDF" w:rsidRPr="00F73693" w:rsidRDefault="00860AB8" w:rsidP="009370EA">
      <w:pPr>
        <w:spacing w:line="360" w:lineRule="auto"/>
        <w:ind w:left="720" w:right="720"/>
        <w:jc w:val="both"/>
        <w:rPr>
          <w:sz w:val="20"/>
        </w:rPr>
      </w:pPr>
      <w:r w:rsidRPr="00F73693">
        <w:rPr>
          <w:sz w:val="20"/>
        </w:rPr>
        <w:t xml:space="preserve">the fundamental doctrinal beliefs of The Apostolic Church, based on the Holy Scriptures and stated in summarised form. Such doctrinal beliefs as accepted and confessed, and the personal experience and practices resulting therefrom, shall be an essential basis of the fellowship and union of the members thereof… The Confession of Faith as set out </w:t>
      </w:r>
      <w:r w:rsidRPr="00F73693">
        <w:rPr>
          <w:sz w:val="20"/>
        </w:rPr>
        <w:lastRenderedPageBreak/>
        <w:t>herein shall for ever be the doctrinal standard of The Apostolic Church, and shall not be subject to any change in any way whatsoever.</w:t>
      </w:r>
      <w:r w:rsidRPr="00F73693">
        <w:rPr>
          <w:rStyle w:val="FootnoteReference"/>
          <w:sz w:val="20"/>
        </w:rPr>
        <w:footnoteReference w:id="88"/>
      </w:r>
    </w:p>
    <w:p w:rsidR="00860AB8" w:rsidRDefault="00FD7561" w:rsidP="009370EA">
      <w:pPr>
        <w:spacing w:line="360" w:lineRule="auto"/>
        <w:jc w:val="both"/>
      </w:pPr>
      <w:r>
        <w:t>All ministers and members in the Apostolic Church were to ‘be asked to state publicly their willingness to accept [the Tenets] in their entirety.’</w:t>
      </w:r>
      <w:r>
        <w:rPr>
          <w:rStyle w:val="FootnoteReference"/>
        </w:rPr>
        <w:footnoteReference w:id="89"/>
      </w:r>
      <w:r>
        <w:t xml:space="preserve"> Thus every Apostolic writer would have subscribed to the </w:t>
      </w:r>
      <w:r w:rsidRPr="00066D3A">
        <w:rPr>
          <w:i/>
        </w:rPr>
        <w:t>Tenets</w:t>
      </w:r>
      <w:r>
        <w:t xml:space="preserve"> and thus been confessionally bound by the doctrine which they set out. While certain other official publications might contain a standard interpretation of the doctrine set out in the Tenets, none of those would have the </w:t>
      </w:r>
      <w:r w:rsidR="004711E1">
        <w:t xml:space="preserve">same confessional authority as the Tenets themselves. So in starting with the </w:t>
      </w:r>
      <w:r w:rsidR="004711E1" w:rsidRPr="00066D3A">
        <w:rPr>
          <w:i/>
        </w:rPr>
        <w:t>Tenets</w:t>
      </w:r>
      <w:r w:rsidR="004711E1">
        <w:t>, we start with the one document where each Apostolic writer would be in full agreement, irrespective of their own individual emphases.</w:t>
      </w:r>
    </w:p>
    <w:p w:rsidR="004711E1" w:rsidRDefault="004711E1" w:rsidP="009370EA">
      <w:pPr>
        <w:spacing w:line="360" w:lineRule="auto"/>
        <w:jc w:val="both"/>
      </w:pPr>
      <w:r>
        <w:t>Secondly, we shall turn to the ‘Fundamental Truths’ section of the ‘Guiding Principles for the Apostolic Church.’</w:t>
      </w:r>
      <w:r>
        <w:rPr>
          <w:rStyle w:val="FootnoteReference"/>
        </w:rPr>
        <w:footnoteReference w:id="90"/>
      </w:r>
      <w:r w:rsidR="00D52920">
        <w:t xml:space="preserve"> This document could be considered in many respects the most authoritative exposition of the </w:t>
      </w:r>
      <w:r w:rsidR="00D52920" w:rsidRPr="00066D3A">
        <w:rPr>
          <w:i/>
        </w:rPr>
        <w:t>Tenets</w:t>
      </w:r>
      <w:r w:rsidR="00D52920">
        <w:t xml:space="preserve">, being published together in one volume with the Constitution of the Church and also the </w:t>
      </w:r>
      <w:r w:rsidR="00D52920" w:rsidRPr="00BB6A11">
        <w:rPr>
          <w:i/>
        </w:rPr>
        <w:t>Guiding Principles</w:t>
      </w:r>
      <w:r w:rsidR="00D52920">
        <w:t xml:space="preserve"> concerning polity, ordination and discipline.</w:t>
      </w:r>
      <w:r w:rsidR="00D52920">
        <w:rPr>
          <w:rStyle w:val="FootnoteReference"/>
        </w:rPr>
        <w:footnoteReference w:id="91"/>
      </w:r>
      <w:r w:rsidR="00D52920">
        <w:t xml:space="preserve"> In fact, the 1937 Constitution states that these </w:t>
      </w:r>
      <w:r w:rsidR="00D52920" w:rsidRPr="00066D3A">
        <w:rPr>
          <w:i/>
        </w:rPr>
        <w:t>Guiding Principles</w:t>
      </w:r>
      <w:r w:rsidR="00D52920">
        <w:t xml:space="preserve"> ‘either in their original or in their latest revised form shall be binding upon all who shall accept membership of the Church and upon its ministers and officers, due observance of which shall be a conditional basis for the retention of membership and office.’</w:t>
      </w:r>
      <w:r w:rsidR="00D52920">
        <w:rPr>
          <w:rStyle w:val="FootnoteReference"/>
        </w:rPr>
        <w:footnoteReference w:id="92"/>
      </w:r>
      <w:r w:rsidR="00E86662">
        <w:t xml:space="preserve"> Although this may appear to make the document confessionally binding, it was not in the same way as the </w:t>
      </w:r>
      <w:r w:rsidR="00E86662" w:rsidRPr="00066D3A">
        <w:rPr>
          <w:i/>
        </w:rPr>
        <w:t>Tenets</w:t>
      </w:r>
      <w:r w:rsidR="00E86662">
        <w:t xml:space="preserve">, for it was clearly set out that the </w:t>
      </w:r>
      <w:r w:rsidR="00E86662" w:rsidRPr="00066D3A">
        <w:rPr>
          <w:i/>
        </w:rPr>
        <w:t>Guiding Principles</w:t>
      </w:r>
      <w:r w:rsidR="00E86662">
        <w:t xml:space="preserve"> could </w:t>
      </w:r>
      <w:r w:rsidR="00E8325A">
        <w:t xml:space="preserve">be </w:t>
      </w:r>
      <w:r w:rsidR="00E86662">
        <w:t>(and indeed, as history unfolded</w:t>
      </w:r>
      <w:r w:rsidR="00E8325A">
        <w:t xml:space="preserve">, they were) changed, unlike the </w:t>
      </w:r>
      <w:r w:rsidR="00E8325A" w:rsidRPr="00066D3A">
        <w:rPr>
          <w:i/>
        </w:rPr>
        <w:t>Tenets</w:t>
      </w:r>
      <w:r w:rsidR="00E8325A">
        <w:t xml:space="preserve"> which were (and are) unalterable.</w:t>
      </w:r>
    </w:p>
    <w:p w:rsidR="00066D3A" w:rsidRDefault="00066D3A" w:rsidP="009370EA">
      <w:pPr>
        <w:spacing w:line="360" w:lineRule="auto"/>
        <w:jc w:val="both"/>
      </w:pPr>
      <w:r>
        <w:t xml:space="preserve">Thirdly, consideration will be made of </w:t>
      </w:r>
      <w:r w:rsidRPr="00066D3A">
        <w:rPr>
          <w:i/>
        </w:rPr>
        <w:t>The Guidebook of the Apostolic Church</w:t>
      </w:r>
      <w:r>
        <w:t xml:space="preserve">. This document differs greatly from both the </w:t>
      </w:r>
      <w:r w:rsidRPr="00066D3A">
        <w:rPr>
          <w:i/>
        </w:rPr>
        <w:t>Tenets</w:t>
      </w:r>
      <w:r>
        <w:t xml:space="preserve"> and the </w:t>
      </w:r>
      <w:r w:rsidRPr="00066D3A">
        <w:rPr>
          <w:i/>
        </w:rPr>
        <w:t>Fundamental Truths/Guiding Principles</w:t>
      </w:r>
      <w:r>
        <w:t>, in that it is not a doctrinal statement, but rather a more general document</w:t>
      </w:r>
      <w:r w:rsidR="00C20505">
        <w:t xml:space="preserve"> dealing with church practices and church administration</w:t>
      </w:r>
      <w:r>
        <w:t xml:space="preserve"> which contains certain doctrinal statements. </w:t>
      </w:r>
      <w:r w:rsidR="00C20505">
        <w:t xml:space="preserve">In his introduction to the </w:t>
      </w:r>
      <w:r w:rsidR="00C20505" w:rsidRPr="00BB6A11">
        <w:rPr>
          <w:i/>
        </w:rPr>
        <w:t>Guidebook</w:t>
      </w:r>
      <w:r w:rsidR="00671A97">
        <w:t xml:space="preserve">, the then President of the </w:t>
      </w:r>
      <w:r w:rsidR="00C20505">
        <w:t xml:space="preserve">Apostolic Church Council, D.T. Rennie, explains its purpose </w:t>
      </w:r>
      <w:r w:rsidR="00C20505">
        <w:lastRenderedPageBreak/>
        <w:t>as ‘the opportunity to explain the reason and purpose of our existence as a distinct company of God’s people, and also to give a brief description of our work in Great Britain and overseas.’</w:t>
      </w:r>
      <w:r w:rsidR="00C20505">
        <w:rPr>
          <w:rStyle w:val="FootnoteReference"/>
        </w:rPr>
        <w:footnoteReference w:id="93"/>
      </w:r>
    </w:p>
    <w:p w:rsidR="00671A97" w:rsidRDefault="00671A97" w:rsidP="009370EA">
      <w:pPr>
        <w:spacing w:line="360" w:lineRule="auto"/>
        <w:jc w:val="both"/>
      </w:pPr>
      <w:r>
        <w:t xml:space="preserve">The Fourth document which merits examination is the </w:t>
      </w:r>
      <w:r w:rsidRPr="002F28B6">
        <w:rPr>
          <w:i/>
        </w:rPr>
        <w:t>Fundamentals</w:t>
      </w:r>
      <w:r>
        <w:t>.</w:t>
      </w:r>
      <w:r w:rsidR="002A3811">
        <w:rPr>
          <w:rStyle w:val="FootnoteReference"/>
        </w:rPr>
        <w:footnoteReference w:id="94"/>
      </w:r>
      <w:r w:rsidR="002A3811">
        <w:t xml:space="preserve"> As an official exposition of the Tenets of the Apostolic Church, no author is </w:t>
      </w:r>
      <w:r w:rsidR="002F28B6">
        <w:t xml:space="preserve">attributed to the </w:t>
      </w:r>
      <w:r w:rsidR="002F28B6" w:rsidRPr="002F28B6">
        <w:rPr>
          <w:i/>
        </w:rPr>
        <w:t>Fundamentals</w:t>
      </w:r>
      <w:r w:rsidR="00AA6428">
        <w:t xml:space="preserve">, </w:t>
      </w:r>
      <w:r w:rsidR="002F28B6">
        <w:t>which</w:t>
      </w:r>
      <w:r w:rsidR="002A3811">
        <w:t xml:space="preserve"> contributes to the difficulty of dating the work. Yet, despite the uncertain date, the </w:t>
      </w:r>
      <w:r w:rsidR="002A3811" w:rsidRPr="002F28B6">
        <w:rPr>
          <w:i/>
        </w:rPr>
        <w:t>Fundamentals</w:t>
      </w:r>
      <w:r w:rsidR="002A3811">
        <w:t xml:space="preserve"> remained highly influential for several decades, with frequent reprintings</w:t>
      </w:r>
      <w:r w:rsidR="002F28B6">
        <w:t xml:space="preserve"> of editions of this work</w:t>
      </w:r>
      <w:r w:rsidR="002A3811">
        <w:t>.</w:t>
      </w:r>
      <w:r w:rsidR="002A3811">
        <w:rPr>
          <w:rStyle w:val="FootnoteReference"/>
        </w:rPr>
        <w:footnoteReference w:id="95"/>
      </w:r>
      <w:r w:rsidR="002F28B6">
        <w:t xml:space="preserve"> However, slight changes were introduced wi</w:t>
      </w:r>
      <w:r w:rsidR="007116BE">
        <w:t xml:space="preserve">th various editions, but as they </w:t>
      </w:r>
      <w:r w:rsidR="002F28B6">
        <w:t>were neither numbered nor dated, the textual history of the document and the significance of any changes remain uncertain.</w:t>
      </w:r>
    </w:p>
    <w:p w:rsidR="008B3121" w:rsidRDefault="008B3121" w:rsidP="009370EA">
      <w:pPr>
        <w:spacing w:line="360" w:lineRule="auto"/>
        <w:jc w:val="both"/>
      </w:pPr>
      <w:r>
        <w:t xml:space="preserve">The fifth and final dogmatic document for our consideration here, </w:t>
      </w:r>
      <w:r w:rsidRPr="008B3121">
        <w:rPr>
          <w:i/>
        </w:rPr>
        <w:t>Athrawiaethau Sylfeinol Eglwys y F</w:t>
      </w:r>
      <w:r w:rsidR="00AA6428">
        <w:rPr>
          <w:i/>
        </w:rPr>
        <w:t>f</w:t>
      </w:r>
      <w:r w:rsidRPr="008B3121">
        <w:rPr>
          <w:i/>
        </w:rPr>
        <w:t>ydd Apostolaidd yn Nghymru</w:t>
      </w:r>
      <w:r>
        <w:t>,</w:t>
      </w:r>
      <w:r>
        <w:rPr>
          <w:rStyle w:val="FootnoteReference"/>
        </w:rPr>
        <w:footnoteReference w:id="96"/>
      </w:r>
      <w:r>
        <w:t xml:space="preserve"> is in fact the earliest, having been composed even before the Apostolic Church legally existed as a denomination (yet reprinted after the legal beginnings of the church in 1916). We shall consider this document last in that it differs from the others in having a single, clearly stated author: D.P. Williams. This work then will act as a bridge from foundational dogmatic writings of the Apostolic Church to the thought of D.P. Williams.</w:t>
      </w:r>
    </w:p>
    <w:p w:rsidR="00712924" w:rsidRDefault="00712924" w:rsidP="009370EA">
      <w:pPr>
        <w:spacing w:line="360" w:lineRule="auto"/>
        <w:jc w:val="both"/>
      </w:pPr>
    </w:p>
    <w:p w:rsidR="00712924" w:rsidRPr="00712924" w:rsidRDefault="009F2554" w:rsidP="009370EA">
      <w:pPr>
        <w:pStyle w:val="PhDSubheading"/>
        <w:spacing w:line="360" w:lineRule="auto"/>
      </w:pPr>
      <w:r>
        <w:t xml:space="preserve">2.1.2.1 </w:t>
      </w:r>
      <w:r w:rsidR="00712924" w:rsidRPr="00712924">
        <w:t>The Tenets of the Apostolic Church</w:t>
      </w:r>
    </w:p>
    <w:p w:rsidR="001B6A2C" w:rsidRDefault="009457C7" w:rsidP="009370EA">
      <w:pPr>
        <w:spacing w:line="360" w:lineRule="auto"/>
        <w:jc w:val="both"/>
      </w:pPr>
      <w:r>
        <w:t xml:space="preserve">The Tenets are a particularly concisely worded document, and thus do not elaborate at great length on the nature of </w:t>
      </w:r>
      <w:r w:rsidR="00BB6A11">
        <w:t>BHS</w:t>
      </w:r>
      <w:r>
        <w:t xml:space="preserve">. One statement out of eleven is given over to this Pentecostal distinctive, and there we are told that </w:t>
      </w:r>
      <w:r w:rsidR="00BB6A11">
        <w:t>BHS</w:t>
      </w:r>
      <w:r>
        <w:t xml:space="preserve"> is ‘for believer</w:t>
      </w:r>
      <w:r w:rsidR="00BB6A11">
        <w:t>s</w:t>
      </w:r>
      <w:r>
        <w:t>,’ thus clearly (yet concisely) articulating the Pentecostal doctrine of subsequence or separability.</w:t>
      </w:r>
      <w:r>
        <w:rPr>
          <w:rStyle w:val="FootnoteReference"/>
        </w:rPr>
        <w:footnoteReference w:id="97"/>
      </w:r>
      <w:r w:rsidR="002D6A0D">
        <w:t xml:space="preserve"> The Tenets also express that this baptism of the Spirit will be accompanied ‘with signs following,’ thus indicating that there will be observable evidence, yet without specifying exactly what form that evidence will </w:t>
      </w:r>
      <w:r w:rsidR="002D6A0D">
        <w:lastRenderedPageBreak/>
        <w:t>take.</w:t>
      </w:r>
      <w:r w:rsidR="002D6A0D">
        <w:rPr>
          <w:rStyle w:val="FootnoteReference"/>
        </w:rPr>
        <w:footnoteReference w:id="98"/>
      </w:r>
      <w:r w:rsidR="006C3704">
        <w:t xml:space="preserve"> </w:t>
      </w:r>
      <w:r w:rsidR="001B6A2C">
        <w:t xml:space="preserve">Thus, the Tenets of the Apostolic Church set out a basic Classical Pentecostal stance on the doctrine of </w:t>
      </w:r>
      <w:r w:rsidR="00BB6A11">
        <w:t>BHS</w:t>
      </w:r>
      <w:r w:rsidR="001B6A2C">
        <w:t>, without defining its theological nature.</w:t>
      </w:r>
    </w:p>
    <w:p w:rsidR="00715ED7" w:rsidRDefault="00715ED7" w:rsidP="009370EA">
      <w:pPr>
        <w:spacing w:line="360" w:lineRule="auto"/>
        <w:jc w:val="both"/>
      </w:pPr>
      <w:r>
        <w:t xml:space="preserve">The only other observation to be made about </w:t>
      </w:r>
      <w:r w:rsidR="00BB6A11">
        <w:t>BHS</w:t>
      </w:r>
      <w:r>
        <w:t xml:space="preserve"> in the Tenets is the position which it occupies in this confessional document. It is the fifth Tenet which speaks of ‘the Baptism of the Holy Ghost for believers, with signs following.’ The preceding four Tenets have confessed faith in the Triune God, spoken of the ‘utter depravity of human nature’, laid out the person and work of Christ, and pointed to salvation both accomplished in Christ and applied to the believer. The following four Tenets will go on to speak of ecclesiological concerns. Thus the Tenet on the baptism of the Holy Spirit stands at the juncture between soteriology and ecclesiology</w:t>
      </w:r>
      <w:r w:rsidR="001F3F44">
        <w:t>: between ‘the finished work of Christ’ and ‘the Church, which is the Body of Christ.’</w:t>
      </w:r>
      <w:r w:rsidR="00976AE7">
        <w:t xml:space="preserve"> Given the ecclesiological emphasis </w:t>
      </w:r>
      <w:r w:rsidR="007B3B7A">
        <w:t>placed on</w:t>
      </w:r>
      <w:r w:rsidR="00976AE7">
        <w:t xml:space="preserve"> </w:t>
      </w:r>
      <w:r w:rsidR="00BB6A11">
        <w:t>BHS</w:t>
      </w:r>
      <w:r w:rsidR="00976AE7">
        <w:t xml:space="preserve"> by early Apostolic writers, this positioning is clearly significant.</w:t>
      </w:r>
    </w:p>
    <w:p w:rsidR="001B6A2C" w:rsidRDefault="001B6A2C" w:rsidP="009370EA">
      <w:pPr>
        <w:spacing w:line="360" w:lineRule="auto"/>
        <w:jc w:val="both"/>
      </w:pPr>
    </w:p>
    <w:p w:rsidR="001B6A2C" w:rsidRPr="001B6A2C" w:rsidRDefault="009F2554" w:rsidP="009370EA">
      <w:pPr>
        <w:pStyle w:val="PhDSubheading"/>
        <w:spacing w:line="360" w:lineRule="auto"/>
      </w:pPr>
      <w:r>
        <w:t xml:space="preserve">2.1.2.2 </w:t>
      </w:r>
      <w:r w:rsidR="001B6A2C" w:rsidRPr="001B6A2C">
        <w:t>Fundamental Truths (Guiding Principles)</w:t>
      </w:r>
    </w:p>
    <w:p w:rsidR="001B6A2C" w:rsidRDefault="009D0990" w:rsidP="009370EA">
      <w:pPr>
        <w:spacing w:line="360" w:lineRule="auto"/>
        <w:jc w:val="both"/>
      </w:pPr>
      <w:r>
        <w:t xml:space="preserve">The </w:t>
      </w:r>
      <w:r w:rsidRPr="00B15672">
        <w:rPr>
          <w:i/>
        </w:rPr>
        <w:t>Fundamental Truths</w:t>
      </w:r>
      <w:r>
        <w:t xml:space="preserve"> in most respects reflect the emphases of the Tenets on the issue of </w:t>
      </w:r>
      <w:r w:rsidR="00BB6A11">
        <w:t>BHS</w:t>
      </w:r>
      <w:r>
        <w:t xml:space="preserve">, focusing on both subsequence and evidence. </w:t>
      </w:r>
      <w:r w:rsidR="00507776">
        <w:t xml:space="preserve">It is made clear that </w:t>
      </w:r>
      <w:r w:rsidR="00BB6A11">
        <w:t>BHS</w:t>
      </w:r>
      <w:r w:rsidR="00507776">
        <w:t xml:space="preserve"> should not be considered an optional extra in the Christian life. ‘Every member is expected to seek this priceless gift.’</w:t>
      </w:r>
      <w:r w:rsidR="00507776">
        <w:rPr>
          <w:rStyle w:val="FootnoteReference"/>
        </w:rPr>
        <w:footnoteReference w:id="99"/>
      </w:r>
      <w:r w:rsidR="00204783">
        <w:t xml:space="preserve"> As every member was expected to be a Christian believer, this is clearly an expression of subsequence, as well as pointing to the gracious nature of this baptism. The </w:t>
      </w:r>
      <w:r w:rsidR="00204783" w:rsidRPr="00B15672">
        <w:rPr>
          <w:i/>
        </w:rPr>
        <w:t>Fundamental Truths</w:t>
      </w:r>
      <w:r w:rsidR="00204783">
        <w:t xml:space="preserve"> also quote from prophetical ministry concerning subsequence: ‘There is such a thing as the baptism of the Holy Ghost for every Christian after they are converted.’</w:t>
      </w:r>
      <w:r w:rsidR="00204783">
        <w:rPr>
          <w:rStyle w:val="FootnoteReference"/>
        </w:rPr>
        <w:footnoteReference w:id="100"/>
      </w:r>
    </w:p>
    <w:p w:rsidR="00877DA7" w:rsidRDefault="000C5F7C" w:rsidP="009370EA">
      <w:pPr>
        <w:spacing w:line="360" w:lineRule="auto"/>
        <w:jc w:val="both"/>
      </w:pPr>
      <w:r>
        <w:t xml:space="preserve">In addition to subsequence, the </w:t>
      </w:r>
      <w:r w:rsidRPr="00B15672">
        <w:rPr>
          <w:i/>
        </w:rPr>
        <w:t>Fundamental Truths</w:t>
      </w:r>
      <w:r>
        <w:t xml:space="preserve"> also highlight the observable evidence of </w:t>
      </w:r>
      <w:r w:rsidR="00BB6A11">
        <w:t>BHS</w:t>
      </w:r>
      <w:r>
        <w:t xml:space="preserve">. However, here they diverge somewhat from the Tenets, for while the Tenets left open the nature of this evidence, the </w:t>
      </w:r>
      <w:r w:rsidRPr="00BB6A11">
        <w:rPr>
          <w:i/>
        </w:rPr>
        <w:t>Fundament</w:t>
      </w:r>
      <w:r w:rsidR="00BB6A11" w:rsidRPr="00BB6A11">
        <w:rPr>
          <w:i/>
        </w:rPr>
        <w:t>al</w:t>
      </w:r>
      <w:r w:rsidRPr="00BB6A11">
        <w:rPr>
          <w:i/>
        </w:rPr>
        <w:t xml:space="preserve"> Truths</w:t>
      </w:r>
      <w:r>
        <w:t xml:space="preserve"> state bluntly that ‘the Scriptural evidence of the baptism is “speaking with tongues.”’</w:t>
      </w:r>
      <w:r>
        <w:rPr>
          <w:rStyle w:val="FootnoteReference"/>
        </w:rPr>
        <w:footnoteReference w:id="101"/>
      </w:r>
      <w:r w:rsidR="00877DA7">
        <w:t xml:space="preserve"> Despite, or perhaps because of, this emphasis on tongues, </w:t>
      </w:r>
      <w:r w:rsidR="00877DA7" w:rsidRPr="004D782C">
        <w:t xml:space="preserve">the </w:t>
      </w:r>
      <w:r w:rsidR="00877DA7" w:rsidRPr="004D782C">
        <w:rPr>
          <w:i/>
        </w:rPr>
        <w:t>Fundamental Truths</w:t>
      </w:r>
      <w:r w:rsidR="00877DA7">
        <w:t xml:space="preserve"> go on to warn that ‘on no account should any attempt be made to </w:t>
      </w:r>
      <w:r w:rsidR="00877DA7">
        <w:lastRenderedPageBreak/>
        <w:t>encourage seekers to use vain and false repetition of words.’</w:t>
      </w:r>
      <w:r w:rsidR="00877DA7">
        <w:rPr>
          <w:rStyle w:val="FootnoteReference"/>
        </w:rPr>
        <w:footnoteReference w:id="102"/>
      </w:r>
      <w:r w:rsidR="0077387D">
        <w:t xml:space="preserve"> McCabe would later give a similar warning: ‘It is totally wrong to speak fast, and reiterate expressions quickly in the hope of being tongue-tied and stammering into tongues! This should be avoided as the plague, realising that it is only the Holy Spirit who can really give us the utterance.’</w:t>
      </w:r>
      <w:r w:rsidR="0077387D">
        <w:rPr>
          <w:rStyle w:val="FootnoteReference"/>
        </w:rPr>
        <w:footnoteReference w:id="103"/>
      </w:r>
      <w:r w:rsidR="00071202">
        <w:t xml:space="preserve"> Thus, for the early Apostolics, for tongues to be authentic, they could not be something learned sociologically. Some strands of twenty-first century Pentecostal theology would differ on this point, Amos Yong, for example, writing that, ‘yes, such “tongues” can be learned sociologically (ecclesiologically), but that makes them no less enspirited.’</w:t>
      </w:r>
      <w:r w:rsidR="00071202">
        <w:rPr>
          <w:rStyle w:val="FootnoteReference"/>
        </w:rPr>
        <w:footnoteReference w:id="104"/>
      </w:r>
    </w:p>
    <w:p w:rsidR="00EC2768" w:rsidRDefault="00071202" w:rsidP="009370EA">
      <w:pPr>
        <w:spacing w:line="360" w:lineRule="auto"/>
        <w:jc w:val="both"/>
      </w:pPr>
      <w:r>
        <w:t xml:space="preserve">Apart from tongues as evidence and the doctrine of subsequence, the </w:t>
      </w:r>
      <w:r w:rsidRPr="00B15672">
        <w:rPr>
          <w:i/>
        </w:rPr>
        <w:t>Fundamental Truths</w:t>
      </w:r>
      <w:r>
        <w:t xml:space="preserve"> give only hints of a fuller theology of </w:t>
      </w:r>
      <w:r w:rsidR="00BB6A11">
        <w:t>BHS</w:t>
      </w:r>
      <w:r>
        <w:t>.  As we have already seen, this baptism is called a ‘priceless gift,’</w:t>
      </w:r>
      <w:r>
        <w:rPr>
          <w:rStyle w:val="FootnoteReference"/>
        </w:rPr>
        <w:footnoteReference w:id="105"/>
      </w:r>
      <w:r>
        <w:t xml:space="preserve"> thus highlighting</w:t>
      </w:r>
      <w:r w:rsidR="00A255B9">
        <w:t xml:space="preserve">, not only the gracious nature of Spirit baptism, but also its source in the Triune God, and the great value </w:t>
      </w:r>
      <w:r w:rsidR="00E74634">
        <w:t>of the experience (the ‘priceless’ here perhaps even suggesting a link with the believer’s ‘inheritance’). The external source of this gracious baptism in the Triune God is further highlighted by the emphasis on the role of the Word. It is the Word which creates the desire within the believer for the baptism of the Holy Spirit,</w:t>
      </w:r>
      <w:r w:rsidR="00E74634">
        <w:rPr>
          <w:rStyle w:val="FootnoteReference"/>
        </w:rPr>
        <w:footnoteReference w:id="106"/>
      </w:r>
      <w:r w:rsidR="00E74634">
        <w:t xml:space="preserve"> encourages them in seeking the baptism,</w:t>
      </w:r>
      <w:r w:rsidR="00E74634">
        <w:rPr>
          <w:rStyle w:val="FootnoteReference"/>
        </w:rPr>
        <w:footnoteReference w:id="107"/>
      </w:r>
      <w:r w:rsidR="00E74634">
        <w:t xml:space="preserve"> and brings ‘an expectancy of faith.’</w:t>
      </w:r>
      <w:r w:rsidR="00E74634">
        <w:rPr>
          <w:rStyle w:val="FootnoteReference"/>
        </w:rPr>
        <w:footnoteReference w:id="108"/>
      </w:r>
      <w:r w:rsidR="00E74634">
        <w:t xml:space="preserve"> This Word is to be preached by the elders of the church,</w:t>
      </w:r>
      <w:r w:rsidR="00E74634">
        <w:rPr>
          <w:rStyle w:val="FootnoteReference"/>
        </w:rPr>
        <w:footnoteReference w:id="109"/>
      </w:r>
      <w:r w:rsidR="00E74634">
        <w:t xml:space="preserve"> but it is due to the fact that it is the Word of the Triune God that it has this power and authority.</w:t>
      </w:r>
      <w:r w:rsidR="00E74634">
        <w:rPr>
          <w:rStyle w:val="FootnoteReference"/>
        </w:rPr>
        <w:footnoteReference w:id="110"/>
      </w:r>
      <w:r w:rsidR="008934E6">
        <w:t xml:space="preserve"> So, it is the Triune God who works through the ministry of his Word to give the faith by which believers receive this baptism, meaning that </w:t>
      </w:r>
      <w:r w:rsidR="00BB6A11">
        <w:t>BHS</w:t>
      </w:r>
      <w:r w:rsidR="008934E6">
        <w:t xml:space="preserve"> truly is his gracious gift.</w:t>
      </w:r>
      <w:r w:rsidR="00EC2768">
        <w:t xml:space="preserve"> One final hint of a definition of </w:t>
      </w:r>
      <w:r w:rsidR="00BB6A11">
        <w:t>BHS</w:t>
      </w:r>
      <w:r w:rsidR="00EC2768">
        <w:t xml:space="preserve"> is found in the note that it involves the believer being ‘lost in God,’ yet this is not further developed here in the </w:t>
      </w:r>
      <w:r w:rsidR="00EC2768" w:rsidRPr="00B15672">
        <w:rPr>
          <w:i/>
        </w:rPr>
        <w:t>Fundamental Truths</w:t>
      </w:r>
      <w:r w:rsidR="00EC2768">
        <w:t>.</w:t>
      </w:r>
      <w:r w:rsidR="00EC2768">
        <w:rPr>
          <w:rStyle w:val="FootnoteReference"/>
        </w:rPr>
        <w:footnoteReference w:id="111"/>
      </w:r>
    </w:p>
    <w:p w:rsidR="001354C5" w:rsidRDefault="001354C5" w:rsidP="009370EA">
      <w:pPr>
        <w:spacing w:line="360" w:lineRule="auto"/>
        <w:jc w:val="both"/>
      </w:pPr>
      <w:r>
        <w:t xml:space="preserve">Before leaving the </w:t>
      </w:r>
      <w:r w:rsidRPr="001354C5">
        <w:rPr>
          <w:i/>
        </w:rPr>
        <w:t>Fundamental Truths</w:t>
      </w:r>
      <w:r>
        <w:t>, it should be asked if there is any ecclesiological emphasis here.</w:t>
      </w:r>
      <w:r w:rsidR="005D5F46">
        <w:t xml:space="preserve"> While the consideration of </w:t>
      </w:r>
      <w:r w:rsidR="00BB6A11">
        <w:t>BHS</w:t>
      </w:r>
      <w:r w:rsidR="005D5F46">
        <w:t xml:space="preserve"> in this document does not speak directly of the ontology of the Church, it is of note that it appears to set </w:t>
      </w:r>
      <w:r w:rsidR="00BB6A11">
        <w:t>BHS</w:t>
      </w:r>
      <w:r w:rsidR="005D5F46">
        <w:t xml:space="preserve"> in an exclusively ecclesial setting. The promised baptism is </w:t>
      </w:r>
      <w:r w:rsidR="00B713DB">
        <w:t xml:space="preserve">stated to be </w:t>
      </w:r>
      <w:r w:rsidR="005D5F46">
        <w:t xml:space="preserve">for ‘every member’ rather than </w:t>
      </w:r>
      <w:r w:rsidR="00591AE4">
        <w:t>every believer</w:t>
      </w:r>
      <w:r w:rsidR="00B713DB">
        <w:t>,</w:t>
      </w:r>
      <w:r w:rsidR="00591AE4">
        <w:rPr>
          <w:rStyle w:val="FootnoteReference"/>
        </w:rPr>
        <w:footnoteReference w:id="112"/>
      </w:r>
      <w:r w:rsidR="00B713DB">
        <w:t xml:space="preserve"> the local presbytery is seen as responsible for the preparation of those who are seeking the baptism through the </w:t>
      </w:r>
      <w:r w:rsidR="00B713DB">
        <w:lastRenderedPageBreak/>
        <w:t>ministry of the Word, as well as for organising ‘regular tarrying meetings’ for seekers to receive the baptism,</w:t>
      </w:r>
      <w:r w:rsidR="00B713DB">
        <w:rPr>
          <w:rStyle w:val="FootnoteReference"/>
        </w:rPr>
        <w:footnoteReference w:id="113"/>
      </w:r>
      <w:r w:rsidR="00B713DB">
        <w:t xml:space="preserve"> and such meetings should not be held by individual Christians, but always under the auspices of the Church, and always ‘under the supervision of the local presbytery, with the help of a Pastor or Apostle if possible.’</w:t>
      </w:r>
      <w:r w:rsidR="00B713DB">
        <w:rPr>
          <w:rStyle w:val="FootnoteReference"/>
        </w:rPr>
        <w:footnoteReference w:id="114"/>
      </w:r>
      <w:r w:rsidR="00B713DB">
        <w:t xml:space="preserve"> Very clearly here, the </w:t>
      </w:r>
      <w:r w:rsidR="00B713DB" w:rsidRPr="00187029">
        <w:rPr>
          <w:i/>
        </w:rPr>
        <w:t>Fundamental Truths</w:t>
      </w:r>
      <w:r w:rsidR="00B713DB">
        <w:t xml:space="preserve"> set </w:t>
      </w:r>
      <w:r w:rsidR="00BB6A11">
        <w:t xml:space="preserve">BHS </w:t>
      </w:r>
      <w:r w:rsidR="00B713DB">
        <w:t>firmly within the context of the church, and leave no room for it to be considered a privatised Christian experience.</w:t>
      </w:r>
    </w:p>
    <w:p w:rsidR="00715ED7" w:rsidRDefault="00715ED7" w:rsidP="009370EA">
      <w:pPr>
        <w:spacing w:line="360" w:lineRule="auto"/>
        <w:jc w:val="both"/>
      </w:pPr>
    </w:p>
    <w:p w:rsidR="000C1C7D" w:rsidRPr="00B15672" w:rsidRDefault="009F2554" w:rsidP="009370EA">
      <w:pPr>
        <w:pStyle w:val="PhDSubheading"/>
        <w:spacing w:line="360" w:lineRule="auto"/>
      </w:pPr>
      <w:r>
        <w:t xml:space="preserve">2.1.2.3 </w:t>
      </w:r>
      <w:r w:rsidR="00715ED7" w:rsidRPr="00B15672">
        <w:t>The Guidebook of the Apostolic Church</w:t>
      </w:r>
    </w:p>
    <w:p w:rsidR="00715ED7" w:rsidRDefault="00B15672" w:rsidP="009370EA">
      <w:pPr>
        <w:spacing w:line="360" w:lineRule="auto"/>
        <w:jc w:val="both"/>
      </w:pPr>
      <w:r>
        <w:t xml:space="preserve">The </w:t>
      </w:r>
      <w:r w:rsidRPr="00B15672">
        <w:rPr>
          <w:i/>
        </w:rPr>
        <w:t>Guidebook</w:t>
      </w:r>
      <w:r>
        <w:t xml:space="preserve"> sets </w:t>
      </w:r>
      <w:r w:rsidR="00BB6A11">
        <w:t>BHS</w:t>
      </w:r>
      <w:r>
        <w:t xml:space="preserve"> entirely within an ecclesiological context. Unlike the </w:t>
      </w:r>
      <w:r w:rsidRPr="004D4023">
        <w:rPr>
          <w:i/>
        </w:rPr>
        <w:t>Tenets</w:t>
      </w:r>
      <w:r>
        <w:t xml:space="preserve"> and the </w:t>
      </w:r>
      <w:r w:rsidRPr="00526586">
        <w:rPr>
          <w:i/>
        </w:rPr>
        <w:t>Fundamental Truths</w:t>
      </w:r>
      <w:r>
        <w:t xml:space="preserve">, the </w:t>
      </w:r>
      <w:r w:rsidRPr="00526586">
        <w:rPr>
          <w:i/>
        </w:rPr>
        <w:t>Guidebook</w:t>
      </w:r>
      <w:r>
        <w:t xml:space="preserve"> makes no effort to set forth the Classical Pentecostal doctrine of </w:t>
      </w:r>
      <w:r w:rsidR="00BB6A11">
        <w:t>BHS</w:t>
      </w:r>
      <w:r>
        <w:t xml:space="preserve">, taking subsequence and some form of evidence </w:t>
      </w:r>
      <w:r w:rsidR="00A32F8F">
        <w:t>for granted, for these are considered to be of much less significance than the ecclesiological function of Spirit baptism.</w:t>
      </w:r>
    </w:p>
    <w:p w:rsidR="00A32F8F" w:rsidRPr="00DC7233" w:rsidRDefault="00A32F8F" w:rsidP="009370EA">
      <w:pPr>
        <w:spacing w:line="360" w:lineRule="auto"/>
        <w:ind w:left="720" w:right="720"/>
        <w:jc w:val="both"/>
        <w:rPr>
          <w:sz w:val="20"/>
        </w:rPr>
      </w:pPr>
      <w:r w:rsidRPr="00DC7233">
        <w:rPr>
          <w:sz w:val="20"/>
        </w:rPr>
        <w:t>This unveiling of truth which commenced with the realised necessity for regeneration moved onwards to the reception and result of the Baptism in the Holy Spirit with signs following. God’s plan and purpose gradually came to sight – the Baptism in the Holy Spirit in relation to the Church which is the Body of Christ.</w:t>
      </w:r>
      <w:r w:rsidRPr="00DC7233">
        <w:rPr>
          <w:rStyle w:val="FootnoteReference"/>
          <w:sz w:val="20"/>
        </w:rPr>
        <w:footnoteReference w:id="115"/>
      </w:r>
    </w:p>
    <w:p w:rsidR="00AC0AF6" w:rsidRDefault="008F3BDA" w:rsidP="009370EA">
      <w:pPr>
        <w:spacing w:line="360" w:lineRule="auto"/>
        <w:jc w:val="both"/>
      </w:pPr>
      <w:r>
        <w:t xml:space="preserve">Thus, the ecclesiological function of </w:t>
      </w:r>
      <w:r w:rsidR="00BB6A11">
        <w:t>BHS</w:t>
      </w:r>
      <w:r>
        <w:t xml:space="preserve"> is seen as much more significant to God’s purpose than the mere Pentecostal distinctives of subsequence and observable evidence.</w:t>
      </w:r>
      <w:r w:rsidR="00BB6A11">
        <w:t xml:space="preserve"> Later the </w:t>
      </w:r>
      <w:r w:rsidR="00BB6A11" w:rsidRPr="00BB6A11">
        <w:rPr>
          <w:i/>
        </w:rPr>
        <w:t>G</w:t>
      </w:r>
      <w:r w:rsidR="008A3773" w:rsidRPr="00BB6A11">
        <w:rPr>
          <w:i/>
        </w:rPr>
        <w:t>uidebook</w:t>
      </w:r>
      <w:r w:rsidR="008A3773">
        <w:t xml:space="preserve"> goes on to clarify this ecclesiological function, stating that the baptism in the Spirit was ‘God’s way of bringing the body of Christ into being on the day of Pentecost, and His way, since then, of adding to, and motivating, the body which brings to the Church all the power and grace necessary for such a predominantly high purpose.’</w:t>
      </w:r>
      <w:r w:rsidR="008A3773">
        <w:rPr>
          <w:rStyle w:val="FootnoteReference"/>
        </w:rPr>
        <w:footnoteReference w:id="116"/>
      </w:r>
    </w:p>
    <w:p w:rsidR="00435AC0" w:rsidRDefault="00435AC0" w:rsidP="009370EA">
      <w:pPr>
        <w:spacing w:line="360" w:lineRule="auto"/>
        <w:jc w:val="both"/>
      </w:pPr>
      <w:r>
        <w:t xml:space="preserve">So, the </w:t>
      </w:r>
      <w:r w:rsidRPr="00DA20AC">
        <w:rPr>
          <w:i/>
        </w:rPr>
        <w:t>Guidebook</w:t>
      </w:r>
      <w:r>
        <w:t xml:space="preserve"> maintains the concepts of subsequence, evidence and power, yet adds to these a higher purpose in </w:t>
      </w:r>
      <w:r w:rsidR="00BB6A11">
        <w:t>BHS</w:t>
      </w:r>
      <w:r>
        <w:t xml:space="preserve"> of adding believers to the Body of Christ and at the same time empowering that Body for its high purpose in God. Thus, for the </w:t>
      </w:r>
      <w:r w:rsidRPr="00435AC0">
        <w:rPr>
          <w:i/>
        </w:rPr>
        <w:t>Guidebook</w:t>
      </w:r>
      <w:r>
        <w:t xml:space="preserve">, the power involved in </w:t>
      </w:r>
      <w:r w:rsidR="00BB6A11">
        <w:t>BHS</w:t>
      </w:r>
      <w:r>
        <w:t xml:space="preserve"> is a corporate power, and </w:t>
      </w:r>
      <w:r w:rsidR="00BB6A11">
        <w:t>BHS</w:t>
      </w:r>
      <w:r>
        <w:t xml:space="preserve"> cannot in any way be separated from the being of the Body of Christ.</w:t>
      </w:r>
    </w:p>
    <w:p w:rsidR="00435AC0" w:rsidRDefault="00435AC0" w:rsidP="009370EA">
      <w:pPr>
        <w:spacing w:line="360" w:lineRule="auto"/>
        <w:jc w:val="both"/>
      </w:pPr>
    </w:p>
    <w:p w:rsidR="00435AC0" w:rsidRPr="00435AC0" w:rsidRDefault="009F2554" w:rsidP="009370EA">
      <w:pPr>
        <w:pStyle w:val="PhDSubheading"/>
        <w:spacing w:line="360" w:lineRule="auto"/>
      </w:pPr>
      <w:r>
        <w:lastRenderedPageBreak/>
        <w:t xml:space="preserve">2.1.2.4 </w:t>
      </w:r>
      <w:r w:rsidR="00435AC0" w:rsidRPr="00435AC0">
        <w:t>Fundamentals</w:t>
      </w:r>
    </w:p>
    <w:p w:rsidR="00435AC0" w:rsidRDefault="00435AC0" w:rsidP="009370EA">
      <w:pPr>
        <w:spacing w:line="360" w:lineRule="auto"/>
        <w:jc w:val="both"/>
      </w:pPr>
      <w:r>
        <w:t xml:space="preserve">The </w:t>
      </w:r>
      <w:r w:rsidRPr="0099387C">
        <w:rPr>
          <w:i/>
        </w:rPr>
        <w:t>Fundamentals</w:t>
      </w:r>
      <w:r>
        <w:t xml:space="preserve">, like the other dogmatic works we have considered, continue to maintain the Classical Pentecostal distinctives of subsequence and observable evidence, and, like the </w:t>
      </w:r>
      <w:r w:rsidRPr="00DA20AC">
        <w:rPr>
          <w:i/>
        </w:rPr>
        <w:t>Fundamental Truths</w:t>
      </w:r>
      <w:r>
        <w:t>, defines this evidence as ‘the sign of speaking in tongues … so that the person who receives the Spirit speaks in a language which to himself or herself is unknown and not understood.’</w:t>
      </w:r>
      <w:r>
        <w:rPr>
          <w:rStyle w:val="FootnoteReference"/>
        </w:rPr>
        <w:footnoteReference w:id="117"/>
      </w:r>
      <w:r w:rsidR="004A3939">
        <w:t xml:space="preserve"> Again, in keeping with the wider Classical Pentecostal tradition, although this is the first of the Apostolic dogmatic documents we have considered which makes this explicit, the </w:t>
      </w:r>
      <w:r w:rsidR="004A3939" w:rsidRPr="0099387C">
        <w:rPr>
          <w:i/>
        </w:rPr>
        <w:t>Fundamentals</w:t>
      </w:r>
      <w:r w:rsidR="004A3939">
        <w:t xml:space="preserve"> insist that the content of this baptism or gift is ‘the Spirit of God (i.e. the Third Person in the Trinity)’</w:t>
      </w:r>
      <w:r w:rsidR="00C435E9">
        <w:rPr>
          <w:rStyle w:val="FootnoteReference"/>
        </w:rPr>
        <w:footnoteReference w:id="118"/>
      </w:r>
      <w:r w:rsidR="00C435E9">
        <w:t xml:space="preserve"> who then ‘dwell[s] in that person.’</w:t>
      </w:r>
      <w:r w:rsidR="00C435E9">
        <w:rPr>
          <w:rStyle w:val="FootnoteReference"/>
        </w:rPr>
        <w:footnoteReference w:id="119"/>
      </w:r>
    </w:p>
    <w:p w:rsidR="00AC0AF6" w:rsidRDefault="0099387C" w:rsidP="009370EA">
      <w:pPr>
        <w:spacing w:line="360" w:lineRule="auto"/>
        <w:jc w:val="both"/>
      </w:pPr>
      <w:r>
        <w:t xml:space="preserve">Yet, in contrast to the wider Classical Pentecostal tradition, the </w:t>
      </w:r>
      <w:r w:rsidRPr="0099387C">
        <w:rPr>
          <w:i/>
        </w:rPr>
        <w:t>Fundamentals</w:t>
      </w:r>
      <w:r>
        <w:t xml:space="preserve"> insist that ‘the believer in Christ enters the Body of Christ, that is, becomes a member of Christ’s Body, by being baptized with the Holy Ghost.’</w:t>
      </w:r>
      <w:r>
        <w:rPr>
          <w:rStyle w:val="FootnoteReference"/>
        </w:rPr>
        <w:footnoteReference w:id="120"/>
      </w:r>
      <w:r>
        <w:t xml:space="preserve"> Reference here is made not only to 1 Corinthians 12:12-13, but also to Acts 1:8, thus ruling out any notion of two baptisms, one </w:t>
      </w:r>
      <w:r w:rsidRPr="00F8156F">
        <w:rPr>
          <w:i/>
        </w:rPr>
        <w:t>with</w:t>
      </w:r>
      <w:r>
        <w:t xml:space="preserve"> and one </w:t>
      </w:r>
      <w:r w:rsidRPr="00F8156F">
        <w:rPr>
          <w:i/>
        </w:rPr>
        <w:t>in</w:t>
      </w:r>
      <w:r>
        <w:t xml:space="preserve"> the Spirit, as seen in the (non-Apostolic) thought of Ralph Riggs. The </w:t>
      </w:r>
      <w:r w:rsidR="00F8156F">
        <w:t>BHS</w:t>
      </w:r>
      <w:r>
        <w:t xml:space="preserve"> referred to here in connection with membership of the Body of Christ is the same </w:t>
      </w:r>
      <w:r w:rsidR="00F8156F">
        <w:t>BHS</w:t>
      </w:r>
      <w:r>
        <w:t xml:space="preserve"> as that spoken of in Tenet 5, the one which is subsequent to conversion and accompanied by ‘signs following.’</w:t>
      </w:r>
    </w:p>
    <w:p w:rsidR="00C04C65" w:rsidRDefault="00C04C65" w:rsidP="009370EA">
      <w:pPr>
        <w:spacing w:line="360" w:lineRule="auto"/>
        <w:jc w:val="both"/>
      </w:pPr>
    </w:p>
    <w:p w:rsidR="00C04C65" w:rsidRDefault="009F2554" w:rsidP="009370EA">
      <w:pPr>
        <w:pStyle w:val="PhDSubheading"/>
        <w:spacing w:line="360" w:lineRule="auto"/>
      </w:pPr>
      <w:r>
        <w:t xml:space="preserve">2.1.2.5 </w:t>
      </w:r>
      <w:r w:rsidR="00C04C65" w:rsidRPr="008B3121">
        <w:t>Athrawiaethau Sylfeinol Eglwys y F</w:t>
      </w:r>
      <w:r w:rsidR="004B2815">
        <w:t>f</w:t>
      </w:r>
      <w:r w:rsidR="00C04C65" w:rsidRPr="008B3121">
        <w:t>ydd Apostolaidd yn Nghymru</w:t>
      </w:r>
    </w:p>
    <w:p w:rsidR="00C04C65" w:rsidRDefault="00D32597" w:rsidP="009370EA">
      <w:pPr>
        <w:spacing w:line="360" w:lineRule="auto"/>
        <w:jc w:val="both"/>
      </w:pPr>
      <w:r>
        <w:t xml:space="preserve">Although the </w:t>
      </w:r>
      <w:r w:rsidRPr="00D32597">
        <w:rPr>
          <w:i/>
        </w:rPr>
        <w:t>Athrawiaethau Sylfeinol</w:t>
      </w:r>
      <w:r>
        <w:t xml:space="preserve"> dates from two years before the official beginnings of the Apostolic Church as a denomination, it explicitly sets out to state the foundational doctrines of the churches (Eglw</w:t>
      </w:r>
      <w:r w:rsidR="008B7E47">
        <w:t>ys y Ffydd Apostolaidd yn Nghymru</w:t>
      </w:r>
      <w:r>
        <w:t xml:space="preserve">: Penygroes a’r Undeb) which would become the Apostolic Church two years later. Furthermore, they were reprinted after the official commencement of the Apostolic Church, and sections were also translated into English and printed in the </w:t>
      </w:r>
      <w:r w:rsidRPr="00D32597">
        <w:rPr>
          <w:i/>
        </w:rPr>
        <w:t>Riches of Grace</w:t>
      </w:r>
      <w:r>
        <w:t>.</w:t>
      </w:r>
      <w:r w:rsidR="00D0436F">
        <w:t xml:space="preserve"> Unlike any of the other documents we have considered in this section, the </w:t>
      </w:r>
      <w:r w:rsidR="00D0436F" w:rsidRPr="00D0436F">
        <w:rPr>
          <w:i/>
        </w:rPr>
        <w:t>Athrawiaethau Sylfeinol</w:t>
      </w:r>
      <w:r w:rsidR="00D0436F">
        <w:t xml:space="preserve"> date from before the drawing up of the Tenets of the Apostolic Church as the confession of faith. Yet, they continued to be printed after the drawing up of the Tenets, which demonstrates their continuity. In fact, while all the other documents we have considered stand in the context of the Tenets, the prior nature of the </w:t>
      </w:r>
      <w:r w:rsidR="00D0436F" w:rsidRPr="00D0436F">
        <w:rPr>
          <w:i/>
        </w:rPr>
        <w:t xml:space="preserve">Athrawiaethau </w:t>
      </w:r>
      <w:r w:rsidR="00D0436F" w:rsidRPr="00D0436F">
        <w:rPr>
          <w:i/>
        </w:rPr>
        <w:lastRenderedPageBreak/>
        <w:t>Sylfeinol</w:t>
      </w:r>
      <w:r w:rsidR="00D0436F">
        <w:t xml:space="preserve"> and its continued use later, show that the Tenets stand in the context of the </w:t>
      </w:r>
      <w:r w:rsidR="00D0436F" w:rsidRPr="00D0436F">
        <w:rPr>
          <w:i/>
        </w:rPr>
        <w:t>Athrawiaethau Sylfeinol</w:t>
      </w:r>
      <w:r w:rsidR="00D0436F">
        <w:t>.</w:t>
      </w:r>
    </w:p>
    <w:p w:rsidR="00D0436F" w:rsidRDefault="00D0436F" w:rsidP="009370EA">
      <w:pPr>
        <w:spacing w:line="360" w:lineRule="auto"/>
        <w:jc w:val="both"/>
      </w:pPr>
      <w:r>
        <w:t xml:space="preserve">As D.P. Williams wrote the </w:t>
      </w:r>
      <w:r w:rsidRPr="0013192D">
        <w:rPr>
          <w:i/>
        </w:rPr>
        <w:t>Athrawiaethau Sylfeinol</w:t>
      </w:r>
      <w:r>
        <w:t xml:space="preserve"> in Welsh, a note here is needed on translations. Although some sections were translated in the </w:t>
      </w:r>
      <w:r w:rsidRPr="00D0436F">
        <w:rPr>
          <w:i/>
        </w:rPr>
        <w:t>Riches of Grace</w:t>
      </w:r>
      <w:r>
        <w:t>, there are sometimes discrepancies in these translations, and they also date from a slightly later period in the history of the movement, hence I will be working with Williams’ Welsh original here, and providing my own translations accompanied by the Welsh text. A modern translation of the full text was included in James Worsfold’s history of the Apostolic Chu</w:t>
      </w:r>
      <w:r w:rsidR="00936A99">
        <w:t xml:space="preserve">rch, however, this translation </w:t>
      </w:r>
      <w:r>
        <w:t>is rather unreliable when compared to the Welsh original, and so shall be avoided.</w:t>
      </w:r>
      <w:r>
        <w:rPr>
          <w:rStyle w:val="FootnoteReference"/>
        </w:rPr>
        <w:footnoteReference w:id="121"/>
      </w:r>
    </w:p>
    <w:p w:rsidR="0013192D" w:rsidRDefault="003364BD" w:rsidP="009370EA">
      <w:pPr>
        <w:spacing w:line="360" w:lineRule="auto"/>
        <w:jc w:val="both"/>
      </w:pPr>
      <w:r>
        <w:t xml:space="preserve">It is not only the language, date, and single identified authorship which differs between the </w:t>
      </w:r>
      <w:r w:rsidRPr="003364BD">
        <w:rPr>
          <w:i/>
        </w:rPr>
        <w:t>Athrawiaethau Sylfeinol</w:t>
      </w:r>
      <w:r>
        <w:t xml:space="preserve"> and the other dogmatic documents we have considered, but also the entire presentation of</w:t>
      </w:r>
      <w:r w:rsidR="00072337">
        <w:t xml:space="preserve"> </w:t>
      </w:r>
      <w:r w:rsidR="005A22AF">
        <w:t>BHS</w:t>
      </w:r>
      <w:r w:rsidR="00072337">
        <w:t>, for Williams’ primary emphases are not upon the Classical Pentecostal distinctives of subsequence and evidence.</w:t>
      </w:r>
    </w:p>
    <w:p w:rsidR="00650824" w:rsidRDefault="00650824" w:rsidP="009370EA">
      <w:pPr>
        <w:spacing w:line="360" w:lineRule="auto"/>
        <w:jc w:val="both"/>
      </w:pPr>
      <w:r>
        <w:t xml:space="preserve">For D.P. Williams in the </w:t>
      </w:r>
      <w:r w:rsidRPr="004E6BD4">
        <w:rPr>
          <w:i/>
        </w:rPr>
        <w:t>Athrawiaethau Sylfeinol</w:t>
      </w:r>
      <w:r>
        <w:t xml:space="preserve">, the doctrine of </w:t>
      </w:r>
      <w:r w:rsidR="005A22AF">
        <w:t>BHS</w:t>
      </w:r>
      <w:r>
        <w:t xml:space="preserve"> must rest on </w:t>
      </w:r>
      <w:r w:rsidR="004E6BD4">
        <w:t xml:space="preserve">the foundation of </w:t>
      </w:r>
      <w:r>
        <w:t xml:space="preserve">the shed blood of Christ. </w:t>
      </w:r>
      <w:r w:rsidR="004E6BD4">
        <w:t>In fact</w:t>
      </w:r>
      <w:r>
        <w:t xml:space="preserve">, the whole of the Holy Spirit’s work in the fallen creation, and not only </w:t>
      </w:r>
      <w:r w:rsidR="005A22AF">
        <w:t>BHS</w:t>
      </w:r>
      <w:r>
        <w:t xml:space="preserve">, is ‘on the basis of the blood </w:t>
      </w:r>
      <w:r w:rsidR="00BE7AFB">
        <w:t xml:space="preserve">that was </w:t>
      </w:r>
      <w:r>
        <w:t>shed and the propitiation provided.’</w:t>
      </w:r>
      <w:r>
        <w:rPr>
          <w:rStyle w:val="FootnoteReference"/>
        </w:rPr>
        <w:footnoteReference w:id="122"/>
      </w:r>
      <w:r w:rsidR="00B2737A">
        <w:t xml:space="preserve"> Hence, in the </w:t>
      </w:r>
      <w:r w:rsidR="00B2737A" w:rsidRPr="00B2737A">
        <w:rPr>
          <w:i/>
        </w:rPr>
        <w:t>Athrawiaethau Sylfeinol</w:t>
      </w:r>
      <w:r w:rsidR="00B2737A">
        <w:t xml:space="preserve">, Christ’s work of propitiation is the meritorious cause of </w:t>
      </w:r>
      <w:r w:rsidR="005A22AF">
        <w:t>BHS</w:t>
      </w:r>
      <w:r w:rsidR="00B2737A">
        <w:t>.</w:t>
      </w:r>
    </w:p>
    <w:p w:rsidR="00EC374D" w:rsidRDefault="00EC374D" w:rsidP="009370EA">
      <w:pPr>
        <w:spacing w:line="360" w:lineRule="auto"/>
        <w:jc w:val="both"/>
      </w:pPr>
      <w:r>
        <w:t xml:space="preserve">Williams also highlights the efficient cause of </w:t>
      </w:r>
      <w:r w:rsidR="005A22AF">
        <w:t>BHS</w:t>
      </w:r>
      <w:r>
        <w:t xml:space="preserve"> in the </w:t>
      </w:r>
      <w:r w:rsidR="004E6BD4">
        <w:rPr>
          <w:i/>
        </w:rPr>
        <w:t>Athrawiaethau Sylf</w:t>
      </w:r>
      <w:r w:rsidRPr="004E6BD4">
        <w:rPr>
          <w:i/>
        </w:rPr>
        <w:t>einol</w:t>
      </w:r>
      <w:r>
        <w:t>: this baptism flows from the Father’s ‘great love.’</w:t>
      </w:r>
      <w:r>
        <w:rPr>
          <w:rStyle w:val="FootnoteReference"/>
        </w:rPr>
        <w:footnoteReference w:id="123"/>
      </w:r>
      <w:r w:rsidR="004E6BD4">
        <w:t xml:space="preserve"> As a result of His great love, the Father does not leave us as orphans, and this He accomplishes by pouring out His Spirit abundantly (</w:t>
      </w:r>
      <w:r w:rsidR="004E6BD4" w:rsidRPr="004E6BD4">
        <w:rPr>
          <w:i/>
        </w:rPr>
        <w:t>yn helaeth</w:t>
      </w:r>
      <w:r w:rsidR="004E6BD4">
        <w:t>) upon us.</w:t>
      </w:r>
      <w:r w:rsidR="004E6BD4">
        <w:rPr>
          <w:rStyle w:val="FootnoteReference"/>
        </w:rPr>
        <w:footnoteReference w:id="124"/>
      </w:r>
      <w:r w:rsidR="004E6BD4">
        <w:t xml:space="preserve"> Thus Williams intimately connects </w:t>
      </w:r>
      <w:r w:rsidR="005A22AF">
        <w:t>BHS</w:t>
      </w:r>
      <w:r w:rsidR="004E6BD4">
        <w:t xml:space="preserve"> with the believer’s sonship and the Father’s love.</w:t>
      </w:r>
    </w:p>
    <w:p w:rsidR="003A6D94" w:rsidRDefault="003A6D94" w:rsidP="009370EA">
      <w:pPr>
        <w:spacing w:line="360" w:lineRule="auto"/>
        <w:jc w:val="both"/>
      </w:pPr>
      <w:r>
        <w:t xml:space="preserve">The </w:t>
      </w:r>
      <w:r w:rsidRPr="003A6D94">
        <w:rPr>
          <w:i/>
        </w:rPr>
        <w:t>Athrawiaethau</w:t>
      </w:r>
      <w:r>
        <w:t xml:space="preserve"> then goes on to give four roles of the gift of the Spirit given in the baptism. First </w:t>
      </w:r>
      <w:r w:rsidR="009228AA">
        <w:t>h</w:t>
      </w:r>
      <w:r>
        <w:t>e leads the saints,</w:t>
      </w:r>
      <w:r>
        <w:rPr>
          <w:rStyle w:val="FootnoteReference"/>
        </w:rPr>
        <w:footnoteReference w:id="125"/>
      </w:r>
      <w:r>
        <w:t xml:space="preserve"> which shows us not only an aspect of the function of the baptism, but also that the content of the baptism consists of the Holy Spirit himself. Second, </w:t>
      </w:r>
      <w:r w:rsidR="009228AA">
        <w:t>h</w:t>
      </w:r>
      <w:r>
        <w:t>e guides into all truth.</w:t>
      </w:r>
      <w:r>
        <w:rPr>
          <w:rStyle w:val="FootnoteReference"/>
        </w:rPr>
        <w:footnoteReference w:id="126"/>
      </w:r>
      <w:r w:rsidR="009228AA">
        <w:t xml:space="preserve"> Third, he forbids (</w:t>
      </w:r>
      <w:r w:rsidR="009228AA" w:rsidRPr="009228AA">
        <w:rPr>
          <w:i/>
        </w:rPr>
        <w:t>gwarafun</w:t>
      </w:r>
      <w:r w:rsidR="009228AA">
        <w:t>) his people from doing that which is not in the Father’s perfect will.</w:t>
      </w:r>
      <w:r w:rsidR="009228AA">
        <w:rPr>
          <w:rStyle w:val="FootnoteReference"/>
        </w:rPr>
        <w:footnoteReference w:id="127"/>
      </w:r>
      <w:r w:rsidR="009228AA">
        <w:t xml:space="preserve"> Fourth, this baptism and its results are ‘evidence to the unbelieving world that the </w:t>
      </w:r>
      <w:r w:rsidR="009228AA">
        <w:lastRenderedPageBreak/>
        <w:t>Word of the God who does not lie stays the same, and lives, and continues eternally, so that all are without excuse.’</w:t>
      </w:r>
      <w:r w:rsidR="009228AA">
        <w:rPr>
          <w:rStyle w:val="FootnoteReference"/>
        </w:rPr>
        <w:footnoteReference w:id="128"/>
      </w:r>
      <w:r w:rsidR="00E27973">
        <w:t xml:space="preserve"> Hence, for Williams, although this fourth role of the baptism does, in a sense, correspond to the typical Pentecostal ‘power for evangelism’, this is no abstract power, </w:t>
      </w:r>
      <w:r w:rsidR="00781397">
        <w:t xml:space="preserve">nor is it merely the ability to perform miraculous signs, </w:t>
      </w:r>
      <w:r w:rsidR="00E27973">
        <w:t>but rather the power is rooted in the person of the Holy Spirit who is given in the baptism and who is at work in and through the baptised believer.</w:t>
      </w:r>
    </w:p>
    <w:p w:rsidR="004B548D" w:rsidRDefault="004B548D" w:rsidP="009370EA">
      <w:pPr>
        <w:spacing w:line="360" w:lineRule="auto"/>
        <w:jc w:val="both"/>
      </w:pPr>
      <w:r>
        <w:t xml:space="preserve">This earliest of Apostolic dogmatic documents, then, makes a significant contribution to an Apostolic theology of </w:t>
      </w:r>
      <w:r w:rsidR="008D50A1">
        <w:t>BHS</w:t>
      </w:r>
      <w:r>
        <w:t xml:space="preserve">, for here we see several emphases which differ from those of typical Classical Pentecostal treatments of the doctrine. </w:t>
      </w:r>
      <w:r w:rsidR="008D50A1">
        <w:t>BHS</w:t>
      </w:r>
      <w:r>
        <w:t xml:space="preserve"> is grounded in Christ’s work of propitiation, and flows out of the Father’s great love, and so finds itself in a theological context which is rooted in the foundational Christian confessions of the Triune God and the Atoning work of the Incarnate Son. This then can be no mere </w:t>
      </w:r>
      <w:r w:rsidRPr="004B548D">
        <w:rPr>
          <w:i/>
        </w:rPr>
        <w:t>donum superadditum</w:t>
      </w:r>
      <w:r>
        <w:t>.</w:t>
      </w:r>
      <w:r>
        <w:rPr>
          <w:rStyle w:val="FootnoteReference"/>
        </w:rPr>
        <w:footnoteReference w:id="129"/>
      </w:r>
    </w:p>
    <w:p w:rsidR="00E541FC" w:rsidRDefault="00E541FC" w:rsidP="009370EA">
      <w:pPr>
        <w:spacing w:line="360" w:lineRule="auto"/>
        <w:jc w:val="both"/>
      </w:pPr>
      <w:r>
        <w:t xml:space="preserve">Furthermore, </w:t>
      </w:r>
      <w:r w:rsidR="008D50A1">
        <w:t>BHS</w:t>
      </w:r>
      <w:r>
        <w:t xml:space="preserve"> flows out of the Father’s great love (expressed on the Cross) and brings us into this great love of the Triune God as no longer orphans, but instead sons of the true and living Go</w:t>
      </w:r>
      <w:r w:rsidR="008D50A1">
        <w:t>d. Thus at the heart of William</w:t>
      </w:r>
      <w:r>
        <w:t>s</w:t>
      </w:r>
      <w:r w:rsidR="008D50A1">
        <w:t>’</w:t>
      </w:r>
      <w:r>
        <w:t xml:space="preserve"> definition of the baptism in the Spirit stand love and sonship, all within a Trinitarian context, and all rooted in the Cross of Christ.</w:t>
      </w:r>
    </w:p>
    <w:p w:rsidR="002F5B82" w:rsidRDefault="002F5B82" w:rsidP="009370EA">
      <w:pPr>
        <w:spacing w:line="360" w:lineRule="auto"/>
        <w:jc w:val="both"/>
      </w:pPr>
    </w:p>
    <w:p w:rsidR="00E31374" w:rsidRPr="00C04C65" w:rsidRDefault="00E31374" w:rsidP="009370EA">
      <w:pPr>
        <w:spacing w:line="360" w:lineRule="auto"/>
        <w:jc w:val="both"/>
      </w:pPr>
    </w:p>
    <w:p w:rsidR="002F5B82" w:rsidRPr="00637EEC" w:rsidRDefault="009F2554" w:rsidP="009370EA">
      <w:pPr>
        <w:pStyle w:val="PhDSubheading"/>
        <w:spacing w:line="360" w:lineRule="auto"/>
      </w:pPr>
      <w:r>
        <w:t xml:space="preserve">2.1.3 </w:t>
      </w:r>
      <w:r w:rsidR="002F5B82" w:rsidRPr="00B76BDF">
        <w:t xml:space="preserve">Searching for a Definition of </w:t>
      </w:r>
      <w:r w:rsidR="001244F3">
        <w:t>Baptism</w:t>
      </w:r>
      <w:r w:rsidR="008859B4">
        <w:t xml:space="preserve"> in the Holy Spirit</w:t>
      </w:r>
      <w:r w:rsidR="002F5B82" w:rsidRPr="00B76BDF">
        <w:t xml:space="preserve"> in the </w:t>
      </w:r>
      <w:r w:rsidR="002F5B82">
        <w:t>Early Apostolic Theological Thinkers</w:t>
      </w:r>
    </w:p>
    <w:p w:rsidR="00C04C65" w:rsidRPr="00AB6224" w:rsidRDefault="009F2554" w:rsidP="009370EA">
      <w:pPr>
        <w:pStyle w:val="PhDSubheading"/>
        <w:spacing w:line="360" w:lineRule="auto"/>
      </w:pPr>
      <w:r>
        <w:t xml:space="preserve">2.1.3.1 </w:t>
      </w:r>
      <w:r w:rsidR="002F5B82" w:rsidRPr="00AB6224">
        <w:t>D.P. Williams</w:t>
      </w:r>
      <w:r w:rsidR="00AB6224" w:rsidRPr="00AB6224">
        <w:t>: Baptised in the Cruciform God</w:t>
      </w:r>
    </w:p>
    <w:p w:rsidR="00FF7D4B" w:rsidRDefault="00AB6224" w:rsidP="009370EA">
      <w:pPr>
        <w:spacing w:line="360" w:lineRule="auto"/>
        <w:jc w:val="both"/>
      </w:pPr>
      <w:r>
        <w:t xml:space="preserve">Having just examined D.P. Williams’ official dogmatic </w:t>
      </w:r>
      <w:r w:rsidR="00E828C9">
        <w:t>text</w:t>
      </w:r>
      <w:r>
        <w:t xml:space="preserve">, the </w:t>
      </w:r>
      <w:r w:rsidRPr="00E828C9">
        <w:rPr>
          <w:i/>
        </w:rPr>
        <w:t>Athrawiaethau Sylfeinol</w:t>
      </w:r>
      <w:r>
        <w:t xml:space="preserve">, we shall turn our attention to his other writings for a wider look at his doctrine of </w:t>
      </w:r>
      <w:r w:rsidR="00E43857">
        <w:t>BHS</w:t>
      </w:r>
      <w:r>
        <w:t>.</w:t>
      </w:r>
      <w:r w:rsidR="00A72B90">
        <w:t xml:space="preserve"> </w:t>
      </w:r>
      <w:r w:rsidR="00FF7D4B">
        <w:t>D.P. Williams was, without doubt, a Classical Pentecostal, adhering to the doctrine of subsequence</w:t>
      </w:r>
      <w:r w:rsidR="00E476C0">
        <w:t xml:space="preserve">. He had experienced such a baptism in the Holy Spirit himself some years after his conversion, at </w:t>
      </w:r>
      <w:r w:rsidR="00E476C0">
        <w:lastRenderedPageBreak/>
        <w:t>Abera</w:t>
      </w:r>
      <w:r w:rsidR="00136210">
        <w:t>e</w:t>
      </w:r>
      <w:r w:rsidR="00E476C0">
        <w:t>ron in 1909.</w:t>
      </w:r>
      <w:r w:rsidR="00E476C0">
        <w:rPr>
          <w:rStyle w:val="FootnoteReference"/>
        </w:rPr>
        <w:footnoteReference w:id="130"/>
      </w:r>
      <w:r w:rsidR="00E476C0">
        <w:t xml:space="preserve"> Williams</w:t>
      </w:r>
      <w:r w:rsidR="00FF7D4B">
        <w:t xml:space="preserve"> insisted that ‘the Baptism of the Holy Spirit is only for those who are already “born again,”’</w:t>
      </w:r>
      <w:r w:rsidR="00FF7D4B">
        <w:rPr>
          <w:rStyle w:val="FootnoteReference"/>
        </w:rPr>
        <w:footnoteReference w:id="131"/>
      </w:r>
      <w:r w:rsidR="00FF7D4B">
        <w:t xml:space="preserve"> and that ‘if He (the Spirit of God) will tarry a while before He comes, wait! It is the promise: He shall surely come to His temple, and will come “as Fire</w:t>
      </w:r>
      <w:r w:rsidR="001E1818">
        <w:t>.</w:t>
      </w:r>
      <w:r w:rsidR="00FF7D4B">
        <w:t>”</w:t>
      </w:r>
      <w:r w:rsidR="001E1818">
        <w:t>’</w:t>
      </w:r>
      <w:r w:rsidR="001E1818">
        <w:rPr>
          <w:rStyle w:val="FootnoteReference"/>
        </w:rPr>
        <w:footnoteReference w:id="132"/>
      </w:r>
      <w:r w:rsidR="00EC32ED">
        <w:t xml:space="preserve"> Interestingly, although D.P. Williams wrote a pamphlet on </w:t>
      </w:r>
      <w:r w:rsidR="00EC32ED" w:rsidRPr="00EC32ED">
        <w:rPr>
          <w:i/>
        </w:rPr>
        <w:t>The Gift of Tongues</w:t>
      </w:r>
      <w:r w:rsidR="00EC32ED">
        <w:t>,</w:t>
      </w:r>
      <w:r w:rsidR="00EC32ED">
        <w:rPr>
          <w:rStyle w:val="FootnoteReference"/>
        </w:rPr>
        <w:footnoteReference w:id="133"/>
      </w:r>
      <w:r w:rsidR="00EC32ED">
        <w:t xml:space="preserve"> he has little to say anywhere regarding the connection between tongues and </w:t>
      </w:r>
      <w:r w:rsidR="00E43857">
        <w:t>BHS</w:t>
      </w:r>
      <w:r w:rsidR="00EC32ED">
        <w:t xml:space="preserve">. Tongues then clearly are not at the centre of his doctrine of </w:t>
      </w:r>
      <w:r w:rsidR="00E43857">
        <w:t>BHS</w:t>
      </w:r>
      <w:r w:rsidR="00EC32ED">
        <w:t>.</w:t>
      </w:r>
    </w:p>
    <w:p w:rsidR="00CD215F" w:rsidRDefault="005F21B9" w:rsidP="009370EA">
      <w:pPr>
        <w:spacing w:line="360" w:lineRule="auto"/>
        <w:jc w:val="both"/>
      </w:pPr>
      <w:r>
        <w:t xml:space="preserve">Williams also follows the Classical Pentecostal line in linking </w:t>
      </w:r>
      <w:r w:rsidR="00E43857">
        <w:t>BHS</w:t>
      </w:r>
      <w:r>
        <w:t xml:space="preserve"> with power, writing that ‘He empowers for service,’ where the ‘He’ refers to the person of the Holy Spirit.</w:t>
      </w:r>
      <w:r>
        <w:rPr>
          <w:rStyle w:val="FootnoteReference"/>
        </w:rPr>
        <w:footnoteReference w:id="134"/>
      </w:r>
      <w:r>
        <w:t xml:space="preserve"> Thus, as we have already seen in his </w:t>
      </w:r>
      <w:r w:rsidRPr="005F21B9">
        <w:rPr>
          <w:i/>
        </w:rPr>
        <w:t>Athrawiaethau Sylfeinol</w:t>
      </w:r>
      <w:r>
        <w:t xml:space="preserve"> above, for Williams, the power accompanying </w:t>
      </w:r>
      <w:r w:rsidR="00E43857">
        <w:t>BHS</w:t>
      </w:r>
      <w:r>
        <w:t xml:space="preserve"> can never be thought of as power in the abstract, not even as power sent from God or powerful gifts from God, but must always be thought of in personal terms. The power of </w:t>
      </w:r>
      <w:r w:rsidR="00E43857">
        <w:t>BHS</w:t>
      </w:r>
      <w:r>
        <w:t xml:space="preserve"> is the person of the Holy Spirit himself.</w:t>
      </w:r>
      <w:r w:rsidR="00783E08">
        <w:t xml:space="preserve"> Even when power is seen in the Spirit’s gifts, Williams argues that this can only be the power of Holy Spirit himself, for the Spirit ‘manifest[s] Himself in power and glory through all the functions, gifts and graces of the Spirit.’</w:t>
      </w:r>
      <w:r w:rsidR="00783E08">
        <w:rPr>
          <w:rStyle w:val="FootnoteReference"/>
        </w:rPr>
        <w:footnoteReference w:id="135"/>
      </w:r>
    </w:p>
    <w:p w:rsidR="005A42E8" w:rsidRDefault="005A42E8" w:rsidP="009370EA">
      <w:pPr>
        <w:spacing w:line="360" w:lineRule="auto"/>
        <w:jc w:val="both"/>
      </w:pPr>
      <w:r>
        <w:t>The evangelism aspect of the Classical Pentecostal notion of the baptism as ‘power for evangelism’</w:t>
      </w:r>
      <w:r w:rsidR="00D92A30">
        <w:t xml:space="preserve"> is also maintained by Williams, although he widens this into the preaching of the gospel.</w:t>
      </w:r>
      <w:r>
        <w:t xml:space="preserve"> </w:t>
      </w:r>
      <w:r w:rsidR="00D92A30">
        <w:t>Williams</w:t>
      </w:r>
      <w:r>
        <w:t xml:space="preserve"> insists that ‘it is a mistaken idea which disassociates the Baptism of the Holy Spirit from the preaching of the Gospel. The</w:t>
      </w:r>
      <w:r w:rsidR="00B26CD9">
        <w:t>y</w:t>
      </w:r>
      <w:r>
        <w:t xml:space="preserve"> are inseparably linked together.’</w:t>
      </w:r>
      <w:r>
        <w:rPr>
          <w:rStyle w:val="FootnoteReference"/>
        </w:rPr>
        <w:footnoteReference w:id="136"/>
      </w:r>
      <w:r w:rsidR="00E717E4">
        <w:t xml:space="preserve"> Yet Williams’ view of this inseparable link differs from that of non-Apostolics such as Harold Horton, who, as we have seen above, locate this link in </w:t>
      </w:r>
      <w:r w:rsidR="003A0684">
        <w:t>signs accompanying the preaching</w:t>
      </w:r>
      <w:r w:rsidR="00E717E4">
        <w:t>.</w:t>
      </w:r>
      <w:r w:rsidR="003A0684">
        <w:t xml:space="preserve"> Williams’ view of preaching is rather different. He does not see preaching, like Horton, as a human act of persuasion. </w:t>
      </w:r>
      <w:r w:rsidR="00654002">
        <w:t>To the contrary, he warns that ‘there are many that fail to discern the difference between natural oratory and the spiritual value of God’s Word.’</w:t>
      </w:r>
      <w:r w:rsidR="00654002">
        <w:rPr>
          <w:rStyle w:val="FootnoteReference"/>
        </w:rPr>
        <w:footnoteReference w:id="137"/>
      </w:r>
      <w:r w:rsidR="00654002">
        <w:t xml:space="preserve"> </w:t>
      </w:r>
      <w:r w:rsidR="003A0684">
        <w:t xml:space="preserve">For Williams, Christ is present </w:t>
      </w:r>
      <w:r w:rsidR="003A0684">
        <w:lastRenderedPageBreak/>
        <w:t>in the Word proclaimed, and through it nourishes His people.</w:t>
      </w:r>
      <w:r w:rsidR="003A0684">
        <w:rPr>
          <w:rStyle w:val="FootnoteReference"/>
        </w:rPr>
        <w:footnoteReference w:id="138"/>
      </w:r>
      <w:r w:rsidR="00156284">
        <w:t xml:space="preserve"> Thus, when the Word is preached, Christ himself is at work in and through it</w:t>
      </w:r>
      <w:r w:rsidR="00654002">
        <w:t>, for it is ‘the Son alone [who can] reveal the Father</w:t>
      </w:r>
      <w:r w:rsidR="00156284">
        <w:t>.</w:t>
      </w:r>
      <w:r w:rsidR="00654002">
        <w:t>’</w:t>
      </w:r>
      <w:r w:rsidR="00654002">
        <w:rPr>
          <w:rStyle w:val="FootnoteReference"/>
        </w:rPr>
        <w:footnoteReference w:id="139"/>
      </w:r>
      <w:r w:rsidR="00156284">
        <w:t xml:space="preserve"> </w:t>
      </w:r>
      <w:r w:rsidR="00654002">
        <w:t>For Williams, the Gospel which is preached ‘is God condescending to reach us and save a helpless race.’</w:t>
      </w:r>
      <w:r w:rsidR="00654002">
        <w:rPr>
          <w:rStyle w:val="FootnoteReference"/>
        </w:rPr>
        <w:footnoteReference w:id="140"/>
      </w:r>
      <w:r w:rsidR="00654002">
        <w:t xml:space="preserve"> </w:t>
      </w:r>
      <w:r w:rsidR="00231C66">
        <w:t>Through the Word, Christ works by his Holy Spirit to regenerate, sanctify and even to baptise in the Spirit.</w:t>
      </w:r>
      <w:r w:rsidR="00231C66">
        <w:rPr>
          <w:rStyle w:val="FootnoteReference"/>
        </w:rPr>
        <w:footnoteReference w:id="141"/>
      </w:r>
      <w:r w:rsidR="00231C66">
        <w:t xml:space="preserve"> </w:t>
      </w:r>
      <w:r w:rsidR="00156284">
        <w:t>Preaching then is a divine work, not mere human persuasion. The power then need not rest in accompanying signs, but rather is present in the proclamation of the Word itself.</w:t>
      </w:r>
    </w:p>
    <w:p w:rsidR="004D3475" w:rsidRDefault="004D3475" w:rsidP="009370EA">
      <w:pPr>
        <w:spacing w:line="360" w:lineRule="auto"/>
        <w:jc w:val="both"/>
      </w:pPr>
      <w:r>
        <w:t xml:space="preserve">As we have seen in the </w:t>
      </w:r>
      <w:r w:rsidRPr="000C1F04">
        <w:rPr>
          <w:i/>
        </w:rPr>
        <w:t>Athrawiaethau Sylfeinol</w:t>
      </w:r>
      <w:r>
        <w:t xml:space="preserve"> above, D.P. Williams places a strong emphasis on the connection between </w:t>
      </w:r>
      <w:r w:rsidR="00E43857">
        <w:t>BHS</w:t>
      </w:r>
      <w:r>
        <w:t>, the love of the Triune God, and divine</w:t>
      </w:r>
      <w:r w:rsidR="000C1F04">
        <w:t xml:space="preserve"> sonship (or adoption). Although in the </w:t>
      </w:r>
      <w:r w:rsidR="000C1F04" w:rsidRPr="000C1F04">
        <w:rPr>
          <w:i/>
        </w:rPr>
        <w:t>Athrawiaethau</w:t>
      </w:r>
      <w:r w:rsidR="000C1F04">
        <w:t xml:space="preserve"> it may seem as if Williams is equating </w:t>
      </w:r>
      <w:r w:rsidR="00E43857">
        <w:t>BHS</w:t>
      </w:r>
      <w:r w:rsidR="000C1F04">
        <w:t xml:space="preserve"> with adoption itself, elsewhere he clarifies this. ‘The Baptism of the Holy Spirit … bring[s] with it inward consciousness and evidence that Christ has made His abode in the heart.’</w:t>
      </w:r>
      <w:r w:rsidR="000C1F04">
        <w:rPr>
          <w:rStyle w:val="FootnoteReference"/>
        </w:rPr>
        <w:footnoteReference w:id="142"/>
      </w:r>
      <w:r w:rsidR="000C1F04">
        <w:t xml:space="preserve"> Here we see that the baptism is not the coming itself of Christ to abide in the heart, but rather the ‘inward consciousness and evidence.’ </w:t>
      </w:r>
      <w:r w:rsidR="00E43857">
        <w:t xml:space="preserve">BHS </w:t>
      </w:r>
      <w:r w:rsidR="000C1F04">
        <w:t>thus plays a role in the assurance of one’s union with Christ, and hence one’s adoption as a son in the Son.</w:t>
      </w:r>
    </w:p>
    <w:p w:rsidR="003B6D72" w:rsidRDefault="00376A60" w:rsidP="009370EA">
      <w:pPr>
        <w:spacing w:line="360" w:lineRule="auto"/>
        <w:jc w:val="both"/>
      </w:pPr>
      <w:r>
        <w:t xml:space="preserve">This experiential assurance of love and sonship in Christ through </w:t>
      </w:r>
      <w:r w:rsidR="00E43857">
        <w:t>BHS</w:t>
      </w:r>
      <w:r>
        <w:t xml:space="preserve"> plays an important role in Williams’ doctrine of Spirit baptism. It is love, rather than power, which stands for Williams at the heart of the experience. </w:t>
      </w:r>
      <w:r w:rsidR="00E43857">
        <w:t>BHS</w:t>
      </w:r>
      <w:r>
        <w:t xml:space="preserve"> ‘illuminates the mind with radiancy and glory, and graciously takes possession of the will, and zealously affects the affections with a passion of love for Jesus, for the souls of men, and for the Word of God.’</w:t>
      </w:r>
      <w:r>
        <w:rPr>
          <w:rStyle w:val="FootnoteReference"/>
        </w:rPr>
        <w:footnoteReference w:id="143"/>
      </w:r>
      <w:r w:rsidR="00C75606">
        <w:t xml:space="preserve"> </w:t>
      </w:r>
    </w:p>
    <w:p w:rsidR="00376A60" w:rsidRDefault="00C75606" w:rsidP="009370EA">
      <w:pPr>
        <w:spacing w:line="360" w:lineRule="auto"/>
        <w:jc w:val="both"/>
      </w:pPr>
      <w:r>
        <w:t xml:space="preserve">Interestingly here we see that for Williams, </w:t>
      </w:r>
      <w:r w:rsidR="00E43857">
        <w:t>BHS</w:t>
      </w:r>
      <w:r>
        <w:t xml:space="preserve"> is three out of the four things which Harold Horton denies: ‘new light on the Word,’ ‘a new revelation of the nearness and reality of the Lord,’ and ‘a new-found joy in the heart.’</w:t>
      </w:r>
      <w:r>
        <w:rPr>
          <w:rStyle w:val="FootnoteReference"/>
        </w:rPr>
        <w:footnoteReference w:id="144"/>
      </w:r>
      <w:r w:rsidR="003B6D72">
        <w:t xml:space="preserve"> Thus, despite both standing firmly within the Classical Pentecostal tradition on </w:t>
      </w:r>
      <w:r w:rsidR="00E43857">
        <w:t>BHS</w:t>
      </w:r>
      <w:r w:rsidR="003B6D72">
        <w:t xml:space="preserve">, these two highly influential writers of two of the United Kingdom’s original Pentecostal movements have entirely different theological understandings of the experience, which further suggests that the differences between the </w:t>
      </w:r>
      <w:r w:rsidR="00806BA7">
        <w:t>AoG</w:t>
      </w:r>
      <w:r w:rsidR="003B6D72">
        <w:t xml:space="preserve"> and the Apostolic Church run much deeper than questions of church polity.</w:t>
      </w:r>
    </w:p>
    <w:p w:rsidR="009A1FA4" w:rsidRDefault="009A1FA4" w:rsidP="009370EA">
      <w:pPr>
        <w:spacing w:line="360" w:lineRule="auto"/>
        <w:jc w:val="both"/>
      </w:pPr>
      <w:r>
        <w:lastRenderedPageBreak/>
        <w:t xml:space="preserve">Rather than finding theological common ground with Horton (or with Riggs and Pearlman), Williams’ closest theological ally </w:t>
      </w:r>
      <w:r w:rsidR="00F67BA2">
        <w:t xml:space="preserve">when it comes to the baptism of the Holy Spirit as an experiential assurance of love and sonship in Christ </w:t>
      </w:r>
      <w:r>
        <w:t xml:space="preserve">would appear to be a non-Pentecostal. </w:t>
      </w:r>
      <w:r w:rsidR="006642DB">
        <w:t>It was</w:t>
      </w:r>
      <w:r w:rsidR="000738C4">
        <w:t xml:space="preserve"> the fellow Welshman</w:t>
      </w:r>
      <w:r w:rsidR="00E43857">
        <w:t xml:space="preserve"> Martyn Lloyd-</w:t>
      </w:r>
      <w:r w:rsidR="006642DB">
        <w:t>Jones who was perhaps the greatest advocate of a doctrine of baptism of the Holy Spirit ‘an “experience</w:t>
      </w:r>
      <w:r w:rsidR="00454D26">
        <w:t>”</w:t>
      </w:r>
      <w:r w:rsidR="006642DB">
        <w:t xml:space="preserve"> of assurance, the sealing of salvation.’</w:t>
      </w:r>
      <w:r w:rsidR="006642DB">
        <w:rPr>
          <w:rStyle w:val="FootnoteReference"/>
        </w:rPr>
        <w:footnoteReference w:id="145"/>
      </w:r>
      <w:r w:rsidR="006642DB">
        <w:t xml:space="preserve"> (Notably however, this was </w:t>
      </w:r>
      <w:r w:rsidR="00E43857">
        <w:t>something which Lloyd-</w:t>
      </w:r>
      <w:r w:rsidR="00122743">
        <w:t>Jones did not emphasise until after D.P. Williams’ death</w:t>
      </w:r>
      <w:r w:rsidR="00E43857">
        <w:t>, and so Lloyd-</w:t>
      </w:r>
      <w:r w:rsidR="006642DB">
        <w:t>Jones could not have been a</w:t>
      </w:r>
      <w:r w:rsidR="00122743">
        <w:t>n</w:t>
      </w:r>
      <w:r w:rsidR="006642DB">
        <w:t xml:space="preserve"> influence on Williams’ theology in this regard.</w:t>
      </w:r>
      <w:r w:rsidR="00E43857">
        <w:t xml:space="preserve"> Both, however, shared a common background in Welsh experiential Calvinism.</w:t>
      </w:r>
      <w:r w:rsidR="006642DB">
        <w:t>)</w:t>
      </w:r>
      <w:r w:rsidR="00122743">
        <w:rPr>
          <w:rStyle w:val="FootnoteReference"/>
        </w:rPr>
        <w:footnoteReference w:id="146"/>
      </w:r>
    </w:p>
    <w:p w:rsidR="00454D26" w:rsidRDefault="00454D26" w:rsidP="009370EA">
      <w:pPr>
        <w:spacing w:line="360" w:lineRule="auto"/>
        <w:jc w:val="both"/>
      </w:pPr>
      <w:r>
        <w:t>This understanding of the baptism in the Holy Spirit as an experi</w:t>
      </w:r>
      <w:r w:rsidR="00A8579F">
        <w:t>en</w:t>
      </w:r>
      <w:r>
        <w:t>tial assurance of the Father’s love in Christ, closely tied to sonship, and brought about through the Spirit, thus places the baptism of the Spirit within a clearly Trinitarian context. We have already seen above how Williams unders</w:t>
      </w:r>
      <w:r w:rsidR="006564D0">
        <w:t xml:space="preserve">tands </w:t>
      </w:r>
      <w:r w:rsidR="0062366F">
        <w:t>BHS</w:t>
      </w:r>
      <w:r w:rsidR="006564D0">
        <w:t xml:space="preserve"> </w:t>
      </w:r>
      <w:r>
        <w:t xml:space="preserve">within a Trinitarian framework in the </w:t>
      </w:r>
      <w:r w:rsidRPr="00454D26">
        <w:rPr>
          <w:i/>
        </w:rPr>
        <w:t>Athrawiaethau Sylfeinol</w:t>
      </w:r>
      <w:r>
        <w:t>, and this Trinitarian aspect to Williams’ thought continues through all his consideration of the baptism. Not only does Spirit baptism stand within a Trinitarian context, but it is also a Trinitarian experience. In the baptism of the Holy Spirit, ‘the soul is enraptured in fellowship with the Father and the Son, and with the Saints who have entered “the Life abundant.”’</w:t>
      </w:r>
      <w:r>
        <w:rPr>
          <w:rStyle w:val="FootnoteReference"/>
        </w:rPr>
        <w:footnoteReference w:id="147"/>
      </w:r>
      <w:r w:rsidR="001229E7">
        <w:t xml:space="preserve"> (We shall return to this last aspect of the communion of the saints presently.)</w:t>
      </w:r>
    </w:p>
    <w:p w:rsidR="00C04C65" w:rsidRDefault="0062366F" w:rsidP="009370EA">
      <w:pPr>
        <w:spacing w:line="360" w:lineRule="auto"/>
        <w:jc w:val="both"/>
      </w:pPr>
      <w:r>
        <w:t>In the next chapter, we shall examine</w:t>
      </w:r>
      <w:r w:rsidR="009C3532">
        <w:t xml:space="preserve"> some of D.P. Williams Welsh hymnody, including his only hymn on the theme of </w:t>
      </w:r>
      <w:r w:rsidR="00AB375A">
        <w:t>BHS</w:t>
      </w:r>
      <w:r w:rsidR="00390A84">
        <w:t xml:space="preserve">, </w:t>
      </w:r>
      <w:r w:rsidR="00390A84" w:rsidRPr="00390A84">
        <w:rPr>
          <w:i/>
          <w:lang w:val="cy-GB"/>
        </w:rPr>
        <w:t>Clywch yr alwad, rhai sychedig</w:t>
      </w:r>
      <w:r w:rsidR="00390A84">
        <w:rPr>
          <w:lang w:val="cy-GB"/>
        </w:rPr>
        <w:t>.</w:t>
      </w:r>
      <w:r w:rsidR="00F53177">
        <w:rPr>
          <w:rStyle w:val="FootnoteReference"/>
          <w:lang w:val="cy-GB"/>
        </w:rPr>
        <w:footnoteReference w:id="148"/>
      </w:r>
      <w:r w:rsidR="00390A84">
        <w:rPr>
          <w:rStyle w:val="FootnoteReference"/>
        </w:rPr>
        <w:t xml:space="preserve"> </w:t>
      </w:r>
      <w:r w:rsidR="005B6361">
        <w:t xml:space="preserve">Just as in the </w:t>
      </w:r>
      <w:r w:rsidR="005B6361" w:rsidRPr="005B6361">
        <w:rPr>
          <w:i/>
        </w:rPr>
        <w:t>Athrawiaethau Sylfeinol</w:t>
      </w:r>
      <w:r w:rsidR="005B6361">
        <w:t xml:space="preserve">, </w:t>
      </w:r>
      <w:r w:rsidR="005B6361" w:rsidRPr="005B6361">
        <w:rPr>
          <w:i/>
        </w:rPr>
        <w:t>Clywch yr Alwad</w:t>
      </w:r>
      <w:r w:rsidR="005B6361">
        <w:t xml:space="preserve"> points </w:t>
      </w:r>
      <w:r w:rsidR="00A15DE8">
        <w:t xml:space="preserve">to </w:t>
      </w:r>
      <w:r w:rsidR="005B6361">
        <w:t xml:space="preserve">Christ and His atoning work as the meritorious cause of </w:t>
      </w:r>
      <w:r w:rsidR="00AB375A">
        <w:t>BHS</w:t>
      </w:r>
      <w:r w:rsidR="00F53177">
        <w:t>, and sets the experience within a Trinitarian context.</w:t>
      </w:r>
      <w:r w:rsidR="00F53177" w:rsidRPr="00F53177">
        <w:rPr>
          <w:rStyle w:val="FootnoteReference"/>
        </w:rPr>
        <w:t xml:space="preserve"> </w:t>
      </w:r>
      <w:r w:rsidR="00F53177">
        <w:rPr>
          <w:rStyle w:val="FootnoteReference"/>
        </w:rPr>
        <w:footnoteReference w:id="149"/>
      </w:r>
      <w:r w:rsidR="00F53177">
        <w:t xml:space="preserve"> Moreover, </w:t>
      </w:r>
      <w:r w:rsidR="00F53177" w:rsidRPr="00F53177">
        <w:rPr>
          <w:i/>
        </w:rPr>
        <w:t>Clywch yr Alwad</w:t>
      </w:r>
      <w:r w:rsidR="00F53177">
        <w:t xml:space="preserve"> points to </w:t>
      </w:r>
      <w:r w:rsidR="00A15DE8">
        <w:t xml:space="preserve">an experience which brings satisfaction for those who are hungry and weary, to a great, generous provision from the God of the Cross: an experience which is a fountain of life and the very opposite of the disappointments of this world. Again, and consistent </w:t>
      </w:r>
      <w:r w:rsidR="00AB375A">
        <w:t>with all William</w:t>
      </w:r>
      <w:r w:rsidR="00A15DE8">
        <w:t>s</w:t>
      </w:r>
      <w:r w:rsidR="00AB375A">
        <w:t>’</w:t>
      </w:r>
      <w:r w:rsidR="00A15DE8">
        <w:t xml:space="preserve"> thought on the theme, </w:t>
      </w:r>
      <w:r w:rsidR="00AB375A">
        <w:t>BHS</w:t>
      </w:r>
      <w:r w:rsidR="00A15DE8">
        <w:t xml:space="preserve"> cannot be limited to the typical Classical Pentecostal notion of power for witness, but rather serves as a profound experiential assurance of the love of the Cross.</w:t>
      </w:r>
      <w:r w:rsidR="00906922">
        <w:t xml:space="preserve"> </w:t>
      </w:r>
      <w:r w:rsidR="00906922" w:rsidRPr="000B1341">
        <w:rPr>
          <w:i/>
        </w:rPr>
        <w:t>Clywch yr Alwad</w:t>
      </w:r>
      <w:r w:rsidR="00906922">
        <w:t xml:space="preserve">, in fact, expresses beautifully in poetic form all the key emphases we have seen thus far in Williams’ doctrine of </w:t>
      </w:r>
      <w:r w:rsidR="00E66CFA">
        <w:t>BHS</w:t>
      </w:r>
      <w:r w:rsidR="00906922">
        <w:t xml:space="preserve">. This is an immersion in the love which flows from the Cross. </w:t>
      </w:r>
      <w:r w:rsidR="009A27A3">
        <w:t xml:space="preserve">And yet, as we have seen, this immersion is in the Spirit himself and baptises us into the experience of the </w:t>
      </w:r>
      <w:r w:rsidR="009A27A3">
        <w:lastRenderedPageBreak/>
        <w:t>loving fellowship of the Father and the Son. So this immersion in the love which flows from the Cross is in fact an immersion in the Triune God of love of the Cross.</w:t>
      </w:r>
    </w:p>
    <w:p w:rsidR="006B2DBF" w:rsidRDefault="006B2DBF" w:rsidP="009370EA">
      <w:pPr>
        <w:spacing w:line="360" w:lineRule="auto"/>
        <w:jc w:val="both"/>
      </w:pPr>
      <w:r>
        <w:t xml:space="preserve">Yet this experiential assurance of love and sonship in Christ is not the only way in which we are immersed in the God of the Cross through </w:t>
      </w:r>
      <w:r w:rsidR="00BB45DA">
        <w:t>BHS</w:t>
      </w:r>
      <w:r>
        <w:t>.</w:t>
      </w:r>
      <w:r w:rsidR="00E1714C">
        <w:t xml:space="preserve"> The Cross is not only the place of the revelation of the love of the Triune God, but also the place where ‘One of th</w:t>
      </w:r>
      <w:r w:rsidR="0010742A">
        <w:t>e Trinity suffered in the flesh,’ and Williams’ takes full account of the suffering of the Cross in his theology.</w:t>
      </w:r>
    </w:p>
    <w:p w:rsidR="005B05D2" w:rsidRDefault="005B05D2" w:rsidP="009370EA">
      <w:pPr>
        <w:spacing w:line="360" w:lineRule="auto"/>
        <w:jc w:val="both"/>
      </w:pPr>
      <w:r>
        <w:t>For Williams, the Spirit has been sent so that the Redeemed might be ‘fully conformed to His [Christ’s] Image,’</w:t>
      </w:r>
      <w:r>
        <w:rPr>
          <w:rStyle w:val="FootnoteReference"/>
        </w:rPr>
        <w:footnoteReference w:id="150"/>
      </w:r>
      <w:r>
        <w:t xml:space="preserve"> yet the Christ to whose image the Redeemed are to be conformed is the crucified Christ, and thus ‘the Christ life can only be manifested to the degree that death is working.’</w:t>
      </w:r>
      <w:r>
        <w:rPr>
          <w:rStyle w:val="FootnoteReference"/>
        </w:rPr>
        <w:footnoteReference w:id="151"/>
      </w:r>
      <w:r w:rsidR="00EE41E5">
        <w:t xml:space="preserve"> Hence, for Williams, ‘the ultimate goal of life’ is ‘a life always abiding in death’, for ‘the law of dying is the law of living; the deeper the death, the higher the life … it is when actually bearing His death in us that we find Life flooding, streaming, running through us.’</w:t>
      </w:r>
      <w:r w:rsidR="00EE41E5">
        <w:rPr>
          <w:rStyle w:val="FootnoteReference"/>
        </w:rPr>
        <w:footnoteReference w:id="152"/>
      </w:r>
      <w:r w:rsidR="00B81E80">
        <w:t xml:space="preserve"> The true Christian life, then, involves a dying to self and to one’s own powers, strength and even moral ability.</w:t>
      </w:r>
      <w:r w:rsidR="00B81E80">
        <w:rPr>
          <w:rStyle w:val="FootnoteReference"/>
        </w:rPr>
        <w:footnoteReference w:id="153"/>
      </w:r>
    </w:p>
    <w:p w:rsidR="00B81E80" w:rsidRDefault="00B81E80" w:rsidP="009370EA">
      <w:pPr>
        <w:spacing w:line="360" w:lineRule="auto"/>
        <w:jc w:val="both"/>
      </w:pPr>
      <w:r>
        <w:t>Williams argues that light shines only ‘through the mutilated body of the Lord Jesus, the nails and the thorn-crowned Brow.’</w:t>
      </w:r>
      <w:r>
        <w:rPr>
          <w:rStyle w:val="FootnoteReference"/>
        </w:rPr>
        <w:footnoteReference w:id="154"/>
      </w:r>
      <w:r>
        <w:t xml:space="preserve"> </w:t>
      </w:r>
      <w:r w:rsidR="00860253">
        <w:t>Therefore</w:t>
      </w:r>
      <w:r>
        <w:t xml:space="preserve"> the Christian disciple must be brought into ‘the fellowship of [Christ’s] sufferings</w:t>
      </w:r>
      <w:r w:rsidR="00860253">
        <w:t>’ in order to share in the light and bring the light to others, whether fellow believers or unbelievers. This means ‘death for the disciple, but life for others.’</w:t>
      </w:r>
      <w:r w:rsidR="00860253" w:rsidRPr="00860253">
        <w:rPr>
          <w:rStyle w:val="FootnoteReference"/>
        </w:rPr>
        <w:t xml:space="preserve"> </w:t>
      </w:r>
      <w:r w:rsidR="00860253">
        <w:rPr>
          <w:rStyle w:val="FootnoteReference"/>
        </w:rPr>
        <w:footnoteReference w:id="155"/>
      </w:r>
    </w:p>
    <w:p w:rsidR="00860253" w:rsidRDefault="00860253" w:rsidP="009370EA">
      <w:pPr>
        <w:spacing w:line="360" w:lineRule="auto"/>
        <w:jc w:val="both"/>
      </w:pPr>
      <w:r>
        <w:t>This death for the life of others is particularly pronounced when it comes to the ministry. ‘The life of Christ’s minister, especially, is lived for others; he dies and lives for others. As the rich life flows through him, many are deriving grace; one dying, many living.’</w:t>
      </w:r>
      <w:r>
        <w:rPr>
          <w:rStyle w:val="FootnoteReference"/>
        </w:rPr>
        <w:footnoteReference w:id="156"/>
      </w:r>
    </w:p>
    <w:p w:rsidR="00A215F6" w:rsidRDefault="00A215F6" w:rsidP="009370EA">
      <w:pPr>
        <w:spacing w:line="360" w:lineRule="auto"/>
        <w:jc w:val="both"/>
      </w:pPr>
      <w:r>
        <w:t xml:space="preserve">D.P. Williams’ thought here on life through death stands in stark contrast to much Pentecostal triumphalism. Instead what he offers is a Pentecostal </w:t>
      </w:r>
      <w:r w:rsidRPr="00A215F6">
        <w:rPr>
          <w:i/>
        </w:rPr>
        <w:t>theologia crucis</w:t>
      </w:r>
      <w:r w:rsidR="00BE007B">
        <w:t>, which is rooted in the baptism of the Spirit. He argues that ‘the Spirit is working out this Throne-life, through death.’</w:t>
      </w:r>
      <w:r w:rsidR="00BE007B">
        <w:rPr>
          <w:rStyle w:val="FootnoteReference"/>
        </w:rPr>
        <w:footnoteReference w:id="157"/>
      </w:r>
      <w:r w:rsidR="00BE007B">
        <w:t xml:space="preserve"> </w:t>
      </w:r>
      <w:r w:rsidR="00FC0B44">
        <w:t xml:space="preserve">The way that he sees the Spirit working this out in the Christian is through </w:t>
      </w:r>
      <w:r w:rsidR="00BB45DA">
        <w:t>BHS</w:t>
      </w:r>
      <w:r w:rsidR="00FC0B44">
        <w:t xml:space="preserve">, the ‘earnest’ of 2 Corinthians 5:5. </w:t>
      </w:r>
      <w:r w:rsidR="008C4BE2">
        <w:t xml:space="preserve">That Williams firmly connects this </w:t>
      </w:r>
      <w:r w:rsidR="008C4BE2" w:rsidRPr="008C4BE2">
        <w:rPr>
          <w:i/>
        </w:rPr>
        <w:t>theologia crucis</w:t>
      </w:r>
      <w:r w:rsidR="008C4BE2">
        <w:t xml:space="preserve"> to </w:t>
      </w:r>
      <w:r w:rsidR="00BB45DA">
        <w:t>BHS</w:t>
      </w:r>
      <w:r w:rsidR="008C4BE2">
        <w:t xml:space="preserve"> stands in stark contrast </w:t>
      </w:r>
      <w:r w:rsidR="008C4BE2">
        <w:lastRenderedPageBreak/>
        <w:t>to the central place concepts of power and persuasive (thus impressive) supernatural manifestations have in the (non-Apostolic) Classical Pentecostal though</w:t>
      </w:r>
      <w:r w:rsidR="00FC0B44">
        <w:t xml:space="preserve">t of Pearlman, Riggs and Horton, and highlights once again that, although they share the typical Classical Pentecostal features of subsequence and observable evidence, the theological nature of D.P. Williams’ concept of </w:t>
      </w:r>
      <w:r w:rsidR="00BB45DA">
        <w:t>BHS</w:t>
      </w:r>
      <w:r w:rsidR="00FC0B44">
        <w:t xml:space="preserve"> is far removed from that of the typical exponents of Classical Pentecostalism. Theirs is a </w:t>
      </w:r>
      <w:r w:rsidR="00FC0B44" w:rsidRPr="00FC0B44">
        <w:rPr>
          <w:i/>
        </w:rPr>
        <w:t>theology of glory</w:t>
      </w:r>
      <w:r w:rsidR="00FC0B44">
        <w:t xml:space="preserve">; his is a </w:t>
      </w:r>
      <w:r w:rsidR="00FC0B44" w:rsidRPr="00FC0B44">
        <w:rPr>
          <w:i/>
        </w:rPr>
        <w:t>theology of the Cross</w:t>
      </w:r>
      <w:r w:rsidR="00FC0B44">
        <w:t>.</w:t>
      </w:r>
      <w:r w:rsidR="00AA032A">
        <w:t xml:space="preserve"> While they ‘look upon the invisible things of God as though they were clearly perceptible in those things which have actually happened,’</w:t>
      </w:r>
      <w:r w:rsidR="00AA032A">
        <w:rPr>
          <w:rStyle w:val="FootnoteReference"/>
        </w:rPr>
        <w:footnoteReference w:id="158"/>
      </w:r>
      <w:r w:rsidR="00AA032A">
        <w:t xml:space="preserve"> he ‘comprehends the visible and manifest things of God seen through suffering and the cross.’</w:t>
      </w:r>
      <w:r w:rsidR="00AA032A">
        <w:rPr>
          <w:rStyle w:val="FootnoteReference"/>
        </w:rPr>
        <w:footnoteReference w:id="159"/>
      </w:r>
    </w:p>
    <w:p w:rsidR="00345EE6" w:rsidRDefault="00345EE6" w:rsidP="009370EA">
      <w:pPr>
        <w:spacing w:line="360" w:lineRule="auto"/>
        <w:jc w:val="both"/>
      </w:pPr>
      <w:r>
        <w:t xml:space="preserve">D.P. Williams’ own experience of </w:t>
      </w:r>
      <w:r w:rsidR="00BB45DA">
        <w:t>BHS</w:t>
      </w:r>
      <w:r>
        <w:t xml:space="preserve"> is of interest in connection </w:t>
      </w:r>
      <w:r w:rsidR="00102198">
        <w:t xml:space="preserve">with </w:t>
      </w:r>
      <w:r>
        <w:t xml:space="preserve">this </w:t>
      </w:r>
      <w:r w:rsidRPr="00345EE6">
        <w:rPr>
          <w:i/>
        </w:rPr>
        <w:t>theologia crucis</w:t>
      </w:r>
      <w:r>
        <w:t xml:space="preserve"> </w:t>
      </w:r>
      <w:r w:rsidR="00C91F55">
        <w:t>aspect of</w:t>
      </w:r>
      <w:r>
        <w:t xml:space="preserve"> his thinking on the subject. Although </w:t>
      </w:r>
      <w:r w:rsidR="00C91F55">
        <w:t>the</w:t>
      </w:r>
      <w:r>
        <w:t xml:space="preserve"> biographical accounts mention him speaking in tongues, the </w:t>
      </w:r>
      <w:r w:rsidR="00C91F55">
        <w:t xml:space="preserve">focus of the </w:t>
      </w:r>
      <w:r>
        <w:t xml:space="preserve">eye-witness testimony </w:t>
      </w:r>
      <w:r w:rsidR="00C91F55">
        <w:t>is elsewhere</w:t>
      </w:r>
      <w:r>
        <w:t>. William Phillips describes that event:</w:t>
      </w:r>
    </w:p>
    <w:p w:rsidR="00345EE6" w:rsidRPr="00024B5C" w:rsidRDefault="00345EE6" w:rsidP="009370EA">
      <w:pPr>
        <w:spacing w:line="360" w:lineRule="auto"/>
        <w:ind w:left="720" w:right="720"/>
        <w:jc w:val="both"/>
        <w:rPr>
          <w:sz w:val="20"/>
        </w:rPr>
      </w:pPr>
      <w:r w:rsidRPr="00024B5C">
        <w:rPr>
          <w:sz w:val="20"/>
        </w:rPr>
        <w:t>He [D.P. Williams] travelled through Wales and led many souls to Christ. In 1909 he came to Aberayron, and here met a company of God’s people who were baptised with the Holy Spirit. Daniel joined the company to ascend the mountain overlooking Cardigan Bay. Here they knelt, prayed and praised. To our surprise we found Daniel flat on his face weeping, sobbing and groaning. He resembled a worm trying to get a place to hide in the earth. Those who were present agreed that it was a sight that they would never forget.</w:t>
      </w:r>
      <w:r w:rsidRPr="00024B5C">
        <w:rPr>
          <w:rStyle w:val="FootnoteReference"/>
          <w:sz w:val="20"/>
        </w:rPr>
        <w:footnoteReference w:id="160"/>
      </w:r>
    </w:p>
    <w:p w:rsidR="003B30A6" w:rsidRDefault="00427012" w:rsidP="009370EA">
      <w:pPr>
        <w:spacing w:line="360" w:lineRule="auto"/>
        <w:jc w:val="both"/>
      </w:pPr>
      <w:r>
        <w:t xml:space="preserve">Here in Phillips’ description of Williams’ </w:t>
      </w:r>
      <w:r w:rsidR="0026528E">
        <w:t>BHS</w:t>
      </w:r>
      <w:r>
        <w:t xml:space="preserve"> we do not find the expected typical features of Classical Pentecostal experience (viz. tongues and power, although it is clearly a case of subsequence). Instead of power, we see weakness; a humbling, rather than an exaltation. Phillips’ note before he narrates this experience that Williams was already travelling around the country leading ‘many souls to Christ’ also breaks the typical Pentecostal pattern. For Williams, </w:t>
      </w:r>
      <w:r w:rsidR="0026528E">
        <w:t>BHS</w:t>
      </w:r>
      <w:r>
        <w:t xml:space="preserve"> was not a case of power for evangelism, as he was already being used powerfully in evangelism. Phillips’ description then of </w:t>
      </w:r>
      <w:r w:rsidR="00E23FF0">
        <w:t>Williams’</w:t>
      </w:r>
      <w:r>
        <w:t xml:space="preserve"> baptism in the Spirit shows us, not a baptism of glory, but a baptism of the cross.</w:t>
      </w:r>
    </w:p>
    <w:p w:rsidR="00DC04EC" w:rsidRDefault="00701E72" w:rsidP="009370EA">
      <w:pPr>
        <w:spacing w:line="360" w:lineRule="auto"/>
        <w:jc w:val="both"/>
      </w:pPr>
      <w:r>
        <w:t xml:space="preserve">That </w:t>
      </w:r>
      <w:r w:rsidR="00E23FF0">
        <w:t>Williams’</w:t>
      </w:r>
      <w:r>
        <w:t xml:space="preserve"> experience of </w:t>
      </w:r>
      <w:r w:rsidR="0026528E">
        <w:t>BHS</w:t>
      </w:r>
      <w:r>
        <w:t xml:space="preserve"> is recorded and handed down to us by William Phillips and not by D.P. Williams himself is also of note. It has long been argued that the testimony and personal </w:t>
      </w:r>
      <w:r>
        <w:lastRenderedPageBreak/>
        <w:t xml:space="preserve">narrative theology </w:t>
      </w:r>
      <w:r w:rsidR="00D620A0">
        <w:t>were</w:t>
      </w:r>
      <w:r>
        <w:t xml:space="preserve"> of the essence of </w:t>
      </w:r>
      <w:r w:rsidR="00D620A0">
        <w:t>early</w:t>
      </w:r>
      <w:r>
        <w:t xml:space="preserve"> Pentecostal theological method.</w:t>
      </w:r>
      <w:r w:rsidR="00D620A0">
        <w:rPr>
          <w:rStyle w:val="FootnoteReference"/>
        </w:rPr>
        <w:footnoteReference w:id="161"/>
      </w:r>
      <w:r>
        <w:t xml:space="preserve"> Yet that is not what we find in Williams and the other early Apostolics. Williams never refers to his own experience of baptism in the Spirit</w:t>
      </w:r>
      <w:r w:rsidR="00EB294E">
        <w:t xml:space="preserve"> in his expositions of the doctrine, and does not tie his understanding of the baptism in terms of </w:t>
      </w:r>
      <w:r w:rsidR="00EB294E" w:rsidRPr="00EB294E">
        <w:rPr>
          <w:i/>
        </w:rPr>
        <w:t>theologia crucis</w:t>
      </w:r>
      <w:r w:rsidR="00EB294E">
        <w:t xml:space="preserve"> to his own personal narrative. Instead he ties it to wider theological and biblical concerns.</w:t>
      </w:r>
      <w:r w:rsidR="00DC04EC">
        <w:t xml:space="preserve"> </w:t>
      </w:r>
    </w:p>
    <w:p w:rsidR="00701E72" w:rsidRDefault="00DC04EC" w:rsidP="009370EA">
      <w:pPr>
        <w:spacing w:line="360" w:lineRule="auto"/>
        <w:jc w:val="both"/>
      </w:pPr>
      <w:r>
        <w:t>That is not to say, however, that Williams never speaks in the first person.</w:t>
      </w:r>
      <w:r w:rsidR="00364888">
        <w:t xml:space="preserve"> In 1943, while expounding on the prophetical ministry given at the Apostolic Church International Convention in Penygroes, Williams did give a first-person, narrative account concerning </w:t>
      </w:r>
      <w:r w:rsidR="0026528E">
        <w:t>BHS</w:t>
      </w:r>
      <w:r w:rsidR="00364888">
        <w:t>. Yet, this testimony is not so much a testimony of personal experience, but more of a testimony of unfolding theological understanding:</w:t>
      </w:r>
    </w:p>
    <w:p w:rsidR="00364888" w:rsidRPr="00024B5C" w:rsidRDefault="00364888" w:rsidP="009370EA">
      <w:pPr>
        <w:spacing w:line="360" w:lineRule="auto"/>
        <w:ind w:left="720" w:right="720"/>
        <w:jc w:val="both"/>
        <w:rPr>
          <w:sz w:val="20"/>
        </w:rPr>
      </w:pPr>
      <w:r w:rsidRPr="00024B5C">
        <w:rPr>
          <w:sz w:val="20"/>
        </w:rPr>
        <w:t>When the glorious outpouring of the Holy Ghost visited us, we realized … that our richly blessed experience was also a related experience – ordained to express God not only through the individual, but through a corporate fellowship, otherwise the personal life would be much impoverished … We realized that the Lord Christ, to Whom, as Supreme Controller of our lives, we had surrendered, was working beyond the limitation of our personality, and reaching beyond the national to the universal. We realized that, after all, the Holy Spirit, Who had possessed God’s people, had immeasurable ends in view, the scope of which were within a universal Eternal Society; that His purpose demanded myriads of individuals with divers gifts</w:t>
      </w:r>
      <w:r w:rsidR="005E69DA" w:rsidRPr="00024B5C">
        <w:rPr>
          <w:sz w:val="20"/>
        </w:rPr>
        <w:t xml:space="preserve"> and countless functions through which He had been working from the beginning. When the vision of the Body of Christ dawned upon us, the endless possibilities opening to our gaze were so rapturous that we were absorbed with the truth … How rich would be a Church through the contribution of all, and while there was a goal before such Body in the predestined purpose of God! It was for this purpose that we were apprehended of Him at this time.</w:t>
      </w:r>
      <w:r w:rsidR="005E69DA" w:rsidRPr="00024B5C">
        <w:rPr>
          <w:rStyle w:val="FootnoteReference"/>
          <w:sz w:val="20"/>
        </w:rPr>
        <w:footnoteReference w:id="162"/>
      </w:r>
    </w:p>
    <w:p w:rsidR="00345EE6" w:rsidRDefault="003648C6" w:rsidP="009370EA">
      <w:pPr>
        <w:spacing w:line="360" w:lineRule="auto"/>
        <w:jc w:val="both"/>
      </w:pPr>
      <w:r>
        <w:t xml:space="preserve">Through this personal narrative, Williams makes a significant connection between </w:t>
      </w:r>
      <w:r w:rsidR="0026528E">
        <w:t>BHS</w:t>
      </w:r>
      <w:r>
        <w:t xml:space="preserve"> and ecclesiology. He tells the reader how he came to realise that </w:t>
      </w:r>
      <w:r w:rsidR="0026528E">
        <w:t>BHS</w:t>
      </w:r>
      <w:r>
        <w:t xml:space="preserve"> was much more than an individual blessing, but also a relational and corporate experience foundational to ‘a universal Eternal Society’ which is the Body of Christ. As such </w:t>
      </w:r>
      <w:r w:rsidR="0026528E">
        <w:t>BHS</w:t>
      </w:r>
      <w:r>
        <w:t xml:space="preserve"> becomes indispensable to Williams’ concept of ‘the vision of the Body of Christ’ and ‘the predestined purpose of God’, two ways of </w:t>
      </w:r>
      <w:r>
        <w:lastRenderedPageBreak/>
        <w:t>speaking of the Apostolic Vision, or Eternal Purpose, which was the very heart of early Apostolic theology.</w:t>
      </w:r>
      <w:r w:rsidR="00E675C4">
        <w:rPr>
          <w:rStyle w:val="FootnoteReference"/>
        </w:rPr>
        <w:footnoteReference w:id="163"/>
      </w:r>
    </w:p>
    <w:p w:rsidR="002D3964" w:rsidRDefault="002D3964" w:rsidP="009370EA">
      <w:pPr>
        <w:spacing w:line="360" w:lineRule="auto"/>
        <w:jc w:val="both"/>
      </w:pPr>
      <w:r>
        <w:t xml:space="preserve">Although Williams narrates this development in his theological understanding of the baptism of the Holy Spirit and its connection to ecclesiology in 1943, the development in his thought had actually occurred much earlier, for the ecclesial dimension of </w:t>
      </w:r>
      <w:r w:rsidR="0026528E">
        <w:t>BHS</w:t>
      </w:r>
      <w:r>
        <w:t xml:space="preserve"> pervades much of his writing on the subject.  Moreover, nearly all of his writing on </w:t>
      </w:r>
      <w:r w:rsidR="0026528E">
        <w:t>BHS</w:t>
      </w:r>
      <w:r>
        <w:t xml:space="preserve"> is actually contained within writings on ecclesiology. This ecclesial dimension of Spirit baptism can be seen as far back as 1916, the year of the official denominational commencement of the Apostolic Church, in the second issue of </w:t>
      </w:r>
      <w:r w:rsidRPr="002D3964">
        <w:rPr>
          <w:i/>
        </w:rPr>
        <w:t>Riches of Grace</w:t>
      </w:r>
      <w:r>
        <w:t xml:space="preserve"> (or </w:t>
      </w:r>
      <w:r w:rsidRPr="002D3964">
        <w:rPr>
          <w:i/>
        </w:rPr>
        <w:t>Cyfoeth Gras</w:t>
      </w:r>
      <w:r>
        <w:t xml:space="preserve"> as it was then known in Welsh). There Williams writes that, although </w:t>
      </w:r>
      <w:r w:rsidR="0026528E">
        <w:t>BHS</w:t>
      </w:r>
      <w:r>
        <w:t xml:space="preserve"> ‘is the gift of God to each </w:t>
      </w:r>
      <w:r w:rsidR="009D671D">
        <w:t xml:space="preserve">individual </w:t>
      </w:r>
      <w:r>
        <w:t>believer</w:t>
      </w:r>
      <w:r w:rsidR="009D671D">
        <w:t>,</w:t>
      </w:r>
      <w:r>
        <w:t>’</w:t>
      </w:r>
      <w:r>
        <w:rPr>
          <w:rStyle w:val="FootnoteReference"/>
        </w:rPr>
        <w:footnoteReference w:id="164"/>
      </w:r>
      <w:r w:rsidR="009D671D">
        <w:t xml:space="preserve"> ‘it is the Holy Spirit, by receiving Him in this manner, who places us in His [Christ’s] mys</w:t>
      </w:r>
      <w:r w:rsidR="0026528E">
        <w:t>tical</w:t>
      </w:r>
      <w:r w:rsidR="009D671D">
        <w:t xml:space="preserve"> Body</w:t>
      </w:r>
      <w:r w:rsidR="00DA1301">
        <w:t xml:space="preserve"> (I Cor. xii. 13)</w:t>
      </w:r>
      <w:r w:rsidR="009D671D">
        <w:t>.’</w:t>
      </w:r>
      <w:r w:rsidR="009D671D">
        <w:rPr>
          <w:rStyle w:val="FootnoteReference"/>
        </w:rPr>
        <w:footnoteReference w:id="165"/>
      </w:r>
      <w:r w:rsidR="000B556F">
        <w:t xml:space="preserve"> This, for Williams</w:t>
      </w:r>
      <w:r w:rsidR="0026528E">
        <w:t>,</w:t>
      </w:r>
      <w:r w:rsidR="000B556F">
        <w:t xml:space="preserve"> is necessitated by the very being of the Church as Christ’s Body. He argues that ‘there is no Church to be had except where Christ is gl</w:t>
      </w:r>
      <w:r w:rsidR="00AD7A7D">
        <w:t>orified through the Holy Spirit,</w:t>
      </w:r>
      <w:r w:rsidR="000B556F">
        <w:t>’</w:t>
      </w:r>
      <w:r w:rsidR="000B556F">
        <w:rPr>
          <w:rStyle w:val="FootnoteReference"/>
        </w:rPr>
        <w:footnoteReference w:id="166"/>
      </w:r>
      <w:r w:rsidR="00AD7A7D">
        <w:t xml:space="preserve"> for this is indeed the proper work of the Spirit, ‘to glorify Christ on the earth as the Father has glorified Him in heaven.’</w:t>
      </w:r>
      <w:r w:rsidR="00AD7A7D">
        <w:rPr>
          <w:rStyle w:val="FootnoteReference"/>
        </w:rPr>
        <w:footnoteReference w:id="167"/>
      </w:r>
      <w:r w:rsidR="00722B69">
        <w:t xml:space="preserve"> The whole article is concerned with this theme of how God is glorified through His gifts of salvation (viewed monergistically), the baptism in the Spirit, and the gifts and ministries which He sets in the Church.</w:t>
      </w:r>
    </w:p>
    <w:p w:rsidR="00772261" w:rsidRDefault="00722B69" w:rsidP="009370EA">
      <w:pPr>
        <w:spacing w:line="360" w:lineRule="auto"/>
        <w:jc w:val="both"/>
      </w:pPr>
      <w:r>
        <w:t xml:space="preserve">This understanding of </w:t>
      </w:r>
      <w:r w:rsidR="00F40484">
        <w:t>BHS</w:t>
      </w:r>
      <w:r>
        <w:t xml:space="preserve"> as the way in which the Holy Spirit places members in the Body of Christ would continue throughout Williams’ writings on the subject. In 1935 he wrote that it is ‘in the baptism of the Holy Spirit that one is equipped and qualified for the Body.’</w:t>
      </w:r>
      <w:r>
        <w:rPr>
          <w:rStyle w:val="FootnoteReference"/>
        </w:rPr>
        <w:footnoteReference w:id="168"/>
      </w:r>
      <w:r>
        <w:t xml:space="preserve"> There he further expands on this by distinguishing between the saved (those who have been regenerated only) and the elect (who have also received the baptism in the Holy Spirit), and between the Kingdom (the realm of the saved) and the Church (into which one is only brought by the baptism in the Holy Spirit). This distinction was problematic, and would continue to prove so for Apostolic thought, but seemed in some way necessitated by the conviction that it was the baptism in the Holy Spirit which placed the saved individual into the Body of Christ.</w:t>
      </w:r>
      <w:r w:rsidR="00ED7D5D">
        <w:t xml:space="preserve"> </w:t>
      </w:r>
    </w:p>
    <w:p w:rsidR="00772261" w:rsidRDefault="00ED7D5D" w:rsidP="009370EA">
      <w:pPr>
        <w:spacing w:line="360" w:lineRule="auto"/>
        <w:jc w:val="both"/>
      </w:pPr>
      <w:r>
        <w:lastRenderedPageBreak/>
        <w:t>The next year he would write, ‘we are born into the Kingdom, but baptised into the Body.’</w:t>
      </w:r>
      <w:r>
        <w:rPr>
          <w:rStyle w:val="FootnoteReference"/>
        </w:rPr>
        <w:footnoteReference w:id="169"/>
      </w:r>
      <w:r w:rsidR="004D4BD7">
        <w:t xml:space="preserve"> By ‘born’ here he is referring to regeneration, and by ‘baptised’ to </w:t>
      </w:r>
      <w:r w:rsidR="00F40484">
        <w:t>BHS</w:t>
      </w:r>
      <w:r w:rsidR="004D4BD7">
        <w:t xml:space="preserve"> (rather than water baptism, which he elsewhere states explicitly is ‘not the door to the Church’).</w:t>
      </w:r>
      <w:r w:rsidR="004D4BD7">
        <w:rPr>
          <w:rStyle w:val="FootnoteReference"/>
        </w:rPr>
        <w:footnoteReference w:id="170"/>
      </w:r>
      <w:r w:rsidR="00772261">
        <w:t xml:space="preserve"> Williams goes on to argue that: </w:t>
      </w:r>
    </w:p>
    <w:p w:rsidR="00722B69" w:rsidRPr="00E6146F" w:rsidRDefault="00772261" w:rsidP="009370EA">
      <w:pPr>
        <w:spacing w:line="360" w:lineRule="auto"/>
        <w:ind w:left="720" w:right="720"/>
        <w:jc w:val="both"/>
        <w:rPr>
          <w:sz w:val="20"/>
        </w:rPr>
      </w:pPr>
      <w:r w:rsidRPr="00E6146F">
        <w:rPr>
          <w:sz w:val="20"/>
        </w:rPr>
        <w:t>The Holy Spirit has been given for a specific purpose, and the purpose in God’s great design is that He should form the Body of Christ in perfect unity in its formation, that the Wisdom, Love, Glory and Fellowship of God may be demonstrated in the Church.</w:t>
      </w:r>
      <w:r w:rsidRPr="00E6146F">
        <w:rPr>
          <w:rStyle w:val="FootnoteReference"/>
          <w:sz w:val="20"/>
        </w:rPr>
        <w:footnoteReference w:id="171"/>
      </w:r>
    </w:p>
    <w:p w:rsidR="007823B3" w:rsidRDefault="007823B3" w:rsidP="009370EA">
      <w:pPr>
        <w:spacing w:line="360" w:lineRule="auto"/>
        <w:jc w:val="both"/>
      </w:pPr>
      <w:r>
        <w:t xml:space="preserve">Here we see that, for Williams, the role of </w:t>
      </w:r>
      <w:r w:rsidR="00F40484">
        <w:t>BHS</w:t>
      </w:r>
      <w:r>
        <w:t xml:space="preserve"> in placing believers in the Body is not merely a Biblicist attempt to answer the question of how does one become a member of the Body of Christ with 1 Corinthians 12:13. Rather, Williams sees great theological import in the ecclesially constitutive role of </w:t>
      </w:r>
      <w:r w:rsidR="00F40484">
        <w:t>BHS</w:t>
      </w:r>
      <w:r>
        <w:t>. As the members are filled with the Spirit and set in the Body of Christ, the Body is filled with Wisdom, Love, Glory and divine Fellowship. It is no accident that Williams uses capital letters here, for he is not merely speaking of attributes, but of Christ who is the Father’s Wisdom, who is God’s Love to us, who is the Glory of God, and who is our Fellowship with the Father. As the members are filled with the Spirit, the Body is filled with the fullness of Christ, her heavenly Head.</w:t>
      </w:r>
    </w:p>
    <w:p w:rsidR="00D04CC2" w:rsidRDefault="00D04CC2" w:rsidP="009370EA">
      <w:pPr>
        <w:spacing w:line="360" w:lineRule="auto"/>
        <w:jc w:val="both"/>
      </w:pPr>
      <w:r>
        <w:t>We shall return to this concept of fullness presently, but first let us consider further these concepts of Wisdom, Love, Glory and Fellowship with which the Spirit fills the Church.</w:t>
      </w:r>
      <w:r w:rsidR="00632379">
        <w:t xml:space="preserve"> Christ the Head is himself the Wisdom of God, and he is Wisdom for the people of God (1 Cor. 1:24,</w:t>
      </w:r>
      <w:r w:rsidR="0016578B">
        <w:t xml:space="preserve"> </w:t>
      </w:r>
      <w:r w:rsidR="00632379">
        <w:t>30; Col. 2:2-3</w:t>
      </w:r>
      <w:r w:rsidR="000F0E10">
        <w:t>; see also the Patristic interpretation of Proverbs 8</w:t>
      </w:r>
      <w:r w:rsidR="00632379">
        <w:t xml:space="preserve">). </w:t>
      </w:r>
      <w:r w:rsidR="0016578B">
        <w:t xml:space="preserve">Godly wisdom then flows to the Body from the Head (who is Wisdom), mediated by the Spirit who unites us together in the Body and unites the Body to the Head through, in Williams’ understanding, the baptism in the Holy Spirit. This then would sit well with the consequences of the baptism of the Spirit which we have already seen Williams point out in the </w:t>
      </w:r>
      <w:r w:rsidR="0016578B" w:rsidRPr="0016578B">
        <w:rPr>
          <w:i/>
        </w:rPr>
        <w:t>Athrawiaethau Sylfeinol</w:t>
      </w:r>
      <w:r w:rsidR="0016578B">
        <w:t>: lead</w:t>
      </w:r>
      <w:r w:rsidR="000C48A1">
        <w:t>ing</w:t>
      </w:r>
      <w:r w:rsidR="0016578B">
        <w:t xml:space="preserve"> the saints, </w:t>
      </w:r>
      <w:r w:rsidR="000C48A1">
        <w:t>guiding into all truth,</w:t>
      </w:r>
      <w:r w:rsidR="0016578B">
        <w:t xml:space="preserve"> </w:t>
      </w:r>
      <w:r w:rsidR="000C48A1">
        <w:t>keeping</w:t>
      </w:r>
      <w:r w:rsidR="0016578B">
        <w:t xml:space="preserve"> his people from doing that which is n</w:t>
      </w:r>
      <w:r w:rsidR="000C48A1">
        <w:t>ot in the Father’s perfect will,</w:t>
      </w:r>
      <w:r w:rsidR="0016578B">
        <w:t xml:space="preserve"> </w:t>
      </w:r>
      <w:r w:rsidR="000C48A1">
        <w:t>and serving as</w:t>
      </w:r>
      <w:r w:rsidR="0016578B">
        <w:t xml:space="preserve"> ‘evidence to the unbelieving world that the Word of the God who does not lie stays the same, and lives, and continues eternally, so that all are without excuse.’</w:t>
      </w:r>
      <w:r w:rsidR="000C48A1" w:rsidRPr="000C48A1">
        <w:rPr>
          <w:rStyle w:val="FootnoteReference"/>
        </w:rPr>
        <w:t xml:space="preserve"> </w:t>
      </w:r>
      <w:r w:rsidR="000C48A1">
        <w:rPr>
          <w:rStyle w:val="FootnoteReference"/>
        </w:rPr>
        <w:footnoteReference w:id="172"/>
      </w:r>
      <w:r w:rsidR="00055D90">
        <w:t xml:space="preserve"> This leading, guiding into truth, keeping in the Father’s will, and demonstration of the Life of the Word to the world</w:t>
      </w:r>
      <w:r w:rsidR="00976E39">
        <w:t xml:space="preserve"> all find their focus in Christ the Word and Truth of the Father, and thus demonstrate a Christocentric wisdom mediated by the Spirit and His baptism.</w:t>
      </w:r>
      <w:r w:rsidR="00F00F98">
        <w:t xml:space="preserve"> This is a </w:t>
      </w:r>
      <w:r w:rsidR="003D08EA">
        <w:t xml:space="preserve">corporate, ecclesial </w:t>
      </w:r>
      <w:r w:rsidR="00F00F98">
        <w:t xml:space="preserve">participation in the </w:t>
      </w:r>
      <w:r w:rsidR="00F00F98">
        <w:lastRenderedPageBreak/>
        <w:t xml:space="preserve">Christ who is Wisdom, rather than simply the </w:t>
      </w:r>
      <w:r w:rsidR="003D08EA">
        <w:t xml:space="preserve">individual </w:t>
      </w:r>
      <w:r w:rsidR="00F00F98">
        <w:t>receiving of an independent gift of wisdom from God.</w:t>
      </w:r>
    </w:p>
    <w:p w:rsidR="003D08EA" w:rsidRDefault="003D08EA" w:rsidP="009370EA">
      <w:pPr>
        <w:spacing w:line="360" w:lineRule="auto"/>
        <w:jc w:val="both"/>
      </w:pPr>
      <w:r>
        <w:t xml:space="preserve">Love is a theme we have already seen in Williams’ thought on </w:t>
      </w:r>
      <w:r w:rsidR="00F40484">
        <w:t>BHS</w:t>
      </w:r>
      <w:r>
        <w:t xml:space="preserve"> as an experiential assurance of the love of God in Christ, and of our sonship in union with Christ. Having already considered this, it will suffice here to note that this love is</w:t>
      </w:r>
      <w:r w:rsidR="00F40484">
        <w:t>,</w:t>
      </w:r>
      <w:r w:rsidR="00E6146F">
        <w:t xml:space="preserve"> for</w:t>
      </w:r>
      <w:r>
        <w:t xml:space="preserve"> Williams</w:t>
      </w:r>
      <w:r w:rsidR="00F40484">
        <w:t>,</w:t>
      </w:r>
      <w:r>
        <w:t xml:space="preserve"> connected to the Church. The demonstration of this love finds its locus in the Body, and is not merely the experience of an individual.</w:t>
      </w:r>
    </w:p>
    <w:p w:rsidR="003D08EA" w:rsidRDefault="003D08EA" w:rsidP="009370EA">
      <w:pPr>
        <w:spacing w:line="360" w:lineRule="auto"/>
        <w:jc w:val="both"/>
      </w:pPr>
      <w:r>
        <w:t xml:space="preserve">Glory is a significant theme in Pentecostal thought, yet, as we have </w:t>
      </w:r>
      <w:r w:rsidR="00F0497F">
        <w:t>demonstrated</w:t>
      </w:r>
      <w:r>
        <w:t xml:space="preserve">, Williams approaches </w:t>
      </w:r>
      <w:r w:rsidR="00F40484">
        <w:t>BHS</w:t>
      </w:r>
      <w:r>
        <w:t xml:space="preserve"> as a theologian of the cross, rather than a theologian of glory. As a result, glory takes on a rather different set of implications in Williams’ thought than in that of many other Classical Pentecostals. There is no triumphalism in </w:t>
      </w:r>
      <w:r w:rsidR="00A61616">
        <w:t xml:space="preserve">his </w:t>
      </w:r>
      <w:r>
        <w:t>conception of glory, nor is it reduced to a mere feeling o</w:t>
      </w:r>
      <w:r w:rsidR="00F40484">
        <w:t>r</w:t>
      </w:r>
      <w:r>
        <w:t xml:space="preserve"> experience in a service. Instead, </w:t>
      </w:r>
      <w:r w:rsidR="00334831">
        <w:t>the glory of the Lord is Jesus</w:t>
      </w:r>
      <w:r w:rsidR="009D6527">
        <w:t>.</w:t>
      </w:r>
      <w:r>
        <w:rPr>
          <w:rStyle w:val="FootnoteReference"/>
        </w:rPr>
        <w:footnoteReference w:id="173"/>
      </w:r>
      <w:r w:rsidR="00334831">
        <w:t xml:space="preserve"> </w:t>
      </w:r>
      <w:r w:rsidR="009D6527">
        <w:t>‘God in Christ is the glory,’</w:t>
      </w:r>
      <w:r w:rsidR="009D6527">
        <w:rPr>
          <w:rStyle w:val="FootnoteReference"/>
        </w:rPr>
        <w:footnoteReference w:id="174"/>
      </w:r>
      <w:r w:rsidR="009D6527">
        <w:t xml:space="preserve"> </w:t>
      </w:r>
      <w:r w:rsidR="00334831">
        <w:t>and this glory is ‘revealed in the preaching of the Gospel,’ for ‘it is the revelation of God in Christ which reveals [His glory].’</w:t>
      </w:r>
      <w:r w:rsidR="00334831">
        <w:rPr>
          <w:rStyle w:val="FootnoteReference"/>
        </w:rPr>
        <w:footnoteReference w:id="175"/>
      </w:r>
      <w:r w:rsidR="009515FA">
        <w:t xml:space="preserve"> In the baptism of the Holy Spirit, ‘God has purposed that the Holy Spirit sent from the Glory should bring that Glory to indwell us as a Body, the Church. It is a heavenly heritage not of earth.’</w:t>
      </w:r>
      <w:r w:rsidR="009515FA">
        <w:rPr>
          <w:rStyle w:val="FootnoteReference"/>
        </w:rPr>
        <w:footnoteReference w:id="176"/>
      </w:r>
      <w:r w:rsidR="009D6527">
        <w:t xml:space="preserve"> Thus, for Williams, the Spirit, through the baptism, fills the Church with glory, by filling the Church with Christ, who is the glory of the Lord.</w:t>
      </w:r>
    </w:p>
    <w:p w:rsidR="00006767" w:rsidRDefault="00006767" w:rsidP="009370EA">
      <w:pPr>
        <w:spacing w:line="360" w:lineRule="auto"/>
        <w:jc w:val="both"/>
      </w:pPr>
      <w:r>
        <w:t xml:space="preserve">Finally we must consider how </w:t>
      </w:r>
      <w:r w:rsidR="00F40484">
        <w:t>BHS</w:t>
      </w:r>
      <w:r>
        <w:t xml:space="preserve"> brings</w:t>
      </w:r>
      <w:r w:rsidR="00DD0336">
        <w:t xml:space="preserve"> the</w:t>
      </w:r>
      <w:r>
        <w:t xml:space="preserve"> fellowship </w:t>
      </w:r>
      <w:r w:rsidR="00DD0336">
        <w:t xml:space="preserve">of God </w:t>
      </w:r>
      <w:r>
        <w:t>to the Church.</w:t>
      </w:r>
      <w:r w:rsidR="003639FE">
        <w:t xml:space="preserve"> For a start, William</w:t>
      </w:r>
      <w:r w:rsidR="00F40484">
        <w:t>s’</w:t>
      </w:r>
      <w:r w:rsidR="003639FE">
        <w:t xml:space="preserve"> understanding of the content of the baptism as the Spirit himself immedia</w:t>
      </w:r>
      <w:r w:rsidR="001458CA">
        <w:t>tely implies fellowship with</w:t>
      </w:r>
      <w:r w:rsidR="003639FE">
        <w:t xml:space="preserve"> God the Holy Spirit. Further, in baptising the believer into the Body, the Spirit unites the members of the Body to Christ their Head, which together with what we have just seen of how the Spirit fills the Body with the glory of the Lord by filling the Body with Christ, implies fellowship with God the Son. Williams’ emphasis on the Father’s love and the experiential assurance of the believer’s sonship brought about through the baptism then implies fellowship with God the Father. </w:t>
      </w:r>
      <w:r w:rsidR="00CE3A02">
        <w:t xml:space="preserve">The love involved in Williams’ understanding of </w:t>
      </w:r>
      <w:r w:rsidR="00591D2D">
        <w:t>BHS</w:t>
      </w:r>
      <w:r w:rsidR="00CE3A02">
        <w:t xml:space="preserve"> then takes this beyond implications. Through the mediation of Spirit the believer who receives this baptism, in union with Christ shares in the experience of the love of the Father for the Son. </w:t>
      </w:r>
      <w:r w:rsidR="00A61616">
        <w:t>It</w:t>
      </w:r>
      <w:r w:rsidR="00CE3A02">
        <w:t xml:space="preserve"> is an experience of intimate fellowship o</w:t>
      </w:r>
      <w:r w:rsidR="00D403A5">
        <w:t>r communion with the Triune God, and so this baptism is an immersion in the Trinity.</w:t>
      </w:r>
      <w:r w:rsidR="00CB5A8A">
        <w:t xml:space="preserve"> Yet, the ecclesial dimension of the baptism in the Spirit means that this is not merely an individual participation in the loving fellowship of the Trinity, but rather a corporate </w:t>
      </w:r>
      <w:r w:rsidR="00CB5A8A">
        <w:lastRenderedPageBreak/>
        <w:t xml:space="preserve">participation. </w:t>
      </w:r>
      <w:r w:rsidR="00AA3E9D">
        <w:t>In</w:t>
      </w:r>
      <w:r w:rsidR="00CB5A8A">
        <w:t xml:space="preserve"> the Spirit’s work through the baptism in forming and uniting the Body of Christ, the members of the Body share not only fellowship with the Father, Son and Holy Spirit, but also, through their common participation in the Trinitarian communion of love, their common union with Christ the Head, and their common partaking of the one Spirit, the members of the Body </w:t>
      </w:r>
      <w:r w:rsidR="00AA3E9D">
        <w:t xml:space="preserve">also </w:t>
      </w:r>
      <w:r w:rsidR="00CB5A8A">
        <w:t>share fellowship with one another in the communion of the saints.</w:t>
      </w:r>
    </w:p>
    <w:p w:rsidR="00046DE2" w:rsidRDefault="00046DE2" w:rsidP="009370EA">
      <w:pPr>
        <w:spacing w:line="360" w:lineRule="auto"/>
        <w:jc w:val="both"/>
      </w:pPr>
      <w:r>
        <w:t xml:space="preserve">For Williams then, </w:t>
      </w:r>
      <w:r w:rsidR="00591D2D">
        <w:t>BHS</w:t>
      </w:r>
      <w:r>
        <w:t xml:space="preserve"> plays an important ecclesiological role, for in it the members are set in the Church, united to one another and to Christ the Head, and filled with the fullness of Christ who is </w:t>
      </w:r>
      <w:r w:rsidR="004871EC">
        <w:t>the wisdom, love and glory of God, and who is our fellowship with the Father.</w:t>
      </w:r>
      <w:r w:rsidR="00A25B6E">
        <w:t xml:space="preserve"> This wisdom, love, glory and fellowship found in Christ flow from and are governed and shaped by the Cross of </w:t>
      </w:r>
      <w:r w:rsidR="00ED32FA">
        <w:t>Christ, meaning that William</w:t>
      </w:r>
      <w:r w:rsidR="00A25B6E">
        <w:t>s</w:t>
      </w:r>
      <w:r w:rsidR="00ED32FA">
        <w:t>’</w:t>
      </w:r>
      <w:r w:rsidR="00A25B6E">
        <w:t xml:space="preserve"> doctrine of the baptism in the Spirit is a </w:t>
      </w:r>
      <w:r w:rsidR="00A25B6E" w:rsidRPr="00A25B6E">
        <w:rPr>
          <w:i/>
        </w:rPr>
        <w:t>theologia crucis</w:t>
      </w:r>
      <w:r w:rsidR="00A25B6E">
        <w:t xml:space="preserve">, rather than a </w:t>
      </w:r>
      <w:r w:rsidR="00A25B6E" w:rsidRPr="00A25B6E">
        <w:rPr>
          <w:i/>
        </w:rPr>
        <w:t>theologia gloriae</w:t>
      </w:r>
      <w:r w:rsidR="00A25B6E">
        <w:t>. For Williams, in the baptism of the Spirit, the Church is baptised in the cruciform God.</w:t>
      </w:r>
    </w:p>
    <w:p w:rsidR="00CC504F" w:rsidRDefault="00CC504F" w:rsidP="009370EA">
      <w:pPr>
        <w:spacing w:line="360" w:lineRule="auto"/>
        <w:jc w:val="both"/>
      </w:pPr>
    </w:p>
    <w:p w:rsidR="00CC504F" w:rsidRPr="00935690" w:rsidRDefault="009F2554" w:rsidP="009370EA">
      <w:pPr>
        <w:pStyle w:val="PhDSubheading"/>
        <w:spacing w:line="360" w:lineRule="auto"/>
      </w:pPr>
      <w:r>
        <w:t xml:space="preserve">2.1.3.2 </w:t>
      </w:r>
      <w:r w:rsidR="00CC504F" w:rsidRPr="00935690">
        <w:t>Frank Hodges: Baptism of Love</w:t>
      </w:r>
    </w:p>
    <w:p w:rsidR="00CC504F" w:rsidRDefault="00CC504F" w:rsidP="009370EA">
      <w:pPr>
        <w:spacing w:line="360" w:lineRule="auto"/>
        <w:jc w:val="both"/>
      </w:pPr>
      <w:r>
        <w:t>Frank Edgar Hodges (1872-1949) was the founder of the Apostolic Church in Herefordshire</w:t>
      </w:r>
      <w:r w:rsidR="00007795">
        <w:t>.</w:t>
      </w:r>
      <w:r w:rsidR="00E56D7E">
        <w:t xml:space="preserve"> Hodges was a prominent Hereford businessman who was converted during a Torrey-Alexander mission</w:t>
      </w:r>
      <w:r w:rsidR="00B17C15">
        <w:t>, experienced divine healing of a heart condition,</w:t>
      </w:r>
      <w:r w:rsidR="00E56D7E">
        <w:t xml:space="preserve"> and later </w:t>
      </w:r>
      <w:r w:rsidR="00B17C15">
        <w:t xml:space="preserve">was </w:t>
      </w:r>
      <w:r w:rsidR="00E56D7E">
        <w:t>baptised in the Spirit on a mountaintop in Wales. All of this, as well as his founding of ‘The Apostolic Church’ in Hereford occurred before he came into contact with Williams and the Welsh Apostolics through the Penygroes Convention</w:t>
      </w:r>
      <w:r w:rsidR="00F27E63">
        <w:t xml:space="preserve"> in 1918</w:t>
      </w:r>
      <w:r w:rsidR="00E56D7E">
        <w:t>.</w:t>
      </w:r>
      <w:r w:rsidR="00E56D7E" w:rsidRPr="00E56D7E">
        <w:rPr>
          <w:rStyle w:val="FootnoteReference"/>
        </w:rPr>
        <w:t xml:space="preserve"> </w:t>
      </w:r>
      <w:r w:rsidR="00E56D7E">
        <w:rPr>
          <w:rStyle w:val="FootnoteReference"/>
        </w:rPr>
        <w:footnoteReference w:id="177"/>
      </w:r>
      <w:r w:rsidR="00A40E59">
        <w:t xml:space="preserve"> Interestingly, Hodges’ baptism in the Holy Spirit was accompanied by speaking in tongues, which </w:t>
      </w:r>
      <w:r w:rsidR="006B3B69">
        <w:t>were recognised</w:t>
      </w:r>
      <w:r w:rsidR="00A40E59">
        <w:t xml:space="preserve"> as being in the Welsh language (of which Hodges, as an Englishman, had no knowledge).</w:t>
      </w:r>
      <w:r w:rsidR="00A40E59">
        <w:rPr>
          <w:rStyle w:val="FootnoteReference"/>
        </w:rPr>
        <w:footnoteReference w:id="178"/>
      </w:r>
    </w:p>
    <w:p w:rsidR="00B17C15" w:rsidRDefault="009720CF" w:rsidP="009370EA">
      <w:pPr>
        <w:spacing w:line="360" w:lineRule="auto"/>
        <w:jc w:val="both"/>
      </w:pPr>
      <w:r>
        <w:t xml:space="preserve">In 1928 an article by Hodges appeared in the </w:t>
      </w:r>
      <w:r w:rsidRPr="006A2428">
        <w:rPr>
          <w:i/>
        </w:rPr>
        <w:t>Riches of Grace</w:t>
      </w:r>
      <w:r>
        <w:t xml:space="preserve"> entitled ‘Divine Love.’</w:t>
      </w:r>
      <w:r w:rsidR="003D5674">
        <w:rPr>
          <w:rStyle w:val="FootnoteReference"/>
        </w:rPr>
        <w:footnoteReference w:id="179"/>
      </w:r>
      <w:r w:rsidR="001940A1">
        <w:t xml:space="preserve"> The love of which Hodges writes is not simply an attribute of God, but rather something to be received by the believer ‘as a Gift.’</w:t>
      </w:r>
      <w:r w:rsidR="001940A1">
        <w:rPr>
          <w:rStyle w:val="FootnoteReference"/>
        </w:rPr>
        <w:footnoteReference w:id="180"/>
      </w:r>
      <w:r w:rsidR="00AF0F3D">
        <w:t xml:space="preserve"> Yet, this gift is not God increasing our natural love:</w:t>
      </w:r>
    </w:p>
    <w:p w:rsidR="00AF0F3D" w:rsidRPr="00410922" w:rsidRDefault="00AF0F3D" w:rsidP="009370EA">
      <w:pPr>
        <w:spacing w:line="360" w:lineRule="auto"/>
        <w:ind w:left="720" w:right="720"/>
        <w:jc w:val="both"/>
        <w:rPr>
          <w:sz w:val="20"/>
        </w:rPr>
      </w:pPr>
      <w:r w:rsidRPr="00410922">
        <w:rPr>
          <w:sz w:val="20"/>
        </w:rPr>
        <w:t>It is not a question of wanting more love. That is not the right term to use. What we want is The Love. We may have plenty more of natural love, but that would not carry us far enough; what we want is Love, or the Love of the Spirit, or of Christ.</w:t>
      </w:r>
      <w:r w:rsidRPr="00410922">
        <w:rPr>
          <w:rStyle w:val="FootnoteReference"/>
          <w:sz w:val="20"/>
        </w:rPr>
        <w:footnoteReference w:id="181"/>
      </w:r>
    </w:p>
    <w:p w:rsidR="00AF0F3D" w:rsidRDefault="00AF0F3D" w:rsidP="009370EA">
      <w:pPr>
        <w:spacing w:line="360" w:lineRule="auto"/>
        <w:jc w:val="both"/>
      </w:pPr>
      <w:r>
        <w:lastRenderedPageBreak/>
        <w:t>So, this gift of love is the love of the Spirit and the love of Christ, not simply God granting us to grow in love. ‘God has offered unto us His own love.’</w:t>
      </w:r>
      <w:r>
        <w:rPr>
          <w:rStyle w:val="FootnoteReference"/>
        </w:rPr>
        <w:footnoteReference w:id="182"/>
      </w:r>
      <w:r>
        <w:t xml:space="preserve"> Yet, for Hodges, this love must be received by faith.</w:t>
      </w:r>
      <w:r w:rsidR="00C41745">
        <w:t xml:space="preserve"> The love ‘belongs to you by Redemption,’ for God ‘gives us all things in Christ</w:t>
      </w:r>
      <w:r w:rsidR="001B2D34">
        <w:t xml:space="preserve">,’ and this love ‘was purchased for you by Christ Himself,’ </w:t>
      </w:r>
      <w:r w:rsidR="00410922">
        <w:t xml:space="preserve">however, </w:t>
      </w:r>
      <w:r w:rsidR="001B2D34">
        <w:t xml:space="preserve">it </w:t>
      </w:r>
      <w:r w:rsidR="00C41745">
        <w:t>may not yet have been received and should be claimed by faith.</w:t>
      </w:r>
      <w:r w:rsidR="00C41745" w:rsidRPr="00C41745">
        <w:rPr>
          <w:rStyle w:val="FootnoteReference"/>
        </w:rPr>
        <w:t xml:space="preserve"> </w:t>
      </w:r>
      <w:r w:rsidR="00C41745">
        <w:rPr>
          <w:rStyle w:val="FootnoteReference"/>
        </w:rPr>
        <w:footnoteReference w:id="183"/>
      </w:r>
      <w:r w:rsidR="001B2D34">
        <w:t xml:space="preserve"> Clearly this experience of divine love, for Hodges, is something subsequent to co</w:t>
      </w:r>
      <w:r w:rsidR="00D87858">
        <w:t>n</w:t>
      </w:r>
      <w:r w:rsidR="001B2D34">
        <w:t>version.</w:t>
      </w:r>
    </w:p>
    <w:p w:rsidR="00D87858" w:rsidRDefault="00D87858" w:rsidP="009370EA">
      <w:pPr>
        <w:spacing w:line="360" w:lineRule="auto"/>
        <w:jc w:val="both"/>
      </w:pPr>
      <w:r>
        <w:t xml:space="preserve">Hodges more clearly defines the nature of this love, stating: </w:t>
      </w:r>
    </w:p>
    <w:p w:rsidR="001B2D34" w:rsidRPr="00007253" w:rsidRDefault="00D87858" w:rsidP="009370EA">
      <w:pPr>
        <w:spacing w:line="360" w:lineRule="auto"/>
        <w:ind w:left="720" w:right="720"/>
        <w:jc w:val="both"/>
        <w:rPr>
          <w:sz w:val="20"/>
        </w:rPr>
      </w:pPr>
      <w:r w:rsidRPr="00007253">
        <w:rPr>
          <w:sz w:val="20"/>
        </w:rPr>
        <w:t>Divine Love is Love in the Spirit; is the Love of God within us. It is the Love of the Holy Spirit Himself filling and flowing in our hearts, flooding our very beings… It is the Love of the Holy Spirit Himself filling us … Divine Love never fails because it is God Himself by His Spirit.</w:t>
      </w:r>
      <w:r w:rsidRPr="00007253">
        <w:rPr>
          <w:rStyle w:val="FootnoteReference"/>
          <w:sz w:val="20"/>
        </w:rPr>
        <w:footnoteReference w:id="184"/>
      </w:r>
    </w:p>
    <w:p w:rsidR="0009378C" w:rsidRDefault="00C34F58" w:rsidP="009370EA">
      <w:pPr>
        <w:spacing w:line="360" w:lineRule="auto"/>
        <w:jc w:val="both"/>
      </w:pPr>
      <w:r>
        <w:t xml:space="preserve">Thus, not only does Hodges view this divine love as an experience subsequent to conversion, but also as being filled with the Spirit. It emerges that what he intends by this receiving of divine love is none other than </w:t>
      </w:r>
      <w:r w:rsidR="001C4F07">
        <w:t>BHS</w:t>
      </w:r>
      <w:r>
        <w:t>. This is confirmed by the conne</w:t>
      </w:r>
      <w:r w:rsidR="00273AEE">
        <w:t>ctions he draws with Romans 5:5,</w:t>
      </w:r>
      <w:r>
        <w:rPr>
          <w:rStyle w:val="FootnoteReference"/>
        </w:rPr>
        <w:footnoteReference w:id="185"/>
      </w:r>
      <w:r w:rsidR="00273AEE">
        <w:t xml:space="preserve"> </w:t>
      </w:r>
      <w:r w:rsidR="006637DD">
        <w:t>arguing</w:t>
      </w:r>
      <w:r w:rsidR="00273AEE">
        <w:t xml:space="preserve"> that it is ‘something that comes in to you by the Holy Ghost</w:t>
      </w:r>
      <w:r w:rsidR="006D1247">
        <w:t>,</w:t>
      </w:r>
      <w:r w:rsidR="00273AEE">
        <w:t>’</w:t>
      </w:r>
      <w:r w:rsidR="00273AEE">
        <w:rPr>
          <w:rStyle w:val="FootnoteReference"/>
        </w:rPr>
        <w:footnoteReference w:id="186"/>
      </w:r>
      <w:r w:rsidR="006D1247">
        <w:t xml:space="preserve"> and by the </w:t>
      </w:r>
      <w:r w:rsidR="006637DD">
        <w:t>way</w:t>
      </w:r>
      <w:r w:rsidR="006D1247">
        <w:t xml:space="preserve"> he sees this gift of divine love as something which will win others to the gospel (a variation the Classical Pentecostal conception of </w:t>
      </w:r>
      <w:r w:rsidR="001C4F07">
        <w:t>BHS</w:t>
      </w:r>
      <w:r w:rsidR="006D1247">
        <w:t xml:space="preserve"> as power for evangelism).</w:t>
      </w:r>
      <w:r w:rsidR="00032BBE">
        <w:rPr>
          <w:rStyle w:val="FootnoteReference"/>
        </w:rPr>
        <w:footnoteReference w:id="187"/>
      </w:r>
    </w:p>
    <w:p w:rsidR="003E20EC" w:rsidRDefault="003E20EC" w:rsidP="009370EA">
      <w:pPr>
        <w:spacing w:line="360" w:lineRule="auto"/>
        <w:jc w:val="both"/>
      </w:pPr>
      <w:r>
        <w:t xml:space="preserve">For Hodges, </w:t>
      </w:r>
      <w:r w:rsidR="001C4F07">
        <w:t>BHS</w:t>
      </w:r>
      <w:r>
        <w:t xml:space="preserve"> is first and foremost a baptism</w:t>
      </w:r>
      <w:r w:rsidR="00BF3E1D">
        <w:t xml:space="preserve"> of love. In this he agrees with important themes in D.P. Williams</w:t>
      </w:r>
      <w:r w:rsidR="00D834F9">
        <w:t>’</w:t>
      </w:r>
      <w:r w:rsidR="00BF3E1D">
        <w:t xml:space="preserve"> thought (such as assurance of love, sonship, and participation in the loving fellowship of the Triune God).</w:t>
      </w:r>
      <w:r w:rsidR="00D9077F">
        <w:t xml:space="preserve"> </w:t>
      </w:r>
      <w:r w:rsidR="00BF3E1D">
        <w:t xml:space="preserve">Yet it is more than merely an individual experience of divine love. Hodges connects this baptism of love with the Church. </w:t>
      </w:r>
      <w:r w:rsidR="00D9077F">
        <w:t xml:space="preserve">This baptism of love is </w:t>
      </w:r>
      <w:r w:rsidR="00D6006C">
        <w:t>the way God ‘has come … to His Church.’</w:t>
      </w:r>
      <w:r w:rsidR="00D6006C">
        <w:rPr>
          <w:rStyle w:val="FootnoteReference"/>
        </w:rPr>
        <w:footnoteReference w:id="188"/>
      </w:r>
      <w:r w:rsidR="00F91D05">
        <w:t xml:space="preserve"> This divine love is made ‘manifest in the Body’ by the Holy Spirit, and brings us </w:t>
      </w:r>
      <w:r w:rsidR="00471CA6">
        <w:t>(</w:t>
      </w:r>
      <w:r w:rsidR="00F91D05">
        <w:t>together</w:t>
      </w:r>
      <w:r w:rsidR="00471CA6">
        <w:t>, as the Church)</w:t>
      </w:r>
      <w:r w:rsidR="00F91D05">
        <w:t xml:space="preserve"> </w:t>
      </w:r>
      <w:r w:rsidR="00835F0E">
        <w:t>‘</w:t>
      </w:r>
      <w:r w:rsidR="00F91D05">
        <w:t>into the very heart of God.</w:t>
      </w:r>
      <w:r w:rsidR="00835F0E">
        <w:t>’</w:t>
      </w:r>
      <w:r w:rsidR="00F91D05">
        <w:rPr>
          <w:rStyle w:val="FootnoteReference"/>
        </w:rPr>
        <w:footnoteReference w:id="189"/>
      </w:r>
      <w:r w:rsidR="00835F0E">
        <w:t xml:space="preserve"> This baptism in love, then, is an ecclesial experience.</w:t>
      </w:r>
    </w:p>
    <w:p w:rsidR="00835F0E" w:rsidRDefault="00835F0E" w:rsidP="009370EA">
      <w:pPr>
        <w:spacing w:line="360" w:lineRule="auto"/>
        <w:jc w:val="both"/>
      </w:pPr>
      <w:r>
        <w:lastRenderedPageBreak/>
        <w:t>Finally, Hodges</w:t>
      </w:r>
      <w:r w:rsidR="00996377">
        <w:t>’</w:t>
      </w:r>
      <w:r>
        <w:t xml:space="preserve"> note that this baptism allows us to enter ‘into the very heart of God’ points to the Trinitarian nature of this baptism.</w:t>
      </w:r>
      <w:r>
        <w:rPr>
          <w:rStyle w:val="FootnoteReference"/>
        </w:rPr>
        <w:footnoteReference w:id="190"/>
      </w:r>
      <w:r w:rsidR="00BC070F">
        <w:t xml:space="preserve"> </w:t>
      </w:r>
      <w:r w:rsidR="00D9077F">
        <w:t>P</w:t>
      </w:r>
      <w:r w:rsidR="00BC070F">
        <w:t>articipation in the love of the Triune God ‘comes into you by the Holy Ghost,’</w:t>
      </w:r>
      <w:r w:rsidR="00BC070F">
        <w:rPr>
          <w:rStyle w:val="FootnoteReference"/>
        </w:rPr>
        <w:footnoteReference w:id="191"/>
      </w:r>
      <w:r w:rsidR="00BC070F">
        <w:t xml:space="preserve"> it is given ‘in Christ’</w:t>
      </w:r>
      <w:r w:rsidR="00BC070F">
        <w:rPr>
          <w:rStyle w:val="FootnoteReference"/>
        </w:rPr>
        <w:footnoteReference w:id="192"/>
      </w:r>
      <w:r w:rsidR="00BC070F">
        <w:t xml:space="preserve"> and is intimately connected to the very essence of the Triune God.</w:t>
      </w:r>
      <w:r w:rsidR="00BC070F">
        <w:rPr>
          <w:rStyle w:val="FootnoteReference"/>
        </w:rPr>
        <w:footnoteReference w:id="193"/>
      </w:r>
      <w:r w:rsidR="00BC070F">
        <w:t xml:space="preserve"> In receiving this love </w:t>
      </w:r>
      <w:r w:rsidR="00C13BAC">
        <w:t xml:space="preserve">we receive ‘the Glory, Love and Peace of the Christ,’ </w:t>
      </w:r>
      <w:r w:rsidR="00A53AE1">
        <w:t>which the Holy Spirit brings forward from the new creation into our present experience.</w:t>
      </w:r>
      <w:r w:rsidR="00A53AE1">
        <w:rPr>
          <w:rStyle w:val="FootnoteReference"/>
        </w:rPr>
        <w:footnoteReference w:id="194"/>
      </w:r>
      <w:r w:rsidR="00A53AE1">
        <w:t xml:space="preserve"> Here Hodges</w:t>
      </w:r>
      <w:r w:rsidR="00C13BAC">
        <w:t xml:space="preserve"> exhibits similarities with Williams’ thought on the Church being filled with Christ’s fullness through </w:t>
      </w:r>
      <w:r w:rsidR="001C4F07">
        <w:t>BHS</w:t>
      </w:r>
      <w:r w:rsidR="00C13BAC">
        <w:t>.</w:t>
      </w:r>
      <w:r w:rsidR="00A71F7D">
        <w:t xml:space="preserve"> For Hodges then, like Williams, </w:t>
      </w:r>
      <w:r w:rsidR="001C4F07">
        <w:t>BHS</w:t>
      </w:r>
      <w:r w:rsidR="00A71F7D">
        <w:t xml:space="preserve"> involves an experiential participation in the loving fellowship of the Triune God.</w:t>
      </w:r>
    </w:p>
    <w:p w:rsidR="00972128" w:rsidRDefault="00972128" w:rsidP="009370EA">
      <w:pPr>
        <w:spacing w:line="360" w:lineRule="auto"/>
        <w:jc w:val="both"/>
      </w:pPr>
    </w:p>
    <w:p w:rsidR="00972128" w:rsidRPr="00007BD4" w:rsidRDefault="009F2554" w:rsidP="009370EA">
      <w:pPr>
        <w:pStyle w:val="PhDSubheading"/>
        <w:spacing w:line="360" w:lineRule="auto"/>
      </w:pPr>
      <w:r>
        <w:t xml:space="preserve">2.1.3.3 </w:t>
      </w:r>
      <w:r w:rsidR="00972128" w:rsidRPr="00007BD4">
        <w:t>T.N. Turnbull: Filled with the Spirit who Speaks</w:t>
      </w:r>
    </w:p>
    <w:p w:rsidR="001B3519" w:rsidRDefault="002E56A9" w:rsidP="009370EA">
      <w:pPr>
        <w:spacing w:line="360" w:lineRule="auto"/>
        <w:jc w:val="both"/>
      </w:pPr>
      <w:r>
        <w:t xml:space="preserve">Thomas Turnbull was </w:t>
      </w:r>
      <w:r w:rsidR="009A5C1D">
        <w:t xml:space="preserve">the </w:t>
      </w:r>
      <w:r>
        <w:t>last survivor of the first generation of Apostolic thinkers, having only been a boy when he began to be used significantly in prophecy. His prophetical ministry was instrumental in the coming together of the work in Scotland with the Welsh Apostolic Church, and he would later be recognised first as a prophet and later as an apostle.</w:t>
      </w:r>
      <w:r w:rsidR="00970D26">
        <w:rPr>
          <w:rStyle w:val="FootnoteReference"/>
        </w:rPr>
        <w:footnoteReference w:id="195"/>
      </w:r>
      <w:r w:rsidR="00970D26">
        <w:t xml:space="preserve"> He would also go on to become one of the best known writers in the Apostolic Church, and her first historian.</w:t>
      </w:r>
    </w:p>
    <w:p w:rsidR="00C6768E" w:rsidRDefault="00C6768E" w:rsidP="009370EA">
      <w:pPr>
        <w:spacing w:line="360" w:lineRule="auto"/>
        <w:jc w:val="both"/>
      </w:pPr>
      <w:r>
        <w:t>As a Classical Pentecostal, like all the other Apostolics, Turnbull affirms the doctrine of subsequence.</w:t>
      </w:r>
      <w:r>
        <w:rPr>
          <w:rStyle w:val="FootnoteReference"/>
        </w:rPr>
        <w:footnoteReference w:id="196"/>
      </w:r>
      <w:r w:rsidR="004E0515">
        <w:t xml:space="preserve"> </w:t>
      </w:r>
      <w:r w:rsidR="005C44F6">
        <w:t>Furthermore</w:t>
      </w:r>
      <w:r w:rsidR="004E0515">
        <w:t xml:space="preserve">, Turnbull affirmed the doctrine of tongues as the Initial Physical Evidence of </w:t>
      </w:r>
      <w:r w:rsidR="001C4F07">
        <w:t>BHS</w:t>
      </w:r>
      <w:r w:rsidR="004E0515">
        <w:t>. ‘When all were filled on the day of Pentecost they all spoke with tongues … and we will do the same when we are filled with the Spirit.’</w:t>
      </w:r>
      <w:r w:rsidR="004E0515">
        <w:rPr>
          <w:rStyle w:val="FootnoteReference"/>
        </w:rPr>
        <w:footnoteReference w:id="197"/>
      </w:r>
      <w:r w:rsidR="00C61384">
        <w:t xml:space="preserve"> However, it is Turnbull’s reason for holding to this doctrine of Initial Physical Evidence which is particularly of interest. Rather than simply building a case from the biblical narratives of Spirit baptism in the book of Acts (as was common among early Pentecostals), Turnbull looks to a theological reason for tongues as the sign of the baptism. ‘The reason is that you are filled with a Divine personality, One who speaks. The </w:t>
      </w:r>
      <w:r w:rsidR="00C61384">
        <w:lastRenderedPageBreak/>
        <w:t>Holy Spirit is Person and not an influence, and when He comes He speaks through us.’</w:t>
      </w:r>
      <w:r w:rsidR="00C61384">
        <w:rPr>
          <w:rStyle w:val="FootnoteReference"/>
        </w:rPr>
        <w:footnoteReference w:id="198"/>
      </w:r>
      <w:r w:rsidR="006570E1">
        <w:t xml:space="preserve"> </w:t>
      </w:r>
      <w:r w:rsidR="00AF09D0">
        <w:t>Thus, for Turnbull, the content of the baptism is the person of the Holy Spirit himself, not an influence or power given by the Spirit, and the result of the baptism is the manifestation of the person of the Spirit, which he does in the first instance by speaking.</w:t>
      </w:r>
      <w:r w:rsidR="00E54934">
        <w:t xml:space="preserve"> </w:t>
      </w:r>
      <w:r w:rsidR="00F367AE">
        <w:t>BHS</w:t>
      </w:r>
      <w:r w:rsidR="00E54934">
        <w:t>, then, results in the personal presence of the Holy Spirit.</w:t>
      </w:r>
      <w:r w:rsidR="006570E1">
        <w:t xml:space="preserve"> </w:t>
      </w:r>
    </w:p>
    <w:p w:rsidR="00DE4259" w:rsidRDefault="00E17D69" w:rsidP="009370EA">
      <w:pPr>
        <w:spacing w:line="360" w:lineRule="auto"/>
        <w:jc w:val="both"/>
      </w:pPr>
      <w:r>
        <w:t>F</w:t>
      </w:r>
      <w:r w:rsidR="00810C61">
        <w:t xml:space="preserve">or Turnbull, </w:t>
      </w:r>
      <w:r w:rsidR="00F367AE">
        <w:t>BHS</w:t>
      </w:r>
      <w:r w:rsidR="00810C61">
        <w:t xml:space="preserve"> is much more than power for evangelism. It is ultimately the personal presence of the Spirit himself, and so involves fellowship with God the Holy Spirit. That is not to say that the baptism is without effect in one’s Christian life and service. Turnbull argues that the outpouring of the Spirit is necessary ‘to rekindle our zeal, to revitalise our energies, to deepen our devotion, and to inspire us with an undying consecration to the work of building up the Church locally and generally,’</w:t>
      </w:r>
      <w:r w:rsidR="00810C61">
        <w:rPr>
          <w:rStyle w:val="FootnoteReference"/>
        </w:rPr>
        <w:footnoteReference w:id="199"/>
      </w:r>
      <w:r w:rsidR="00810C61">
        <w:t xml:space="preserve"> yet this is not brought about by an abstract power or influence, but through the personal fellowship of the Spirit.</w:t>
      </w:r>
      <w:r w:rsidR="00DE4259">
        <w:t xml:space="preserve"> ‘If we are filled with the Holy Spirit He will enable us to testify of Christ, and empower us to confess Him before men.’</w:t>
      </w:r>
      <w:r w:rsidR="00DE4259">
        <w:rPr>
          <w:rStyle w:val="FootnoteReference"/>
        </w:rPr>
        <w:footnoteReference w:id="200"/>
      </w:r>
      <w:r w:rsidR="00AF1AF2">
        <w:t xml:space="preserve"> It is the person of the Spirit himself here who is the ‘power for evangelism,’ not merely a powerful influence from the Spirit or supernatural signs and wonders given by him.</w:t>
      </w:r>
    </w:p>
    <w:p w:rsidR="00DE5EDF" w:rsidRDefault="00810C61" w:rsidP="009370EA">
      <w:pPr>
        <w:spacing w:line="360" w:lineRule="auto"/>
        <w:jc w:val="both"/>
      </w:pPr>
      <w:r>
        <w:t>Turnbull insists that ‘Christ is the Giver of the Baptism of the Holy Spirit,’</w:t>
      </w:r>
      <w:r>
        <w:rPr>
          <w:rStyle w:val="FootnoteReference"/>
        </w:rPr>
        <w:footnoteReference w:id="201"/>
      </w:r>
      <w:r>
        <w:t xml:space="preserve"> and hence this personal participation in the Spirit is grounded upon the person and work of Christ.</w:t>
      </w:r>
      <w:r w:rsidR="009258A7">
        <w:t xml:space="preserve"> This of course stands in continuity with D.P. Williams’ emphases.</w:t>
      </w:r>
      <w:r w:rsidR="002B439C">
        <w:t xml:space="preserve"> Yet this is not the only continuity between the thought of Turnbull and Williams: it extends also to the ecclesial nature of </w:t>
      </w:r>
      <w:r w:rsidR="00F367AE">
        <w:t>BHS</w:t>
      </w:r>
      <w:r w:rsidR="002B439C">
        <w:t>. While Turnbull readily admits that the baptism of the Holy Spirit ‘brings power to witness [and] power to manifest the gifts of the Holy Spirit,’ he goes on to argue that ‘still more we are by it made members of the Body of Christ.’</w:t>
      </w:r>
      <w:r w:rsidR="00C60ED5">
        <w:rPr>
          <w:rStyle w:val="FootnoteReference"/>
        </w:rPr>
        <w:footnoteReference w:id="202"/>
      </w:r>
      <w:r w:rsidR="00C46AC4">
        <w:t xml:space="preserve"> Turnbull sees the work of Christ on the cross and </w:t>
      </w:r>
      <w:r w:rsidR="00F367AE">
        <w:t>BHS</w:t>
      </w:r>
      <w:r w:rsidR="00C46AC4">
        <w:t xml:space="preserve"> coming together in the formation and unity of the Body of Christ on the Day of Pentecost </w:t>
      </w:r>
      <w:r w:rsidR="000D40D5">
        <w:t>(having argued from Matthew 16:18 and Ephesians 1:20-23 that the Church could not have begun until after the ascension of Christ).</w:t>
      </w:r>
      <w:r w:rsidR="000D40D5">
        <w:rPr>
          <w:rStyle w:val="FootnoteReference"/>
        </w:rPr>
        <w:footnoteReference w:id="203"/>
      </w:r>
      <w:r w:rsidR="000D40D5">
        <w:t xml:space="preserve"> From this he then goes on to argue that ‘surely it is by the same baptism </w:t>
      </w:r>
      <w:r w:rsidR="000D40D5">
        <w:lastRenderedPageBreak/>
        <w:t>that all Christians will be baptised into [the Body]</w:t>
      </w:r>
      <w:r w:rsidR="00E40D16">
        <w:t>… Since the day of Pentecost it is those who have been baptised with the Holy Spirit that have been baptised into the Body.</w:t>
      </w:r>
      <w:r w:rsidR="000D40D5">
        <w:t>’</w:t>
      </w:r>
      <w:r w:rsidR="000D40D5">
        <w:rPr>
          <w:rStyle w:val="FootnoteReference"/>
        </w:rPr>
        <w:footnoteReference w:id="204"/>
      </w:r>
    </w:p>
    <w:p w:rsidR="00BB4332" w:rsidRDefault="00BB4332" w:rsidP="009370EA">
      <w:pPr>
        <w:spacing w:line="360" w:lineRule="auto"/>
        <w:jc w:val="both"/>
      </w:pPr>
      <w:r>
        <w:t xml:space="preserve">Through </w:t>
      </w:r>
      <w:r w:rsidR="00F367AE">
        <w:t>BHS</w:t>
      </w:r>
      <w:r>
        <w:t>, believers are ‘united to Him who is Head of the Church, and to one another as members of the Body.’</w:t>
      </w:r>
      <w:r>
        <w:rPr>
          <w:rStyle w:val="FootnoteReference"/>
        </w:rPr>
        <w:footnoteReference w:id="205"/>
      </w:r>
      <w:r>
        <w:t xml:space="preserve"> So it is the personal presence of the Holy Spirit in the Body through the baptism which is ‘the unifying and vivifying power for all its members.’</w:t>
      </w:r>
      <w:r>
        <w:rPr>
          <w:rStyle w:val="FootnoteReference"/>
        </w:rPr>
        <w:footnoteReference w:id="206"/>
      </w:r>
      <w:r w:rsidR="003C1E5A">
        <w:t xml:space="preserve"> Thus life flows through the Spirit from the Head to t</w:t>
      </w:r>
      <w:r w:rsidR="00F92821">
        <w:t xml:space="preserve">he Body, which means that this personal presence of the Holy Spirit through </w:t>
      </w:r>
      <w:r w:rsidR="00F367AE">
        <w:t>BHS</w:t>
      </w:r>
      <w:r w:rsidR="00F92821">
        <w:t xml:space="preserve"> is what makes the Church a living entity.</w:t>
      </w:r>
    </w:p>
    <w:p w:rsidR="00762F99" w:rsidRDefault="00762F99" w:rsidP="009370EA">
      <w:pPr>
        <w:spacing w:line="360" w:lineRule="auto"/>
        <w:jc w:val="both"/>
      </w:pPr>
      <w:r>
        <w:t xml:space="preserve">However, as with Williams, this concept of </w:t>
      </w:r>
      <w:r w:rsidR="00F367AE">
        <w:t>BHS</w:t>
      </w:r>
      <w:r>
        <w:t xml:space="preserve"> as the way members are brought into the Body of Christ poses certain questions for Turnbull:</w:t>
      </w:r>
    </w:p>
    <w:p w:rsidR="00762F99" w:rsidRPr="00BF52BB" w:rsidRDefault="00762F99" w:rsidP="009370EA">
      <w:pPr>
        <w:spacing w:line="360" w:lineRule="auto"/>
        <w:ind w:left="720" w:right="720"/>
        <w:jc w:val="both"/>
        <w:rPr>
          <w:sz w:val="20"/>
        </w:rPr>
      </w:pPr>
      <w:r w:rsidRPr="00BF52BB">
        <w:rPr>
          <w:sz w:val="20"/>
        </w:rPr>
        <w:t>If some Christians are not in the Church, someone may ask, where are they? They are, like the Old Testament Christians, in the spiritual kingdom. In John 3 we are taught that by the New Birth we enter this spiritual kingdom, w</w:t>
      </w:r>
      <w:r w:rsidR="000941CB" w:rsidRPr="00BF52BB">
        <w:rPr>
          <w:sz w:val="20"/>
        </w:rPr>
        <w:t xml:space="preserve">hile according to 1 Cor. 12:13 </w:t>
      </w:r>
      <w:r w:rsidRPr="00BF52BB">
        <w:rPr>
          <w:sz w:val="20"/>
        </w:rPr>
        <w:t>we enter the Church by the Baptism of the Holy Spirit.</w:t>
      </w:r>
      <w:r w:rsidRPr="00BF52BB">
        <w:rPr>
          <w:rStyle w:val="FootnoteReference"/>
          <w:sz w:val="20"/>
        </w:rPr>
        <w:footnoteReference w:id="207"/>
      </w:r>
    </w:p>
    <w:p w:rsidR="000941CB" w:rsidRDefault="00A51642" w:rsidP="009370EA">
      <w:pPr>
        <w:spacing w:line="360" w:lineRule="auto"/>
        <w:jc w:val="both"/>
      </w:pPr>
      <w:r>
        <w:t>Like Williams, Turnbull makes use of a distinction between the Kingdom and the Church. However, unlike Williams, Turnbull makes no distinction between the elect and the saved. Turnbull is clear that ‘there is no doubt that God intended this baptism to be the experience of every Christian, so that they should be united to Him who is Head of the Church.’</w:t>
      </w:r>
      <w:r>
        <w:rPr>
          <w:rStyle w:val="FootnoteReference"/>
        </w:rPr>
        <w:footnoteReference w:id="208"/>
      </w:r>
      <w:r w:rsidR="00AB0794">
        <w:t xml:space="preserve"> Thus, in Turnbull’s thought, it would appear that all Christians should be brought into the Body in this way, yet experience suggests to him that this is not in actual fact the case, and so he must posit the Kingdom as an alternative to the Body.</w:t>
      </w:r>
    </w:p>
    <w:p w:rsidR="0059370E" w:rsidRDefault="0059370E" w:rsidP="009370EA">
      <w:pPr>
        <w:spacing w:line="360" w:lineRule="auto"/>
        <w:jc w:val="both"/>
      </w:pPr>
      <w:r>
        <w:t>For Turnbull then, the baptism of the Holy Spirit involves being filled with the personal presence of the Holy Spirit Himself who then speaks and acts through us, while uniting us to Christ the Head of the Church, and to one another in His Body.</w:t>
      </w:r>
    </w:p>
    <w:p w:rsidR="00442B53" w:rsidRDefault="00442B53" w:rsidP="009370EA">
      <w:pPr>
        <w:spacing w:line="360" w:lineRule="auto"/>
        <w:jc w:val="both"/>
      </w:pPr>
    </w:p>
    <w:p w:rsidR="00442B53" w:rsidRPr="001D3BA2" w:rsidRDefault="009F2554" w:rsidP="009370EA">
      <w:pPr>
        <w:pStyle w:val="PhDSubheading"/>
        <w:spacing w:line="360" w:lineRule="auto"/>
      </w:pPr>
      <w:r>
        <w:t xml:space="preserve">2.1.3.4 </w:t>
      </w:r>
      <w:r w:rsidR="00442B53" w:rsidRPr="001D3BA2">
        <w:t>W.R. Thomas: Communion with the Triune God</w:t>
      </w:r>
    </w:p>
    <w:p w:rsidR="001D3BA2" w:rsidRDefault="001D3BA2" w:rsidP="009370EA">
      <w:pPr>
        <w:spacing w:line="360" w:lineRule="auto"/>
        <w:jc w:val="both"/>
      </w:pPr>
      <w:r>
        <w:t xml:space="preserve">W.R. Thomas was the fifth president of the </w:t>
      </w:r>
      <w:r w:rsidR="00D340A5">
        <w:t>G</w:t>
      </w:r>
      <w:r>
        <w:t xml:space="preserve">eneral </w:t>
      </w:r>
      <w:r w:rsidR="00D340A5">
        <w:t>C</w:t>
      </w:r>
      <w:r>
        <w:t xml:space="preserve">ouncil of the Apostolic Church </w:t>
      </w:r>
      <w:r w:rsidR="003E6550">
        <w:t>(</w:t>
      </w:r>
      <w:r>
        <w:t>1964-1969</w:t>
      </w:r>
      <w:r w:rsidR="003E6550">
        <w:t>)</w:t>
      </w:r>
      <w:r>
        <w:t>, after serving as a missionary and leading the work in Italy for thirty years.</w:t>
      </w:r>
      <w:r w:rsidR="00A6663E">
        <w:t xml:space="preserve"> Much of his writing was </w:t>
      </w:r>
      <w:r w:rsidR="00A6663E">
        <w:lastRenderedPageBreak/>
        <w:t>originally in Italian and has only recently been translated into English, but we will make use of it here as, although not in published form in English, his thought was particularly significant in the Apostolic Church in the United Kingdom, both through his leadership of the denomination in the 1960s and also through the high esteem in which his preaching and teaching were held.</w:t>
      </w:r>
    </w:p>
    <w:p w:rsidR="00EF2645" w:rsidRDefault="00070BBB" w:rsidP="009370EA">
      <w:pPr>
        <w:spacing w:line="360" w:lineRule="auto"/>
        <w:jc w:val="both"/>
      </w:pPr>
      <w:r>
        <w:t xml:space="preserve">We shall not dwell on </w:t>
      </w:r>
      <w:r w:rsidR="00F83990">
        <w:t>Thomas’</w:t>
      </w:r>
      <w:r>
        <w:t xml:space="preserve"> agreement with the standard Pentecostal doctrines of subsequence and evidence of the baptism in the Spirit,</w:t>
      </w:r>
      <w:r w:rsidR="00C70D03">
        <w:rPr>
          <w:rStyle w:val="FootnoteReference"/>
        </w:rPr>
        <w:footnoteReference w:id="209"/>
      </w:r>
      <w:r>
        <w:t xml:space="preserve"> but instead move on to examine the other features of his </w:t>
      </w:r>
      <w:r w:rsidR="00C70D03">
        <w:t xml:space="preserve">conception of the doctrine. </w:t>
      </w:r>
      <w:r w:rsidR="00EF2645">
        <w:t>Like Turnbull, Thomas agrees that ‘this is not a simple blessing or power or influence of the Spirit, but it is His Personal Presence in us.’</w:t>
      </w:r>
      <w:r w:rsidR="00EF2645">
        <w:rPr>
          <w:rStyle w:val="FootnoteReference"/>
        </w:rPr>
        <w:footnoteReference w:id="210"/>
      </w:r>
      <w:r w:rsidR="00F0603E">
        <w:t xml:space="preserve"> </w:t>
      </w:r>
      <w:r w:rsidR="00966BBA">
        <w:t xml:space="preserve">While Thomas would appear </w:t>
      </w:r>
      <w:r w:rsidR="00D340A5">
        <w:t xml:space="preserve">to have some common ground with </w:t>
      </w:r>
      <w:r w:rsidR="00F0603E">
        <w:t>Hodges and Williams</w:t>
      </w:r>
      <w:r w:rsidR="00966BBA">
        <w:t xml:space="preserve"> in seeing</w:t>
      </w:r>
      <w:r w:rsidR="00F0603E">
        <w:t xml:space="preserve"> the baptism in the Spirit as ‘a baptism of love</w:t>
      </w:r>
      <w:r w:rsidR="00741C1B">
        <w:t>,</w:t>
      </w:r>
      <w:r w:rsidR="00F0603E">
        <w:t>’</w:t>
      </w:r>
      <w:r w:rsidR="00F0603E">
        <w:rPr>
          <w:rStyle w:val="FootnoteReference"/>
        </w:rPr>
        <w:footnoteReference w:id="211"/>
      </w:r>
      <w:r w:rsidR="00741C1B">
        <w:t xml:space="preserve"> </w:t>
      </w:r>
      <w:r w:rsidR="00966BBA">
        <w:t xml:space="preserve">he actually sees this love working in the opposite direction, </w:t>
      </w:r>
      <w:r w:rsidR="00741C1B">
        <w:t xml:space="preserve">arguing that the baptism gives </w:t>
      </w:r>
      <w:r w:rsidR="00966BBA">
        <w:t xml:space="preserve">love for Christ, </w:t>
      </w:r>
      <w:r w:rsidR="00741C1B">
        <w:t>love for our</w:t>
      </w:r>
      <w:r w:rsidR="00966BBA">
        <w:t xml:space="preserve"> brothers and sisters in Christ, and love for the lost. While this was not denied by Williams and Hodges, their primary emphasis was on God’s love coming to us in the baptism.</w:t>
      </w:r>
    </w:p>
    <w:p w:rsidR="00240C2A" w:rsidRDefault="00240C2A" w:rsidP="009370EA">
      <w:pPr>
        <w:spacing w:line="360" w:lineRule="auto"/>
        <w:jc w:val="both"/>
      </w:pPr>
      <w:r>
        <w:t>For Thomas, ‘this baptism is more than a vague blessing: this is the evidence of salvation, a guarantee of our holiness, and the pledge of our Glorification with Christ in eternity.’</w:t>
      </w:r>
      <w:r>
        <w:rPr>
          <w:rStyle w:val="FootnoteReference"/>
        </w:rPr>
        <w:footnoteReference w:id="212"/>
      </w:r>
      <w:r>
        <w:t xml:space="preserve"> In each of these cases, the evidence, guarantee and pledge speak to the believer, thus what Thomas is speaking of here is assurance of salvation. Furthermore, he goes on to argue that </w:t>
      </w:r>
      <w:r w:rsidR="00AF10F7">
        <w:t>BHS</w:t>
      </w:r>
      <w:r>
        <w:t xml:space="preserve"> assures us not only of our salvation, but also of our membership of the Body of Christ.</w:t>
      </w:r>
    </w:p>
    <w:p w:rsidR="00DA02AF" w:rsidRDefault="00DA02AF" w:rsidP="009370EA">
      <w:pPr>
        <w:spacing w:line="360" w:lineRule="auto"/>
        <w:jc w:val="both"/>
      </w:pPr>
      <w:r>
        <w:t xml:space="preserve">Here then we see the connection between </w:t>
      </w:r>
      <w:r w:rsidR="00AF10F7">
        <w:t>BHS</w:t>
      </w:r>
      <w:r>
        <w:t xml:space="preserve"> and ecclesiology. While </w:t>
      </w:r>
      <w:r w:rsidR="00AF10F7">
        <w:t>BHS</w:t>
      </w:r>
      <w:r>
        <w:t xml:space="preserve"> provides assurance of membership of the Body in Thomas’ thought, it is also the means whereby one is placed in the Body. ‘The Holy Spirit, therefore, formed the Church, because He alone can unite souls to Christ and in Christ.</w:t>
      </w:r>
      <w:r w:rsidR="00922B72">
        <w:t>’</w:t>
      </w:r>
      <w:r w:rsidR="00922B72">
        <w:rPr>
          <w:rStyle w:val="FootnoteReference"/>
        </w:rPr>
        <w:footnoteReference w:id="213"/>
      </w:r>
      <w:r w:rsidR="005301FD">
        <w:t xml:space="preserve"> This, of course, means that Thomas must face the same difficulty as Williams and Turnbull: the question of the relationship between those not baptised in the Spirit and the Church. He simply responds that ‘this means that many believers saved, but not baptised with the Holy Spirit, are not within the Body of Christ.’</w:t>
      </w:r>
      <w:r w:rsidR="005301FD">
        <w:rPr>
          <w:rStyle w:val="FootnoteReference"/>
        </w:rPr>
        <w:footnoteReference w:id="214"/>
      </w:r>
      <w:r w:rsidR="00460F06">
        <w:t xml:space="preserve"> </w:t>
      </w:r>
      <w:r w:rsidR="005F5E5B">
        <w:t xml:space="preserve">Rather than seeking to resolve the difficulty, </w:t>
      </w:r>
      <w:r w:rsidR="00460F06">
        <w:lastRenderedPageBreak/>
        <w:t xml:space="preserve">Thomas views this as a motivation to seek </w:t>
      </w:r>
      <w:r w:rsidR="00AF10F7">
        <w:t>BHS</w:t>
      </w:r>
      <w:r w:rsidR="00460F06">
        <w:t>.</w:t>
      </w:r>
      <w:r w:rsidR="00460F06">
        <w:rPr>
          <w:rStyle w:val="FootnoteReference"/>
        </w:rPr>
        <w:footnoteReference w:id="215"/>
      </w:r>
      <w:r w:rsidR="00AA4D5C">
        <w:t xml:space="preserve"> His view of the ecclesial nature of </w:t>
      </w:r>
      <w:r w:rsidR="00AF10F7">
        <w:t>BHS</w:t>
      </w:r>
      <w:r w:rsidR="00AA4D5C">
        <w:t xml:space="preserve"> then does not appear to advance beyond that of Williams and Turnbull.</w:t>
      </w:r>
    </w:p>
    <w:p w:rsidR="00AA4D5C" w:rsidRDefault="00AA4D5C" w:rsidP="009370EA">
      <w:pPr>
        <w:spacing w:line="360" w:lineRule="auto"/>
        <w:jc w:val="both"/>
      </w:pPr>
      <w:r>
        <w:t xml:space="preserve">Having now seen his broad agreement with his fellow Apostolics, what is, for Thomas, the nature of </w:t>
      </w:r>
      <w:r w:rsidR="00AF10F7">
        <w:t>BHS</w:t>
      </w:r>
      <w:r>
        <w:t xml:space="preserve">? At the centre of his thought on this question is the concept of the fullness of God. For Thomas, the result of </w:t>
      </w:r>
      <w:r w:rsidR="0075510B">
        <w:t>BHS</w:t>
      </w:r>
      <w:r>
        <w:t xml:space="preserve"> is that one is ‘</w:t>
      </w:r>
      <w:r w:rsidR="00D24FA2">
        <w:t>full of all the fullness of God,</w:t>
      </w:r>
      <w:r>
        <w:t>’</w:t>
      </w:r>
      <w:r>
        <w:rPr>
          <w:rStyle w:val="FootnoteReference"/>
        </w:rPr>
        <w:footnoteReference w:id="216"/>
      </w:r>
      <w:r w:rsidR="00D24FA2">
        <w:t xml:space="preserve"> and when he says God, he is thinking in explicitly Trinitarian terms. The baptism, bringing as it does the personal presence of the Holy Spirit, resul</w:t>
      </w:r>
      <w:r w:rsidR="00B64773">
        <w:t>ts in communion with the Spirit,</w:t>
      </w:r>
      <w:r w:rsidR="00B64773">
        <w:rPr>
          <w:rStyle w:val="FootnoteReference"/>
        </w:rPr>
        <w:footnoteReference w:id="217"/>
      </w:r>
      <w:r w:rsidR="00B64773">
        <w:t>yet, as ‘the Trinity is indissoluble,’</w:t>
      </w:r>
      <w:r w:rsidR="00B64773">
        <w:rPr>
          <w:rStyle w:val="FootnoteReference"/>
        </w:rPr>
        <w:footnoteReference w:id="218"/>
      </w:r>
      <w:r w:rsidR="00B64773">
        <w:t xml:space="preserve"> the Spirit cannot be separated from the Father and the Son. Hence, through </w:t>
      </w:r>
      <w:r w:rsidR="001A06D5">
        <w:t>BHS</w:t>
      </w:r>
      <w:r w:rsidR="00B64773">
        <w:t>, ‘we have communion with the Father and the Son by the Holy Spirit, and this will remain true and constant if we abide in our first and full communion of the Spirit.’</w:t>
      </w:r>
      <w:r w:rsidR="00B64773">
        <w:rPr>
          <w:rStyle w:val="FootnoteReference"/>
        </w:rPr>
        <w:footnoteReference w:id="219"/>
      </w:r>
      <w:r w:rsidR="00B64773">
        <w:t xml:space="preserve"> Thus </w:t>
      </w:r>
      <w:r w:rsidR="001A06D5">
        <w:t>BHS</w:t>
      </w:r>
      <w:r w:rsidR="00B64773">
        <w:t xml:space="preserve"> brings ‘constant communion with the Trinity.’</w:t>
      </w:r>
      <w:r w:rsidR="00B64773">
        <w:rPr>
          <w:rStyle w:val="FootnoteReference"/>
        </w:rPr>
        <w:footnoteReference w:id="220"/>
      </w:r>
      <w:r w:rsidR="00542611">
        <w:t xml:space="preserve"> Furthermore, owing to the ecclesial nature of Spirit baptism, ‘the Trinity is ... united to the Church by the Holy Spirit.’</w:t>
      </w:r>
      <w:r w:rsidR="00542611">
        <w:rPr>
          <w:rStyle w:val="FootnoteReference"/>
        </w:rPr>
        <w:footnoteReference w:id="221"/>
      </w:r>
    </w:p>
    <w:p w:rsidR="00364F9F" w:rsidRDefault="008A2D2D" w:rsidP="009370EA">
      <w:pPr>
        <w:spacing w:line="360" w:lineRule="auto"/>
        <w:jc w:val="both"/>
      </w:pPr>
      <w:r>
        <w:t>This communion of the Body of Christ with the Father, Son and Spirit, brought about by the baptism in the Holy Spirit, then results in a particular experience of the love of the Father. He is now experienced as ‘the Father of the Total Christ … God is the Father of the Church that is the Body of Christ.’</w:t>
      </w:r>
      <w:r>
        <w:rPr>
          <w:rStyle w:val="FootnoteReference"/>
        </w:rPr>
        <w:footnoteReference w:id="222"/>
      </w:r>
      <w:r w:rsidR="00D35AFE">
        <w:t xml:space="preserve"> This is not simply </w:t>
      </w:r>
      <w:r w:rsidR="00E11EF3">
        <w:t xml:space="preserve">a </w:t>
      </w:r>
      <w:r w:rsidR="00D35AFE">
        <w:t>fact to grasp, but rather a relation of love to be enjoyed. It is a true participation in the Son’s relationship with the Father, through the Spirit. ‘In the mystery of the Holiest Trinity and the Incarnation, the Paternity of God to His only Son reaches us in a real and effective way</w:t>
      </w:r>
      <w:r w:rsidR="002B030B">
        <w:t>; Redeemed by the Blood of Christ and members of His Body</w:t>
      </w:r>
      <w:r w:rsidR="00554EAF">
        <w:t>.</w:t>
      </w:r>
      <w:r w:rsidR="002B030B">
        <w:t>’</w:t>
      </w:r>
      <w:r w:rsidR="002B030B">
        <w:rPr>
          <w:rStyle w:val="FootnoteReference"/>
        </w:rPr>
        <w:footnoteReference w:id="223"/>
      </w:r>
      <w:r w:rsidR="002B030B">
        <w:t xml:space="preserve"> Here Thomas ties together the Trinity, Incarnation, Atonement, baptism in the Spirit, and the ontology of the church with this participation in the loving fellowship of the Triune God.</w:t>
      </w:r>
      <w:r w:rsidR="00D1440A">
        <w:t xml:space="preserve"> </w:t>
      </w:r>
    </w:p>
    <w:p w:rsidR="00BA3260" w:rsidRDefault="00BA3260" w:rsidP="009370EA">
      <w:pPr>
        <w:spacing w:line="360" w:lineRule="auto"/>
        <w:jc w:val="both"/>
      </w:pPr>
    </w:p>
    <w:p w:rsidR="00BA3260" w:rsidRPr="0055507E" w:rsidRDefault="009F2554" w:rsidP="009370EA">
      <w:pPr>
        <w:pStyle w:val="PhDSubheading"/>
        <w:spacing w:line="360" w:lineRule="auto"/>
      </w:pPr>
      <w:r>
        <w:t xml:space="preserve">2.1.4 </w:t>
      </w:r>
      <w:r w:rsidR="00BA3260" w:rsidRPr="0055507E">
        <w:t>The Baptism of the Holy Spirit and Early Apostolic Ecclesiology</w:t>
      </w:r>
    </w:p>
    <w:p w:rsidR="00146AE7" w:rsidRDefault="00BA3260" w:rsidP="009370EA">
      <w:pPr>
        <w:spacing w:line="360" w:lineRule="auto"/>
        <w:jc w:val="both"/>
      </w:pPr>
      <w:r w:rsidRPr="0055507E">
        <w:t xml:space="preserve">As can be seen from the examination of the writings of the early Apostolic writers, there is a significant link between </w:t>
      </w:r>
      <w:r w:rsidR="00C94727">
        <w:t>BHS</w:t>
      </w:r>
      <w:r w:rsidRPr="0055507E">
        <w:t xml:space="preserve"> and ecclesiology.</w:t>
      </w:r>
      <w:r w:rsidR="0055507E">
        <w:t xml:space="preserve"> This link, however, is not only, or even primarily, found in practical, functional, or ministerial terms, but in ontological terms. Therefore we shall </w:t>
      </w:r>
      <w:r w:rsidR="0055507E">
        <w:lastRenderedPageBreak/>
        <w:t xml:space="preserve">examine here more closely this ontological role of </w:t>
      </w:r>
      <w:r w:rsidR="00C94727">
        <w:t>BHS</w:t>
      </w:r>
      <w:r w:rsidR="0055507E">
        <w:t xml:space="preserve"> in the ecclesiology of these early Apostolic writers, b</w:t>
      </w:r>
      <w:r w:rsidR="00C94727">
        <w:t>y</w:t>
      </w:r>
      <w:r w:rsidR="0055507E">
        <w:t xml:space="preserve"> addressing its role in the issues of the inception and the membership of the church.</w:t>
      </w:r>
    </w:p>
    <w:p w:rsidR="0055507E" w:rsidRDefault="0055507E" w:rsidP="009370EA">
      <w:pPr>
        <w:spacing w:line="360" w:lineRule="auto"/>
        <w:jc w:val="both"/>
      </w:pPr>
    </w:p>
    <w:p w:rsidR="00C01E57" w:rsidRPr="00C01E57" w:rsidRDefault="009F2554" w:rsidP="009370EA">
      <w:pPr>
        <w:pStyle w:val="PhDSubheading"/>
        <w:spacing w:line="360" w:lineRule="auto"/>
      </w:pPr>
      <w:r>
        <w:t xml:space="preserve">2.1.4.1 </w:t>
      </w:r>
      <w:r w:rsidR="00C01E57" w:rsidRPr="00C01E57">
        <w:t>Baptism in the Holy Spirit and the Inception of the Church</w:t>
      </w:r>
    </w:p>
    <w:p w:rsidR="00C01E57" w:rsidRDefault="00C94727" w:rsidP="009370EA">
      <w:pPr>
        <w:spacing w:line="360" w:lineRule="auto"/>
        <w:jc w:val="both"/>
      </w:pPr>
      <w:r>
        <w:t>BHS</w:t>
      </w:r>
      <w:r w:rsidR="00C01E57" w:rsidRPr="00C01E57">
        <w:t xml:space="preserve"> found a significant place in Apostolic ecclesiology through the unanimous view of early Apostolic writers that the Church was brought into being through the Pentecost event.</w:t>
      </w:r>
      <w:r w:rsidR="00C01E57" w:rsidRPr="00C01E57">
        <w:rPr>
          <w:vertAlign w:val="superscript"/>
        </w:rPr>
        <w:footnoteReference w:id="224"/>
      </w:r>
      <w:r w:rsidR="00C01E57" w:rsidRPr="00C01E57">
        <w:t xml:space="preserve"> In this, the Apostolics were not alone among Pentecostals; it was the common Pentecostal view and remains so, by and large, to this day. Hence Finnish Pentecostal theologian Veli-Matti Karkainnen can state that 'the Pentecost event is an ecclesiologically constituting event';</w:t>
      </w:r>
      <w:r w:rsidR="00C01E57" w:rsidRPr="00C01E57">
        <w:rPr>
          <w:vertAlign w:val="superscript"/>
        </w:rPr>
        <w:footnoteReference w:id="225"/>
      </w:r>
      <w:r w:rsidR="00C01E57" w:rsidRPr="00C01E57">
        <w:t xml:space="preserve"> with this the early Apostolics would have wholeheartedly agreed. Although this point was often presupposed by Apostolic writers, it was not something which they had inherited uncritically from prior tradition. T.N. Turnbull</w:t>
      </w:r>
      <w:r w:rsidR="003F7821">
        <w:t xml:space="preserve"> </w:t>
      </w:r>
      <w:r w:rsidR="00C01E57" w:rsidRPr="00C01E57">
        <w:t>used several Scriptural arguments for seeing the Pentecost event as the beginning of the Church. From Matthew 16:18, where Jesus says ‘I will build my church’, Turnbull argues that the Church is still at that point considered as something future. This he then couples with Acts 2 itself, pointing out that the first mention of the Church as being in existence is not found until the end of that chapter.</w:t>
      </w:r>
      <w:r w:rsidR="00C01E57" w:rsidRPr="00C01E57">
        <w:rPr>
          <w:vertAlign w:val="superscript"/>
        </w:rPr>
        <w:footnoteReference w:id="226"/>
      </w:r>
      <w:r w:rsidR="00C01E57" w:rsidRPr="00C01E57">
        <w:t xml:space="preserve"> Together with these historical biblical texts, Turnbull turns to the epistles for theological reasons for why the Church could not have existed before the Pentecost event. First, he points to Ephesians 1:20-23 from where he argues that the Church could not exist before the Ascension, as it is only as a result of the Ascension that Christ has been given as Head to the Church. As we have already seen, for the Apostolics, the intimate connection between Christ the Head and His Body was so strong, and the Body of Christ so central to the identity of the Church, that the Church could not be conceived of as existing without that union with her Head. Turnbull’s other theological argument comes from 1 Corinthians 12:13, but as this verse takes on a very important role with regard to the nature of </w:t>
      </w:r>
      <w:r w:rsidR="00272224">
        <w:t>BHS</w:t>
      </w:r>
      <w:r w:rsidR="00C01E57" w:rsidRPr="00C01E57">
        <w:t xml:space="preserve"> within the Apostolic Church we shall return to it below.</w:t>
      </w:r>
      <w:r w:rsidR="00C01E57" w:rsidRPr="00C01E57">
        <w:rPr>
          <w:vertAlign w:val="superscript"/>
        </w:rPr>
        <w:footnoteReference w:id="227"/>
      </w:r>
    </w:p>
    <w:p w:rsidR="00A55DCB" w:rsidRPr="00C01E57" w:rsidRDefault="00A55DCB" w:rsidP="009370EA">
      <w:pPr>
        <w:spacing w:line="360" w:lineRule="auto"/>
        <w:jc w:val="both"/>
      </w:pPr>
    </w:p>
    <w:p w:rsidR="00C01E57" w:rsidRPr="00C01E57" w:rsidRDefault="009F2554" w:rsidP="009370EA">
      <w:pPr>
        <w:pStyle w:val="PhDSubheading"/>
        <w:spacing w:line="360" w:lineRule="auto"/>
      </w:pPr>
      <w:r>
        <w:lastRenderedPageBreak/>
        <w:t xml:space="preserve">2.1.4.2 </w:t>
      </w:r>
      <w:r w:rsidR="00C01E57" w:rsidRPr="00C01E57">
        <w:t>Baptism in the Holy Spirit and Membership of the Body of Christ</w:t>
      </w:r>
    </w:p>
    <w:p w:rsidR="00C01E57" w:rsidRPr="00C01E57" w:rsidRDefault="00C01E57" w:rsidP="009370EA">
      <w:pPr>
        <w:spacing w:line="360" w:lineRule="auto"/>
        <w:jc w:val="both"/>
      </w:pPr>
      <w:r w:rsidRPr="00C01E57">
        <w:t>While the Apostolics did recognise the significance of Pentecost as a unique event in salvation history due to its bringing into being of the Church, they did not consider the baptism of the Holy Spirit received by the believers that day as qualitatively different from that which they expected in their own day. This can be seen from the use that was made of Acts 2 as a model for believers seeking Spirit-baptism in the 20</w:t>
      </w:r>
      <w:r w:rsidRPr="00C01E57">
        <w:rPr>
          <w:vertAlign w:val="superscript"/>
        </w:rPr>
        <w:t>th</w:t>
      </w:r>
      <w:r w:rsidRPr="00C01E57">
        <w:t xml:space="preserve"> century.</w:t>
      </w:r>
      <w:r w:rsidRPr="00C01E57">
        <w:rPr>
          <w:vertAlign w:val="superscript"/>
        </w:rPr>
        <w:footnoteReference w:id="228"/>
      </w:r>
      <w:r w:rsidRPr="00C01E57">
        <w:t xml:space="preserve"> But although this was helpful in arguing for the doctrines of subsequence and initial physical evidence when consider</w:t>
      </w:r>
      <w:r w:rsidR="00674021">
        <w:t>ing</w:t>
      </w:r>
      <w:r w:rsidRPr="00C01E57">
        <w:t xml:space="preserve"> </w:t>
      </w:r>
      <w:r w:rsidR="00674021">
        <w:t>BHS</w:t>
      </w:r>
      <w:r w:rsidRPr="00C01E57">
        <w:t xml:space="preserve"> in its own right, this identity between what the disciples received in Acts 2 and what the Pentecostal believers were expected to receive in the 20</w:t>
      </w:r>
      <w:r w:rsidRPr="00C01E57">
        <w:rPr>
          <w:vertAlign w:val="superscript"/>
        </w:rPr>
        <w:t>th</w:t>
      </w:r>
      <w:r w:rsidR="00407E8F">
        <w:t xml:space="preserve"> century did leave an</w:t>
      </w:r>
      <w:r w:rsidRPr="00C01E57">
        <w:t xml:space="preserve"> ecclesiological problem; for if the Spirit-baptism of Acts 2 formed the Church by bringing believers into the Body of Christ, should Spirit-baptism not still have the same effect today. And, if not, is it not then qualitatively different?</w:t>
      </w:r>
    </w:p>
    <w:p w:rsidR="00C01E57" w:rsidRPr="00C01E57" w:rsidRDefault="00C01E57" w:rsidP="009370EA">
      <w:pPr>
        <w:spacing w:line="360" w:lineRule="auto"/>
        <w:jc w:val="both"/>
      </w:pPr>
      <w:r w:rsidRPr="00C01E57">
        <w:t xml:space="preserve">This question of the post-Acts 2 ecclesiological ramifications of </w:t>
      </w:r>
      <w:r w:rsidR="00674021">
        <w:t>BHS</w:t>
      </w:r>
      <w:r w:rsidRPr="00C01E57">
        <w:t xml:space="preserve"> tended to find its locus not in discussions of the Pentecost event</w:t>
      </w:r>
      <w:r w:rsidRPr="00C01E57">
        <w:rPr>
          <w:vertAlign w:val="superscript"/>
        </w:rPr>
        <w:footnoteReference w:id="229"/>
      </w:r>
      <w:r w:rsidRPr="00C01E57">
        <w:t xml:space="preserve">, but in discussions of 1 Corinthians 12:13 (‘For by one Spirit we were all baptized into one body—whether Jews or Greeks, whether slaves or free—and have all been made to drink into one Spirit’). Among the printed works of the earlier Apostolic writers there </w:t>
      </w:r>
      <w:r w:rsidR="00674021">
        <w:t xml:space="preserve">was </w:t>
      </w:r>
      <w:r w:rsidRPr="00C01E57">
        <w:t>a general consensus in interpreting 1 Corinthians 12:13 to teach that membership of the Body of Christ came through baptism in the Holy Spirit.</w:t>
      </w:r>
      <w:r w:rsidRPr="00C01E57">
        <w:rPr>
          <w:vertAlign w:val="superscript"/>
        </w:rPr>
        <w:footnoteReference w:id="230"/>
      </w:r>
      <w:r w:rsidRPr="00C01E57">
        <w:t xml:space="preserve"> This consensus would appear to have broken down around the middle of the 20</w:t>
      </w:r>
      <w:r w:rsidRPr="00C01E57">
        <w:rPr>
          <w:vertAlign w:val="superscript"/>
        </w:rPr>
        <w:t>th</w:t>
      </w:r>
      <w:r w:rsidRPr="00C01E57">
        <w:t xml:space="preserve"> century. At that time the matter was debated by May Council</w:t>
      </w:r>
      <w:r w:rsidRPr="00C01E57">
        <w:rPr>
          <w:vertAlign w:val="superscript"/>
        </w:rPr>
        <w:footnoteReference w:id="231"/>
      </w:r>
      <w:r w:rsidRPr="00C01E57">
        <w:t xml:space="preserve">, where several senior </w:t>
      </w:r>
      <w:r w:rsidR="00674021">
        <w:t>apostles</w:t>
      </w:r>
      <w:r w:rsidRPr="00C01E57">
        <w:t xml:space="preserve"> wanted the interpretation that believers only become members of the Body of Christ through </w:t>
      </w:r>
      <w:r w:rsidR="00674021">
        <w:t>BHS</w:t>
      </w:r>
      <w:r w:rsidRPr="00C01E57">
        <w:t xml:space="preserve"> to be declared the official teaching of the Apostolic Church. A young apostle, however, in his first May Council spoke out against the motion</w:t>
      </w:r>
      <w:r w:rsidRPr="00C01E57">
        <w:rPr>
          <w:vertAlign w:val="superscript"/>
        </w:rPr>
        <w:footnoteReference w:id="232"/>
      </w:r>
      <w:r w:rsidRPr="00C01E57">
        <w:t xml:space="preserve"> and Council decided that the wisest course was not to dogmatise on the matter. Since then both interpretations have been fully accepted within the Apostolic Church.</w:t>
      </w:r>
      <w:r w:rsidRPr="00C01E57">
        <w:rPr>
          <w:vertAlign w:val="superscript"/>
        </w:rPr>
        <w:footnoteReference w:id="233"/>
      </w:r>
      <w:r w:rsidRPr="00C01E57">
        <w:t xml:space="preserve"> Today few UK Apostolic ministers would still hold to the older interpretation.</w:t>
      </w:r>
      <w:r w:rsidRPr="00C01E57">
        <w:rPr>
          <w:vertAlign w:val="superscript"/>
        </w:rPr>
        <w:footnoteReference w:id="234"/>
      </w:r>
    </w:p>
    <w:p w:rsidR="00C01E57" w:rsidRPr="00C01E57" w:rsidRDefault="00C01E57" w:rsidP="009370EA">
      <w:pPr>
        <w:spacing w:line="360" w:lineRule="auto"/>
        <w:jc w:val="both"/>
      </w:pPr>
      <w:r w:rsidRPr="00C01E57">
        <w:lastRenderedPageBreak/>
        <w:t xml:space="preserve">However, for the earlier Apostolic thinkers, this was about much more than the interpretation of one verse. Rather, this was a question about the very nature of </w:t>
      </w:r>
      <w:r w:rsidR="00674021">
        <w:t>BHS</w:t>
      </w:r>
      <w:r w:rsidRPr="00C01E57">
        <w:t>.</w:t>
      </w:r>
    </w:p>
    <w:p w:rsidR="00C01E57" w:rsidRPr="00C01E57" w:rsidRDefault="00C01E57" w:rsidP="009370EA">
      <w:pPr>
        <w:spacing w:line="360" w:lineRule="auto"/>
        <w:jc w:val="both"/>
      </w:pPr>
      <w:r w:rsidRPr="00C01E57">
        <w:t>In recent years, Pentecostal theologians and biblical scholars have begun to move beyond the questions of subsequence and initial physical evidence to look at the very nature of the Pentecostal gift itself.</w:t>
      </w:r>
      <w:r w:rsidRPr="00C01E57">
        <w:rPr>
          <w:vertAlign w:val="superscript"/>
        </w:rPr>
        <w:footnoteReference w:id="235"/>
      </w:r>
      <w:r w:rsidRPr="00C01E57">
        <w:t xml:space="preserve"> While older Pentecostal writers </w:t>
      </w:r>
      <w:r w:rsidR="00AC2A2F">
        <w:t xml:space="preserve">(as we have seen with Pearlman, Riggs and Horton, above) </w:t>
      </w:r>
      <w:r w:rsidRPr="00C01E57">
        <w:t>would have taken the gift to be ‘the Spirit Himself’</w:t>
      </w:r>
      <w:r w:rsidR="00A85274" w:rsidRPr="00C01E57">
        <w:t>,</w:t>
      </w:r>
      <w:r w:rsidRPr="00C01E57">
        <w:rPr>
          <w:vertAlign w:val="superscript"/>
        </w:rPr>
        <w:footnoteReference w:id="236"/>
      </w:r>
      <w:r w:rsidRPr="00C01E57">
        <w:t xml:space="preserve"> more recent Pentecostal scholars have taken a different view. Roger Stronstad and Robert Menzies have both argued strongly that the Pentecostal gift of the Spirit, rather than being the Spirit himself, is a prophetic anointing for service.</w:t>
      </w:r>
      <w:r w:rsidRPr="00C01E57">
        <w:rPr>
          <w:vertAlign w:val="superscript"/>
        </w:rPr>
        <w:footnoteReference w:id="237"/>
      </w:r>
      <w:r w:rsidRPr="00C01E57">
        <w:t xml:space="preserve"> Menzies thus refers to </w:t>
      </w:r>
      <w:r w:rsidR="00674021">
        <w:t xml:space="preserve">BHS </w:t>
      </w:r>
      <w:r w:rsidRPr="00C01E57">
        <w:t>as ‘a prophetic endowment which enables its recipient to fulfil a divinely ordained task.’</w:t>
      </w:r>
      <w:r w:rsidRPr="00C01E57">
        <w:rPr>
          <w:vertAlign w:val="superscript"/>
        </w:rPr>
        <w:footnoteReference w:id="238"/>
      </w:r>
      <w:r w:rsidRPr="00C01E57">
        <w:t xml:space="preserve"> </w:t>
      </w:r>
      <w:r w:rsidR="00A85274">
        <w:t>This</w:t>
      </w:r>
      <w:r w:rsidRPr="00C01E57">
        <w:t xml:space="preserve"> approach has been helpful to Pentecostal polemical theology in assisting the arguments for subsequence and initial physical evidence, while keeping the doctrine of </w:t>
      </w:r>
      <w:r w:rsidR="000A1EF5">
        <w:t>BHS</w:t>
      </w:r>
      <w:r w:rsidRPr="00C01E57">
        <w:t xml:space="preserve"> well clear of any soteriological overtones. However, </w:t>
      </w:r>
      <w:r w:rsidR="005A57F4">
        <w:t>it</w:t>
      </w:r>
      <w:r w:rsidRPr="00C01E57">
        <w:t xml:space="preserve"> has been of more appeal to Pentecostal New Testament scholars than to systematic theologians; as Menzies himself admits, the task remains for theologians to synthesize Pauline, Lukan and primitive church pneumatologies.</w:t>
      </w:r>
      <w:r w:rsidRPr="00C01E57">
        <w:rPr>
          <w:vertAlign w:val="superscript"/>
        </w:rPr>
        <w:footnoteReference w:id="239"/>
      </w:r>
      <w:r w:rsidRPr="00C01E57">
        <w:t xml:space="preserve"> </w:t>
      </w:r>
    </w:p>
    <w:p w:rsidR="00C01E57" w:rsidRPr="00C01E57" w:rsidRDefault="00C01E57" w:rsidP="009370EA">
      <w:pPr>
        <w:spacing w:line="360" w:lineRule="auto"/>
        <w:jc w:val="both"/>
      </w:pPr>
      <w:r w:rsidRPr="00C01E57">
        <w:t>Pentecostal theologians have tended not to be satisfied with Stronstad and Menzies’ narrow limitation of Spirit-baptism. Chan argues that ‘a concept of Spirit baptism narrowly focused on “enduement of power” and “bestowal of gifts” … is inadequate.’</w:t>
      </w:r>
      <w:r w:rsidRPr="00C01E57">
        <w:rPr>
          <w:vertAlign w:val="superscript"/>
        </w:rPr>
        <w:footnoteReference w:id="240"/>
      </w:r>
      <w:r w:rsidRPr="00C01E57">
        <w:t xml:space="preserve"> Rather, he sees ‘the gift of the Spirit’ as ‘his coming to the Church in his own person’.</w:t>
      </w:r>
      <w:r w:rsidRPr="00C01E57">
        <w:rPr>
          <w:vertAlign w:val="superscript"/>
        </w:rPr>
        <w:footnoteReference w:id="241"/>
      </w:r>
      <w:r w:rsidRPr="00C01E57">
        <w:t xml:space="preserve"> The difference between Chan’s view and ‘the Spirit himself’ view of many early Pentecostals lies to a large extent in its ecclesial dimension. Yet such an ecclesial dimension to the gift of the Spirit himself was not completely absent from early Pentecostalism, for it was the default view to be found among the early Apostolics.</w:t>
      </w:r>
      <w:r w:rsidRPr="00C01E57">
        <w:rPr>
          <w:vertAlign w:val="superscript"/>
        </w:rPr>
        <w:footnoteReference w:id="242"/>
      </w:r>
      <w:r w:rsidRPr="00C01E57">
        <w:t xml:space="preserve"> In </w:t>
      </w:r>
      <w:r w:rsidRPr="00C01E57">
        <w:lastRenderedPageBreak/>
        <w:t xml:space="preserve">fact, in many early Apostolic writings it is the ecclesial dimension of Spirit baptism which is primary. Thus J.D. Brownlie writes, </w:t>
      </w:r>
    </w:p>
    <w:p w:rsidR="00C01E57" w:rsidRPr="00C01E57" w:rsidRDefault="00C01E57" w:rsidP="009370EA">
      <w:pPr>
        <w:spacing w:line="360" w:lineRule="auto"/>
        <w:ind w:left="720" w:right="720"/>
        <w:jc w:val="both"/>
        <w:rPr>
          <w:sz w:val="20"/>
        </w:rPr>
      </w:pPr>
      <w:r w:rsidRPr="00C01E57">
        <w:rPr>
          <w:sz w:val="20"/>
        </w:rPr>
        <w:t>The Lord Jesus had a purpose in thus baptizing with the Holy Ghost; He desired to gather out for Himself a people, to be His Church, His Body, which He would possess and indwell and transform into His character and likeness.</w:t>
      </w:r>
      <w:r w:rsidRPr="00C01E57">
        <w:rPr>
          <w:sz w:val="20"/>
          <w:vertAlign w:val="superscript"/>
        </w:rPr>
        <w:footnoteReference w:id="243"/>
      </w:r>
      <w:r w:rsidRPr="00C01E57">
        <w:rPr>
          <w:sz w:val="20"/>
        </w:rPr>
        <w:t xml:space="preserve"> </w:t>
      </w:r>
    </w:p>
    <w:p w:rsidR="00C01E57" w:rsidRPr="00C01E57" w:rsidRDefault="00C01E57" w:rsidP="009370EA">
      <w:pPr>
        <w:spacing w:line="360" w:lineRule="auto"/>
        <w:jc w:val="both"/>
      </w:pPr>
      <w:r w:rsidRPr="00C01E57">
        <w:t>Similarly Turnbull writes that:</w:t>
      </w:r>
    </w:p>
    <w:p w:rsidR="00C01E57" w:rsidRPr="00C01E57" w:rsidRDefault="00C01E57" w:rsidP="009370EA">
      <w:pPr>
        <w:spacing w:line="360" w:lineRule="auto"/>
        <w:ind w:left="720" w:right="720"/>
        <w:jc w:val="both"/>
        <w:rPr>
          <w:sz w:val="20"/>
        </w:rPr>
      </w:pPr>
      <w:r w:rsidRPr="00C01E57">
        <w:rPr>
          <w:sz w:val="20"/>
        </w:rPr>
        <w:t>This experience brings power to witness, power to manifest the gifts of the Holy Spirit, but still more we are by it made members of the Body of Christ. Many Christians consider that the outpouring of the Holy Spirit was given to the Apostles an</w:t>
      </w:r>
      <w:r w:rsidR="005055CD">
        <w:rPr>
          <w:sz w:val="20"/>
        </w:rPr>
        <w:t>d members of the Church to give</w:t>
      </w:r>
      <w:r w:rsidRPr="00C01E57">
        <w:rPr>
          <w:sz w:val="20"/>
        </w:rPr>
        <w:t xml:space="preserve"> them power to heal the sick, speak with tongues and prophecy. But that was only a part of the blessings that resulted after these disciples were baptised with the Holy Spirit. The descent of the Spirit of God on the day of Pentecost baptised the 120 followers of Jesus Christ into one mystical Body.</w:t>
      </w:r>
      <w:r w:rsidRPr="00C01E57">
        <w:rPr>
          <w:sz w:val="20"/>
          <w:vertAlign w:val="superscript"/>
        </w:rPr>
        <w:footnoteReference w:id="244"/>
      </w:r>
    </w:p>
    <w:p w:rsidR="00C01E57" w:rsidRPr="00C01E57" w:rsidRDefault="00C01E57" w:rsidP="009370EA">
      <w:pPr>
        <w:spacing w:line="360" w:lineRule="auto"/>
        <w:jc w:val="both"/>
      </w:pPr>
      <w:r w:rsidRPr="00C01E57">
        <w:t>Brownlie, Turnbull and other Apostolic writers would be in agreement with Chan’s assessment that the ‘primary focus of Spirit-baptism is to actualize our communal life or our fellowship in Christ.’</w:t>
      </w:r>
      <w:r w:rsidRPr="00C01E57">
        <w:rPr>
          <w:vertAlign w:val="superscript"/>
        </w:rPr>
        <w:footnoteReference w:id="245"/>
      </w:r>
    </w:p>
    <w:p w:rsidR="00C01E57" w:rsidRPr="00C01E57" w:rsidRDefault="00C01E57" w:rsidP="009370EA">
      <w:pPr>
        <w:spacing w:line="360" w:lineRule="auto"/>
        <w:jc w:val="both"/>
      </w:pPr>
      <w:r w:rsidRPr="00C01E57">
        <w:t xml:space="preserve">Yet, this draws us back to the role of </w:t>
      </w:r>
      <w:r w:rsidR="006C1995">
        <w:t>BHS</w:t>
      </w:r>
      <w:r w:rsidRPr="00C01E57">
        <w:t xml:space="preserve"> in membership of the Body of Christ and the older interpretations of 1 Corinthians 12:13. It cannot be denied that the older Apostolic interpretation of the verse has many difficulties. Yet, so too do alternative Pentecostal interpretations. </w:t>
      </w:r>
    </w:p>
    <w:p w:rsidR="00C01E57" w:rsidRPr="00C01E57" w:rsidRDefault="00C01E57" w:rsidP="009370EA">
      <w:pPr>
        <w:spacing w:line="360" w:lineRule="auto"/>
        <w:jc w:val="both"/>
      </w:pPr>
      <w:r w:rsidRPr="00C01E57">
        <w:t>This is ‘the one passage in Paul which speaks explicitly of baptism in the Spirit’</w:t>
      </w:r>
      <w:r w:rsidRPr="00C01E57">
        <w:rPr>
          <w:vertAlign w:val="superscript"/>
        </w:rPr>
        <w:footnoteReference w:id="246"/>
      </w:r>
      <w:r w:rsidRPr="00C01E57">
        <w:t xml:space="preserve"> and the verse has often been considered the last word in the anti-Pentecostal argument with regard to the nature of Spir</w:t>
      </w:r>
      <w:r w:rsidR="00A25AA0">
        <w:t>i</w:t>
      </w:r>
      <w:r w:rsidRPr="00C01E57">
        <w:t>t baptism.</w:t>
      </w:r>
      <w:r w:rsidRPr="00C01E57">
        <w:rPr>
          <w:vertAlign w:val="superscript"/>
        </w:rPr>
        <w:footnoteReference w:id="247"/>
      </w:r>
      <w:r w:rsidRPr="00C01E57">
        <w:t xml:space="preserve">  American Pentecostals have argued that this passage does not refer to baptism </w:t>
      </w:r>
      <w:r w:rsidRPr="00C01E57">
        <w:rPr>
          <w:i/>
          <w:iCs/>
        </w:rPr>
        <w:t>in</w:t>
      </w:r>
      <w:r w:rsidRPr="00C01E57">
        <w:t xml:space="preserve"> the Holy Spirit at all, but rather to another baptism </w:t>
      </w:r>
      <w:r w:rsidRPr="00C01E57">
        <w:rPr>
          <w:i/>
          <w:iCs/>
        </w:rPr>
        <w:t>by</w:t>
      </w:r>
      <w:r w:rsidRPr="00C01E57">
        <w:t xml:space="preserve"> the Spirit, into the Body of </w:t>
      </w:r>
      <w:r w:rsidRPr="00C01E57">
        <w:lastRenderedPageBreak/>
        <w:t>Christ.</w:t>
      </w:r>
      <w:r w:rsidRPr="00C01E57">
        <w:rPr>
          <w:vertAlign w:val="superscript"/>
        </w:rPr>
        <w:footnoteReference w:id="248"/>
      </w:r>
      <w:r w:rsidRPr="00C01E57">
        <w:t xml:space="preserve">  James Dunn points out the tenuous nature of translating </w:t>
      </w:r>
      <w:r w:rsidRPr="00C01E57">
        <w:rPr>
          <w:i/>
          <w:iCs/>
        </w:rPr>
        <w:t>εν</w:t>
      </w:r>
      <w:r w:rsidRPr="00C01E57">
        <w:t xml:space="preserve"> as </w:t>
      </w:r>
      <w:r w:rsidRPr="00C01E57">
        <w:rPr>
          <w:i/>
          <w:iCs/>
        </w:rPr>
        <w:t>by</w:t>
      </w:r>
      <w:r w:rsidRPr="00C01E57">
        <w:t xml:space="preserve"> here</w:t>
      </w:r>
      <w:r w:rsidRPr="00C01E57">
        <w:rPr>
          <w:vertAlign w:val="superscript"/>
        </w:rPr>
        <w:footnoteReference w:id="249"/>
      </w:r>
      <w:r w:rsidRPr="00C01E57">
        <w:t>, thus highlighting the dubious nature of the American Pentecostal view.</w:t>
      </w:r>
    </w:p>
    <w:p w:rsidR="00C01E57" w:rsidRPr="00C01E57" w:rsidRDefault="00C01E57" w:rsidP="009370EA">
      <w:pPr>
        <w:spacing w:line="360" w:lineRule="auto"/>
        <w:jc w:val="both"/>
      </w:pPr>
      <w:r w:rsidRPr="00C01E57">
        <w:t xml:space="preserve">David Petts suggests a different Pentecostal understanding of the verse, focusing on the meaning of </w:t>
      </w:r>
      <w:r w:rsidRPr="00C01E57">
        <w:rPr>
          <w:i/>
          <w:iCs/>
        </w:rPr>
        <w:t>εις</w:t>
      </w:r>
      <w:r w:rsidRPr="00C01E57">
        <w:t xml:space="preserve">, rather than </w:t>
      </w:r>
      <w:r w:rsidRPr="00C01E57">
        <w:rPr>
          <w:i/>
          <w:iCs/>
        </w:rPr>
        <w:t>εν</w:t>
      </w:r>
      <w:r w:rsidRPr="00C01E57">
        <w:t xml:space="preserve">.  He compares the usage of </w:t>
      </w:r>
      <w:r w:rsidRPr="00C01E57">
        <w:rPr>
          <w:i/>
          <w:iCs/>
        </w:rPr>
        <w:t>εις</w:t>
      </w:r>
      <w:r w:rsidRPr="00C01E57">
        <w:t xml:space="preserve"> here to that in Matthew 3:11 where, he argues, ‘</w:t>
      </w:r>
      <w:r w:rsidRPr="00C01E57">
        <w:rPr>
          <w:i/>
          <w:iCs/>
        </w:rPr>
        <w:t>εις</w:t>
      </w:r>
      <w:r w:rsidRPr="00C01E57">
        <w:t xml:space="preserve"> does not carry the force of ‘into’, for repentance was required before John would baptise’</w:t>
      </w:r>
      <w:r w:rsidRPr="00C01E57">
        <w:rPr>
          <w:vertAlign w:val="superscript"/>
        </w:rPr>
        <w:footnoteReference w:id="250"/>
      </w:r>
      <w:r w:rsidRPr="00C01E57">
        <w:t xml:space="preserve"> and proposes that the better translation would be </w:t>
      </w:r>
      <w:r w:rsidRPr="00C01E57">
        <w:rPr>
          <w:i/>
          <w:iCs/>
        </w:rPr>
        <w:t>for</w:t>
      </w:r>
      <w:r w:rsidRPr="00C01E57">
        <w:t xml:space="preserve"> (in the sense of </w:t>
      </w:r>
      <w:r w:rsidRPr="00C01E57">
        <w:rPr>
          <w:i/>
          <w:iCs/>
        </w:rPr>
        <w:t>for the benefit of</w:t>
      </w:r>
      <w:r w:rsidRPr="00C01E57">
        <w:t>).</w:t>
      </w:r>
      <w:r w:rsidRPr="00C01E57">
        <w:rPr>
          <w:vertAlign w:val="superscript"/>
        </w:rPr>
        <w:footnoteReference w:id="251"/>
      </w:r>
      <w:r w:rsidRPr="00C01E57">
        <w:t xml:space="preserve">  Yet in an earlier work Petts admits that such ‘a comparison of Paul’s use of the preposition in this context with that of Matthew makes for dubious exegesis.’</w:t>
      </w:r>
      <w:r w:rsidRPr="00C01E57">
        <w:rPr>
          <w:vertAlign w:val="superscript"/>
        </w:rPr>
        <w:footnoteReference w:id="252"/>
      </w:r>
      <w:r w:rsidRPr="00C01E57">
        <w:t xml:space="preserve">  Thus Dunn’s arguments concerning Pauline usage are more convincing.</w:t>
      </w:r>
      <w:r w:rsidRPr="00C01E57">
        <w:rPr>
          <w:vertAlign w:val="superscript"/>
        </w:rPr>
        <w:footnoteReference w:id="253"/>
      </w:r>
    </w:p>
    <w:p w:rsidR="00C01E57" w:rsidRPr="00C01E57" w:rsidRDefault="00C01E57" w:rsidP="009370EA">
      <w:pPr>
        <w:spacing w:line="360" w:lineRule="auto"/>
        <w:jc w:val="both"/>
      </w:pPr>
      <w:r w:rsidRPr="00C01E57">
        <w:t>Dunn’s understanding of the verse proves, for him,</w:t>
      </w:r>
      <w:r w:rsidR="00264DEF">
        <w:t xml:space="preserve"> </w:t>
      </w:r>
      <w:r w:rsidRPr="00C01E57">
        <w:t>that Spirit-</w:t>
      </w:r>
      <w:r w:rsidR="0080253A">
        <w:t>b</w:t>
      </w:r>
      <w:r w:rsidRPr="00C01E57">
        <w:t>aptism is to be equated with regeneration, but, as Pawson points out, this is not so.  Although he agrees with Dunn’s interpretation of this verse</w:t>
      </w:r>
      <w:r w:rsidRPr="00C01E57">
        <w:rPr>
          <w:vertAlign w:val="superscript"/>
        </w:rPr>
        <w:footnoteReference w:id="254"/>
      </w:r>
      <w:r w:rsidRPr="00C01E57">
        <w:t>, Pawson does not equate Spirit-Baptism with regeneration</w:t>
      </w:r>
      <w:r w:rsidRPr="00C01E57">
        <w:rPr>
          <w:vertAlign w:val="superscript"/>
        </w:rPr>
        <w:footnoteReference w:id="255"/>
      </w:r>
      <w:r w:rsidRPr="00C01E57">
        <w:t xml:space="preserve">.  The verse does not speak of regeneration, nor does its context.  </w:t>
      </w:r>
    </w:p>
    <w:p w:rsidR="00C01E57" w:rsidRPr="00C01E57" w:rsidRDefault="00C01E57" w:rsidP="009370EA">
      <w:pPr>
        <w:spacing w:line="360" w:lineRule="auto"/>
        <w:jc w:val="both"/>
      </w:pPr>
      <w:r w:rsidRPr="00C01E57">
        <w:t>Thus, exegetically, it would appear that the older Apostolic interpretation of the verse had a stronger basis. The problems it left were theological. While alternative Pentecostal interpretations of the verse cleared up theological difficulties, they had to first leave unanswered exegetical difficulties in understanding the verse. Methodologically, this is a less sound approach, particularly in a tradition which places a high value on Biblical authority.</w:t>
      </w:r>
      <w:r w:rsidRPr="00C01E57">
        <w:rPr>
          <w:vertAlign w:val="superscript"/>
        </w:rPr>
        <w:footnoteReference w:id="256"/>
      </w:r>
    </w:p>
    <w:p w:rsidR="00C01E57" w:rsidRPr="00C01E57" w:rsidRDefault="00C01E57" w:rsidP="009370EA">
      <w:pPr>
        <w:spacing w:line="360" w:lineRule="auto"/>
        <w:jc w:val="both"/>
      </w:pPr>
      <w:r w:rsidRPr="00C01E57">
        <w:t xml:space="preserve">So, if one is to stand on the exegetically more solid ground regarding 1 Corinthians 12:13, then how can the theological difficulties be overcome? First, the theological difficulties should be noted. If one holds both that 1 Corinthians 12:13 teaches that membership of the Body of Christ comes through </w:t>
      </w:r>
      <w:r w:rsidR="00264DEF">
        <w:t>BHS</w:t>
      </w:r>
      <w:r w:rsidRPr="00C01E57">
        <w:t xml:space="preserve">, and that </w:t>
      </w:r>
      <w:r w:rsidR="00264DEF">
        <w:t>BHS</w:t>
      </w:r>
      <w:r w:rsidRPr="00C01E57">
        <w:t xml:space="preserve"> is an event distinct and chronologically separable from </w:t>
      </w:r>
      <w:r w:rsidRPr="00C01E57">
        <w:lastRenderedPageBreak/>
        <w:t>conversion, then it would appear to leave a problem of two types of Christians: those in the Body of Christ and those who aren’t. This interpretive difficulty was recognised by the early Apostolics. D.P. Williams approached this difficulty by contrasting the Kingdom and the Body. For Williams, believers are ‘born into the Kingdom and baptized into the Body.’</w:t>
      </w:r>
      <w:r w:rsidRPr="00C01E57">
        <w:rPr>
          <w:vertAlign w:val="superscript"/>
        </w:rPr>
        <w:footnoteReference w:id="257"/>
      </w:r>
      <w:r w:rsidRPr="00C01E57">
        <w:t xml:space="preserve"> </w:t>
      </w:r>
      <w:r w:rsidR="00332D2D">
        <w:t>T</w:t>
      </w:r>
      <w:r w:rsidRPr="00C01E57">
        <w:t>his</w:t>
      </w:r>
      <w:r w:rsidR="00AF1C74">
        <w:t xml:space="preserve"> then</w:t>
      </w:r>
      <w:r w:rsidRPr="00C01E57">
        <w:t xml:space="preserve"> allowed clarity that there was no soteriological distinction between those who were baptised in the Spirit and those who weren’t. The problem remained though that it de-churched many Christians throughout history and around the world.</w:t>
      </w:r>
      <w:r w:rsidR="00332D2D">
        <w:rPr>
          <w:rStyle w:val="FootnoteReference"/>
        </w:rPr>
        <w:footnoteReference w:id="258"/>
      </w:r>
    </w:p>
    <w:p w:rsidR="00D36447" w:rsidRDefault="00D36447" w:rsidP="009370EA">
      <w:pPr>
        <w:spacing w:line="360" w:lineRule="auto"/>
        <w:jc w:val="both"/>
      </w:pPr>
    </w:p>
    <w:p w:rsidR="00D36447" w:rsidRPr="00D36447" w:rsidRDefault="009F2554" w:rsidP="009370EA">
      <w:pPr>
        <w:pStyle w:val="PhDSubheading"/>
        <w:spacing w:line="360" w:lineRule="auto"/>
      </w:pPr>
      <w:r>
        <w:t xml:space="preserve">2.1.5 </w:t>
      </w:r>
      <w:r w:rsidR="00D36447" w:rsidRPr="00D36447">
        <w:t>The Trinitarian Nature of Spirit Baptism in Early Apostolic Thought</w:t>
      </w:r>
    </w:p>
    <w:p w:rsidR="00D36447" w:rsidRPr="008602AA" w:rsidRDefault="00D36447" w:rsidP="009370EA">
      <w:pPr>
        <w:spacing w:line="360" w:lineRule="auto"/>
        <w:jc w:val="both"/>
      </w:pPr>
      <w:r w:rsidRPr="008602AA">
        <w:t xml:space="preserve">In our examination of the writings of the early Apostolics on </w:t>
      </w:r>
      <w:r w:rsidR="00B57686">
        <w:t>BHS</w:t>
      </w:r>
      <w:r w:rsidRPr="008602AA">
        <w:t xml:space="preserve"> we have seen that a recurring theme is the Trinitarian nature of the baptism. It is not simply that there is a Trinitarian </w:t>
      </w:r>
      <w:r w:rsidRPr="007A3D58">
        <w:rPr>
          <w:i/>
        </w:rPr>
        <w:t>taxis</w:t>
      </w:r>
      <w:r w:rsidRPr="008602AA">
        <w:t xml:space="preserve"> in the outpouring of this baptism, with the gift as the Holy Spirit </w:t>
      </w:r>
      <w:r w:rsidR="008C7042">
        <w:t>h</w:t>
      </w:r>
      <w:r w:rsidRPr="008602AA">
        <w:t>imself who is poured out by the Son, from the Father, important as this is.</w:t>
      </w:r>
      <w:r w:rsidRPr="008602AA">
        <w:rPr>
          <w:rStyle w:val="FootnoteReference"/>
        </w:rPr>
        <w:footnoteReference w:id="259"/>
      </w:r>
      <w:r w:rsidRPr="008602AA">
        <w:t xml:space="preserve"> Early on, D.P. Williams developed this Trinitarian taxis further, pointing to Christ and </w:t>
      </w:r>
      <w:r w:rsidR="008C7042">
        <w:t>h</w:t>
      </w:r>
      <w:r w:rsidRPr="008602AA">
        <w:t>is work of propitiation as the meritorious cause of the baptism in the Spirit and the great love of the Father as the efficient cause.</w:t>
      </w:r>
      <w:r w:rsidRPr="008602AA">
        <w:rPr>
          <w:rStyle w:val="FootnoteReference"/>
        </w:rPr>
        <w:footnoteReference w:id="260"/>
      </w:r>
      <w:r w:rsidRPr="008602AA">
        <w:t xml:space="preserve"> This then would bring Williams’ doctrine of the baptism of the Holy Spirit into his doctrine of the eternal Triune counsel.</w:t>
      </w:r>
      <w:r w:rsidRPr="008602AA">
        <w:rPr>
          <w:rStyle w:val="FootnoteReference"/>
        </w:rPr>
        <w:footnoteReference w:id="261"/>
      </w:r>
    </w:p>
    <w:p w:rsidR="00D36447" w:rsidRPr="008602AA" w:rsidRDefault="00D36447" w:rsidP="009370EA">
      <w:pPr>
        <w:spacing w:line="360" w:lineRule="auto"/>
        <w:jc w:val="both"/>
      </w:pPr>
      <w:r w:rsidRPr="008602AA">
        <w:t xml:space="preserve">Yet, Williams’ Trinitarian conception of </w:t>
      </w:r>
      <w:r w:rsidR="007A3D58">
        <w:t>BHS</w:t>
      </w:r>
      <w:r w:rsidRPr="008602AA">
        <w:t xml:space="preserve"> goes even further than this, for he does not only see the Trinity behind the baptism of the Spirit, but also in this baptism.  For Williams, </w:t>
      </w:r>
      <w:r w:rsidR="007A3D58">
        <w:t>BHS</w:t>
      </w:r>
      <w:r w:rsidRPr="008602AA">
        <w:t xml:space="preserve"> is an experiential assurance of the love of God the Father and this assurance is tied to our sonship in Christ the Son. This assurance then of the Father’s love toward us who are sons in the Son is brought about by the outpouring of the Spirit into our hearts.</w:t>
      </w:r>
      <w:r w:rsidRPr="008602AA">
        <w:rPr>
          <w:rStyle w:val="FootnoteReference"/>
        </w:rPr>
        <w:footnoteReference w:id="262"/>
      </w:r>
      <w:r w:rsidRPr="008602AA">
        <w:t xml:space="preserve"> This then is an experiential participation in the love and fellowship of the Triune God brought about through </w:t>
      </w:r>
      <w:r w:rsidR="007A3D58">
        <w:t>BHS</w:t>
      </w:r>
      <w:r w:rsidRPr="008602AA">
        <w:t xml:space="preserve">. As such, for Williams, the baptism of the Spirit is an immersion in the Trinity: an immersion into experiential participation in the Trinitarian communion of love. </w:t>
      </w:r>
    </w:p>
    <w:p w:rsidR="00D36447" w:rsidRPr="008602AA" w:rsidRDefault="00D36447" w:rsidP="009370EA">
      <w:pPr>
        <w:spacing w:line="360" w:lineRule="auto"/>
        <w:jc w:val="both"/>
      </w:pPr>
      <w:r w:rsidRPr="008602AA">
        <w:lastRenderedPageBreak/>
        <w:t xml:space="preserve">Williams is not alone in taking this view. Frank Hodges viewed </w:t>
      </w:r>
      <w:r w:rsidR="005B457E">
        <w:t>BHS</w:t>
      </w:r>
      <w:r w:rsidRPr="008602AA">
        <w:t xml:space="preserve"> as a baptism of love which allows us to enter ‘into the very heart of God.’</w:t>
      </w:r>
      <w:r w:rsidRPr="008602AA">
        <w:rPr>
          <w:rStyle w:val="FootnoteReference"/>
        </w:rPr>
        <w:footnoteReference w:id="263"/>
      </w:r>
      <w:r w:rsidRPr="008602AA">
        <w:t xml:space="preserve"> This love is set out in Trinitarian terms and is explicitly connected to the very essence of God.</w:t>
      </w:r>
      <w:r w:rsidRPr="008602AA">
        <w:rPr>
          <w:rStyle w:val="FootnoteReference"/>
        </w:rPr>
        <w:footnoteReference w:id="264"/>
      </w:r>
      <w:r w:rsidRPr="008602AA">
        <w:t xml:space="preserve"> Thus Hodges, like Williams, views the baptism of the Spirit as involving an experiential participation in the loving fellowship of the Triune God.</w:t>
      </w:r>
    </w:p>
    <w:p w:rsidR="00D36447" w:rsidRDefault="00D36447" w:rsidP="009370EA">
      <w:pPr>
        <w:spacing w:line="360" w:lineRule="auto"/>
        <w:jc w:val="both"/>
      </w:pPr>
      <w:r w:rsidRPr="008602AA">
        <w:t>W.R. Thomas saw the baptism of the Spirit as being filled with the fullness of the Triune God, and thus as uniting the church to the Trinity and resulting in constant communion with the Father, Son and Spirit.</w:t>
      </w:r>
      <w:r w:rsidRPr="008602AA">
        <w:rPr>
          <w:rStyle w:val="FootnoteReference"/>
        </w:rPr>
        <w:footnoteReference w:id="265"/>
      </w:r>
      <w:r w:rsidRPr="008602AA">
        <w:t xml:space="preserve"> This then, as in Williams’ thought, means a participation in the Son’s relationship with the Father, through the Spirit.</w:t>
      </w:r>
      <w:r>
        <w:rPr>
          <w:rStyle w:val="FootnoteReference"/>
        </w:rPr>
        <w:footnoteReference w:id="266"/>
      </w:r>
      <w:r w:rsidRPr="008602AA">
        <w:t xml:space="preserve"> </w:t>
      </w:r>
    </w:p>
    <w:p w:rsidR="00D36447" w:rsidRDefault="00D36447" w:rsidP="009370EA">
      <w:pPr>
        <w:spacing w:line="360" w:lineRule="auto"/>
        <w:jc w:val="both"/>
      </w:pPr>
      <w:r>
        <w:t xml:space="preserve">From this it is clear that the doctrine of </w:t>
      </w:r>
      <w:r w:rsidR="005B457E">
        <w:t>BHS</w:t>
      </w:r>
      <w:r>
        <w:t xml:space="preserve"> shared by D.P. Williams and other significant thinkers among the early British Apostolics is to be understood in Trinitarian terms. In fact, this emerges as a significant difference between Apostolic thought and </w:t>
      </w:r>
      <w:r w:rsidR="00AE6626">
        <w:t>that</w:t>
      </w:r>
      <w:r>
        <w:t xml:space="preserve"> of the representative early classical Pentecostal writers (Pearlman, Riggs and Horton). It is not sufficient to think of </w:t>
      </w:r>
      <w:r w:rsidR="005B457E">
        <w:t>BHS</w:t>
      </w:r>
      <w:r>
        <w:t xml:space="preserve"> only in terms of the gift of the Spirit himself given by the Son, but rather it should be conceived in fully Trinitarian terms, not only in its giving, but also in its origin (efficient and meritorious causes along with its relation to the eternal Triune counsel) and in its content and results. The baptism in the Holy Spirit is an immersion in the Trinity.</w:t>
      </w:r>
    </w:p>
    <w:p w:rsidR="00D36447" w:rsidRDefault="00D36447" w:rsidP="009370EA">
      <w:pPr>
        <w:spacing w:line="360" w:lineRule="auto"/>
        <w:jc w:val="both"/>
      </w:pPr>
    </w:p>
    <w:p w:rsidR="00D36447" w:rsidRPr="00D36447" w:rsidRDefault="009F2554" w:rsidP="009370EA">
      <w:pPr>
        <w:pStyle w:val="PhDSubheading"/>
        <w:spacing w:line="360" w:lineRule="auto"/>
      </w:pPr>
      <w:r>
        <w:t xml:space="preserve">2.1.5.1 </w:t>
      </w:r>
      <w:r w:rsidR="00D36447" w:rsidRPr="00D36447">
        <w:t>Spirit Baptism and Theosis</w:t>
      </w:r>
    </w:p>
    <w:p w:rsidR="00D36447" w:rsidRDefault="00D36447" w:rsidP="009370EA">
      <w:pPr>
        <w:spacing w:line="360" w:lineRule="auto"/>
        <w:jc w:val="both"/>
      </w:pPr>
      <w:r>
        <w:t xml:space="preserve">This Trinitarian conception of the baptism in the Spirit then leads us further, for the result of such a baptism is characterised as an experiential participation in the intra-Trinitarian love and communion of the Father, Son and Holy Spirit. As we have just seen, this involves a participation in the Son’s own relationship with the Father, through the Spirit. This, then, is a form of sharing in the life of the Trinity, or </w:t>
      </w:r>
      <w:r w:rsidRPr="00E55644">
        <w:t>theosis</w:t>
      </w:r>
      <w:r>
        <w:t xml:space="preserve">. As Donald Fairbairn has argued, drawing particularly on the line of thought from Irenaeus to Athanasius to Cyril of Alexandria, ‘what many (perhaps most) in the early church meant by … </w:t>
      </w:r>
      <w:r w:rsidRPr="00A31326">
        <w:rPr>
          <w:i/>
        </w:rPr>
        <w:t>theōsis</w:t>
      </w:r>
      <w:r>
        <w:t>, or deification, was believers’ sharing in the warm fellowship that has existed from all eternity between the persons of the Trinity.’</w:t>
      </w:r>
      <w:r>
        <w:rPr>
          <w:rStyle w:val="FootnoteReference"/>
        </w:rPr>
        <w:footnoteReference w:id="267"/>
      </w:r>
      <w:r>
        <w:t xml:space="preserve"> From Cyril of Alexandria, Fairbairn defines the primary aspect of </w:t>
      </w:r>
      <w:r w:rsidRPr="00C14CAE">
        <w:t>theosis</w:t>
      </w:r>
      <w:r>
        <w:t xml:space="preserve"> as:</w:t>
      </w:r>
    </w:p>
    <w:p w:rsidR="00D36447" w:rsidRPr="00AE3BDF" w:rsidRDefault="00D36447" w:rsidP="009370EA">
      <w:pPr>
        <w:spacing w:line="360" w:lineRule="auto"/>
        <w:ind w:left="720" w:right="720"/>
        <w:jc w:val="both"/>
        <w:rPr>
          <w:sz w:val="20"/>
        </w:rPr>
      </w:pPr>
      <w:r w:rsidRPr="00AE3BDF">
        <w:rPr>
          <w:sz w:val="20"/>
        </w:rPr>
        <w:lastRenderedPageBreak/>
        <w:t>humanity’s sharing in the warm communion and intimacy that the persons of the Trinity have as a result of their ontological unity. By grace we receive the natural communion (</w:t>
      </w:r>
      <w:r w:rsidRPr="00AE3BDF">
        <w:rPr>
          <w:rFonts w:ascii="TekniaGreek" w:hAnsi="TekniaGreek"/>
          <w:i/>
          <w:sz w:val="20"/>
        </w:rPr>
        <w:t>oijkeiovth</w:t>
      </w:r>
      <w:r w:rsidRPr="00AE3BDF">
        <w:rPr>
          <w:rFonts w:ascii="TekniaGreek" w:hAnsi="TekniaGreek"/>
          <w:i/>
          <w:sz w:val="20"/>
        </w:rPr>
        <w:sym w:font="Symbol" w:char="F056"/>
      </w:r>
      <w:r w:rsidRPr="00AE3BDF">
        <w:rPr>
          <w:rFonts w:ascii="TekniaGreek" w:hAnsi="TekniaGreek"/>
          <w:i/>
          <w:sz w:val="20"/>
        </w:rPr>
        <w:t xml:space="preserve"> fusikhv</w:t>
      </w:r>
      <w:r w:rsidRPr="00AE3BDF">
        <w:rPr>
          <w:sz w:val="20"/>
        </w:rPr>
        <w:t>) of the Godhead because the Logos has brought his own humanity into the fellowship of the Trinity, in order to share this with us as well.</w:t>
      </w:r>
      <w:r w:rsidRPr="00AE3BDF">
        <w:rPr>
          <w:rStyle w:val="FootnoteReference"/>
          <w:sz w:val="20"/>
        </w:rPr>
        <w:footnoteReference w:id="268"/>
      </w:r>
    </w:p>
    <w:p w:rsidR="00D36447" w:rsidRPr="008602AA" w:rsidRDefault="00D36447" w:rsidP="009370EA">
      <w:pPr>
        <w:spacing w:line="360" w:lineRule="auto"/>
        <w:jc w:val="both"/>
      </w:pPr>
      <w:r>
        <w:t>Such a Cyrilline conception of theosis exhibits strong parallels to the Trinitarian understanding of the baptism of the Holy Spirit we have seem among the Apostolics.</w:t>
      </w:r>
      <w:r w:rsidR="00C931FD">
        <w:rPr>
          <w:rStyle w:val="FootnoteReference"/>
        </w:rPr>
        <w:footnoteReference w:id="269"/>
      </w:r>
      <w:r w:rsidR="00B05F0A">
        <w:t xml:space="preserve"> </w:t>
      </w:r>
      <w:r>
        <w:t xml:space="preserve">Such an idea of </w:t>
      </w:r>
      <w:r w:rsidRPr="006336CF">
        <w:t>theosis</w:t>
      </w:r>
      <w:r>
        <w:t xml:space="preserve"> is even suggested in the foundational dogmatic writings, with Williams writing of the great love of the Father bringing us into the experience of sonship through the baptism of the Spirit in the </w:t>
      </w:r>
      <w:r w:rsidRPr="00C93509">
        <w:rPr>
          <w:i/>
        </w:rPr>
        <w:t>Athrawiaethau Sylfeinol</w:t>
      </w:r>
      <w:r>
        <w:t>,</w:t>
      </w:r>
      <w:r>
        <w:rPr>
          <w:rStyle w:val="FootnoteReference"/>
        </w:rPr>
        <w:footnoteReference w:id="270"/>
      </w:r>
      <w:r>
        <w:t xml:space="preserve"> and the brief mention of Spirit baptism resulting in our being ‘lost in God’ in the </w:t>
      </w:r>
      <w:r w:rsidRPr="002D2377">
        <w:rPr>
          <w:i/>
        </w:rPr>
        <w:t>Fundamental Truths</w:t>
      </w:r>
      <w:r>
        <w:t>.</w:t>
      </w:r>
      <w:r>
        <w:rPr>
          <w:rStyle w:val="FootnoteReference"/>
        </w:rPr>
        <w:footnoteReference w:id="271"/>
      </w:r>
    </w:p>
    <w:p w:rsidR="00D36447" w:rsidRDefault="00D36447" w:rsidP="009370EA">
      <w:pPr>
        <w:spacing w:line="360" w:lineRule="auto"/>
        <w:jc w:val="both"/>
      </w:pPr>
    </w:p>
    <w:p w:rsidR="00B53477" w:rsidRPr="00781B62" w:rsidRDefault="009F2554" w:rsidP="009370EA">
      <w:pPr>
        <w:pStyle w:val="PhDSubheading"/>
        <w:spacing w:line="360" w:lineRule="auto"/>
      </w:pPr>
      <w:r>
        <w:t xml:space="preserve">2.2 </w:t>
      </w:r>
      <w:r w:rsidR="00B53477" w:rsidRPr="00781B62">
        <w:t>The Spirit and the Ecclesial Fullness</w:t>
      </w:r>
    </w:p>
    <w:p w:rsidR="00781B62" w:rsidRDefault="00A97C86" w:rsidP="009370EA">
      <w:pPr>
        <w:spacing w:line="360" w:lineRule="auto"/>
        <w:jc w:val="both"/>
      </w:pPr>
      <w:r>
        <w:t>T</w:t>
      </w:r>
      <w:r w:rsidR="00B53477">
        <w:t xml:space="preserve">he Headship of Christ and the ontological reality (as opposed to metaphorical understanding) of the Body of Christ was of great importance to the early Apostolic thinkers, and as a result, Ephesians 1:22-23 played a key role in their ecclesiological thinking.  While this text is significant with regard to both the themes of Headship and Body, it also opens up the further ecclesiological theme of </w:t>
      </w:r>
      <w:r w:rsidR="00B53477" w:rsidRPr="00A2043B">
        <w:t>fullness</w:t>
      </w:r>
      <w:r w:rsidR="00B53477">
        <w:t xml:space="preserve">. This was not lost on early Apostolic writers, </w:t>
      </w:r>
      <w:r w:rsidR="00CA475B">
        <w:t xml:space="preserve">and </w:t>
      </w:r>
      <w:r w:rsidR="00B53477">
        <w:t xml:space="preserve">features as a recurring motif in a considerable amount of their ecclesiological reflection. </w:t>
      </w:r>
      <w:r w:rsidR="00473528">
        <w:t xml:space="preserve"> </w:t>
      </w:r>
      <w:r w:rsidR="00CA475B">
        <w:t>It</w:t>
      </w:r>
      <w:r w:rsidR="00473528">
        <w:t xml:space="preserve"> is also strongly connected with the baptism and work of the Holy Spirit in their thought. Hen</w:t>
      </w:r>
      <w:r>
        <w:t>c</w:t>
      </w:r>
      <w:r w:rsidR="00473528">
        <w:t xml:space="preserve">e, we </w:t>
      </w:r>
      <w:r w:rsidR="00B53477">
        <w:t xml:space="preserve">shall </w:t>
      </w:r>
      <w:r w:rsidR="00473528">
        <w:t xml:space="preserve">now </w:t>
      </w:r>
      <w:r w:rsidR="00B53477">
        <w:t>take an historical look at the development of th</w:t>
      </w:r>
      <w:r w:rsidR="007050C8">
        <w:t>e</w:t>
      </w:r>
      <w:r w:rsidR="00B53477">
        <w:t xml:space="preserve"> theme of fullness through the major writings of a series of influential thinkers within the movement. </w:t>
      </w:r>
    </w:p>
    <w:p w:rsidR="00636EC3" w:rsidRPr="00636EC3" w:rsidRDefault="00636EC3" w:rsidP="009370EA">
      <w:pPr>
        <w:spacing w:line="360" w:lineRule="auto"/>
        <w:jc w:val="both"/>
      </w:pPr>
    </w:p>
    <w:p w:rsidR="00B53477" w:rsidRPr="00D91EC9" w:rsidRDefault="009F2554" w:rsidP="009370EA">
      <w:pPr>
        <w:pStyle w:val="PhDSubheading"/>
        <w:spacing w:line="360" w:lineRule="auto"/>
      </w:pPr>
      <w:r>
        <w:t xml:space="preserve">2.2.1 </w:t>
      </w:r>
      <w:r w:rsidR="00B53477" w:rsidRPr="00D91EC9">
        <w:t>D.P. Williams</w:t>
      </w:r>
    </w:p>
    <w:p w:rsidR="00B53477" w:rsidRDefault="00B53477" w:rsidP="009370EA">
      <w:pPr>
        <w:spacing w:line="360" w:lineRule="auto"/>
        <w:jc w:val="both"/>
      </w:pPr>
      <w:r>
        <w:t xml:space="preserve">Although ecclesiology was a major concern for the Apostolic Church movement, which under his leadership spread its ecclesiological principles rapidly around the world, </w:t>
      </w:r>
      <w:r w:rsidR="009C3EBE">
        <w:t xml:space="preserve">D.P. </w:t>
      </w:r>
      <w:r>
        <w:t xml:space="preserve">Williams never </w:t>
      </w:r>
      <w:r>
        <w:lastRenderedPageBreak/>
        <w:t xml:space="preserve">wrote a major work on ecclesiology. This may have been partly to do with the heavy demands upon his time: </w:t>
      </w:r>
      <w:r w:rsidR="00A97C86">
        <w:t>h</w:t>
      </w:r>
      <w:r>
        <w:t xml:space="preserve">is writings were often timely responses to then current situations. Furthermore, Williams died </w:t>
      </w:r>
      <w:r w:rsidR="009416FF">
        <w:t xml:space="preserve">relatively </w:t>
      </w:r>
      <w:r>
        <w:t>young</w:t>
      </w:r>
      <w:r w:rsidR="009416FF">
        <w:t xml:space="preserve"> (aged 64)</w:t>
      </w:r>
      <w:r>
        <w:t>, and so enjoyed no slowing down of denominational responsibilities to allow him more time for such sustained thought and writing. However, despite the lack of an ecclesiology from his pen, his extant writings are (sometimes surprisingly) filled with ecclesiological insights. As a result, the major source of Williams’ thinking on the theme of fullness is not a work on ecclesiology per se, but rather a book on prophecy.</w:t>
      </w:r>
      <w:r>
        <w:rPr>
          <w:rStyle w:val="FootnoteReference"/>
        </w:rPr>
        <w:footnoteReference w:id="272"/>
      </w:r>
    </w:p>
    <w:p w:rsidR="00B53477" w:rsidRDefault="00B53477" w:rsidP="009370EA">
      <w:pPr>
        <w:spacing w:line="360" w:lineRule="auto"/>
        <w:jc w:val="both"/>
      </w:pPr>
      <w:r>
        <w:t>Williams’ ecclesiology is very much an ecclesiology from above (which is of particular interest given his Congregationalist background with its ecclesiology from below) and this is reflected throughout his work on prophecy. Prophecy, according to Williams, is not a reaching up to God, but a gracious reaching down by God to his people.</w:t>
      </w:r>
      <w:r>
        <w:rPr>
          <w:rStyle w:val="FootnoteReference"/>
        </w:rPr>
        <w:footnoteReference w:id="273"/>
      </w:r>
      <w:r>
        <w:t xml:space="preserve">  This same ‘from above’ approach is applied more widely by Williams to the Church itself as he reflects on the theme of fullness. </w:t>
      </w:r>
    </w:p>
    <w:p w:rsidR="00B53477" w:rsidRDefault="00B53477" w:rsidP="009370EA">
      <w:pPr>
        <w:spacing w:line="360" w:lineRule="auto"/>
        <w:jc w:val="both"/>
      </w:pPr>
      <w:r>
        <w:t>For Williams, the fullness is a divine ‘endowment’ which gives life and structure to the Body of Christ.</w:t>
      </w:r>
      <w:r>
        <w:rPr>
          <w:rStyle w:val="FootnoteReference"/>
        </w:rPr>
        <w:footnoteReference w:id="274"/>
      </w:r>
      <w:r>
        <w:t xml:space="preserve"> Initially, Williams’ discussion of this endowment almost sounds as if it is a substance or a power: it is connected with ‘rites and government’</w:t>
      </w:r>
      <w:r>
        <w:rPr>
          <w:rStyle w:val="FootnoteReference"/>
        </w:rPr>
        <w:footnoteReference w:id="275"/>
      </w:r>
      <w:r>
        <w:t>, truth</w:t>
      </w:r>
      <w:r>
        <w:rPr>
          <w:rStyle w:val="FootnoteReference"/>
        </w:rPr>
        <w:footnoteReference w:id="276"/>
      </w:r>
      <w:r>
        <w:t>, and ‘Divine energy, force and dynamic.’</w:t>
      </w:r>
      <w:r>
        <w:rPr>
          <w:rStyle w:val="FootnoteReference"/>
        </w:rPr>
        <w:footnoteReference w:id="277"/>
      </w:r>
      <w:r>
        <w:t xml:space="preserve"> However, Williams does not allow his readers to remain long in such thoughts, instead clarifying that this endowment is, in fact, ‘the superabundance of the life of Christ’</w:t>
      </w:r>
      <w:r>
        <w:rPr>
          <w:rStyle w:val="FootnoteReference"/>
        </w:rPr>
        <w:footnoteReference w:id="278"/>
      </w:r>
      <w:r>
        <w:t>. Hence, for Williams, the ecclesial fullness is Christ himself filling the Church.</w:t>
      </w:r>
    </w:p>
    <w:p w:rsidR="00B53477" w:rsidRDefault="00B53477" w:rsidP="009370EA">
      <w:pPr>
        <w:spacing w:line="360" w:lineRule="auto"/>
        <w:jc w:val="both"/>
      </w:pPr>
      <w:r>
        <w:t>Yet, that alone is not sufficient for Williams.  He seeks to further clarify that this fullness of Christ in the Body is a Trinitarian reality.  Williams connects the fullness with its manifestation in both gifts and ministries</w:t>
      </w:r>
      <w:r>
        <w:rPr>
          <w:rStyle w:val="FootnoteReference"/>
        </w:rPr>
        <w:footnoteReference w:id="279"/>
      </w:r>
      <w:r>
        <w:t>, and thus looks to the Trinitarian nature of gifts and ministries revealed in 1 Cor. 12:4-6 as an indication of the Trinitarian nature of the fullness of Christ in the Church.</w:t>
      </w:r>
      <w:r>
        <w:rPr>
          <w:rStyle w:val="FootnoteReference"/>
        </w:rPr>
        <w:footnoteReference w:id="280"/>
      </w:r>
      <w:r>
        <w:t xml:space="preserve"> He sees that the Body sharing in the life of Christ means a sharing in the life of the Trinity, and thus argues that the Body partakes of ‘God’s order, rule, unity, love, truth, power, dynamic and jurisdiction reigning in life.’</w:t>
      </w:r>
      <w:r>
        <w:rPr>
          <w:rStyle w:val="FootnoteReference"/>
        </w:rPr>
        <w:footnoteReference w:id="281"/>
      </w:r>
    </w:p>
    <w:p w:rsidR="00B53477" w:rsidRDefault="00B53477" w:rsidP="009370EA">
      <w:pPr>
        <w:spacing w:line="360" w:lineRule="auto"/>
        <w:jc w:val="both"/>
      </w:pPr>
      <w:r>
        <w:lastRenderedPageBreak/>
        <w:t>This point in Williams’ thought bears further notice, as it makes repeated appearances in the writings of other early Apostolic thinkers; Christ is understood to fill the Church with Himself and hence the Church is seen to participate in the life of Christ and therefore in the life and attributes of the Trinity. Such a brief summary, of</w:t>
      </w:r>
      <w:r w:rsidR="0027208D">
        <w:t xml:space="preserve"> course, raises many questions, which </w:t>
      </w:r>
      <w:r>
        <w:t xml:space="preserve">we shall treat in the course of looking at the thought of other Apostolic writers on the matter. Theologically however, these questions and their answers are neither new nor innovative, for this participation in the life of the Trinity strongly resembles the patristic doctrine of </w:t>
      </w:r>
      <w:r w:rsidRPr="008C232B">
        <w:t>theosis</w:t>
      </w:r>
      <w:r>
        <w:t xml:space="preserve"> (although, not developed in the Palamite direction of Eastern Orthodoxy).</w:t>
      </w:r>
    </w:p>
    <w:p w:rsidR="00B53477" w:rsidRDefault="0027208D" w:rsidP="009370EA">
      <w:pPr>
        <w:spacing w:line="360" w:lineRule="auto"/>
        <w:jc w:val="both"/>
      </w:pPr>
      <w:r>
        <w:t>Williams</w:t>
      </w:r>
      <w:r w:rsidR="00B53477">
        <w:t xml:space="preserve"> links this participation in the life of the Trinity with ‘the dynamic rule of the Trinity in the Body.’</w:t>
      </w:r>
      <w:r w:rsidR="00B53477">
        <w:rPr>
          <w:rStyle w:val="FootnoteReference"/>
        </w:rPr>
        <w:footnoteReference w:id="282"/>
      </w:r>
      <w:r w:rsidR="00B53477">
        <w:t xml:space="preserve"> Although Williams writes of the Church’s communion with the Trinity in terms reminiscent of theosis, his ecclesiological thought throughout </w:t>
      </w:r>
      <w:r w:rsidR="00B53477" w:rsidRPr="00D20D57">
        <w:rPr>
          <w:i/>
        </w:rPr>
        <w:t>The Prophetical Ministry</w:t>
      </w:r>
      <w:r w:rsidR="00B53477">
        <w:t xml:space="preserve"> is constantly reined in by more traditional ca</w:t>
      </w:r>
      <w:r w:rsidR="007B17DC">
        <w:t>tegories of Western ecclesiology; h</w:t>
      </w:r>
      <w:r w:rsidR="00B53477">
        <w:t>ence</w:t>
      </w:r>
      <w:r w:rsidR="007B17DC">
        <w:t>,</w:t>
      </w:r>
      <w:r w:rsidR="00B53477">
        <w:t xml:space="preserve"> here his move from participation in the life of the Trinity to the rule of the Trinity. Rule is important for Williams, due to the importance of Church government in Protestant (and particularly in British Protestant, and even more so Non-Conformist) ecclesiological thought. For Williams, Church government is a matter of theology rather than mere polity. The endowment of Christ in fullness to the Church brings with it ‘government from heaven.’</w:t>
      </w:r>
      <w:r w:rsidR="00B53477">
        <w:rPr>
          <w:rStyle w:val="FootnoteReference"/>
        </w:rPr>
        <w:footnoteReference w:id="283"/>
      </w:r>
      <w:r w:rsidR="00B53477">
        <w:t xml:space="preserve"> As the fullness permeates the Body, this will be manifested, at least in part, through Church government.</w:t>
      </w:r>
      <w:r w:rsidR="00B53477">
        <w:rPr>
          <w:rStyle w:val="FootnoteReference"/>
        </w:rPr>
        <w:footnoteReference w:id="284"/>
      </w:r>
    </w:p>
    <w:p w:rsidR="00B53477" w:rsidRDefault="00B53477" w:rsidP="009370EA">
      <w:pPr>
        <w:spacing w:line="360" w:lineRule="auto"/>
        <w:jc w:val="both"/>
      </w:pPr>
      <w:r>
        <w:t>Williams does not see Church government simply in terms of conformance to a biblical model, and hence not simply as a matter of obedience. It is more than that, for he argues that:</w:t>
      </w:r>
    </w:p>
    <w:p w:rsidR="00B53477" w:rsidRPr="00EA47F3" w:rsidRDefault="00B53477" w:rsidP="009370EA">
      <w:pPr>
        <w:pStyle w:val="Quote"/>
        <w:spacing w:line="360" w:lineRule="auto"/>
        <w:ind w:left="720" w:right="720"/>
        <w:rPr>
          <w:i w:val="0"/>
          <w:sz w:val="20"/>
        </w:rPr>
      </w:pPr>
      <w:r w:rsidRPr="00EA47F3">
        <w:rPr>
          <w:i w:val="0"/>
          <w:sz w:val="20"/>
        </w:rPr>
        <w:t>ministers are Christ’s representatives. He is the Head. They are the functions through which He administers Himself to the Body. He has so purposed that He may be represented in these characters, each one in his action conveying to the Body in their ministry the grace purposed of Him as appointed.</w:t>
      </w:r>
      <w:r w:rsidRPr="00EA47F3">
        <w:rPr>
          <w:rStyle w:val="FootnoteReference"/>
          <w:i w:val="0"/>
          <w:sz w:val="20"/>
        </w:rPr>
        <w:footnoteReference w:id="285"/>
      </w:r>
    </w:p>
    <w:p w:rsidR="00B53477" w:rsidRDefault="00B53477" w:rsidP="009370EA">
      <w:pPr>
        <w:spacing w:line="360" w:lineRule="auto"/>
        <w:jc w:val="both"/>
      </w:pPr>
      <w:r>
        <w:t>Later in the same work Williams argues that Christ’s ministers are ‘channels of grace in and to the Body.’</w:t>
      </w:r>
      <w:r>
        <w:rPr>
          <w:rStyle w:val="FootnoteReference"/>
        </w:rPr>
        <w:footnoteReference w:id="286"/>
      </w:r>
      <w:r>
        <w:t xml:space="preserve"> Thus, for Williams, the ministry is a manifestation of the fullness which dwells in the Body; Christ ‘administers Himself to the Body’ through the ministry. Again, this is an example of his ecclesiology from above; the ministry is not seen as set apart by and representing the people </w:t>
      </w:r>
      <w:r>
        <w:lastRenderedPageBreak/>
        <w:t>of God, but rather set apart by and representing Christ.</w:t>
      </w:r>
      <w:r>
        <w:rPr>
          <w:rStyle w:val="FootnoteReference"/>
        </w:rPr>
        <w:footnoteReference w:id="287"/>
      </w:r>
      <w:r>
        <w:t xml:space="preserve"> This is not an ascent to God by his people, but a gracious descent of God to His people.</w:t>
      </w:r>
    </w:p>
    <w:p w:rsidR="00B53477" w:rsidRDefault="00B53477" w:rsidP="009370EA">
      <w:pPr>
        <w:spacing w:line="360" w:lineRule="auto"/>
        <w:jc w:val="both"/>
      </w:pPr>
      <w:r>
        <w:t>This fullness in the Body is not, however, limited to the ordained ministry. Williams is clear that the Trinitarian fullness dwells in and among the whole Body. Ephesians 4 was always a favourite ecclesiological text for the early Apostolics, and Williams draws on its quotation of Psalm 68:18 (in Eph. 4:8) to link the fullness in the Body with the indwelling of the Triune God (drawing on the AV rendering of Psalm 68:18).</w:t>
      </w:r>
      <w:r>
        <w:rPr>
          <w:rStyle w:val="FootnoteReference"/>
        </w:rPr>
        <w:footnoteReference w:id="288"/>
      </w:r>
      <w:r>
        <w:t xml:space="preserve"> Thus, for Williams, the fullness of Christ in the Church does not only signify the Church’s participation in the life of the Trinity (the Church dwelling within the fellowship of the Trinity), but also Trinity dwelling in the Church.</w:t>
      </w:r>
    </w:p>
    <w:p w:rsidR="00B53477" w:rsidRDefault="00B53477" w:rsidP="009370EA">
      <w:pPr>
        <w:spacing w:line="360" w:lineRule="auto"/>
        <w:jc w:val="both"/>
      </w:pPr>
      <w:r>
        <w:t>In fact, for Williams this is the Triune God’s purpose: ‘to manifest Himself in the Body’</w:t>
      </w:r>
      <w:r>
        <w:rPr>
          <w:rStyle w:val="FootnoteReference"/>
        </w:rPr>
        <w:footnoteReference w:id="289"/>
      </w:r>
      <w:r>
        <w:t>.  And this in-breaking of the eternal purpose of the Triune God has transformative effect.</w:t>
      </w:r>
      <w:r>
        <w:rPr>
          <w:rStyle w:val="FootnoteReference"/>
        </w:rPr>
        <w:footnoteReference w:id="290"/>
      </w:r>
    </w:p>
    <w:p w:rsidR="00B53477" w:rsidRDefault="00B53477" w:rsidP="009370EA">
      <w:pPr>
        <w:spacing w:line="360" w:lineRule="auto"/>
        <w:jc w:val="both"/>
      </w:pPr>
      <w:r>
        <w:t>But how does this fullness of Christ which brings Trinitarian fullness to the Body come about? Williams does not elaborate greatly on this point, but does look briefly to the book of Acts. In his reading of the Acts of the Apostles, Williams sees an out-rolling of both dynamic life and divine government in the Church which he traces back to Jesus words in Acts 1:8. Hence, for Williams, the Church’s endowment with the fullness of Christ comes in the baptism in the Holy Spirit.</w:t>
      </w:r>
    </w:p>
    <w:p w:rsidR="00B53477" w:rsidRDefault="00B53477" w:rsidP="009370EA">
      <w:pPr>
        <w:spacing w:line="360" w:lineRule="auto"/>
        <w:jc w:val="both"/>
      </w:pPr>
    </w:p>
    <w:p w:rsidR="00B53477" w:rsidRPr="008F5A3A" w:rsidRDefault="009F2554" w:rsidP="009370EA">
      <w:pPr>
        <w:pStyle w:val="PhDSubheading"/>
        <w:spacing w:line="360" w:lineRule="auto"/>
      </w:pPr>
      <w:r>
        <w:t xml:space="preserve">2.2.2 </w:t>
      </w:r>
      <w:r w:rsidR="00B53477" w:rsidRPr="008F5A3A">
        <w:t>Thomas Rees</w:t>
      </w:r>
    </w:p>
    <w:p w:rsidR="00B53477" w:rsidRDefault="00B53477" w:rsidP="009370EA">
      <w:pPr>
        <w:spacing w:line="360" w:lineRule="auto"/>
        <w:jc w:val="both"/>
      </w:pPr>
      <w:r>
        <w:t>Thomas Rees was a contemporary of D.P. Williams. Both were native Welsh speakers, ministered in Welsh-speaking Carmarthenshire</w:t>
      </w:r>
      <w:r w:rsidR="002C384F">
        <w:t>, and</w:t>
      </w:r>
      <w:r>
        <w:t xml:space="preserve"> were recognised as apostles in the Apostolic Church.</w:t>
      </w:r>
    </w:p>
    <w:p w:rsidR="00B53477" w:rsidRDefault="00B53477" w:rsidP="009370EA">
      <w:pPr>
        <w:spacing w:line="360" w:lineRule="auto"/>
        <w:jc w:val="both"/>
      </w:pPr>
      <w:r>
        <w:t>Unlike Williams, Rees did write a book on the doctrine of the Church</w:t>
      </w:r>
      <w:r w:rsidR="004819F3">
        <w:t>; h</w:t>
      </w:r>
      <w:r>
        <w:t xml:space="preserve">owever, </w:t>
      </w:r>
      <w:r w:rsidR="004819F3">
        <w:t>his</w:t>
      </w:r>
      <w:r>
        <w:t xml:space="preserve"> book was not intended as such. Rather it originated as a series of sermons preached at the Bible Readings of the Penygroes Convention in 1943. Due to the coinciding factors of the constraints of the war and the demand for Rees’ work in published form, these were not fleshed out for publication, but published just as they were delivered at the Convention.</w:t>
      </w:r>
    </w:p>
    <w:p w:rsidR="00B53477" w:rsidRDefault="00B53477" w:rsidP="009370EA">
      <w:pPr>
        <w:spacing w:line="360" w:lineRule="auto"/>
        <w:jc w:val="both"/>
      </w:pPr>
      <w:r>
        <w:lastRenderedPageBreak/>
        <w:t>Rees’ thought is, to a large extent, consistent with that of Williams.</w:t>
      </w:r>
      <w:r>
        <w:rPr>
          <w:rStyle w:val="FootnoteReference"/>
        </w:rPr>
        <w:footnoteReference w:id="291"/>
      </w:r>
      <w:r>
        <w:t xml:space="preserve"> Both agree that Christ fills the Church with His fullness and both see the result of this in terms reminiscent of theosis.</w:t>
      </w:r>
      <w:r>
        <w:rPr>
          <w:rStyle w:val="FootnoteReference"/>
        </w:rPr>
        <w:footnoteReference w:id="292"/>
      </w:r>
      <w:r>
        <w:t xml:space="preserve"> Rees, however, also makes several further significant moves.</w:t>
      </w:r>
    </w:p>
    <w:p w:rsidR="00B53477" w:rsidRDefault="00B53477" w:rsidP="009370EA">
      <w:pPr>
        <w:spacing w:line="360" w:lineRule="auto"/>
        <w:jc w:val="both"/>
      </w:pPr>
      <w:r>
        <w:t>While Ephesians 1:22-23 was already a key text in Apostolic ecclesiological thought, Rees brings another key passage on fullness to the table,</w:t>
      </w:r>
      <w:r>
        <w:rPr>
          <w:rStyle w:val="FootnoteReference"/>
        </w:rPr>
        <w:footnoteReference w:id="293"/>
      </w:r>
      <w:r>
        <w:t xml:space="preserve"> setting Ephesians 1:22-23 in conjunction with Colossians 2:9.</w:t>
      </w:r>
    </w:p>
    <w:p w:rsidR="00B53477" w:rsidRPr="00EA47F3" w:rsidRDefault="00B53477" w:rsidP="009370EA">
      <w:pPr>
        <w:pStyle w:val="Quote"/>
        <w:spacing w:line="360" w:lineRule="auto"/>
        <w:ind w:left="720" w:right="720"/>
        <w:rPr>
          <w:i w:val="0"/>
          <w:sz w:val="20"/>
        </w:rPr>
      </w:pPr>
      <w:r w:rsidRPr="00EA47F3">
        <w:rPr>
          <w:i w:val="0"/>
          <w:sz w:val="20"/>
        </w:rPr>
        <w:t>In Christ dwelleth the fullness of the Godhead bodily. Likewise in the Body of Christ dwelleth His fullness. Christ is the express image of God; so the Body of Christ is, in some degree, bearing His own image.</w:t>
      </w:r>
      <w:r w:rsidRPr="00EA47F3">
        <w:rPr>
          <w:rStyle w:val="FootnoteReference"/>
          <w:i w:val="0"/>
          <w:sz w:val="20"/>
        </w:rPr>
        <w:footnoteReference w:id="294"/>
      </w:r>
    </w:p>
    <w:p w:rsidR="00B53477" w:rsidRDefault="00B53477" w:rsidP="009370EA">
      <w:pPr>
        <w:spacing w:line="360" w:lineRule="auto"/>
        <w:jc w:val="both"/>
      </w:pPr>
      <w:r>
        <w:t>Rees appears somewhat tentative here and doesn’t take the link further (yet later writers will). He has already stated that ‘the Body of Christ is the incarnation, expression and the demonstration of His fullness “that filleth all in all”’</w:t>
      </w:r>
      <w:r>
        <w:rPr>
          <w:rStyle w:val="FootnoteReference"/>
        </w:rPr>
        <w:footnoteReference w:id="295"/>
      </w:r>
      <w:r>
        <w:t>, but does not make similar statements regarding the Trinitarian fullness.</w:t>
      </w:r>
    </w:p>
    <w:p w:rsidR="00B53477" w:rsidRDefault="00B53477" w:rsidP="009370EA">
      <w:pPr>
        <w:spacing w:line="360" w:lineRule="auto"/>
        <w:jc w:val="both"/>
      </w:pPr>
      <w:r>
        <w:t xml:space="preserve">Rees’ use of the word ‘incarnation’ is also of significance. Again, this is an expression that would be taken up by later Apostolic thinkers, yet Rees himself uses it circumspectly. He does not write of the Church as an </w:t>
      </w:r>
      <w:r w:rsidR="00D20D57">
        <w:t>i</w:t>
      </w:r>
      <w:r>
        <w:t>ncarnation of Christ, but as an incarnation and expression of His fullness. The language is odd, but it allows Rees to maintain a clear distinction between the unique and unrepeatable event which is the Incarnation, and the union of Christ the Head with His Body.</w:t>
      </w:r>
    </w:p>
    <w:p w:rsidR="00B53477" w:rsidRDefault="00B53477" w:rsidP="009370EA">
      <w:pPr>
        <w:spacing w:line="360" w:lineRule="auto"/>
        <w:jc w:val="both"/>
      </w:pPr>
      <w:r>
        <w:t>Rees’ borrowing of the language of incarnation may play a role in his particular characterisation of the fullness as the ‘riches of His grace’ and ‘riches of His glory’.</w:t>
      </w:r>
      <w:r>
        <w:rPr>
          <w:rStyle w:val="FootnoteReference"/>
        </w:rPr>
        <w:footnoteReference w:id="296"/>
      </w:r>
      <w:r>
        <w:t xml:space="preserve"> In doing so, Rees is not limiting the fullness to a fullness belonging to Christ (i.e. seeing the Church as filled with Christ’s grace and Christ’s glory), for as we have already seen through his use of Col. 2:9, Rees clearly views Christ Himself as the fullness which fills the Church.  Rees clarifies concerning the fullness of grace and glory that ‘all the Divine resources and energies are at [the church’s] disposal’ due to the fullness of God in Christ which fills the Church.</w:t>
      </w:r>
      <w:r>
        <w:rPr>
          <w:rStyle w:val="FootnoteReference"/>
        </w:rPr>
        <w:footnoteReference w:id="297"/>
      </w:r>
      <w:r>
        <w:t xml:space="preserve"> Thus for Rees, describing the ecclesial </w:t>
      </w:r>
      <w:r>
        <w:lastRenderedPageBreak/>
        <w:t>fullness as the ‘riches of His grace’ or ‘riches of His glory’ is no different from describing the ecclesial fullness as Christ Himself; the riches of Christ’s grace is Christ, the riches of Christ’s glory is Christ.</w:t>
      </w:r>
    </w:p>
    <w:p w:rsidR="00B53477" w:rsidRDefault="00B53477" w:rsidP="009370EA">
      <w:pPr>
        <w:spacing w:line="360" w:lineRule="auto"/>
        <w:jc w:val="both"/>
      </w:pPr>
      <w:r>
        <w:t>For Rees, the great purpose of this fullness of Christ in the Church is that the Church may be conformed to the image of Christ. This he calls ‘the fullest, profoundest and Divinest purpose of Redemption.’</w:t>
      </w:r>
      <w:r>
        <w:rPr>
          <w:rStyle w:val="FootnoteReference"/>
        </w:rPr>
        <w:footnoteReference w:id="298"/>
      </w:r>
      <w:r>
        <w:t xml:space="preserve"> Just as the Father sees His own image in the Son in whom the fullness of the Godhead dwells, Rees argues that the great purpose of the fullness of Christ dwelling in the Church is that the Son might see His image in the Body.</w:t>
      </w:r>
      <w:r>
        <w:rPr>
          <w:rStyle w:val="FootnoteReference"/>
        </w:rPr>
        <w:footnoteReference w:id="299"/>
      </w:r>
    </w:p>
    <w:p w:rsidR="00B53477" w:rsidRDefault="00B53477" w:rsidP="009370EA">
      <w:pPr>
        <w:spacing w:line="360" w:lineRule="auto"/>
        <w:jc w:val="both"/>
      </w:pPr>
      <w:r>
        <w:t>This conforming through fullness is achieved in ‘the absorption of divine affection.’</w:t>
      </w:r>
      <w:r>
        <w:rPr>
          <w:rStyle w:val="FootnoteReference"/>
        </w:rPr>
        <w:footnoteReference w:id="300"/>
      </w:r>
      <w:r>
        <w:t xml:space="preserve"> For Rees, as the Body is filled with Christ’s fullness, which he particularly characterises in terms of grace and glory, it becomes ‘occupied with His love’</w:t>
      </w:r>
      <w:r>
        <w:rPr>
          <w:rStyle w:val="FootnoteReference"/>
        </w:rPr>
        <w:footnoteReference w:id="301"/>
      </w:r>
      <w:r>
        <w:t>.  So, the indwelling of the fullness of Christ in the Church brings with it the knowledge and experience of His love revealed in His grace and glory to his Church. As a result the focus of the Church is lifted to Christ and His love, which in turn, according to Rees, leads to the Church being ‘absorbed by His love.’</w:t>
      </w:r>
      <w:r>
        <w:rPr>
          <w:rStyle w:val="FootnoteReference"/>
        </w:rPr>
        <w:footnoteReference w:id="302"/>
      </w:r>
    </w:p>
    <w:p w:rsidR="00B53477" w:rsidRDefault="00B53477" w:rsidP="009370EA">
      <w:pPr>
        <w:spacing w:line="360" w:lineRule="auto"/>
        <w:jc w:val="both"/>
      </w:pPr>
      <w:r>
        <w:t>Rees is careful to clarify here. When he writes of absorption he is not advocating mysticism’s view of absorption into the divine, which blurs the Creator-creature distinction. Rather, Rees stresses that he does not mean ‘that we shall lose self-consciousness and self-identity and individuality.’</w:t>
      </w:r>
      <w:r>
        <w:rPr>
          <w:rStyle w:val="FootnoteReference"/>
        </w:rPr>
        <w:footnoteReference w:id="303"/>
      </w:r>
      <w:r>
        <w:t xml:space="preserve"> On the contrary, Rees carefully upholds at all times the Creator-creature distinction and is adamant that ‘we shall be ourselves eternally.’</w:t>
      </w:r>
      <w:r>
        <w:rPr>
          <w:rStyle w:val="FootnoteReference"/>
        </w:rPr>
        <w:footnoteReference w:id="304"/>
      </w:r>
    </w:p>
    <w:p w:rsidR="00B53477" w:rsidRDefault="00B53477" w:rsidP="009370EA">
      <w:pPr>
        <w:spacing w:line="360" w:lineRule="auto"/>
        <w:jc w:val="both"/>
      </w:pPr>
      <w:r>
        <w:t>Rees can both write of our absorption in divine love and yet strongly uphold the Creator-creature distinction due to his Trinitarian foundations. The Church finds its very existence in the purposes and interaction of the Father, Son and Spirit; it exists within the Triune love and fellowship.</w:t>
      </w:r>
      <w:r>
        <w:rPr>
          <w:rStyle w:val="FootnoteReference"/>
        </w:rPr>
        <w:footnoteReference w:id="305"/>
      </w:r>
      <w:r>
        <w:t xml:space="preserve"> This is absorption in divine love with no damage to human personality and individuality: being caught up into the Father’s love for the Son in the unity of the Spirit as sons in the Son.</w:t>
      </w:r>
      <w:r>
        <w:rPr>
          <w:rStyle w:val="FootnoteReference"/>
        </w:rPr>
        <w:footnoteReference w:id="306"/>
      </w:r>
    </w:p>
    <w:p w:rsidR="00B53477" w:rsidRDefault="00B53477" w:rsidP="009370EA">
      <w:pPr>
        <w:spacing w:line="360" w:lineRule="auto"/>
        <w:jc w:val="both"/>
      </w:pPr>
      <w:r>
        <w:t xml:space="preserve">Such Trinitarian underpinning to Rees’ ecclesiology leads naturally to his characterisation of the life of the Church and the fullness which is poured out into it in terms of giving and receiving, </w:t>
      </w:r>
      <w:r>
        <w:lastRenderedPageBreak/>
        <w:t>imparting and partaking.</w:t>
      </w:r>
      <w:r>
        <w:rPr>
          <w:rStyle w:val="FootnoteReference"/>
        </w:rPr>
        <w:footnoteReference w:id="307"/>
      </w:r>
      <w:r>
        <w:t xml:space="preserve"> As the Church has its existence within the ongoing and outgoing giving and receiving of love of the Father, Son and Spirit, so it becomes a community of those who ‘receive from each other, and also impart to others that which we have ourselves received… givers, as well as receivers; imparters as well as partakers.’</w:t>
      </w:r>
      <w:r>
        <w:rPr>
          <w:rStyle w:val="FootnoteReference"/>
        </w:rPr>
        <w:footnoteReference w:id="308"/>
      </w:r>
    </w:p>
    <w:p w:rsidR="00B53477" w:rsidRDefault="00B53477" w:rsidP="009370EA">
      <w:pPr>
        <w:spacing w:line="360" w:lineRule="auto"/>
        <w:jc w:val="both"/>
      </w:pPr>
    </w:p>
    <w:p w:rsidR="00B53477" w:rsidRPr="00C237D3" w:rsidRDefault="009F2554" w:rsidP="009370EA">
      <w:pPr>
        <w:pStyle w:val="PhDSubheading"/>
        <w:spacing w:line="360" w:lineRule="auto"/>
      </w:pPr>
      <w:r>
        <w:t xml:space="preserve">2.2.3 </w:t>
      </w:r>
      <w:r w:rsidR="00B53477" w:rsidRPr="00C237D3">
        <w:t>W. R. Thomas</w:t>
      </w:r>
    </w:p>
    <w:p w:rsidR="00B53477" w:rsidRDefault="00B53477" w:rsidP="009370EA">
      <w:pPr>
        <w:spacing w:line="360" w:lineRule="auto"/>
        <w:jc w:val="both"/>
      </w:pPr>
      <w:r>
        <w:t xml:space="preserve">In terms of the ecclesial fullness, Thomas’ most significant translated work is his </w:t>
      </w:r>
      <w:r>
        <w:rPr>
          <w:i/>
        </w:rPr>
        <w:t xml:space="preserve">On </w:t>
      </w:r>
      <w:r w:rsidRPr="00C237D3">
        <w:rPr>
          <w:i/>
        </w:rPr>
        <w:t>Ephesians</w:t>
      </w:r>
      <w:r>
        <w:t>. Despite his years in Italy, and hence away from the influences of his contemporaries in the British church, Thomas shows a remarkable continuity with the thought of D.P. Williams and Thomas Rees, although in a more developed form.</w:t>
      </w:r>
      <w:r>
        <w:rPr>
          <w:rStyle w:val="FootnoteReference"/>
        </w:rPr>
        <w:footnoteReference w:id="309"/>
      </w:r>
    </w:p>
    <w:p w:rsidR="00B53477" w:rsidRDefault="00B53477" w:rsidP="009370EA">
      <w:pPr>
        <w:spacing w:line="360" w:lineRule="auto"/>
        <w:jc w:val="both"/>
      </w:pPr>
      <w:r>
        <w:t>Thomas has a very high ecclesiology: ‘The Body of Christ is the reason for the creation of the universe.’</w:t>
      </w:r>
      <w:r>
        <w:rPr>
          <w:rStyle w:val="FootnoteReference"/>
        </w:rPr>
        <w:footnoteReference w:id="310"/>
      </w:r>
      <w:r>
        <w:t xml:space="preserve"> The Body of Christ is seen as an ontological reality and as occupying a central place in the purpose of the Triune God.</w:t>
      </w:r>
      <w:r>
        <w:rPr>
          <w:rStyle w:val="FootnoteReference"/>
        </w:rPr>
        <w:footnoteReference w:id="311"/>
      </w:r>
      <w:r>
        <w:t xml:space="preserve"> ‘Without the Church, creation is incomplete’, for it ‘owes the reason for its existence to the mystical Christ – Head and Body joined indissolubly and eternally.’</w:t>
      </w:r>
      <w:r>
        <w:rPr>
          <w:rStyle w:val="FootnoteReference"/>
        </w:rPr>
        <w:footnoteReference w:id="312"/>
      </w:r>
      <w:r>
        <w:t xml:space="preserve"> Although not previously expressed in such terms, such a high view of the Church was not a new contribution to Apostolic thought; D.P. Williams had previously written that ‘there is nothing higher nor nearer the heart of our Glorified Lord than His Church.’</w:t>
      </w:r>
      <w:r>
        <w:rPr>
          <w:rStyle w:val="FootnoteReference"/>
        </w:rPr>
        <w:footnoteReference w:id="313"/>
      </w:r>
    </w:p>
    <w:p w:rsidR="00B53477" w:rsidRDefault="00B53477" w:rsidP="009370EA">
      <w:pPr>
        <w:spacing w:line="360" w:lineRule="auto"/>
        <w:jc w:val="both"/>
      </w:pPr>
      <w:r>
        <w:t>But what is the ecclesial fullness for Thomas? His initial approach to answering such a question is reminiscent of Rees, speaking in terms of ‘the Divine character of the Body in the fullness of His grace and glory.’</w:t>
      </w:r>
      <w:r>
        <w:rPr>
          <w:rStyle w:val="FootnoteReference"/>
        </w:rPr>
        <w:footnoteReference w:id="314"/>
      </w:r>
      <w:r>
        <w:t xml:space="preserve"> Yet, also like Rees, Thomas is not limiting the fullness to certain attributes or actions of Christ. Rather Christ Himself is this fullness</w:t>
      </w:r>
      <w:r>
        <w:rPr>
          <w:rStyle w:val="FootnoteReference"/>
        </w:rPr>
        <w:footnoteReference w:id="315"/>
      </w:r>
      <w:r>
        <w:t xml:space="preserve">, which can be described as the fullness of </w:t>
      </w:r>
      <w:r>
        <w:lastRenderedPageBreak/>
        <w:t>His grace and glory because it is the fullness of ‘Divine personality and instrument of the manifestation of the Triune God’ in Christ.</w:t>
      </w:r>
      <w:r>
        <w:rPr>
          <w:rStyle w:val="FootnoteReference"/>
        </w:rPr>
        <w:footnoteReference w:id="316"/>
      </w:r>
    </w:p>
    <w:p w:rsidR="00B53477" w:rsidRDefault="00B53477" w:rsidP="009370EA">
      <w:pPr>
        <w:spacing w:line="360" w:lineRule="auto"/>
        <w:jc w:val="both"/>
      </w:pPr>
      <w:r>
        <w:t>This fullness comes to the Church due to the unique relationship between the Head and the Body. Thomas distinguishes between a king and his subjects or master and His servants and the Head and Body. The subjects and servants have a relationship with the king or master which is ‘simply social’, but between the Head and Body there is ‘a life-giving and organic relationship of unity.’</w:t>
      </w:r>
      <w:r>
        <w:rPr>
          <w:rStyle w:val="FootnoteReference"/>
        </w:rPr>
        <w:footnoteReference w:id="317"/>
      </w:r>
      <w:r>
        <w:t xml:space="preserve"> Again we see the principle of giving and receiving, imparting and partaking.</w:t>
      </w:r>
    </w:p>
    <w:p w:rsidR="00B53477" w:rsidRDefault="00B53477" w:rsidP="009370EA">
      <w:pPr>
        <w:spacing w:line="360" w:lineRule="auto"/>
        <w:jc w:val="both"/>
      </w:pPr>
      <w:r>
        <w:t>As a consequence of his strong view of the organic and vital unity between Head and Body, Thomas, once again echoing Rees, takes up the language of incarnation. However, with Thomas there is a shift in this use of incarnation language. While Rees used incarnation language in a highly nuanced way to avoid any confusion of Christ and Church, Thomas explicitly avoids such nuance. Thomas sees ‘the Church as an extension of the Incarnate life of our Lord’</w:t>
      </w:r>
      <w:r>
        <w:rPr>
          <w:rStyle w:val="FootnoteReference"/>
        </w:rPr>
        <w:footnoteReference w:id="318"/>
      </w:r>
      <w:r>
        <w:t xml:space="preserve">, which would appear to be just what Rees </w:t>
      </w:r>
      <w:r w:rsidR="00587454">
        <w:t>was</w:t>
      </w:r>
      <w:r>
        <w:t xml:space="preserve"> taking pains to avoid. This does not mean that Thomas collapses Christ into the Church, for later he writes that ‘the Church really is “the Body of Christ”, not materially but spiritually, the organism of His supernatural life and the medium of His present and future manifestation.’</w:t>
      </w:r>
      <w:r>
        <w:rPr>
          <w:rStyle w:val="FootnoteReference"/>
        </w:rPr>
        <w:footnoteReference w:id="319"/>
      </w:r>
      <w:r>
        <w:t xml:space="preserve"> Thus, Thomas is not unpicking the Incarnation after the ascension or neglecting Christ’s present session; yet he is going much further than any Apostolic writer had gone before in equating Christ and the Church. </w:t>
      </w:r>
    </w:p>
    <w:p w:rsidR="00B53477" w:rsidRDefault="00B53477" w:rsidP="009370EA">
      <w:pPr>
        <w:spacing w:line="360" w:lineRule="auto"/>
        <w:jc w:val="both"/>
      </w:pPr>
      <w:r>
        <w:t>Despite his strong view of the Body as an extension of the Incarnation, Thomas does not confine the ecclesial fullness to the second Person of the Trinity.  Rather, like those who had gone before him, he thinks of the ecclesial fullness in Trinitarian terms. The Church is constituted within the Trinitarian fellowship.</w:t>
      </w:r>
      <w:r>
        <w:rPr>
          <w:rStyle w:val="FootnoteReference"/>
        </w:rPr>
        <w:footnoteReference w:id="320"/>
      </w:r>
      <w:r>
        <w:t xml:space="preserve"> The Church filled with all the fullness is ‘the instrument and manifestation of the Triune God to all eternities.’</w:t>
      </w:r>
      <w:r>
        <w:rPr>
          <w:rStyle w:val="FootnoteReference"/>
        </w:rPr>
        <w:footnoteReference w:id="321"/>
      </w:r>
    </w:p>
    <w:p w:rsidR="00B53477" w:rsidRDefault="00B53477" w:rsidP="009370EA">
      <w:pPr>
        <w:spacing w:line="360" w:lineRule="auto"/>
        <w:jc w:val="both"/>
      </w:pPr>
      <w:r>
        <w:t>The Trinitarian aspect of the ecclesial fullness is not accidental, but essential:</w:t>
      </w:r>
    </w:p>
    <w:p w:rsidR="00B53477" w:rsidRPr="00BD383A" w:rsidRDefault="00B53477" w:rsidP="009370EA">
      <w:pPr>
        <w:pStyle w:val="Quote"/>
        <w:spacing w:line="360" w:lineRule="auto"/>
        <w:ind w:left="720" w:right="720"/>
        <w:rPr>
          <w:i w:val="0"/>
          <w:sz w:val="20"/>
        </w:rPr>
      </w:pPr>
      <w:r w:rsidRPr="00BD383A">
        <w:rPr>
          <w:i w:val="0"/>
          <w:sz w:val="20"/>
        </w:rPr>
        <w:t>While the Father is the source and centre of all fullness, the Son is the sum and substance of all fullness, the Church is the sphere and recipient of all fullness, the Holy Spirit is the One dispensing all the fullness.</w:t>
      </w:r>
      <w:r w:rsidRPr="00BD383A">
        <w:rPr>
          <w:rStyle w:val="FootnoteReference"/>
          <w:i w:val="0"/>
          <w:sz w:val="20"/>
        </w:rPr>
        <w:footnoteReference w:id="322"/>
      </w:r>
    </w:p>
    <w:p w:rsidR="00B53477" w:rsidRDefault="00B53477" w:rsidP="009370EA">
      <w:pPr>
        <w:spacing w:line="360" w:lineRule="auto"/>
        <w:jc w:val="both"/>
      </w:pPr>
      <w:r>
        <w:lastRenderedPageBreak/>
        <w:t>Hence, for Thomas the ecclesial fullness is both Christocentric, in that it constitutes the Church into an extension of the incarnation, yet also Trinitarian. The fullness is Christ Himself, and yet the fullness is the fullness of Triune God.</w:t>
      </w:r>
    </w:p>
    <w:p w:rsidR="00B53477" w:rsidRDefault="00B53477" w:rsidP="009370EA">
      <w:pPr>
        <w:spacing w:line="360" w:lineRule="auto"/>
        <w:jc w:val="both"/>
      </w:pPr>
      <w:r>
        <w:t>Furthermore, it is the Spirit rather than Christ whom Thomas sees as the dispenser of this fullness. He goes on to elaborate seven ways in which the Spirit communicates ‘all the fullness to the Church.’</w:t>
      </w:r>
      <w:r>
        <w:rPr>
          <w:rStyle w:val="FootnoteReference"/>
        </w:rPr>
        <w:footnoteReference w:id="323"/>
      </w:r>
      <w:r>
        <w:t xml:space="preserve">  Clearly Thomas sees the Spirit as playing the active role here.</w:t>
      </w:r>
    </w:p>
    <w:p w:rsidR="00B53477" w:rsidRDefault="00B53477" w:rsidP="009370EA">
      <w:pPr>
        <w:spacing w:line="360" w:lineRule="auto"/>
        <w:jc w:val="both"/>
      </w:pPr>
      <w:r>
        <w:t>How does this sit with what Thomas has previously written concerning incarnation, Christ and the fullness? Again, His Trinitarian framework is key. ‘The grace of the Spirit is Triune and total … His fullness is the fullness of the Trinity in Unity, and of the Deity in the Trinity.’</w:t>
      </w:r>
      <w:r>
        <w:rPr>
          <w:rStyle w:val="FootnoteReference"/>
        </w:rPr>
        <w:footnoteReference w:id="324"/>
      </w:r>
      <w:r>
        <w:t xml:space="preserve"> Hence, there is no contradiction between the active role of the Spirit, the Trinitarian nature of the fullness, and the Christological nature of the fullness. It is not a matter of making an interpretive choice between the fullness of the Spirit, the fullness of Christ and the fullness of the Trinity. Rather, </w:t>
      </w:r>
      <w:r w:rsidR="00EA4DDC">
        <w:t xml:space="preserve">(due to perichoresis) </w:t>
      </w:r>
      <w:r>
        <w:t>the fullness of the Spirit brings with it the Trinitarian fullness and hence the fullness of Christ. The fullness of the Spirit mediates the fullness of the Father and the Son.</w:t>
      </w:r>
    </w:p>
    <w:p w:rsidR="00B53477" w:rsidRDefault="00B53477" w:rsidP="009370EA">
      <w:pPr>
        <w:spacing w:line="360" w:lineRule="auto"/>
        <w:jc w:val="both"/>
      </w:pPr>
      <w:r>
        <w:t>This is further bolstered by the way in which Thomas develops Rees’ linking of Ephesians 1:22-23 with Colossians 2:9. For Thomas, ‘all the fullness of God dwells in Christ’ and ‘all the fullness of Christ dwells in the Church’, and all this fullness of God in Christ ‘is personally represented by the indwelling Holy Spirit.’</w:t>
      </w:r>
      <w:r>
        <w:rPr>
          <w:rStyle w:val="FootnoteReference"/>
        </w:rPr>
        <w:footnoteReference w:id="325"/>
      </w:r>
      <w:r>
        <w:t xml:space="preserve"> He sets this forth in three points:</w:t>
      </w:r>
    </w:p>
    <w:p w:rsidR="00B53477" w:rsidRPr="007A4A1F" w:rsidRDefault="00B53477" w:rsidP="009370EA">
      <w:pPr>
        <w:pStyle w:val="Quote"/>
        <w:numPr>
          <w:ilvl w:val="0"/>
          <w:numId w:val="2"/>
        </w:numPr>
        <w:spacing w:before="0" w:line="360" w:lineRule="auto"/>
        <w:ind w:right="720"/>
        <w:rPr>
          <w:i w:val="0"/>
          <w:sz w:val="20"/>
        </w:rPr>
      </w:pPr>
      <w:r w:rsidRPr="007A4A1F">
        <w:rPr>
          <w:i w:val="0"/>
          <w:sz w:val="20"/>
        </w:rPr>
        <w:t>Christ is the fullness of God;</w:t>
      </w:r>
    </w:p>
    <w:p w:rsidR="00B53477" w:rsidRPr="007A4A1F" w:rsidRDefault="00B53477" w:rsidP="009370EA">
      <w:pPr>
        <w:pStyle w:val="Quote"/>
        <w:numPr>
          <w:ilvl w:val="0"/>
          <w:numId w:val="2"/>
        </w:numPr>
        <w:spacing w:before="0" w:line="360" w:lineRule="auto"/>
        <w:ind w:right="720"/>
        <w:rPr>
          <w:i w:val="0"/>
          <w:sz w:val="20"/>
        </w:rPr>
      </w:pPr>
      <w:r w:rsidRPr="007A4A1F">
        <w:rPr>
          <w:i w:val="0"/>
          <w:sz w:val="20"/>
        </w:rPr>
        <w:t>The Church is the fullness of Christ; and</w:t>
      </w:r>
    </w:p>
    <w:p w:rsidR="00B53477" w:rsidRPr="007A4A1F" w:rsidRDefault="00B53477" w:rsidP="009370EA">
      <w:pPr>
        <w:pStyle w:val="Quote"/>
        <w:numPr>
          <w:ilvl w:val="0"/>
          <w:numId w:val="2"/>
        </w:numPr>
        <w:spacing w:before="0" w:line="360" w:lineRule="auto"/>
        <w:ind w:right="720"/>
        <w:rPr>
          <w:i w:val="0"/>
          <w:sz w:val="20"/>
        </w:rPr>
      </w:pPr>
      <w:r w:rsidRPr="007A4A1F">
        <w:rPr>
          <w:i w:val="0"/>
          <w:sz w:val="20"/>
        </w:rPr>
        <w:t>The Holy Spirit is the fullness of the Church.</w:t>
      </w:r>
      <w:r w:rsidRPr="007A4A1F">
        <w:rPr>
          <w:rStyle w:val="FootnoteReference"/>
          <w:i w:val="0"/>
          <w:sz w:val="20"/>
        </w:rPr>
        <w:footnoteReference w:id="326"/>
      </w:r>
    </w:p>
    <w:p w:rsidR="00B53477" w:rsidRDefault="00B53477" w:rsidP="009370EA">
      <w:pPr>
        <w:spacing w:line="360" w:lineRule="auto"/>
        <w:jc w:val="both"/>
      </w:pPr>
      <w:r>
        <w:t>As such, His concept of the ecclesial fullness can be fully Trinitarian, fully Pentecostal, and fully Christocentric.</w:t>
      </w:r>
    </w:p>
    <w:p w:rsidR="00B53477" w:rsidRPr="007A4A1F" w:rsidRDefault="00B53477" w:rsidP="009370EA">
      <w:pPr>
        <w:pStyle w:val="Quote"/>
        <w:spacing w:line="360" w:lineRule="auto"/>
        <w:ind w:left="720" w:right="720"/>
        <w:rPr>
          <w:i w:val="0"/>
          <w:sz w:val="20"/>
        </w:rPr>
      </w:pPr>
      <w:r w:rsidRPr="007A4A1F">
        <w:rPr>
          <w:i w:val="0"/>
          <w:sz w:val="20"/>
        </w:rPr>
        <w:t>It is wonderful to know that all the fullness of God in Christ dwells in the Church in the Person and presence of the Holy Spirit … All the fullness of God in Christ is the complete Gift of the Holy Spirit; the effusion of the Holy Spirit in His Pentecostal fullness.</w:t>
      </w:r>
      <w:r w:rsidRPr="007A4A1F">
        <w:rPr>
          <w:rStyle w:val="FootnoteReference"/>
          <w:i w:val="0"/>
          <w:sz w:val="20"/>
        </w:rPr>
        <w:footnoteReference w:id="327"/>
      </w:r>
    </w:p>
    <w:p w:rsidR="00B53477" w:rsidRDefault="00B53477" w:rsidP="009370EA">
      <w:pPr>
        <w:spacing w:line="360" w:lineRule="auto"/>
        <w:jc w:val="both"/>
      </w:pPr>
      <w:r>
        <w:t xml:space="preserve">Within such a framework Thomas’ assertion that the fullness of God in the Church means ‘the Divine perfections of God, His gifts, and his attributes; or, the totality of Divine nature’ makes </w:t>
      </w:r>
      <w:r>
        <w:lastRenderedPageBreak/>
        <w:t>sense.</w:t>
      </w:r>
      <w:r>
        <w:rPr>
          <w:rStyle w:val="FootnoteReference"/>
        </w:rPr>
        <w:footnoteReference w:id="328"/>
      </w:r>
      <w:r>
        <w:t xml:space="preserve"> He is not saying that the Church is filled with some abstract divine </w:t>
      </w:r>
      <w:r w:rsidR="00D55469">
        <w:t xml:space="preserve">nature </w:t>
      </w:r>
      <w:r>
        <w:t>complete with all the gifts and attributes of God. Rather, he is saying that the Church is filled with the divine nature along with all its attributes because the Church is immersed in the Trinity through ‘a total participation in the Divine Gift of the Holy Spirit in Christ.’</w:t>
      </w:r>
      <w:r>
        <w:rPr>
          <w:rStyle w:val="FootnoteReference"/>
        </w:rPr>
        <w:footnoteReference w:id="329"/>
      </w:r>
    </w:p>
    <w:p w:rsidR="00D54329" w:rsidRDefault="00B53477" w:rsidP="009370EA">
      <w:pPr>
        <w:spacing w:line="360" w:lineRule="auto"/>
        <w:jc w:val="both"/>
      </w:pPr>
      <w:r>
        <w:t xml:space="preserve">This brings us again to the matter of theosis; and like Rees and Williams before him this is territory into which Thomas is unafraid to venture, speaking in </w:t>
      </w:r>
      <w:r w:rsidR="00D856B7">
        <w:t xml:space="preserve">some of </w:t>
      </w:r>
      <w:r>
        <w:t xml:space="preserve">the most patristic terms of </w:t>
      </w:r>
      <w:r w:rsidR="00D856B7">
        <w:t>any</w:t>
      </w:r>
      <w:r>
        <w:t xml:space="preserve"> early Apostolic thinkers. ‘While the Son of God takes up from man his human nature … the Son enables man to participate in His own Divine Nature’</w:t>
      </w:r>
      <w:r>
        <w:rPr>
          <w:rStyle w:val="FootnoteReference"/>
        </w:rPr>
        <w:footnoteReference w:id="330"/>
      </w:r>
      <w:r>
        <w:t>. Although he writes of individual believers and relates this participation in the Divine nature through Christ’s Incarnation to the promise of John 1:12 that those who receive Christ receive the right to become children of God, Thomas cannot refrain from tying this in to the Body of Christ, moving straight from this participation in the divine nature to the statement, ‘the most perfect and noble organism in the scale of organic life is the Body of Christ.’</w:t>
      </w:r>
      <w:r>
        <w:rPr>
          <w:rStyle w:val="FootnoteReference"/>
        </w:rPr>
        <w:footnoteReference w:id="331"/>
      </w:r>
      <w:r>
        <w:t xml:space="preserve"> At that stage in his work the connection may perhaps appear tenuous (for he does not there flesh it out), </w:t>
      </w:r>
      <w:r w:rsidR="00D856B7">
        <w:t xml:space="preserve">yet </w:t>
      </w:r>
      <w:r>
        <w:t>in light of his later elaboration on the Trinitarian fullness which immerses and fills the Body, the ecclesial nature of this theosis becomes clear: the Church participates in the divine nature by participating in the life of love and fellowship of the Trinity into which it is immersed. This theosis is the goal and outcome of the Trin</w:t>
      </w:r>
      <w:r w:rsidR="00670405">
        <w:t>itarian fullness in the Church.</w:t>
      </w:r>
    </w:p>
    <w:p w:rsidR="00D54329" w:rsidRDefault="00D54329" w:rsidP="009370EA">
      <w:pPr>
        <w:spacing w:line="360" w:lineRule="auto"/>
        <w:jc w:val="both"/>
      </w:pPr>
    </w:p>
    <w:p w:rsidR="00EE26C9" w:rsidRPr="00EE26C9" w:rsidRDefault="009F2554" w:rsidP="009370EA">
      <w:pPr>
        <w:pStyle w:val="PhDSubheading"/>
        <w:spacing w:line="360" w:lineRule="auto"/>
      </w:pPr>
      <w:r>
        <w:t xml:space="preserve">2.3 </w:t>
      </w:r>
      <w:r w:rsidR="00D54329" w:rsidRPr="00EE26C9">
        <w:t>Conclusion</w:t>
      </w:r>
    </w:p>
    <w:p w:rsidR="00D54329" w:rsidRDefault="00D54329" w:rsidP="009370EA">
      <w:pPr>
        <w:spacing w:line="360" w:lineRule="auto"/>
        <w:jc w:val="both"/>
      </w:pPr>
      <w:r>
        <w:t xml:space="preserve">The theology of </w:t>
      </w:r>
      <w:r w:rsidR="002E0FDC">
        <w:t>BHS</w:t>
      </w:r>
      <w:r>
        <w:t xml:space="preserve"> expressed by the early British Apostolic writers is much more than the typical classical Pentecostal notion of an enduement with power or even that of the personal presence of the Spirit.</w:t>
      </w:r>
      <w:r w:rsidR="00EE26C9">
        <w:t xml:space="preserve"> Instead, in their Apostolic theology, </w:t>
      </w:r>
      <w:r w:rsidR="002E0FDC">
        <w:t>BHS</w:t>
      </w:r>
      <w:r w:rsidR="00EE26C9">
        <w:t xml:space="preserve"> finds its purpose in the ontological existence of the church as the body of Christ, united to and filled with the fullness of her heavenly Head. Thus, in Apostolic theology, </w:t>
      </w:r>
      <w:r w:rsidR="002E0FDC">
        <w:t>BHS</w:t>
      </w:r>
      <w:r w:rsidR="00EE26C9">
        <w:t xml:space="preserve"> is fundamentally an ecclesiological doctrine. Yet </w:t>
      </w:r>
      <w:r w:rsidR="002E0FDC">
        <w:t>BHS</w:t>
      </w:r>
      <w:r w:rsidR="00EE26C9">
        <w:t xml:space="preserve"> is not the ultimate goal. Rather, it is, doctrinally speaking, subsumed under the greater importance of the Trinitarian fullness in the church, brought about through </w:t>
      </w:r>
      <w:r w:rsidR="002E0FDC">
        <w:t>BHS</w:t>
      </w:r>
      <w:r w:rsidR="00EE26C9">
        <w:t xml:space="preserve">. </w:t>
      </w:r>
      <w:r w:rsidR="00123700">
        <w:t>As the church is filled with the Spirit, she is filled with Christ the Head, and also, due to the doctrine of perichoresis, with the Father.</w:t>
      </w:r>
    </w:p>
    <w:p w:rsidR="00062AED" w:rsidRDefault="00123700" w:rsidP="009370EA">
      <w:pPr>
        <w:spacing w:line="360" w:lineRule="auto"/>
        <w:jc w:val="both"/>
      </w:pPr>
      <w:r>
        <w:lastRenderedPageBreak/>
        <w:t xml:space="preserve">The Apostolic theology of </w:t>
      </w:r>
      <w:r w:rsidR="002E0FDC">
        <w:t>BHS</w:t>
      </w:r>
      <w:r>
        <w:t xml:space="preserve"> is, therefore, robustly Trinitarian. Furthermore, this robustly Trinitarian doctrine opens out into a doctrine of theosis. Yet, this concept of theosis is always to be viewed in an ecclesi</w:t>
      </w:r>
      <w:r w:rsidR="005720E2">
        <w:t>al, rather than individualistic</w:t>
      </w:r>
      <w:r>
        <w:t xml:space="preserve"> way.</w:t>
      </w:r>
    </w:p>
    <w:p w:rsidR="00062AED" w:rsidRDefault="00062AED" w:rsidP="009370EA">
      <w:pPr>
        <w:spacing w:line="360" w:lineRule="auto"/>
      </w:pPr>
      <w:r>
        <w:br w:type="page"/>
      </w:r>
    </w:p>
    <w:p w:rsidR="009D39A9" w:rsidRDefault="009D39A9" w:rsidP="009370EA">
      <w:pPr>
        <w:pStyle w:val="PhDChapterTitle"/>
        <w:spacing w:line="360" w:lineRule="auto"/>
      </w:pPr>
      <w:r>
        <w:lastRenderedPageBreak/>
        <w:t>Chapter 3</w:t>
      </w:r>
    </w:p>
    <w:p w:rsidR="00062AED" w:rsidRDefault="00062AED" w:rsidP="009370EA">
      <w:pPr>
        <w:pStyle w:val="PhDChapterTitle"/>
        <w:spacing w:line="360" w:lineRule="auto"/>
      </w:pPr>
      <w:r w:rsidRPr="00F84E9B">
        <w:t>The Early Apostolics and the Trinity</w:t>
      </w:r>
    </w:p>
    <w:p w:rsidR="009D39A9" w:rsidRPr="007953AC" w:rsidRDefault="009D39A9" w:rsidP="009370EA">
      <w:pPr>
        <w:pStyle w:val="PhDChapterTitle"/>
        <w:spacing w:line="360" w:lineRule="auto"/>
      </w:pPr>
    </w:p>
    <w:p w:rsidR="00062AED" w:rsidRPr="00F84E9B" w:rsidRDefault="00062AED" w:rsidP="009370EA">
      <w:pPr>
        <w:spacing w:line="360" w:lineRule="auto"/>
        <w:jc w:val="both"/>
      </w:pPr>
      <w:r w:rsidRPr="00F84E9B">
        <w:t xml:space="preserve">The Tenets of the Apostolic Church have a feature which sets them apart from most other evangelical and </w:t>
      </w:r>
      <w:r>
        <w:t>P</w:t>
      </w:r>
      <w:r w:rsidRPr="00F84E9B">
        <w:t>entecostal statements of faith, namely that they begin with the Trinity.</w:t>
      </w:r>
      <w:r w:rsidRPr="00F84E9B">
        <w:rPr>
          <w:vertAlign w:val="superscript"/>
        </w:rPr>
        <w:footnoteReference w:id="332"/>
      </w:r>
      <w:r w:rsidRPr="00F84E9B">
        <w:t xml:space="preserve"> While most other evangelical and Pentecostal movements commence their doctrinal statements with reference to Scripture, the Tenets do not mention Scripture until the eighth position, between the Sacraments and Church government, and thus firmly within the context of ecclesiology. This order of the Tenets with the Trinity in first place was not accidental. Rather, the early leaders of the Apostolic Church were making clear their firm belief that the doctrine of the Trinity was th</w:t>
      </w:r>
      <w:r w:rsidR="007A4A1F">
        <w:t xml:space="preserve">e doctrine upon which all others </w:t>
      </w:r>
      <w:r w:rsidRPr="00F84E9B">
        <w:t>rest and fro</w:t>
      </w:r>
      <w:r w:rsidR="007A4A1F">
        <w:t xml:space="preserve">m which all others </w:t>
      </w:r>
      <w:r w:rsidRPr="00F84E9B">
        <w:t>derive their meaning. Hence, unsurprisingly, some of these early leaders devoted significant reflection to the doctrine of the Trinity.</w:t>
      </w:r>
    </w:p>
    <w:p w:rsidR="00062AED" w:rsidRPr="00F84E9B" w:rsidRDefault="00062AED" w:rsidP="009370EA">
      <w:pPr>
        <w:spacing w:line="360" w:lineRule="auto"/>
        <w:jc w:val="both"/>
      </w:pPr>
    </w:p>
    <w:p w:rsidR="00062AED" w:rsidRPr="00F84E9B" w:rsidRDefault="00062AED" w:rsidP="009370EA">
      <w:pPr>
        <w:pStyle w:val="PhDSubheading"/>
        <w:spacing w:line="360" w:lineRule="auto"/>
      </w:pPr>
      <w:r>
        <w:t xml:space="preserve">3.1 </w:t>
      </w:r>
      <w:r w:rsidRPr="00F84E9B">
        <w:t>D.P. Williams and Thomas Rees: The Trinity and the Trinitarian Undergirding of all Theology</w:t>
      </w:r>
    </w:p>
    <w:p w:rsidR="00062AED" w:rsidRDefault="00062AED" w:rsidP="009370EA">
      <w:pPr>
        <w:spacing w:line="360" w:lineRule="auto"/>
        <w:jc w:val="both"/>
      </w:pPr>
      <w:r>
        <w:t xml:space="preserve">In 1939 D.P. Williams wrote a two volume work entitled </w:t>
      </w:r>
      <w:r w:rsidRPr="00993A96">
        <w:rPr>
          <w:i/>
        </w:rPr>
        <w:t>The Trinity</w:t>
      </w:r>
      <w:r>
        <w:t>.</w:t>
      </w:r>
      <w:r>
        <w:rPr>
          <w:rStyle w:val="FootnoteReference"/>
        </w:rPr>
        <w:footnoteReference w:id="333"/>
      </w:r>
      <w:r>
        <w:t xml:space="preserve"> The draft was intended as the first in a series exploring the Tenets of the Apostolic Church. However, due to the outbreak of war, it was never published, and when, after the war and ensuing paper shortages concluded, a series of works on the Tenets was finally published, the volumes included in the series were much less substantial. In fact, these works were not published until after the death of Williams, and thus without any contribution from his pen.</w:t>
      </w:r>
    </w:p>
    <w:p w:rsidR="00062AED" w:rsidRDefault="00062AED" w:rsidP="009370EA">
      <w:pPr>
        <w:spacing w:line="360" w:lineRule="auto"/>
        <w:jc w:val="both"/>
      </w:pPr>
      <w:r>
        <w:t>When a volume on the Trinity was eventually published in the series of ‘Tenet Booklets’, it was a very short work by Thomas Rees.</w:t>
      </w:r>
      <w:r>
        <w:rPr>
          <w:rStyle w:val="FootnoteReference"/>
        </w:rPr>
        <w:footnoteReference w:id="334"/>
      </w:r>
      <w:r>
        <w:t xml:space="preserve"> However, this work by Rees had originally been included as a supplement to the second volume of Williams’ work, which indicates both that it was written much earlier than it was published and that Williams considered it sufficiently in line with his own </w:t>
      </w:r>
      <w:r>
        <w:lastRenderedPageBreak/>
        <w:t>though</w:t>
      </w:r>
      <w:r w:rsidR="003E1FE6">
        <w:t>t</w:t>
      </w:r>
      <w:r>
        <w:t xml:space="preserve"> to include it with his own writing.</w:t>
      </w:r>
      <w:r>
        <w:rPr>
          <w:rStyle w:val="FootnoteReference"/>
        </w:rPr>
        <w:footnoteReference w:id="335"/>
      </w:r>
      <w:r>
        <w:t xml:space="preserve"> Rees covered the eternal and personal nature of God, </w:t>
      </w:r>
      <w:r w:rsidR="000F4459">
        <w:t>h</w:t>
      </w:r>
      <w:r>
        <w:t xml:space="preserve">is relation to the Creation, </w:t>
      </w:r>
      <w:r w:rsidR="000F4459">
        <w:t>h</w:t>
      </w:r>
      <w:r>
        <w:t>is self-revelation, the three Trinitarian Persons, the deity of Christ, the deity and personality of the Spirit, Trinitarian taxis (including the monarchy of the Father), touched on the distinction between the immanent and economic Trinity, countered the ancient Trinitarian heresies, and, drawing explicitly on Origen and Augustine, discussed the question ‘What is the bond of the oneness, or what is the indissoluble union of the Three in One?’</w:t>
      </w:r>
      <w:r>
        <w:rPr>
          <w:rStyle w:val="FootnoteReference"/>
        </w:rPr>
        <w:footnoteReference w:id="336"/>
      </w:r>
      <w:r>
        <w:t>, which he finds in the Holy Spirit as the bond of love.</w:t>
      </w:r>
    </w:p>
    <w:p w:rsidR="00062AED" w:rsidRDefault="00062AED" w:rsidP="009370EA">
      <w:pPr>
        <w:spacing w:line="360" w:lineRule="auto"/>
        <w:jc w:val="both"/>
      </w:pPr>
      <w:r>
        <w:t>Despite its brevity, Ree</w:t>
      </w:r>
      <w:r w:rsidR="007C725E">
        <w:t>s’</w:t>
      </w:r>
      <w:r>
        <w:t xml:space="preserve"> overview of the Trinity is of great interest. First, it must be borne in mind that this was the work of a Pentecostal pastor; yet, </w:t>
      </w:r>
      <w:r w:rsidR="00366B86">
        <w:t>somewhat unexpectedly for an early Pentecostal writer,</w:t>
      </w:r>
      <w:r>
        <w:t xml:space="preserve"> he draws explicitly and implicitly on the writings of the Church Fathers, as well as more recent theological writers.</w:t>
      </w:r>
      <w:r>
        <w:rPr>
          <w:rStyle w:val="FootnoteReference"/>
        </w:rPr>
        <w:footnoteReference w:id="337"/>
      </w:r>
      <w:r w:rsidR="007C725E">
        <w:t xml:space="preserve"> Second</w:t>
      </w:r>
      <w:r>
        <w:t xml:space="preserve">, although glancing at the structure of his work one would expect Rees to be moving from the One to the Three, his discussion of the bond of oneness actually does the opposite; </w:t>
      </w:r>
      <w:r w:rsidRPr="002A244A">
        <w:t>in a characteristically Cappadocian fashion</w:t>
      </w:r>
      <w:r>
        <w:t xml:space="preserve">, Rees moves from the Three to the One. Third, for Rees only the Threeness of God can make any sense of the love of God: </w:t>
      </w:r>
    </w:p>
    <w:p w:rsidR="00062AED" w:rsidRPr="005316DE" w:rsidRDefault="00062AED" w:rsidP="009370EA">
      <w:pPr>
        <w:spacing w:line="360" w:lineRule="auto"/>
        <w:ind w:left="720" w:right="720"/>
        <w:jc w:val="both"/>
        <w:rPr>
          <w:sz w:val="20"/>
        </w:rPr>
      </w:pPr>
      <w:r w:rsidRPr="005316DE">
        <w:rPr>
          <w:sz w:val="20"/>
        </w:rPr>
        <w:t>For if God were not a Trinity in unity, on whom could His love have been lavished, when there was no-one eternally existent but only Himself as a solitary unit? … Therefore to deny the distinction of the Father, Son and Holy Ghost in the eternal Being of God is to make the love of God dependent on things created, and that would contradict the self-existence and the self-sufficiency of God … But we are not left in the dark as to upon whom the Father lavi</w:t>
      </w:r>
      <w:r w:rsidR="0098277B">
        <w:rPr>
          <w:sz w:val="20"/>
        </w:rPr>
        <w:t>shed His love. For in John xvii</w:t>
      </w:r>
      <w:r w:rsidRPr="005316DE">
        <w:rPr>
          <w:sz w:val="20"/>
        </w:rPr>
        <w:t>:24 we find Jesus declaring: ‘Father … Thou lovedst me before the foundation of the world.’</w:t>
      </w:r>
      <w:r w:rsidRPr="005316DE">
        <w:rPr>
          <w:rStyle w:val="FootnoteReference"/>
          <w:sz w:val="20"/>
        </w:rPr>
        <w:footnoteReference w:id="338"/>
      </w:r>
    </w:p>
    <w:p w:rsidR="00062AED" w:rsidRDefault="00062AED" w:rsidP="009370EA">
      <w:pPr>
        <w:spacing w:line="360" w:lineRule="auto"/>
        <w:jc w:val="both"/>
      </w:pPr>
      <w:r>
        <w:t>Not only does the Threeness of God make sense of His love, but the eternal fellowship of love shared by the Three Persons also constitutes their unity.</w:t>
      </w:r>
      <w:r>
        <w:rPr>
          <w:rStyle w:val="FootnoteReference"/>
        </w:rPr>
        <w:footnoteReference w:id="339"/>
      </w:r>
      <w:r>
        <w:t xml:space="preserve"> Rees is clear that the Three share one substance.</w:t>
      </w:r>
      <w:r>
        <w:rPr>
          <w:rStyle w:val="FootnoteReference"/>
        </w:rPr>
        <w:footnoteReference w:id="340"/>
      </w:r>
      <w:r>
        <w:t xml:space="preserve"> However, he does not proceed by first defining this divine substance and then moving onto the Three Persons, but rather grounds all thought of the nature of the divine substance in the revelation of the Three Persons.</w:t>
      </w:r>
    </w:p>
    <w:p w:rsidR="00062AED" w:rsidRDefault="00062AED" w:rsidP="009370EA">
      <w:pPr>
        <w:spacing w:line="360" w:lineRule="auto"/>
        <w:jc w:val="both"/>
      </w:pPr>
      <w:r>
        <w:t xml:space="preserve">Finally, Rees states unequivocally that ‘it is absolutely necessary to believe in the Trinity in the Divine Essence before we can fully grasp and appreciate the other doctrines of our faith’, calling it </w:t>
      </w:r>
      <w:r>
        <w:lastRenderedPageBreak/>
        <w:t>‘the most essential article of the Christian faith.’</w:t>
      </w:r>
      <w:r>
        <w:rPr>
          <w:rStyle w:val="FootnoteReference"/>
        </w:rPr>
        <w:footnoteReference w:id="341"/>
      </w:r>
      <w:r>
        <w:t xml:space="preserve"> For Rees, the Trinity is not simply a point to be affirmed, but rather a doctrine which undergirds the whole of Christian theology and the Christian life. For Rees, the doctrine of the Trinity really does make a difference.</w:t>
      </w:r>
    </w:p>
    <w:p w:rsidR="00062AED" w:rsidRDefault="00062AED" w:rsidP="009370EA">
      <w:pPr>
        <w:spacing w:line="360" w:lineRule="auto"/>
        <w:jc w:val="both"/>
      </w:pPr>
      <w:r>
        <w:t>Unlike Rees, D.P. Williams started with the One before moving to the Three. He commences his first volume on the Trinity with the standard arguments for the existence of God, before moving on to His attributes, names and titles.</w:t>
      </w:r>
      <w:r>
        <w:rPr>
          <w:rStyle w:val="FootnoteReference"/>
        </w:rPr>
        <w:footnoteReference w:id="342"/>
      </w:r>
      <w:r>
        <w:t xml:space="preserve"> Only then does Williams’ examination of God turn to the concept of Trinity.</w:t>
      </w:r>
      <w:r>
        <w:rPr>
          <w:rStyle w:val="FootnoteReference"/>
        </w:rPr>
        <w:footnoteReference w:id="343"/>
      </w:r>
      <w:r>
        <w:t xml:space="preserve"> And in doing so, he initially appears to place the priority upon the one divine essence rather than upon the Trinitarian persons.</w:t>
      </w:r>
      <w:r>
        <w:rPr>
          <w:rStyle w:val="FootnoteReference"/>
        </w:rPr>
        <w:footnoteReference w:id="344"/>
      </w:r>
      <w:r>
        <w:t xml:space="preserve"> </w:t>
      </w:r>
      <w:r w:rsidR="001F61DB">
        <w:t>Despite this</w:t>
      </w:r>
      <w:r>
        <w:t>, the overall structure of his two volume work points in a different direction. Although the first third of the first volume concentrates on the One, the remaining two thirds of volume one and the whole of volume two concentrate on the three Persons.  It is at this point that Williams’ work appears to depart from standard evangelical treatments of the doctrine of the Trinity, for his consideration of the three Trinitarian persons envelops not only the deity, but the entire scope of the work of the Father, Son and Holy Spirit. In other words, Williams’ treatment of the three Trinitarian persons is not simply a demonstration that each is God, thus allowing for a continued priority of the divine essence over the Trinitarian persons, but rather, for Williams the Trinity can only truly be known through knowing the three Persons. He insists that ‘[w]e cannot deal with the Divine unity of the Godhead independently of its three-fold nature’</w:t>
      </w:r>
      <w:r>
        <w:rPr>
          <w:rStyle w:val="FootnoteReference"/>
        </w:rPr>
        <w:footnoteReference w:id="345"/>
      </w:r>
      <w:r>
        <w:t>, and is adamant that ‘God is not a monad, isolated and alone, but exists … in three Persons in the eternal essence … Three Persons, not one apart or outside the other, but within the divine essence.’</w:t>
      </w:r>
      <w:r>
        <w:rPr>
          <w:rStyle w:val="FootnoteReference"/>
        </w:rPr>
        <w:footnoteReference w:id="346"/>
      </w:r>
      <w:r>
        <w:t xml:space="preserve"> Hence a consideration of their work is necessary </w:t>
      </w:r>
      <w:r w:rsidR="00A20286">
        <w:t>for</w:t>
      </w:r>
      <w:r>
        <w:t xml:space="preserve"> knowledge of the Trinity. </w:t>
      </w:r>
    </w:p>
    <w:p w:rsidR="00062AED" w:rsidRDefault="00062AED" w:rsidP="009370EA">
      <w:pPr>
        <w:spacing w:line="360" w:lineRule="auto"/>
        <w:jc w:val="both"/>
      </w:pPr>
      <w:r>
        <w:t>Having already briefly considered matters of taxis and the eternal generation of the Son,</w:t>
      </w:r>
      <w:r>
        <w:rPr>
          <w:rStyle w:val="FootnoteReference"/>
        </w:rPr>
        <w:footnoteReference w:id="347"/>
      </w:r>
      <w:r>
        <w:t xml:space="preserve"> Williams commences </w:t>
      </w:r>
      <w:r w:rsidR="00B84961">
        <w:t>h</w:t>
      </w:r>
      <w:r>
        <w:t xml:space="preserve">is examination of the three Persons with the Father, arguing that the Fatherhood of God demonstrates the necessity of the doctrine of the Trinity. ‘If it were His relation with celestial creations such as angels, or with man, that made His Fatherhood possible, then there was a beginning to His Fatherhood; and the most glorious part of His nature would </w:t>
      </w:r>
      <w:r>
        <w:lastRenderedPageBreak/>
        <w:t>thus be related only to His creatures’.</w:t>
      </w:r>
      <w:r>
        <w:rPr>
          <w:rStyle w:val="FootnoteReference"/>
        </w:rPr>
        <w:footnoteReference w:id="348"/>
      </w:r>
      <w:r>
        <w:t xml:space="preserve"> Instead, this is ‘the basic doctrine of the Christian faith … that God is the Father, and that He has a Son within His essence, eternally.’</w:t>
      </w:r>
      <w:r>
        <w:rPr>
          <w:rStyle w:val="FootnoteReference"/>
        </w:rPr>
        <w:footnoteReference w:id="349"/>
      </w:r>
      <w:r>
        <w:t xml:space="preserve"> Here again we catch a glimpse of a parting of the ways from the early chapters of the volume. No longer does the divine essence stand over the three persons, but rather the essence is associated closely with the Father. Williams</w:t>
      </w:r>
      <w:r w:rsidR="00B84961">
        <w:t>’</w:t>
      </w:r>
      <w:r>
        <w:t xml:space="preserve"> concept of the Trinity now </w:t>
      </w:r>
      <w:r w:rsidRPr="00302B8D">
        <w:t>moves in a more Cappadocian direction</w:t>
      </w:r>
      <w:r>
        <w:t xml:space="preserve"> with emphasis on the monarchy of the Father and the eternal generation of the Son.</w:t>
      </w:r>
      <w:r>
        <w:rPr>
          <w:rStyle w:val="FootnoteReference"/>
        </w:rPr>
        <w:footnoteReference w:id="350"/>
      </w:r>
    </w:p>
    <w:p w:rsidR="00062AED" w:rsidRDefault="00062AED" w:rsidP="009370EA">
      <w:pPr>
        <w:spacing w:line="360" w:lineRule="auto"/>
        <w:jc w:val="both"/>
      </w:pPr>
      <w:r>
        <w:t>Williams is clear that, not only is it the eternal generation of the Son that is the Father’s Fatherhood, but also that it is only through the Son that we can know God as Father.</w:t>
      </w:r>
      <w:r>
        <w:rPr>
          <w:rStyle w:val="FootnoteReference"/>
        </w:rPr>
        <w:footnoteReference w:id="351"/>
      </w:r>
      <w:r>
        <w:t xml:space="preserve">  In the second volume, Williams moves on to consider in more detail the Son who reveals the Father, examining His person and His incarnation (including His incarnate work) and finally concludes with the person and work of the Holy Spirit. And then, at the very end he appends Rees’ work. Thus, although he may seem initially to prioritise the divine essence, as his work progresses it is clear that William</w:t>
      </w:r>
      <w:r w:rsidR="00B84961">
        <w:t>s’</w:t>
      </w:r>
      <w:r>
        <w:t xml:space="preserve"> emphasis is on the three persons, and the addition of Rees’ work to his own only serves to confirm this analysis.</w:t>
      </w:r>
    </w:p>
    <w:p w:rsidR="00062AED" w:rsidRDefault="00062AED" w:rsidP="009370EA">
      <w:pPr>
        <w:spacing w:line="360" w:lineRule="auto"/>
        <w:jc w:val="both"/>
      </w:pPr>
      <w:r>
        <w:t xml:space="preserve">Thus from the Trinitarian reflections of Williams and Rees, we see a Trinitarianism that is firmly rooted </w:t>
      </w:r>
      <w:r w:rsidRPr="006755B7">
        <w:t>in the Cappadocian tradition</w:t>
      </w:r>
      <w:r>
        <w:t>, emphasising the loving fellowship of the three Trinitarian persons, yet firmly anchored in the monarchy of the Father and the eternal generation of the Son.</w:t>
      </w:r>
    </w:p>
    <w:p w:rsidR="00062AED" w:rsidRDefault="00062AED" w:rsidP="009370EA">
      <w:pPr>
        <w:spacing w:line="360" w:lineRule="auto"/>
        <w:jc w:val="both"/>
      </w:pPr>
      <w:r>
        <w:t>Where does Williams see the unity of the Trinity? Partly this unity is found through the monarchy of the Father. ‘The Father is, in very truth, the Father; the Son is the Father’s Son, while the Holy Spirit comes forth from the Father and the Son.’</w:t>
      </w:r>
      <w:r>
        <w:rPr>
          <w:rStyle w:val="FootnoteReference"/>
        </w:rPr>
        <w:footnoteReference w:id="352"/>
      </w:r>
      <w:r>
        <w:t xml:space="preserve"> Further clarifying, he writes that ‘the oneness of the Trinity [is] in the one God and Father’.</w:t>
      </w:r>
      <w:r>
        <w:rPr>
          <w:rStyle w:val="FootnoteReference"/>
        </w:rPr>
        <w:footnoteReference w:id="353"/>
      </w:r>
      <w:r>
        <w:t xml:space="preserve"> But is Williams simply referring to relations of origin here in finding the oneness of the Trinity in the Father? No. Although the relations of origin are of great importance in his thought, they are also accompanied by two other aspects. First, perichoresis: the Son and Spirit are not only begotten and spirated respectively by the Father, but also mutually indwell the Father (and one another). Williams locates the unity ‘in’ the Father, and writes elsewhere of the ‘three persons, no one apart or outside the other, but within the divine essence.’</w:t>
      </w:r>
      <w:r>
        <w:rPr>
          <w:rStyle w:val="FootnoteReference"/>
        </w:rPr>
        <w:footnoteReference w:id="354"/>
      </w:r>
      <w:r>
        <w:t xml:space="preserve"> This all points to the significance of perichoresis in the unity of the Trinity. Second, </w:t>
      </w:r>
      <w:r>
        <w:lastRenderedPageBreak/>
        <w:t xml:space="preserve">Williams points to the nature of the Father’s Fatherhood. It is not simply that He is the Father </w:t>
      </w:r>
      <w:r w:rsidRPr="005245F4">
        <w:rPr>
          <w:i/>
        </w:rPr>
        <w:t>qua</w:t>
      </w:r>
      <w:r>
        <w:t xml:space="preserve"> monarch, but rather He is the loving Father who eternally loves His Son in the Spirit. ‘The very name “Father” is the expression of His loving nature.’</w:t>
      </w:r>
      <w:r>
        <w:rPr>
          <w:rStyle w:val="FootnoteReference"/>
        </w:rPr>
        <w:footnoteReference w:id="355"/>
      </w:r>
      <w:r>
        <w:t xml:space="preserve"> ‘”God is love”, and must have an object from eternity to love.’</w:t>
      </w:r>
      <w:r>
        <w:rPr>
          <w:rStyle w:val="FootnoteReference"/>
        </w:rPr>
        <w:footnoteReference w:id="356"/>
      </w:r>
      <w:r>
        <w:t xml:space="preserve"> His identity as the Triune God is then found in this eternal fellowship of love between Father, Son and Holy Spirit.</w:t>
      </w:r>
      <w:r>
        <w:rPr>
          <w:rStyle w:val="FootnoteReference"/>
        </w:rPr>
        <w:footnoteReference w:id="357"/>
      </w:r>
      <w:r>
        <w:t xml:space="preserve"> So the Father, Son and Holy Spirit are three persons united in love.</w:t>
      </w:r>
    </w:p>
    <w:p w:rsidR="00062AED" w:rsidRDefault="00062AED" w:rsidP="009370EA">
      <w:pPr>
        <w:spacing w:line="360" w:lineRule="auto"/>
        <w:jc w:val="both"/>
      </w:pPr>
      <w:r>
        <w:t>In fact, for Williams, ‘the essence of the Triune God is love.’</w:t>
      </w:r>
      <w:r>
        <w:rPr>
          <w:rStyle w:val="FootnoteReference"/>
        </w:rPr>
        <w:footnoteReference w:id="358"/>
      </w:r>
      <w:r>
        <w:t xml:space="preserve"> Love is ‘the essence of His nature, the quality of His Divine substance.’</w:t>
      </w:r>
      <w:r>
        <w:rPr>
          <w:rStyle w:val="FootnoteReference"/>
        </w:rPr>
        <w:footnoteReference w:id="359"/>
      </w:r>
      <w:r>
        <w:t xml:space="preserve"> His nature is to eternally exist in loving fellowship.</w:t>
      </w:r>
      <w:r>
        <w:rPr>
          <w:rStyle w:val="FootnoteReference"/>
        </w:rPr>
        <w:footnoteReference w:id="360"/>
      </w:r>
    </w:p>
    <w:p w:rsidR="00062AED" w:rsidRDefault="00062AED" w:rsidP="009370EA">
      <w:pPr>
        <w:spacing w:line="360" w:lineRule="auto"/>
        <w:jc w:val="both"/>
      </w:pPr>
      <w:r>
        <w:t>Such Trinitarian reflection is particularly of note given that there were no disputes regarding the doctrine of the Trinity within British Pentecostalism, in contrast to North America. While American Pentecostals had every reason to give sustained theological attention to the doctrine of the Trinity, they did not;</w:t>
      </w:r>
      <w:r>
        <w:rPr>
          <w:rStyle w:val="FootnoteReference"/>
        </w:rPr>
        <w:footnoteReference w:id="361"/>
      </w:r>
      <w:r>
        <w:t xml:space="preserve"> whilst the British Apostolics, who had no pressing contextual reasons for such reflection, did. This is suggestive of the significance of Trinitarian thought to their overarching vision.</w:t>
      </w:r>
    </w:p>
    <w:p w:rsidR="00062AED" w:rsidRDefault="00062AED" w:rsidP="009370EA">
      <w:pPr>
        <w:spacing w:line="360" w:lineRule="auto"/>
        <w:jc w:val="both"/>
      </w:pPr>
    </w:p>
    <w:p w:rsidR="00062AED" w:rsidRPr="00D006D9" w:rsidRDefault="00062AED" w:rsidP="009370EA">
      <w:pPr>
        <w:pStyle w:val="PhDSubheading"/>
        <w:spacing w:line="360" w:lineRule="auto"/>
      </w:pPr>
      <w:r>
        <w:t xml:space="preserve">3.2 </w:t>
      </w:r>
      <w:r w:rsidRPr="00D006D9">
        <w:t>The Trinitarian Hymnody of D.P. Williams</w:t>
      </w:r>
    </w:p>
    <w:p w:rsidR="00062AED" w:rsidRDefault="00062AED" w:rsidP="009370EA">
      <w:pPr>
        <w:spacing w:line="360" w:lineRule="auto"/>
        <w:jc w:val="both"/>
      </w:pPr>
      <w:r>
        <w:t xml:space="preserve">Williams was also an active writer in a very different genre: Welsh hymnody. Thirty three of the hymns contained in the </w:t>
      </w:r>
      <w:r w:rsidR="00133AD5">
        <w:t>second</w:t>
      </w:r>
      <w:r>
        <w:t xml:space="preserve"> Welsh language hymnbook of the Apostolic Church, </w:t>
      </w:r>
      <w:r w:rsidRPr="002D009A">
        <w:rPr>
          <w:i/>
        </w:rPr>
        <w:t>Molwch Ef!</w:t>
      </w:r>
      <w:r>
        <w:t xml:space="preserve">, were composed by Williams, and a further four were translated by him from English. In the church’s next Welsh hymnbook, </w:t>
      </w:r>
      <w:r w:rsidRPr="002D009A">
        <w:rPr>
          <w:i/>
        </w:rPr>
        <w:t>Molwch Dduw!</w:t>
      </w:r>
      <w:r>
        <w:t>, 106 hymns were from the pen of D.P. Williams, and an additional nineteen were his translations from English.</w:t>
      </w:r>
      <w:r>
        <w:rPr>
          <w:rStyle w:val="FootnoteReference"/>
        </w:rPr>
        <w:footnoteReference w:id="362"/>
      </w:r>
    </w:p>
    <w:p w:rsidR="00062AED" w:rsidRDefault="00062AED" w:rsidP="009370EA">
      <w:pPr>
        <w:spacing w:line="360" w:lineRule="auto"/>
        <w:jc w:val="both"/>
      </w:pPr>
      <w:r>
        <w:lastRenderedPageBreak/>
        <w:t>Walter J. Hollenweger, one of the first major scholars in the field of Pentecostal Studies, pointed to the significance of hymnody in Pentecostal theology and spirituality.</w:t>
      </w:r>
    </w:p>
    <w:p w:rsidR="00062AED" w:rsidRPr="001A0E6E" w:rsidRDefault="00062AED" w:rsidP="009370EA">
      <w:pPr>
        <w:spacing w:line="360" w:lineRule="auto"/>
        <w:ind w:left="720" w:right="720"/>
        <w:jc w:val="both"/>
        <w:rPr>
          <w:sz w:val="20"/>
        </w:rPr>
      </w:pPr>
      <w:r w:rsidRPr="001A0E6E">
        <w:rPr>
          <w:sz w:val="20"/>
        </w:rPr>
        <w:t>Hymns are more decisive in their influence on the religious beliefs and practices of Pentecostals than is the literature of the Pentecostal movement. A Pentecostal lives with his hymns. He knows fifty or a hundred hymns, with several verses, by heart as well as innumerable choruses.</w:t>
      </w:r>
      <w:r>
        <w:rPr>
          <w:rStyle w:val="FootnoteReference"/>
          <w:sz w:val="20"/>
        </w:rPr>
        <w:footnoteReference w:id="363"/>
      </w:r>
    </w:p>
    <w:p w:rsidR="00062AED" w:rsidRDefault="00062AED" w:rsidP="009370EA">
      <w:pPr>
        <w:spacing w:line="360" w:lineRule="auto"/>
        <w:jc w:val="both"/>
      </w:pPr>
      <w:r>
        <w:t xml:space="preserve">For Hollenweger, Pentecostal theology is to be found </w:t>
      </w:r>
      <w:r w:rsidR="008F20F6">
        <w:t xml:space="preserve">not </w:t>
      </w:r>
      <w:r>
        <w:t xml:space="preserve">in ‘the </w:t>
      </w:r>
      <w:r w:rsidRPr="002D5CAF">
        <w:rPr>
          <w:i/>
        </w:rPr>
        <w:t>summa theologica</w:t>
      </w:r>
      <w:r>
        <w:t xml:space="preserve"> but the song’.</w:t>
      </w:r>
      <w:r>
        <w:rPr>
          <w:rStyle w:val="FootnoteReference"/>
        </w:rPr>
        <w:footnoteReference w:id="364"/>
      </w:r>
      <w:r>
        <w:t xml:space="preserve"> Steven Land has likewise pointed to the role of hymnody in the ‘oral-narrative formation’ of Pentecostals.</w:t>
      </w:r>
      <w:r>
        <w:rPr>
          <w:rStyle w:val="FootnoteReference"/>
        </w:rPr>
        <w:footnoteReference w:id="365"/>
      </w:r>
      <w:r>
        <w:t xml:space="preserve"> Consequently, hymns from the pen of one of the major early leaders of Pentecostalism in the UK, particularly when they constitute up to 25% of the contents of a denominational hymnbook,</w:t>
      </w:r>
      <w:r>
        <w:rPr>
          <w:rStyle w:val="FootnoteReference"/>
        </w:rPr>
        <w:footnoteReference w:id="366"/>
      </w:r>
      <w:r>
        <w:t xml:space="preserve"> should be of significant interest in the exploration of British Pentecostal theology.</w:t>
      </w:r>
    </w:p>
    <w:p w:rsidR="00062AED" w:rsidRDefault="00062AED" w:rsidP="009370EA">
      <w:pPr>
        <w:spacing w:line="360" w:lineRule="auto"/>
        <w:jc w:val="both"/>
      </w:pPr>
      <w:r>
        <w:t>One of the most striking features of Williams’ hymnody is its stark contrast, not only from typical present-day Pentecostal and charismatic worship songs, but also from the English-language revivalist hymnody of the period. As D.L. Alford has pointed out, although the hymns of Wesley and Watts had their place within early American Pentecostalism, it was the ‘gospel hymn’ and ‘gospel song’ which played the key roles in the earlier period of much of Pentecostal hymnody in the English language, particularly in North America.</w:t>
      </w:r>
      <w:r>
        <w:rPr>
          <w:rStyle w:val="FootnoteReference"/>
        </w:rPr>
        <w:footnoteReference w:id="367"/>
      </w:r>
      <w:r>
        <w:t xml:space="preserve"> These genres of hymnody have a tendency to focus on the subjective experience of the Christian and function as a ‘song of testimony’.</w:t>
      </w:r>
      <w:r>
        <w:rPr>
          <w:rStyle w:val="FootnoteReference"/>
        </w:rPr>
        <w:footnoteReference w:id="368"/>
      </w:r>
      <w:r>
        <w:t xml:space="preserve"> As Meghan Musy notes (from a North American perspective), ‘[t]he hymns and choruses that emerged from and were popular in the Pentecostal movement accentuated the personal and spiritual’</w:t>
      </w:r>
      <w:r>
        <w:rPr>
          <w:rStyle w:val="FootnoteReference"/>
        </w:rPr>
        <w:footnoteReference w:id="369"/>
      </w:r>
      <w:r>
        <w:t>, and ‘[t]hese songs focus on the immediate and emotional benefits of a relationship with God, such as assurance, peace, and personal fulfilment.’</w:t>
      </w:r>
      <w:r>
        <w:rPr>
          <w:rStyle w:val="FootnoteReference"/>
        </w:rPr>
        <w:footnoteReference w:id="370"/>
      </w:r>
    </w:p>
    <w:p w:rsidR="00062AED" w:rsidRDefault="00062AED" w:rsidP="009370EA">
      <w:pPr>
        <w:spacing w:line="360" w:lineRule="auto"/>
        <w:jc w:val="both"/>
      </w:pPr>
      <w:r>
        <w:t xml:space="preserve">While not utterly devoid of the subjective or any testimonial aspect, the hymns of Williams do not generally fall within these accepted parameters of Pentecostal hymnody. Rather, his hymns fit much more closely within the wider tradition of Welsh-language hymnody, often taking up </w:t>
      </w:r>
      <w:r>
        <w:lastRenderedPageBreak/>
        <w:t xml:space="preserve">similar themes to the hymns of William Williams Pantycelyn or Ann Griffiths (numerous examples of the hymns of each of which appear alongside those of D.P. Williams in </w:t>
      </w:r>
      <w:r w:rsidRPr="00C60DF1">
        <w:rPr>
          <w:i/>
        </w:rPr>
        <w:t>Molwch Dduw</w:t>
      </w:r>
      <w:r>
        <w:t xml:space="preserve">). As for similarities within the non-Welsh hymnodic tradition, it is of no surprise that </w:t>
      </w:r>
      <w:r w:rsidRPr="00B21DCF">
        <w:rPr>
          <w:i/>
        </w:rPr>
        <w:t>Molwch Dduw</w:t>
      </w:r>
      <w:r>
        <w:t xml:space="preserve"> also contains translations of works by Isaac Watts, Charles Wesley and Martin Luther.</w:t>
      </w:r>
    </w:p>
    <w:p w:rsidR="00062AED" w:rsidRDefault="00062AED" w:rsidP="009370EA">
      <w:pPr>
        <w:spacing w:line="360" w:lineRule="auto"/>
        <w:jc w:val="both"/>
      </w:pPr>
      <w:r>
        <w:t>The major subjects of Williams’ hymns are the great themes of Christian theology: the blood of Christ/the Cross/Atonement, the Incarnation, and the Trinity. ‘Gwerth y Gwaed’ (the value of the blood) appears to be a favourite expression, occurring in numerous hymns.</w:t>
      </w:r>
      <w:r>
        <w:rPr>
          <w:rStyle w:val="FootnoteReference"/>
        </w:rPr>
        <w:footnoteReference w:id="371"/>
      </w:r>
      <w:r>
        <w:t xml:space="preserve"> Other subjects of significance in Williams’ hymns are perhaps less expected: election, the covenant of grace, and the intra-Trinitarian covenant of redemption. These subjects are not generally considered typical of Pentecostal theology, and yet they play a significant role in the thought of Williams (and other early Apostolics).</w:t>
      </w:r>
    </w:p>
    <w:p w:rsidR="00062AED" w:rsidRDefault="00062AED" w:rsidP="009370EA">
      <w:pPr>
        <w:spacing w:line="360" w:lineRule="auto"/>
        <w:jc w:val="both"/>
      </w:pPr>
      <w:r>
        <w:t xml:space="preserve">Our focus here </w:t>
      </w:r>
      <w:r w:rsidR="00A47C54">
        <w:t>is</w:t>
      </w:r>
      <w:r>
        <w:t xml:space="preserve"> on the Trinitarian theology expressed in D.P. Williams’ hymns, which we shall consider under four aspects: the Economic Trinity, the Immanent Trinity, the Trinitarian Covenant of Redemption, and the Eternal Purpose of the Triune God.</w:t>
      </w:r>
    </w:p>
    <w:p w:rsidR="00062AED" w:rsidRDefault="00062AED" w:rsidP="009370EA">
      <w:pPr>
        <w:spacing w:line="360" w:lineRule="auto"/>
        <w:jc w:val="both"/>
      </w:pPr>
    </w:p>
    <w:p w:rsidR="00062AED" w:rsidRPr="00CE54F4" w:rsidRDefault="00062AED" w:rsidP="009370EA">
      <w:pPr>
        <w:pStyle w:val="PhDSubheading"/>
        <w:spacing w:line="360" w:lineRule="auto"/>
      </w:pPr>
      <w:r>
        <w:t xml:space="preserve">3.2.1 </w:t>
      </w:r>
      <w:r w:rsidRPr="00CE54F4">
        <w:t>The Economic Trinity</w:t>
      </w:r>
    </w:p>
    <w:p w:rsidR="00062AED" w:rsidRDefault="00062AED" w:rsidP="009370EA">
      <w:pPr>
        <w:spacing w:line="360" w:lineRule="auto"/>
        <w:jc w:val="both"/>
      </w:pPr>
      <w:r>
        <w:t>The Ecomomic Trinity is well-represented in Williams’ hymns, which exhibit neither the collapsing of the Trinity into a general address to ‘God’ typical of late 20</w:t>
      </w:r>
      <w:r w:rsidRPr="00C30CFF">
        <w:rPr>
          <w:vertAlign w:val="superscript"/>
        </w:rPr>
        <w:t>th</w:t>
      </w:r>
      <w:r>
        <w:t xml:space="preserve"> and early 21</w:t>
      </w:r>
      <w:r w:rsidRPr="00C30CFF">
        <w:rPr>
          <w:vertAlign w:val="superscript"/>
        </w:rPr>
        <w:t>st</w:t>
      </w:r>
      <w:r>
        <w:t xml:space="preserve"> Century Pentecostal and charismatic worship songs, nor a Christomonism which may have been more typical of the earlier period. In Williams’ hymns we see Christ pray to His Father in the Garden of Gethsemane</w:t>
      </w:r>
      <w:r>
        <w:rPr>
          <w:rStyle w:val="FootnoteReference"/>
        </w:rPr>
        <w:footnoteReference w:id="372"/>
      </w:r>
      <w:r>
        <w:t>, how the love and grace of the Triune God Himself flow to us through the Cross of Christ</w:t>
      </w:r>
      <w:r>
        <w:rPr>
          <w:rStyle w:val="FootnoteReference"/>
        </w:rPr>
        <w:footnoteReference w:id="373"/>
      </w:r>
      <w:r>
        <w:t>, and the involvement of each of the Triune persons in the provision, accomplishment, application, and goal of redemption.</w:t>
      </w:r>
      <w:r>
        <w:rPr>
          <w:rStyle w:val="FootnoteReference"/>
        </w:rPr>
        <w:footnoteReference w:id="374"/>
      </w:r>
      <w:r>
        <w:t xml:space="preserve"> Particularly significant for Pentecostal thought, Williams also sets the ministry of the Holy Spirit firmly within a Trinitarian framework.</w:t>
      </w:r>
      <w:r>
        <w:rPr>
          <w:rStyle w:val="FootnoteReference"/>
        </w:rPr>
        <w:footnoteReference w:id="375"/>
      </w:r>
      <w:r>
        <w:t xml:space="preserve"> The role of the Holy Spirit and His work is to reveal Christ and lead us to the blood.</w:t>
      </w:r>
      <w:r>
        <w:rPr>
          <w:rStyle w:val="FootnoteReference"/>
        </w:rPr>
        <w:footnoteReference w:id="376"/>
      </w:r>
      <w:r>
        <w:t xml:space="preserve"> The giving of the Holy Spirit </w:t>
      </w:r>
      <w:r>
        <w:lastRenderedPageBreak/>
        <w:t>is also seen as flowing from the Cross of Christ.</w:t>
      </w:r>
      <w:r>
        <w:rPr>
          <w:rStyle w:val="FootnoteReference"/>
        </w:rPr>
        <w:footnoteReference w:id="377"/>
      </w:r>
      <w:r>
        <w:t xml:space="preserve"> This sets the baptism of the Holy Spirit, and all experience of the Holy Spirit, firmly within a Trinitarian context.</w:t>
      </w:r>
    </w:p>
    <w:p w:rsidR="00062AED" w:rsidRDefault="00062AED" w:rsidP="009370EA">
      <w:pPr>
        <w:spacing w:line="360" w:lineRule="auto"/>
        <w:jc w:val="both"/>
        <w:rPr>
          <w:lang w:val="cy-GB"/>
        </w:rPr>
      </w:pPr>
      <w:r>
        <w:t xml:space="preserve">In this regard Williams’ single hymn listed under the rubric of ‘Yr Ysbryd Glan: Y Bedydd a’r Cyflenwad’ (The Holy Spirit: The Baptism and </w:t>
      </w:r>
      <w:r w:rsidR="00C84319">
        <w:t>Abundant Filling</w:t>
      </w:r>
      <w:r>
        <w:t xml:space="preserve">) is also of great significance. </w:t>
      </w:r>
      <w:r>
        <w:rPr>
          <w:lang w:val="cy-GB"/>
        </w:rPr>
        <w:t xml:space="preserve">This is the only hymn written by the leader of one of Britain’s </w:t>
      </w:r>
      <w:r w:rsidR="007C0E03">
        <w:rPr>
          <w:lang w:val="cy-GB"/>
        </w:rPr>
        <w:t>three Pentecostal denominations</w:t>
      </w:r>
      <w:r>
        <w:rPr>
          <w:lang w:val="cy-GB"/>
        </w:rPr>
        <w:t xml:space="preserve"> about the Pentecostal distinctive of the Baptism in the Holy Spirit. Yet, this hymn does not fit into the expected narrative of Pentecostal thinking on the Pentecostal distinctive. My free-verse translation follows the orginal Welsh below:</w:t>
      </w:r>
    </w:p>
    <w:p w:rsidR="00062AED" w:rsidRPr="009F2F7E" w:rsidRDefault="00062AED" w:rsidP="009370EA">
      <w:pPr>
        <w:spacing w:after="0" w:line="360" w:lineRule="auto"/>
        <w:ind w:left="720"/>
        <w:rPr>
          <w:sz w:val="20"/>
          <w:lang w:val="cy-GB"/>
        </w:rPr>
      </w:pPr>
      <w:r w:rsidRPr="009F2F7E">
        <w:rPr>
          <w:sz w:val="20"/>
          <w:lang w:val="cy-GB"/>
        </w:rPr>
        <w:t>Clywch yr alwad, rhai sychedig,</w:t>
      </w:r>
    </w:p>
    <w:p w:rsidR="00062AED" w:rsidRPr="009F2F7E" w:rsidRDefault="00062AED" w:rsidP="009370EA">
      <w:pPr>
        <w:spacing w:after="0" w:line="360" w:lineRule="auto"/>
        <w:ind w:left="720"/>
        <w:rPr>
          <w:sz w:val="20"/>
          <w:lang w:val="cy-GB"/>
        </w:rPr>
      </w:pPr>
      <w:r w:rsidRPr="009F2F7E">
        <w:rPr>
          <w:sz w:val="20"/>
          <w:lang w:val="cy-GB"/>
        </w:rPr>
        <w:t>Dewch i’r dyfroedd, dewch yn awr;</w:t>
      </w:r>
    </w:p>
    <w:p w:rsidR="00062AED" w:rsidRPr="009F2F7E" w:rsidRDefault="00062AED" w:rsidP="009370EA">
      <w:pPr>
        <w:spacing w:after="0" w:line="360" w:lineRule="auto"/>
        <w:ind w:left="720"/>
        <w:rPr>
          <w:sz w:val="20"/>
          <w:lang w:val="cy-GB"/>
        </w:rPr>
      </w:pPr>
      <w:r w:rsidRPr="009F2F7E">
        <w:rPr>
          <w:sz w:val="20"/>
          <w:lang w:val="cy-GB"/>
        </w:rPr>
        <w:t>Llaeth a gwin sydd i’r lluddedig,</w:t>
      </w:r>
    </w:p>
    <w:p w:rsidR="00062AED" w:rsidRPr="009F2F7E" w:rsidRDefault="00062AED" w:rsidP="009370EA">
      <w:pPr>
        <w:spacing w:after="0" w:line="360" w:lineRule="auto"/>
        <w:ind w:left="720"/>
        <w:rPr>
          <w:sz w:val="20"/>
          <w:lang w:val="cy-GB"/>
        </w:rPr>
      </w:pPr>
      <w:r w:rsidRPr="009F2F7E">
        <w:rPr>
          <w:sz w:val="20"/>
          <w:lang w:val="cy-GB"/>
        </w:rPr>
        <w:t>Mae’r ddarpariaeth i chwi’n fawr.</w:t>
      </w:r>
    </w:p>
    <w:p w:rsidR="00062AED" w:rsidRPr="009F2F7E" w:rsidRDefault="00062AED" w:rsidP="009370EA">
      <w:pPr>
        <w:spacing w:after="0" w:line="360" w:lineRule="auto"/>
        <w:ind w:left="720"/>
        <w:rPr>
          <w:sz w:val="20"/>
          <w:lang w:val="cy-GB"/>
        </w:rPr>
      </w:pPr>
      <w:r w:rsidRPr="009F2F7E">
        <w:rPr>
          <w:sz w:val="20"/>
          <w:lang w:val="cy-GB"/>
        </w:rPr>
        <w:t xml:space="preserve">Tarddu mae y ffrydiau gloewon, </w:t>
      </w:r>
    </w:p>
    <w:p w:rsidR="00062AED" w:rsidRPr="009F2F7E" w:rsidRDefault="00062AED" w:rsidP="009370EA">
      <w:pPr>
        <w:spacing w:after="0" w:line="360" w:lineRule="auto"/>
        <w:ind w:left="720"/>
        <w:rPr>
          <w:sz w:val="20"/>
          <w:lang w:val="cy-GB"/>
        </w:rPr>
      </w:pPr>
      <w:r w:rsidRPr="009F2F7E">
        <w:rPr>
          <w:sz w:val="20"/>
          <w:lang w:val="cy-GB"/>
        </w:rPr>
        <w:t>O’r cyflawnder ar y Groes,</w:t>
      </w:r>
    </w:p>
    <w:p w:rsidR="00062AED" w:rsidRPr="009F2F7E" w:rsidRDefault="00062AED" w:rsidP="009370EA">
      <w:pPr>
        <w:spacing w:after="0" w:line="360" w:lineRule="auto"/>
        <w:ind w:left="720"/>
        <w:rPr>
          <w:sz w:val="20"/>
          <w:lang w:val="cy-GB"/>
        </w:rPr>
      </w:pPr>
      <w:r w:rsidRPr="009F2F7E">
        <w:rPr>
          <w:sz w:val="20"/>
          <w:lang w:val="cy-GB"/>
        </w:rPr>
        <w:t>Mae’r ddarpariaeth yno’n ddigon,</w:t>
      </w:r>
    </w:p>
    <w:p w:rsidR="00062AED" w:rsidRPr="009F2F7E" w:rsidRDefault="00062AED" w:rsidP="009370EA">
      <w:pPr>
        <w:spacing w:after="0" w:line="360" w:lineRule="auto"/>
        <w:ind w:left="720"/>
        <w:rPr>
          <w:sz w:val="20"/>
          <w:lang w:val="cy-GB"/>
        </w:rPr>
      </w:pPr>
      <w:r w:rsidRPr="009F2F7E">
        <w:rPr>
          <w:sz w:val="20"/>
          <w:lang w:val="cy-GB"/>
        </w:rPr>
        <w:t>I’r sychedig ym mhob oes!</w:t>
      </w:r>
    </w:p>
    <w:p w:rsidR="00062AED" w:rsidRPr="009F2F7E" w:rsidRDefault="00062AED" w:rsidP="009370EA">
      <w:pPr>
        <w:spacing w:after="0" w:line="360" w:lineRule="auto"/>
        <w:ind w:left="720"/>
        <w:rPr>
          <w:sz w:val="20"/>
          <w:lang w:val="cy-GB"/>
        </w:rPr>
      </w:pPr>
    </w:p>
    <w:p w:rsidR="00062AED" w:rsidRPr="009F2F7E" w:rsidRDefault="00062AED" w:rsidP="009370EA">
      <w:pPr>
        <w:spacing w:after="0" w:line="360" w:lineRule="auto"/>
        <w:ind w:left="720"/>
        <w:rPr>
          <w:sz w:val="20"/>
          <w:lang w:val="cy-GB"/>
        </w:rPr>
      </w:pPr>
      <w:r w:rsidRPr="009F2F7E">
        <w:rPr>
          <w:sz w:val="20"/>
          <w:lang w:val="cy-GB"/>
        </w:rPr>
        <w:t>Os oedd syched ar yr Iesu,</w:t>
      </w:r>
    </w:p>
    <w:p w:rsidR="00062AED" w:rsidRPr="009F2F7E" w:rsidRDefault="00062AED" w:rsidP="009370EA">
      <w:pPr>
        <w:spacing w:after="0" w:line="360" w:lineRule="auto"/>
        <w:ind w:left="720"/>
        <w:rPr>
          <w:sz w:val="20"/>
          <w:lang w:val="cy-GB"/>
        </w:rPr>
      </w:pPr>
      <w:r w:rsidRPr="009F2F7E">
        <w:rPr>
          <w:sz w:val="20"/>
          <w:lang w:val="cy-GB"/>
        </w:rPr>
        <w:t>Pan yn cloddio’r Ffynnon hon,</w:t>
      </w:r>
    </w:p>
    <w:p w:rsidR="00062AED" w:rsidRPr="009F2F7E" w:rsidRDefault="00062AED" w:rsidP="009370EA">
      <w:pPr>
        <w:spacing w:after="0" w:line="360" w:lineRule="auto"/>
        <w:ind w:left="720"/>
        <w:rPr>
          <w:sz w:val="20"/>
          <w:lang w:val="cy-GB"/>
        </w:rPr>
      </w:pPr>
      <w:r w:rsidRPr="009F2F7E">
        <w:rPr>
          <w:sz w:val="20"/>
          <w:lang w:val="cy-GB"/>
        </w:rPr>
        <w:t>Cafodd tyrfa’u disychedu</w:t>
      </w:r>
    </w:p>
    <w:p w:rsidR="00062AED" w:rsidRPr="009F2F7E" w:rsidRDefault="00062AED" w:rsidP="009370EA">
      <w:pPr>
        <w:spacing w:after="0" w:line="360" w:lineRule="auto"/>
        <w:ind w:left="720"/>
        <w:rPr>
          <w:sz w:val="20"/>
          <w:lang w:val="cy-GB"/>
        </w:rPr>
      </w:pPr>
      <w:r w:rsidRPr="009F2F7E">
        <w:rPr>
          <w:sz w:val="20"/>
          <w:lang w:val="cy-GB"/>
        </w:rPr>
        <w:t>Drwy y ffrydiau ddaeth o’i Fron!</w:t>
      </w:r>
    </w:p>
    <w:p w:rsidR="00062AED" w:rsidRPr="009F2F7E" w:rsidRDefault="00062AED" w:rsidP="009370EA">
      <w:pPr>
        <w:spacing w:after="0" w:line="360" w:lineRule="auto"/>
        <w:ind w:left="720"/>
        <w:rPr>
          <w:sz w:val="20"/>
          <w:lang w:val="cy-GB"/>
        </w:rPr>
      </w:pPr>
      <w:r w:rsidRPr="009F2F7E">
        <w:rPr>
          <w:sz w:val="20"/>
          <w:lang w:val="cy-GB"/>
        </w:rPr>
        <w:t>Mae dyfnderau yn yr Haeddiant,</w:t>
      </w:r>
    </w:p>
    <w:p w:rsidR="00062AED" w:rsidRPr="009F2F7E" w:rsidRDefault="00062AED" w:rsidP="009370EA">
      <w:pPr>
        <w:spacing w:after="0" w:line="360" w:lineRule="auto"/>
        <w:ind w:left="720"/>
        <w:rPr>
          <w:sz w:val="20"/>
          <w:lang w:val="cy-GB"/>
        </w:rPr>
      </w:pPr>
      <w:r w:rsidRPr="009F2F7E">
        <w:rPr>
          <w:sz w:val="20"/>
          <w:lang w:val="cy-GB"/>
        </w:rPr>
        <w:t>Ac mae moroedd yn yr Iawn;</w:t>
      </w:r>
    </w:p>
    <w:p w:rsidR="00062AED" w:rsidRPr="009F2F7E" w:rsidRDefault="00062AED" w:rsidP="009370EA">
      <w:pPr>
        <w:spacing w:after="0" w:line="360" w:lineRule="auto"/>
        <w:ind w:left="720"/>
        <w:rPr>
          <w:sz w:val="20"/>
          <w:lang w:val="cy-GB"/>
        </w:rPr>
      </w:pPr>
      <w:r w:rsidRPr="009F2F7E">
        <w:rPr>
          <w:sz w:val="20"/>
          <w:lang w:val="cy-GB"/>
        </w:rPr>
        <w:t>Nid oes trai ar y llifeiriant</w:t>
      </w:r>
    </w:p>
    <w:p w:rsidR="00062AED" w:rsidRPr="009F2F7E" w:rsidRDefault="00062AED" w:rsidP="009370EA">
      <w:pPr>
        <w:spacing w:after="0" w:line="360" w:lineRule="auto"/>
        <w:ind w:left="720"/>
        <w:rPr>
          <w:sz w:val="20"/>
          <w:lang w:val="cy-GB"/>
        </w:rPr>
      </w:pPr>
      <w:r w:rsidRPr="009F2F7E">
        <w:rPr>
          <w:sz w:val="20"/>
          <w:lang w:val="cy-GB"/>
        </w:rPr>
        <w:t>A’r cyflawnder yma gawn!</w:t>
      </w:r>
    </w:p>
    <w:p w:rsidR="00062AED" w:rsidRPr="009F2F7E" w:rsidRDefault="00062AED" w:rsidP="009370EA">
      <w:pPr>
        <w:spacing w:after="0" w:line="360" w:lineRule="auto"/>
        <w:ind w:left="720"/>
        <w:rPr>
          <w:sz w:val="20"/>
          <w:lang w:val="cy-GB"/>
        </w:rPr>
      </w:pPr>
    </w:p>
    <w:p w:rsidR="00062AED" w:rsidRPr="009F2F7E" w:rsidRDefault="00062AED" w:rsidP="009370EA">
      <w:pPr>
        <w:spacing w:after="0" w:line="360" w:lineRule="auto"/>
        <w:ind w:left="720"/>
        <w:rPr>
          <w:sz w:val="20"/>
          <w:lang w:val="cy-GB"/>
        </w:rPr>
      </w:pPr>
      <w:r w:rsidRPr="009F2F7E">
        <w:rPr>
          <w:sz w:val="20"/>
          <w:lang w:val="cy-GB"/>
        </w:rPr>
        <w:t>Mae pydewau’r byd yn sychu,</w:t>
      </w:r>
    </w:p>
    <w:p w:rsidR="00062AED" w:rsidRPr="009F2F7E" w:rsidRDefault="00062AED" w:rsidP="009370EA">
      <w:pPr>
        <w:spacing w:after="0" w:line="360" w:lineRule="auto"/>
        <w:ind w:left="720"/>
        <w:rPr>
          <w:sz w:val="20"/>
          <w:lang w:val="cy-GB"/>
        </w:rPr>
      </w:pPr>
      <w:r w:rsidRPr="009F2F7E">
        <w:rPr>
          <w:sz w:val="20"/>
          <w:lang w:val="cy-GB"/>
        </w:rPr>
        <w:t>Nid oes i’r deifiedig fin</w:t>
      </w:r>
    </w:p>
    <w:p w:rsidR="00062AED" w:rsidRPr="009F2F7E" w:rsidRDefault="00062AED" w:rsidP="009370EA">
      <w:pPr>
        <w:spacing w:after="0" w:line="360" w:lineRule="auto"/>
        <w:ind w:left="720"/>
        <w:rPr>
          <w:sz w:val="20"/>
          <w:lang w:val="cy-GB"/>
        </w:rPr>
      </w:pPr>
      <w:r w:rsidRPr="009F2F7E">
        <w:rPr>
          <w:sz w:val="20"/>
          <w:lang w:val="cy-GB"/>
        </w:rPr>
        <w:t>Ddafn; a’r miloedd sy’n sychedu!</w:t>
      </w:r>
    </w:p>
    <w:p w:rsidR="00062AED" w:rsidRPr="009F2F7E" w:rsidRDefault="00062AED" w:rsidP="009370EA">
      <w:pPr>
        <w:spacing w:after="0" w:line="360" w:lineRule="auto"/>
        <w:ind w:left="720"/>
        <w:rPr>
          <w:sz w:val="20"/>
          <w:lang w:val="cy-GB"/>
        </w:rPr>
      </w:pPr>
      <w:r w:rsidRPr="009F2F7E">
        <w:rPr>
          <w:sz w:val="20"/>
          <w:lang w:val="cy-GB"/>
        </w:rPr>
        <w:t>Siomiant roddant bob yr un.</w:t>
      </w:r>
    </w:p>
    <w:p w:rsidR="00062AED" w:rsidRPr="009F2F7E" w:rsidRDefault="00062AED" w:rsidP="009370EA">
      <w:pPr>
        <w:spacing w:after="0" w:line="360" w:lineRule="auto"/>
        <w:ind w:left="720"/>
        <w:rPr>
          <w:sz w:val="20"/>
          <w:lang w:val="cy-GB"/>
        </w:rPr>
      </w:pPr>
      <w:r w:rsidRPr="009F2F7E">
        <w:rPr>
          <w:sz w:val="20"/>
          <w:lang w:val="cy-GB"/>
        </w:rPr>
        <w:t>Dyfroedd Bywyd sydd yn llifo</w:t>
      </w:r>
    </w:p>
    <w:p w:rsidR="00062AED" w:rsidRPr="009F2F7E" w:rsidRDefault="00062AED" w:rsidP="009370EA">
      <w:pPr>
        <w:spacing w:after="0" w:line="360" w:lineRule="auto"/>
        <w:ind w:left="720"/>
        <w:rPr>
          <w:sz w:val="20"/>
          <w:lang w:val="cy-GB"/>
        </w:rPr>
      </w:pPr>
      <w:r w:rsidRPr="009F2F7E">
        <w:rPr>
          <w:sz w:val="20"/>
          <w:lang w:val="cy-GB"/>
        </w:rPr>
        <w:t>‘Nawr o’r Graig yn Horeb Duw:</w:t>
      </w:r>
    </w:p>
    <w:p w:rsidR="00062AED" w:rsidRPr="009F2F7E" w:rsidRDefault="00062AED" w:rsidP="009370EA">
      <w:pPr>
        <w:spacing w:after="0" w:line="360" w:lineRule="auto"/>
        <w:ind w:left="720"/>
        <w:rPr>
          <w:sz w:val="20"/>
          <w:lang w:val="cy-GB"/>
        </w:rPr>
      </w:pPr>
      <w:r w:rsidRPr="009F2F7E">
        <w:rPr>
          <w:sz w:val="20"/>
          <w:lang w:val="cy-GB"/>
        </w:rPr>
        <w:t xml:space="preserve">Dewch yn lluoedd tuag yno – </w:t>
      </w:r>
    </w:p>
    <w:p w:rsidR="00062AED" w:rsidRPr="009F2F7E" w:rsidRDefault="00062AED" w:rsidP="009370EA">
      <w:pPr>
        <w:spacing w:after="0" w:line="360" w:lineRule="auto"/>
        <w:ind w:left="720"/>
        <w:rPr>
          <w:sz w:val="20"/>
          <w:lang w:val="cy-GB"/>
        </w:rPr>
      </w:pPr>
      <w:r w:rsidRPr="009F2F7E">
        <w:rPr>
          <w:sz w:val="20"/>
          <w:lang w:val="cy-GB"/>
        </w:rPr>
        <w:t>Yfwch fel y byddoch byw!</w:t>
      </w:r>
      <w:r w:rsidRPr="009F2F7E">
        <w:rPr>
          <w:rStyle w:val="FootnoteReference"/>
          <w:sz w:val="20"/>
          <w:lang w:val="cy-GB"/>
        </w:rPr>
        <w:footnoteReference w:id="378"/>
      </w:r>
    </w:p>
    <w:p w:rsidR="00062AED" w:rsidRPr="009F2F7E" w:rsidRDefault="00062AED" w:rsidP="009370EA">
      <w:pPr>
        <w:spacing w:after="0" w:line="360" w:lineRule="auto"/>
        <w:ind w:left="720"/>
        <w:rPr>
          <w:sz w:val="20"/>
          <w:lang w:val="cy-GB"/>
        </w:rPr>
      </w:pPr>
    </w:p>
    <w:p w:rsidR="00062AED" w:rsidRPr="009F2F7E" w:rsidRDefault="00062AED" w:rsidP="009370EA">
      <w:pPr>
        <w:spacing w:after="0" w:line="360" w:lineRule="auto"/>
        <w:ind w:left="720"/>
        <w:rPr>
          <w:sz w:val="20"/>
          <w:lang w:val="cy-GB"/>
        </w:rPr>
      </w:pPr>
      <w:r w:rsidRPr="009F2F7E">
        <w:rPr>
          <w:sz w:val="20"/>
          <w:lang w:val="cy-GB"/>
        </w:rPr>
        <w:t>Hear the call, o thirsty ones,</w:t>
      </w:r>
    </w:p>
    <w:p w:rsidR="00062AED" w:rsidRPr="009F2F7E" w:rsidRDefault="00062AED" w:rsidP="009370EA">
      <w:pPr>
        <w:spacing w:after="0" w:line="360" w:lineRule="auto"/>
        <w:ind w:left="720"/>
        <w:rPr>
          <w:sz w:val="20"/>
          <w:lang w:val="cy-GB"/>
        </w:rPr>
      </w:pPr>
      <w:r w:rsidRPr="009F2F7E">
        <w:rPr>
          <w:sz w:val="20"/>
          <w:lang w:val="cy-GB"/>
        </w:rPr>
        <w:t>Come to the waters, come now;</w:t>
      </w:r>
    </w:p>
    <w:p w:rsidR="00062AED" w:rsidRPr="009F2F7E" w:rsidRDefault="00062AED" w:rsidP="009370EA">
      <w:pPr>
        <w:spacing w:after="0" w:line="360" w:lineRule="auto"/>
        <w:ind w:left="720"/>
        <w:rPr>
          <w:sz w:val="20"/>
          <w:lang w:val="cy-GB"/>
        </w:rPr>
      </w:pPr>
      <w:r w:rsidRPr="009F2F7E">
        <w:rPr>
          <w:sz w:val="20"/>
          <w:lang w:val="cy-GB"/>
        </w:rPr>
        <w:t>Milk and wine for the weary ones,</w:t>
      </w:r>
    </w:p>
    <w:p w:rsidR="00062AED" w:rsidRPr="009F2F7E" w:rsidRDefault="00062AED" w:rsidP="009370EA">
      <w:pPr>
        <w:spacing w:after="0" w:line="360" w:lineRule="auto"/>
        <w:ind w:left="720"/>
        <w:rPr>
          <w:sz w:val="20"/>
          <w:lang w:val="cy-GB"/>
        </w:rPr>
      </w:pPr>
      <w:r w:rsidRPr="009F2F7E">
        <w:rPr>
          <w:sz w:val="20"/>
          <w:lang w:val="cy-GB"/>
        </w:rPr>
        <w:t>Great is the provision for you.</w:t>
      </w:r>
    </w:p>
    <w:p w:rsidR="00062AED" w:rsidRPr="009F2F7E" w:rsidRDefault="00062AED" w:rsidP="009370EA">
      <w:pPr>
        <w:spacing w:after="0" w:line="360" w:lineRule="auto"/>
        <w:ind w:left="720"/>
        <w:rPr>
          <w:sz w:val="20"/>
          <w:lang w:val="cy-GB"/>
        </w:rPr>
      </w:pPr>
      <w:r w:rsidRPr="009F2F7E">
        <w:rPr>
          <w:sz w:val="20"/>
          <w:lang w:val="cy-GB"/>
        </w:rPr>
        <w:t>The sparkling streams spring</w:t>
      </w:r>
    </w:p>
    <w:p w:rsidR="00062AED" w:rsidRPr="009F2F7E" w:rsidRDefault="00062AED" w:rsidP="009370EA">
      <w:pPr>
        <w:spacing w:after="0" w:line="360" w:lineRule="auto"/>
        <w:ind w:left="720"/>
        <w:rPr>
          <w:sz w:val="20"/>
          <w:lang w:val="cy-GB"/>
        </w:rPr>
      </w:pPr>
      <w:r w:rsidRPr="009F2F7E">
        <w:rPr>
          <w:sz w:val="20"/>
          <w:lang w:val="cy-GB"/>
        </w:rPr>
        <w:t>From the fullness on the Cross,</w:t>
      </w:r>
    </w:p>
    <w:p w:rsidR="00062AED" w:rsidRPr="009F2F7E" w:rsidRDefault="00062AED" w:rsidP="009370EA">
      <w:pPr>
        <w:spacing w:after="0" w:line="360" w:lineRule="auto"/>
        <w:ind w:left="720"/>
        <w:rPr>
          <w:sz w:val="20"/>
          <w:lang w:val="cy-GB"/>
        </w:rPr>
      </w:pPr>
      <w:r w:rsidRPr="009F2F7E">
        <w:rPr>
          <w:sz w:val="20"/>
          <w:lang w:val="cy-GB"/>
        </w:rPr>
        <w:t>The provision there is enough</w:t>
      </w:r>
    </w:p>
    <w:p w:rsidR="00062AED" w:rsidRPr="009F2F7E" w:rsidRDefault="00062AED" w:rsidP="009370EA">
      <w:pPr>
        <w:spacing w:after="0" w:line="360" w:lineRule="auto"/>
        <w:ind w:left="720"/>
        <w:rPr>
          <w:sz w:val="20"/>
          <w:lang w:val="cy-GB"/>
        </w:rPr>
      </w:pPr>
      <w:r w:rsidRPr="009F2F7E">
        <w:rPr>
          <w:sz w:val="20"/>
          <w:lang w:val="cy-GB"/>
        </w:rPr>
        <w:t>For the thirsty of every age.</w:t>
      </w:r>
    </w:p>
    <w:p w:rsidR="00062AED" w:rsidRPr="009F2F7E" w:rsidRDefault="00062AED" w:rsidP="009370EA">
      <w:pPr>
        <w:spacing w:after="0" w:line="360" w:lineRule="auto"/>
        <w:ind w:left="720"/>
        <w:rPr>
          <w:sz w:val="20"/>
          <w:lang w:val="cy-GB"/>
        </w:rPr>
      </w:pPr>
    </w:p>
    <w:p w:rsidR="00062AED" w:rsidRPr="009F2F7E" w:rsidRDefault="00062AED" w:rsidP="009370EA">
      <w:pPr>
        <w:spacing w:after="0" w:line="360" w:lineRule="auto"/>
        <w:ind w:left="720"/>
        <w:rPr>
          <w:sz w:val="20"/>
          <w:lang w:val="cy-GB"/>
        </w:rPr>
      </w:pPr>
      <w:r w:rsidRPr="009F2F7E">
        <w:rPr>
          <w:sz w:val="20"/>
          <w:lang w:val="cy-GB"/>
        </w:rPr>
        <w:t>Though Jesus did thirst</w:t>
      </w:r>
    </w:p>
    <w:p w:rsidR="00062AED" w:rsidRPr="009F2F7E" w:rsidRDefault="00062AED" w:rsidP="009370EA">
      <w:pPr>
        <w:spacing w:after="0" w:line="360" w:lineRule="auto"/>
        <w:ind w:left="720"/>
        <w:rPr>
          <w:sz w:val="20"/>
          <w:lang w:val="cy-GB"/>
        </w:rPr>
      </w:pPr>
      <w:r w:rsidRPr="009F2F7E">
        <w:rPr>
          <w:sz w:val="20"/>
          <w:lang w:val="cy-GB"/>
        </w:rPr>
        <w:t>In digging that Fountain,</w:t>
      </w:r>
    </w:p>
    <w:p w:rsidR="00062AED" w:rsidRPr="009F2F7E" w:rsidRDefault="00062AED" w:rsidP="009370EA">
      <w:pPr>
        <w:spacing w:after="0" w:line="360" w:lineRule="auto"/>
        <w:ind w:left="720"/>
        <w:rPr>
          <w:sz w:val="20"/>
          <w:lang w:val="cy-GB"/>
        </w:rPr>
      </w:pPr>
      <w:r w:rsidRPr="009F2F7E">
        <w:rPr>
          <w:sz w:val="20"/>
          <w:lang w:val="cy-GB"/>
        </w:rPr>
        <w:t>Multitudes had their thirst quenched</w:t>
      </w:r>
    </w:p>
    <w:p w:rsidR="00062AED" w:rsidRPr="009F2F7E" w:rsidRDefault="00062AED" w:rsidP="009370EA">
      <w:pPr>
        <w:spacing w:after="0" w:line="360" w:lineRule="auto"/>
        <w:ind w:left="720"/>
        <w:rPr>
          <w:sz w:val="20"/>
          <w:lang w:val="cy-GB"/>
        </w:rPr>
      </w:pPr>
      <w:r w:rsidRPr="009F2F7E">
        <w:rPr>
          <w:sz w:val="20"/>
          <w:lang w:val="cy-GB"/>
        </w:rPr>
        <w:t>Through the streams which flowed from His side!</w:t>
      </w:r>
    </w:p>
    <w:p w:rsidR="00062AED" w:rsidRPr="009F2F7E" w:rsidRDefault="00062AED" w:rsidP="009370EA">
      <w:pPr>
        <w:spacing w:after="0" w:line="360" w:lineRule="auto"/>
        <w:ind w:left="720"/>
        <w:rPr>
          <w:sz w:val="20"/>
          <w:lang w:val="cy-GB"/>
        </w:rPr>
      </w:pPr>
      <w:r w:rsidRPr="009F2F7E">
        <w:rPr>
          <w:sz w:val="20"/>
          <w:lang w:val="cy-GB"/>
        </w:rPr>
        <w:t>There are depths in His merit,</w:t>
      </w:r>
    </w:p>
    <w:p w:rsidR="00062AED" w:rsidRPr="009F2F7E" w:rsidRDefault="00062AED" w:rsidP="009370EA">
      <w:pPr>
        <w:spacing w:after="0" w:line="360" w:lineRule="auto"/>
        <w:ind w:left="720"/>
        <w:rPr>
          <w:sz w:val="20"/>
          <w:lang w:val="cy-GB"/>
        </w:rPr>
      </w:pPr>
      <w:r w:rsidRPr="009F2F7E">
        <w:rPr>
          <w:sz w:val="20"/>
          <w:lang w:val="cy-GB"/>
        </w:rPr>
        <w:t>And oceans in His propitiation;</w:t>
      </w:r>
    </w:p>
    <w:p w:rsidR="00062AED" w:rsidRPr="009F2F7E" w:rsidRDefault="00062AED" w:rsidP="009370EA">
      <w:pPr>
        <w:spacing w:after="0" w:line="360" w:lineRule="auto"/>
        <w:ind w:left="720"/>
        <w:rPr>
          <w:sz w:val="20"/>
          <w:lang w:val="cy-GB"/>
        </w:rPr>
      </w:pPr>
      <w:r w:rsidRPr="009F2F7E">
        <w:rPr>
          <w:sz w:val="20"/>
          <w:lang w:val="cy-GB"/>
        </w:rPr>
        <w:t>There’s no ebb to the flood</w:t>
      </w:r>
    </w:p>
    <w:p w:rsidR="00062AED" w:rsidRPr="009F2F7E" w:rsidRDefault="00062AED" w:rsidP="009370EA">
      <w:pPr>
        <w:spacing w:after="0" w:line="360" w:lineRule="auto"/>
        <w:ind w:left="720"/>
        <w:rPr>
          <w:sz w:val="20"/>
          <w:lang w:val="cy-GB"/>
        </w:rPr>
      </w:pPr>
      <w:r w:rsidRPr="009F2F7E">
        <w:rPr>
          <w:sz w:val="20"/>
          <w:lang w:val="cy-GB"/>
        </w:rPr>
        <w:t>And the fullness we receive there!</w:t>
      </w:r>
    </w:p>
    <w:p w:rsidR="00062AED" w:rsidRPr="009F2F7E" w:rsidRDefault="00062AED" w:rsidP="009370EA">
      <w:pPr>
        <w:spacing w:after="0" w:line="360" w:lineRule="auto"/>
        <w:ind w:left="720"/>
        <w:rPr>
          <w:sz w:val="20"/>
          <w:lang w:val="cy-GB"/>
        </w:rPr>
      </w:pPr>
    </w:p>
    <w:p w:rsidR="00062AED" w:rsidRPr="009F2F7E" w:rsidRDefault="00062AED" w:rsidP="009370EA">
      <w:pPr>
        <w:spacing w:after="0" w:line="360" w:lineRule="auto"/>
        <w:ind w:left="720"/>
        <w:rPr>
          <w:sz w:val="20"/>
          <w:lang w:val="cy-GB"/>
        </w:rPr>
      </w:pPr>
      <w:r w:rsidRPr="009F2F7E">
        <w:rPr>
          <w:sz w:val="20"/>
          <w:lang w:val="cy-GB"/>
        </w:rPr>
        <w:t>The wells of the world are dry,</w:t>
      </w:r>
    </w:p>
    <w:p w:rsidR="00062AED" w:rsidRPr="009F2F7E" w:rsidRDefault="00062AED" w:rsidP="009370EA">
      <w:pPr>
        <w:spacing w:after="0" w:line="360" w:lineRule="auto"/>
        <w:ind w:left="720"/>
        <w:rPr>
          <w:sz w:val="20"/>
          <w:lang w:val="cy-GB"/>
        </w:rPr>
      </w:pPr>
      <w:r w:rsidRPr="009F2F7E">
        <w:rPr>
          <w:sz w:val="20"/>
          <w:lang w:val="cy-GB"/>
        </w:rPr>
        <w:t>There isn’t a drop for the scorched lip;</w:t>
      </w:r>
    </w:p>
    <w:p w:rsidR="00062AED" w:rsidRPr="009F2F7E" w:rsidRDefault="00062AED" w:rsidP="009370EA">
      <w:pPr>
        <w:spacing w:after="0" w:line="360" w:lineRule="auto"/>
        <w:ind w:left="720"/>
        <w:rPr>
          <w:sz w:val="20"/>
          <w:lang w:val="cy-GB"/>
        </w:rPr>
      </w:pPr>
      <w:r w:rsidRPr="009F2F7E">
        <w:rPr>
          <w:sz w:val="20"/>
          <w:lang w:val="cy-GB"/>
        </w:rPr>
        <w:t xml:space="preserve">And the thirsty myriads </w:t>
      </w:r>
    </w:p>
    <w:p w:rsidR="00062AED" w:rsidRPr="009F2F7E" w:rsidRDefault="00062AED" w:rsidP="009370EA">
      <w:pPr>
        <w:spacing w:after="0" w:line="360" w:lineRule="auto"/>
        <w:ind w:left="720"/>
        <w:rPr>
          <w:sz w:val="20"/>
          <w:lang w:val="cy-GB"/>
        </w:rPr>
      </w:pPr>
      <w:r w:rsidRPr="009F2F7E">
        <w:rPr>
          <w:sz w:val="20"/>
          <w:lang w:val="cy-GB"/>
        </w:rPr>
        <w:t>Receive disappointment, each one.</w:t>
      </w:r>
    </w:p>
    <w:p w:rsidR="00062AED" w:rsidRPr="009F2F7E" w:rsidRDefault="00062AED" w:rsidP="009370EA">
      <w:pPr>
        <w:spacing w:after="0" w:line="360" w:lineRule="auto"/>
        <w:ind w:left="720"/>
        <w:rPr>
          <w:sz w:val="20"/>
          <w:lang w:val="cy-GB"/>
        </w:rPr>
      </w:pPr>
      <w:r w:rsidRPr="009F2F7E">
        <w:rPr>
          <w:sz w:val="20"/>
          <w:lang w:val="cy-GB"/>
        </w:rPr>
        <w:t>But the Waters of Life are flowing</w:t>
      </w:r>
    </w:p>
    <w:p w:rsidR="00062AED" w:rsidRPr="009F2F7E" w:rsidRDefault="00062AED" w:rsidP="009370EA">
      <w:pPr>
        <w:spacing w:after="0" w:line="360" w:lineRule="auto"/>
        <w:ind w:left="720"/>
        <w:rPr>
          <w:sz w:val="20"/>
          <w:lang w:val="cy-GB"/>
        </w:rPr>
      </w:pPr>
      <w:r w:rsidRPr="009F2F7E">
        <w:rPr>
          <w:sz w:val="20"/>
          <w:lang w:val="cy-GB"/>
        </w:rPr>
        <w:t>Now from the Rock in God’s Horeb:</w:t>
      </w:r>
    </w:p>
    <w:p w:rsidR="00062AED" w:rsidRPr="009F2F7E" w:rsidRDefault="00062AED" w:rsidP="009370EA">
      <w:pPr>
        <w:spacing w:after="0" w:line="360" w:lineRule="auto"/>
        <w:ind w:left="720"/>
        <w:rPr>
          <w:sz w:val="20"/>
          <w:lang w:val="cy-GB"/>
        </w:rPr>
      </w:pPr>
      <w:r w:rsidRPr="009F2F7E">
        <w:rPr>
          <w:sz w:val="20"/>
          <w:lang w:val="cy-GB"/>
        </w:rPr>
        <w:t>Come there in throngs –</w:t>
      </w:r>
    </w:p>
    <w:p w:rsidR="00062AED" w:rsidRPr="009F2F7E" w:rsidRDefault="00062AED" w:rsidP="009370EA">
      <w:pPr>
        <w:spacing w:after="0" w:line="360" w:lineRule="auto"/>
        <w:ind w:left="720"/>
        <w:rPr>
          <w:sz w:val="20"/>
          <w:lang w:val="cy-GB"/>
        </w:rPr>
      </w:pPr>
      <w:r w:rsidRPr="009F2F7E">
        <w:rPr>
          <w:sz w:val="20"/>
          <w:lang w:val="cy-GB"/>
        </w:rPr>
        <w:t xml:space="preserve">Drink </w:t>
      </w:r>
      <w:r w:rsidR="00291B0E">
        <w:rPr>
          <w:sz w:val="20"/>
          <w:lang w:val="cy-GB"/>
        </w:rPr>
        <w:t>so that</w:t>
      </w:r>
      <w:r w:rsidRPr="009F2F7E">
        <w:rPr>
          <w:sz w:val="20"/>
          <w:lang w:val="cy-GB"/>
        </w:rPr>
        <w:t xml:space="preserve"> you will live!</w:t>
      </w:r>
    </w:p>
    <w:p w:rsidR="00062AED" w:rsidRDefault="00062AED" w:rsidP="009370EA">
      <w:pPr>
        <w:spacing w:after="0" w:line="360" w:lineRule="auto"/>
        <w:rPr>
          <w:lang w:val="cy-GB"/>
        </w:rPr>
      </w:pPr>
    </w:p>
    <w:p w:rsidR="00062AED" w:rsidRDefault="00062AED" w:rsidP="009370EA">
      <w:pPr>
        <w:spacing w:line="360" w:lineRule="auto"/>
        <w:jc w:val="both"/>
        <w:rPr>
          <w:lang w:val="cy-GB"/>
        </w:rPr>
      </w:pPr>
      <w:r>
        <w:rPr>
          <w:lang w:val="cy-GB"/>
        </w:rPr>
        <w:t>The first thing to notice here is that, although specifically included as a hymn on the theme of the baptism of the Holy Spirit, the Holy Spirit is never specifically named. Rather it is the person of the Son who is seen to be at the centre of this Pentecostal experience. The provision flows from Christ’s Cross</w:t>
      </w:r>
      <w:r>
        <w:rPr>
          <w:rStyle w:val="FootnoteReference"/>
          <w:lang w:val="cy-GB"/>
        </w:rPr>
        <w:footnoteReference w:id="379"/>
      </w:r>
      <w:r>
        <w:rPr>
          <w:lang w:val="cy-GB"/>
        </w:rPr>
        <w:t xml:space="preserve"> (verse 1) and this fullness and experience is found only through Christ’s work of propitiation (verse 2). Thus Williams ties the baptism and fullness of the Holy Spirit to the finished work of Christ. The only merit which counts here is that of Jesus (verse 2). </w:t>
      </w:r>
    </w:p>
    <w:p w:rsidR="00062AED" w:rsidRDefault="00062AED" w:rsidP="009370EA">
      <w:pPr>
        <w:spacing w:line="360" w:lineRule="auto"/>
        <w:jc w:val="both"/>
        <w:rPr>
          <w:lang w:val="cy-GB"/>
        </w:rPr>
      </w:pPr>
      <w:r>
        <w:rPr>
          <w:lang w:val="cy-GB"/>
        </w:rPr>
        <w:lastRenderedPageBreak/>
        <w:t>Although the person of the Son is the only Trinitarian person named in the hymn, the subject matter means that the naming only of the Son places Pentecostal experience of the Spirit within a Trinitarian context, and the explict mentions of Christ’s finished work in a hymn on what would typically be considered the work of the Spirit serve to prevent dividing the work of the Spirit from the work of Christ, to guard from viewing the Pentecostal work of the Spirit as a mere optional add-on in the Christian life, and to set this Pentecostal work of the Spirit within the biblical framework of the Spirit glorifying Christ (John 16:14).</w:t>
      </w:r>
    </w:p>
    <w:p w:rsidR="00062AED" w:rsidRDefault="00062AED" w:rsidP="009370EA">
      <w:pPr>
        <w:spacing w:line="360" w:lineRule="auto"/>
        <w:jc w:val="both"/>
        <w:rPr>
          <w:lang w:val="cy-GB"/>
        </w:rPr>
      </w:pPr>
    </w:p>
    <w:p w:rsidR="00062AED" w:rsidRPr="00B719C1" w:rsidRDefault="00062AED" w:rsidP="009370EA">
      <w:pPr>
        <w:pStyle w:val="PhDSubheading"/>
        <w:spacing w:line="360" w:lineRule="auto"/>
        <w:rPr>
          <w:lang w:val="cy-GB"/>
        </w:rPr>
      </w:pPr>
      <w:r>
        <w:rPr>
          <w:lang w:val="cy-GB"/>
        </w:rPr>
        <w:t xml:space="preserve">3.2.2 </w:t>
      </w:r>
      <w:r w:rsidRPr="00B719C1">
        <w:rPr>
          <w:lang w:val="cy-GB"/>
        </w:rPr>
        <w:t>The Immanent Trinity</w:t>
      </w:r>
    </w:p>
    <w:p w:rsidR="00062AED" w:rsidRDefault="00062AED" w:rsidP="009370EA">
      <w:pPr>
        <w:spacing w:line="360" w:lineRule="auto"/>
        <w:jc w:val="both"/>
        <w:rPr>
          <w:lang w:val="cy-GB"/>
        </w:rPr>
      </w:pPr>
      <w:r>
        <w:rPr>
          <w:lang w:val="cy-GB"/>
        </w:rPr>
        <w:t>Williams’ hymnody is not only limited to the work of the Trinity within the economy of salvation. Perhaps more unusually for a Pentecostal or Evangelical hymnwriter, Williams also takes us into the realm of the immanent Trinity. Three hymns particularly merit consideration in this regard.</w:t>
      </w:r>
    </w:p>
    <w:p w:rsidR="00062AED" w:rsidRDefault="00062AED" w:rsidP="009370EA">
      <w:pPr>
        <w:spacing w:line="360" w:lineRule="auto"/>
        <w:jc w:val="both"/>
        <w:rPr>
          <w:lang w:val="cy-GB"/>
        </w:rPr>
      </w:pPr>
      <w:r>
        <w:rPr>
          <w:lang w:val="cy-GB"/>
        </w:rPr>
        <w:t>‘Anfeidrol ei ddyfnder’</w:t>
      </w:r>
      <w:r>
        <w:rPr>
          <w:rStyle w:val="FootnoteReference"/>
          <w:lang w:val="cy-GB"/>
        </w:rPr>
        <w:footnoteReference w:id="380"/>
      </w:r>
      <w:r>
        <w:rPr>
          <w:lang w:val="cy-GB"/>
        </w:rPr>
        <w:t xml:space="preserve"> is a hymn which, although not fully focused upon the doctrine of the Trinity, points us toward the inner life of the Triune God, where His love is described as ‘anfeidrol’ (infinite). This love is then characterised as ‘mor eang a’r Hanfod Ei Hun’ (as </w:t>
      </w:r>
      <w:r w:rsidR="00FA36AA">
        <w:rPr>
          <w:lang w:val="cy-GB"/>
        </w:rPr>
        <w:t>wide</w:t>
      </w:r>
      <w:r>
        <w:rPr>
          <w:lang w:val="cy-GB"/>
        </w:rPr>
        <w:t xml:space="preserve"> as </w:t>
      </w:r>
      <w:r w:rsidR="00FA36AA">
        <w:rPr>
          <w:lang w:val="cy-GB"/>
        </w:rPr>
        <w:t>His own Being</w:t>
      </w:r>
      <w:r>
        <w:rPr>
          <w:lang w:val="cy-GB"/>
        </w:rPr>
        <w:t xml:space="preserve">). Although this may be only a poetic indication at this point, set in the context of </w:t>
      </w:r>
      <w:r w:rsidR="00007AA2">
        <w:rPr>
          <w:lang w:val="cy-GB"/>
        </w:rPr>
        <w:t>his</w:t>
      </w:r>
      <w:r>
        <w:rPr>
          <w:lang w:val="cy-GB"/>
        </w:rPr>
        <w:t xml:space="preserve"> other writings, this would appear to equate the essence/substance/being of God with the love of God. The rest of the hymn connects this infinite love of the Trinity to Christ’s work of satisfaction on the Cross and the fullness poured out to believers.</w:t>
      </w:r>
    </w:p>
    <w:p w:rsidR="00062AED" w:rsidRDefault="00062AED" w:rsidP="009370EA">
      <w:pPr>
        <w:spacing w:line="360" w:lineRule="auto"/>
        <w:jc w:val="both"/>
        <w:rPr>
          <w:lang w:val="cy-GB"/>
        </w:rPr>
      </w:pPr>
      <w:r>
        <w:rPr>
          <w:lang w:val="cy-GB"/>
        </w:rPr>
        <w:t>In ‘Fe lifodd dros yr Hanfod’</w:t>
      </w:r>
      <w:r>
        <w:rPr>
          <w:rStyle w:val="FootnoteReference"/>
          <w:lang w:val="cy-GB"/>
        </w:rPr>
        <w:footnoteReference w:id="381"/>
      </w:r>
      <w:r>
        <w:rPr>
          <w:lang w:val="cy-GB"/>
        </w:rPr>
        <w:t xml:space="preserve"> Williams takes us again into the infinite love of the Triune God. Just as in ‘Anfeidrol ei ddyfnder’, he closely connects this love with the Cross of Calvary, yet this hymn takes us further into the Trinitarian life itself, rather than simply its outworking in the economy of redemption. Williams describes an ebb-less flow of grace for the guilty which flows from the very being of the Trinity through the Cross of Christ. Yet, before this flow of love comes to us, it first streams across the Being of the Trinity.</w:t>
      </w:r>
      <w:r>
        <w:rPr>
          <w:rStyle w:val="FootnoteReference"/>
          <w:lang w:val="cy-GB"/>
        </w:rPr>
        <w:footnoteReference w:id="382"/>
      </w:r>
      <w:r>
        <w:rPr>
          <w:lang w:val="cy-GB"/>
        </w:rPr>
        <w:t xml:space="preserve"> Thus here he describes the inner life of mutual love between the Father, Son and Holy Spirit.</w:t>
      </w:r>
    </w:p>
    <w:p w:rsidR="00062AED" w:rsidRDefault="00062AED" w:rsidP="009370EA">
      <w:pPr>
        <w:spacing w:line="360" w:lineRule="auto"/>
        <w:jc w:val="both"/>
        <w:rPr>
          <w:lang w:val="cy-GB"/>
        </w:rPr>
      </w:pPr>
      <w:r>
        <w:rPr>
          <w:lang w:val="cy-GB"/>
        </w:rPr>
        <w:t xml:space="preserve">The second verse touches on how the immanent Trinity is known through the economy. When the question is asked as to the greatness, size or measure of the Godhead, the answer given is that ‘Mae’r Iawn r’un faint ag Ef’ (The propitiation is the same size/greatness as Him). In other </w:t>
      </w:r>
      <w:r>
        <w:rPr>
          <w:lang w:val="cy-GB"/>
        </w:rPr>
        <w:lastRenderedPageBreak/>
        <w:t>words, the fullest revelation of the Triune God is given in the propitiatory work of Christ on the Cross, and so the ecomomic Trinity is the immanent Trinity. It is through Christ’s propitiation that the tide of love which is always full and has no limit is known.</w:t>
      </w:r>
      <w:r>
        <w:rPr>
          <w:rStyle w:val="FootnoteReference"/>
          <w:lang w:val="cy-GB"/>
        </w:rPr>
        <w:footnoteReference w:id="383"/>
      </w:r>
    </w:p>
    <w:p w:rsidR="00062AED" w:rsidRDefault="00062AED" w:rsidP="009370EA">
      <w:pPr>
        <w:spacing w:line="360" w:lineRule="auto"/>
        <w:jc w:val="both"/>
        <w:rPr>
          <w:lang w:val="cy-GB"/>
        </w:rPr>
      </w:pPr>
      <w:r>
        <w:rPr>
          <w:lang w:val="cy-GB"/>
        </w:rPr>
        <w:t>The third hymn to consider in this regard is ‘O dragwyddol fawr feddyliau’</w:t>
      </w:r>
      <w:r>
        <w:rPr>
          <w:rStyle w:val="FootnoteReference"/>
          <w:lang w:val="cy-GB"/>
        </w:rPr>
        <w:footnoteReference w:id="384"/>
      </w:r>
      <w:r>
        <w:rPr>
          <w:lang w:val="cy-GB"/>
        </w:rPr>
        <w:t>, which is perhaps one of the most focused of Williams’ hymns on the Trinity. While we shall return to this hymn in the consideration of other aspects below, it is the second verse which is of most interest for our present consideration of the immanent Trinity. Here Williams points us to the eternal being of the Son as ‘Gair yr Hanfod mewn Mabolaeth / Oedd ym mynwes fawr y Tad’ (The Word of the Essence in Sonship / Was in the bosom of the Father). Already having sung of the Three-in-One,</w:t>
      </w:r>
      <w:r>
        <w:rPr>
          <w:rStyle w:val="FootnoteReference"/>
          <w:lang w:val="cy-GB"/>
        </w:rPr>
        <w:footnoteReference w:id="385"/>
      </w:r>
      <w:r>
        <w:rPr>
          <w:lang w:val="cy-GB"/>
        </w:rPr>
        <w:t xml:space="preserve"> and going on in the next verse to sing of the Spirit and the economic work of the Trinity,</w:t>
      </w:r>
      <w:r>
        <w:rPr>
          <w:rStyle w:val="FootnoteReference"/>
          <w:lang w:val="cy-GB"/>
        </w:rPr>
        <w:footnoteReference w:id="386"/>
      </w:r>
      <w:r>
        <w:rPr>
          <w:lang w:val="cy-GB"/>
        </w:rPr>
        <w:t xml:space="preserve"> this places the identity of the Son firmly within the Trinitarian context. The verse goes on to speak of how light and life stand together in the Word through whom all things were made. The focus here is on the Father’s great love for His Son in whom is life, and, as verse four goes on to express, the whole fullness is in the Son. </w:t>
      </w:r>
    </w:p>
    <w:p w:rsidR="00062AED" w:rsidRDefault="00062AED" w:rsidP="009370EA">
      <w:pPr>
        <w:spacing w:line="360" w:lineRule="auto"/>
        <w:jc w:val="both"/>
        <w:rPr>
          <w:lang w:val="cy-GB"/>
        </w:rPr>
      </w:pPr>
      <w:r>
        <w:rPr>
          <w:lang w:val="cy-GB"/>
        </w:rPr>
        <w:t>This hymn also notes the immutable nature of the Trinity in the midst of the Trinitarian work in the economy, thus highlighting that the economy does not change the identity and inner-life of the immanent Trinity.</w:t>
      </w:r>
      <w:r>
        <w:rPr>
          <w:rStyle w:val="FootnoteReference"/>
          <w:lang w:val="cy-GB"/>
        </w:rPr>
        <w:footnoteReference w:id="387"/>
      </w:r>
    </w:p>
    <w:p w:rsidR="00062AED" w:rsidRPr="002578E3" w:rsidRDefault="00062AED" w:rsidP="009370EA">
      <w:pPr>
        <w:spacing w:line="360" w:lineRule="auto"/>
        <w:jc w:val="both"/>
        <w:rPr>
          <w:lang w:val="cy-GB"/>
        </w:rPr>
      </w:pPr>
    </w:p>
    <w:p w:rsidR="00062AED" w:rsidRPr="00DC7D60" w:rsidRDefault="00062AED" w:rsidP="009370EA">
      <w:pPr>
        <w:pStyle w:val="PhDSubheading"/>
        <w:spacing w:line="360" w:lineRule="auto"/>
      </w:pPr>
      <w:r>
        <w:t xml:space="preserve">3.2.3 </w:t>
      </w:r>
      <w:r w:rsidRPr="00DC7D60">
        <w:t>The Trinitarian Covenant of Redemption</w:t>
      </w:r>
    </w:p>
    <w:p w:rsidR="00062AED" w:rsidRDefault="00062AED" w:rsidP="009370EA">
      <w:pPr>
        <w:spacing w:line="360" w:lineRule="auto"/>
        <w:jc w:val="both"/>
      </w:pPr>
      <w:r w:rsidRPr="00816C9F">
        <w:t>One of the perhaps more unexpected aspects of Williams’ hymnody is the place of Covenant theology. He frequently refers both to the Covenant of Grace and to the Intra-Trinitarian Covenant of Redemption.</w:t>
      </w:r>
      <w:r>
        <w:t xml:space="preserve"> Such Covenant theology has not generally been associated with Pentecostalism, which, owing to its premillennial impulse, generally tended to adopt th</w:t>
      </w:r>
      <w:r w:rsidR="00337BC2">
        <w:t>e approach of Dispensationalism</w:t>
      </w:r>
      <w:r>
        <w:t xml:space="preserve"> as an alternative to Covenant theology.</w:t>
      </w:r>
    </w:p>
    <w:p w:rsidR="00062AED" w:rsidRDefault="00062AED" w:rsidP="009370EA">
      <w:pPr>
        <w:spacing w:line="360" w:lineRule="auto"/>
        <w:jc w:val="both"/>
      </w:pPr>
      <w:r>
        <w:t xml:space="preserve">Even within Covenant theology, the terminology used for the concept of what is generally called the Covenant of Redemption can be controversial. This pre-temporal counsel among the persons of the Trinity whereby the Father appointed the Son as Mediator has traditionally been referred to as the Covenant of Redemption or the </w:t>
      </w:r>
      <w:r w:rsidRPr="005B00D6">
        <w:rPr>
          <w:i/>
        </w:rPr>
        <w:t>Pactum Salutis</w:t>
      </w:r>
      <w:r>
        <w:t xml:space="preserve">. However, even the Westminster </w:t>
      </w:r>
      <w:r>
        <w:lastRenderedPageBreak/>
        <w:t>Confession, whilst enshrining Covenant theology, does not use such terminology. John Owen referred to it as God’s ‘eternal counsel’,</w:t>
      </w:r>
      <w:r>
        <w:rPr>
          <w:rStyle w:val="FootnoteReference"/>
        </w:rPr>
        <w:footnoteReference w:id="388"/>
      </w:r>
      <w:r>
        <w:t xml:space="preserve"> and more recently John Murray has eschewed covenant language here, preferring to refer to the concept as ‘the inter-trinitarian economy of salvation.’</w:t>
      </w:r>
      <w:r>
        <w:rPr>
          <w:rStyle w:val="FootnoteReference"/>
        </w:rPr>
        <w:footnoteReference w:id="389"/>
      </w:r>
      <w:r>
        <w:t xml:space="preserve"> </w:t>
      </w:r>
    </w:p>
    <w:p w:rsidR="00062AED" w:rsidRDefault="00062AED" w:rsidP="009370EA">
      <w:pPr>
        <w:spacing w:line="360" w:lineRule="auto"/>
        <w:jc w:val="both"/>
      </w:pPr>
      <w:r>
        <w:t xml:space="preserve">Within his hymns, Williams too eschews the traditional terminology, although he does not entirely reject covenant language. Williams’ preferred way of referring to the </w:t>
      </w:r>
      <w:r w:rsidRPr="005B00D6">
        <w:rPr>
          <w:i/>
        </w:rPr>
        <w:t>Pactum Salutis</w:t>
      </w:r>
      <w:r>
        <w:t xml:space="preserve"> appears to be as ‘cyngor Dwyfol’ (divine counsel). In one hymn he writes, ‘Tri mewn Un mewn cyngor Dwyfol / Yno’n cyfamodi gaed’ (Three in One in divine counsel, </w:t>
      </w:r>
      <w:r w:rsidR="007F36AD">
        <w:t>there the covenanting was achieved</w:t>
      </w:r>
      <w:r>
        <w:t>).</w:t>
      </w:r>
      <w:r>
        <w:rPr>
          <w:rStyle w:val="FootnoteReference"/>
        </w:rPr>
        <w:footnoteReference w:id="390"/>
      </w:r>
      <w:r>
        <w:t xml:space="preserve"> Elsewhere he expresses this similarly: ‘Mewn cyngor Dwyfol Dri’ (In the Counsel of the </w:t>
      </w:r>
      <w:r w:rsidR="00450016">
        <w:t xml:space="preserve">Divine </w:t>
      </w:r>
      <w:r>
        <w:t>Three).</w:t>
      </w:r>
      <w:r>
        <w:rPr>
          <w:rStyle w:val="FootnoteReference"/>
        </w:rPr>
        <w:footnoteReference w:id="391"/>
      </w:r>
      <w:r>
        <w:t xml:space="preserve">  </w:t>
      </w:r>
    </w:p>
    <w:p w:rsidR="00062AED" w:rsidRDefault="00062AED" w:rsidP="009370EA">
      <w:pPr>
        <w:spacing w:line="360" w:lineRule="auto"/>
        <w:jc w:val="both"/>
      </w:pPr>
      <w:r>
        <w:t xml:space="preserve">What is of interest here is that Williams always roots this ‘divine counsel’ in a Trinitarian context. Although it may seem obvious that this ‘divine counsel’ should be a divine counsel of the Trinity, this has historically </w:t>
      </w:r>
      <w:r w:rsidR="007A6D6B">
        <w:t xml:space="preserve">often </w:t>
      </w:r>
      <w:r>
        <w:t xml:space="preserve">been a problem for Covenant theology, which has had a tendency to refer the </w:t>
      </w:r>
      <w:r w:rsidRPr="005B00D6">
        <w:rPr>
          <w:i/>
        </w:rPr>
        <w:t>Pactum Salutis</w:t>
      </w:r>
      <w:r>
        <w:t xml:space="preserve"> exclusively to the Father and the Son, </w:t>
      </w:r>
      <w:r w:rsidRPr="007A6D6B">
        <w:t>thus raising questions for Trinitarian theology.</w:t>
      </w:r>
      <w:r w:rsidR="007A6D6B">
        <w:rPr>
          <w:rStyle w:val="FootnoteReference"/>
        </w:rPr>
        <w:footnoteReference w:id="392"/>
      </w:r>
      <w:r>
        <w:t xml:space="preserve"> A.A. Hodge, for example, makes no mention of the Holy Spirit in his discussion of the Covenant of Redemption.</w:t>
      </w:r>
      <w:r>
        <w:rPr>
          <w:rStyle w:val="FootnoteReference"/>
        </w:rPr>
        <w:footnoteReference w:id="393"/>
      </w:r>
      <w:r>
        <w:t xml:space="preserve"> His father, Charles Hodge, whom Williams had read in English, makes but brief mention of the Spirit in relation to the Covenant of Redemption, placing all the emphasis on an arrangement between the Father and the Son.</w:t>
      </w:r>
      <w:r>
        <w:rPr>
          <w:rStyle w:val="FootnoteReference"/>
        </w:rPr>
        <w:footnoteReference w:id="394"/>
      </w:r>
      <w:r>
        <w:t xml:space="preserve"> More recently Louis Berkhof’s influential definition of the Covenant of Redemption defines it only in terms of the Father and the Son.</w:t>
      </w:r>
      <w:r>
        <w:rPr>
          <w:rStyle w:val="FootnoteReference"/>
        </w:rPr>
        <w:footnoteReference w:id="395"/>
      </w:r>
    </w:p>
    <w:p w:rsidR="00062AED" w:rsidRDefault="00062AED" w:rsidP="009370EA">
      <w:pPr>
        <w:spacing w:line="360" w:lineRule="auto"/>
        <w:jc w:val="both"/>
      </w:pPr>
      <w:r>
        <w:t>For Williams, however, this divine counsel cannot be thought of other than in fully Trinitarian terms, and must involve the work of the Holy Spirit, as well as the Father and the Son.</w:t>
      </w:r>
      <w:r>
        <w:rPr>
          <w:rStyle w:val="FootnoteReference"/>
        </w:rPr>
        <w:footnoteReference w:id="396"/>
      </w:r>
      <w:r>
        <w:t xml:space="preserve"> In fact, </w:t>
      </w:r>
      <w:r>
        <w:lastRenderedPageBreak/>
        <w:t>for Williams, not only is the Holy Spirit’s work a result of this divine counsel, but he also plays his part in the making of this Trinitarian arrangement.</w:t>
      </w:r>
      <w:r>
        <w:rPr>
          <w:rStyle w:val="FootnoteReference"/>
        </w:rPr>
        <w:footnoteReference w:id="397"/>
      </w:r>
    </w:p>
    <w:p w:rsidR="00062AED" w:rsidRDefault="00062AED" w:rsidP="009370EA">
      <w:pPr>
        <w:spacing w:line="360" w:lineRule="auto"/>
        <w:jc w:val="both"/>
      </w:pPr>
    </w:p>
    <w:p w:rsidR="00062AED" w:rsidRPr="00840A0F" w:rsidRDefault="00062AED" w:rsidP="009370EA">
      <w:pPr>
        <w:pStyle w:val="PhDSubheading"/>
        <w:spacing w:line="360" w:lineRule="auto"/>
      </w:pPr>
      <w:r>
        <w:t xml:space="preserve">3.2.4 </w:t>
      </w:r>
      <w:r w:rsidRPr="00840A0F">
        <w:t>The Eternal Purpose of the Triune God</w:t>
      </w:r>
    </w:p>
    <w:p w:rsidR="00062AED" w:rsidRDefault="00062AED" w:rsidP="009370EA">
      <w:pPr>
        <w:spacing w:line="360" w:lineRule="auto"/>
        <w:jc w:val="both"/>
      </w:pPr>
      <w:r>
        <w:t>For D.P. Williams, the subjects of the Trinity and the Eternal Purpose have a very strong and close connection. ‘O Dragwyddol fawr feddyliau’</w:t>
      </w:r>
      <w:r>
        <w:rPr>
          <w:rStyle w:val="FootnoteReference"/>
        </w:rPr>
        <w:footnoteReference w:id="398"/>
      </w:r>
      <w:r>
        <w:t xml:space="preserve"> draws together the themes of the Trinity, the Covenant of Redemption, and the Eternal Purpose. Here the Eternal Purpose springs from the great eternal thoughts in the depths of the Triune Being and issues in a firm purpose of redemption through this Trini</w:t>
      </w:r>
      <w:r w:rsidR="00F36887">
        <w:t>t</w:t>
      </w:r>
      <w:r>
        <w:t>arian divine counsel (Covenant of Redemption),</w:t>
      </w:r>
      <w:r>
        <w:rPr>
          <w:rStyle w:val="FootnoteReference"/>
        </w:rPr>
        <w:footnoteReference w:id="399"/>
      </w:r>
      <w:r>
        <w:t xml:space="preserve"> through the Father’s election and the Son’s incarnation (state of humiliation) and atoning merit.</w:t>
      </w:r>
      <w:r>
        <w:rPr>
          <w:rStyle w:val="FootnoteReference"/>
        </w:rPr>
        <w:footnoteReference w:id="400"/>
      </w:r>
      <w:r>
        <w:t xml:space="preserve"> The Eternal Purpose then serves in Williams’ thought as the great point of connection between the immanent Trinity and the economy. The Eternal Purpose finds its origin, not within the economic workings of the Triune persons, but rather, within the eternal being of the Triune God, and is thus the source of the economy. The covenant of redemption then could be seen as the point of juncture between the Eternal Purpose in the immanent Trinity and the outworking of that Purpose by the Trinity in the economy.</w:t>
      </w:r>
    </w:p>
    <w:p w:rsidR="00062AED" w:rsidRDefault="00062AED" w:rsidP="009370EA">
      <w:pPr>
        <w:spacing w:line="360" w:lineRule="auto"/>
        <w:jc w:val="both"/>
      </w:pPr>
      <w:r>
        <w:t>‘Anfeidrol ei ddyfnder’</w:t>
      </w:r>
      <w:r>
        <w:rPr>
          <w:rStyle w:val="FootnoteReference"/>
        </w:rPr>
        <w:footnoteReference w:id="401"/>
      </w:r>
      <w:r>
        <w:t xml:space="preserve"> also takes up both the themes of the Trinity and the Eternal Purpose. Here this purpose is specifically ‘arfaeth y Tri sydd yn un’ (the purpose of the Three who are one). It is said to be an unchangeable purpose and is rooted within the love of the very Being of God and centred on the Cross of Christ.</w:t>
      </w:r>
      <w:r>
        <w:rPr>
          <w:rStyle w:val="FootnoteReference"/>
        </w:rPr>
        <w:footnoteReference w:id="402"/>
      </w:r>
      <w:r>
        <w:t xml:space="preserve"> Although not specifically mentioning the Trinity, the hymn ‘Mae Dwyfol dosturi Dy gariad’ also takes up this latter theme of how the Eternal Purpose is accomplished through the Cross.</w:t>
      </w:r>
      <w:r>
        <w:rPr>
          <w:rStyle w:val="FootnoteReference"/>
        </w:rPr>
        <w:footnoteReference w:id="403"/>
      </w:r>
    </w:p>
    <w:p w:rsidR="00062AED" w:rsidRDefault="00062AED" w:rsidP="009370EA">
      <w:pPr>
        <w:spacing w:line="360" w:lineRule="auto"/>
        <w:jc w:val="both"/>
      </w:pPr>
      <w:r>
        <w:t xml:space="preserve">One of Williams’ most striking hymns for its contrast to the prevailing narrative in Pentecostal </w:t>
      </w:r>
      <w:r w:rsidR="009C0C0F">
        <w:t>s</w:t>
      </w:r>
      <w:r>
        <w:t>tudies concerning the nature of Pentecostal theology is ‘O Ddyfnder golud Duw’ with its repeated refrain, ‘Etholodd ni’ (He elected us).</w:t>
      </w:r>
      <w:r>
        <w:rPr>
          <w:rStyle w:val="FootnoteReference"/>
        </w:rPr>
        <w:footnoteReference w:id="404"/>
      </w:r>
      <w:r>
        <w:t xml:space="preserve"> Again, this hymn takes up the themes of the Trinity, the Eternal Purpose and the Covenant of Redemption, all of which are drawn together in </w:t>
      </w:r>
      <w:r>
        <w:lastRenderedPageBreak/>
        <w:t>the theme of election. Whilst elsewhere in His hymnody Williams had attributed election to the Father,</w:t>
      </w:r>
      <w:r>
        <w:rPr>
          <w:rStyle w:val="FootnoteReference"/>
        </w:rPr>
        <w:footnoteReference w:id="405"/>
      </w:r>
      <w:r>
        <w:t xml:space="preserve"> here he attributes election to the Trinity:</w:t>
      </w:r>
    </w:p>
    <w:p w:rsidR="00062AED" w:rsidRPr="00F90AEE" w:rsidRDefault="00062AED" w:rsidP="009370EA">
      <w:pPr>
        <w:spacing w:after="0" w:line="360" w:lineRule="auto"/>
        <w:ind w:left="720"/>
        <w:jc w:val="both"/>
        <w:rPr>
          <w:sz w:val="20"/>
        </w:rPr>
      </w:pPr>
      <w:r w:rsidRPr="00F90AEE">
        <w:rPr>
          <w:sz w:val="20"/>
        </w:rPr>
        <w:t>Mewn cyngor Dwyfol Dri,</w:t>
      </w:r>
    </w:p>
    <w:p w:rsidR="00062AED" w:rsidRPr="00F90AEE" w:rsidRDefault="00062AED" w:rsidP="009370EA">
      <w:pPr>
        <w:spacing w:after="0" w:line="360" w:lineRule="auto"/>
        <w:ind w:left="720"/>
        <w:jc w:val="both"/>
        <w:rPr>
          <w:sz w:val="20"/>
        </w:rPr>
      </w:pPr>
      <w:r w:rsidRPr="00F90AEE">
        <w:rPr>
          <w:sz w:val="20"/>
        </w:rPr>
        <w:t>Trwy Ragwybodaeth gu,</w:t>
      </w:r>
    </w:p>
    <w:p w:rsidR="00062AED" w:rsidRPr="00F90AEE" w:rsidRDefault="00062AED" w:rsidP="009370EA">
      <w:pPr>
        <w:spacing w:after="0" w:line="360" w:lineRule="auto"/>
        <w:ind w:left="720"/>
        <w:jc w:val="both"/>
        <w:rPr>
          <w:sz w:val="20"/>
        </w:rPr>
      </w:pPr>
      <w:r w:rsidRPr="00F90AEE">
        <w:rPr>
          <w:sz w:val="20"/>
        </w:rPr>
        <w:t>Etholodd ni;</w:t>
      </w:r>
    </w:p>
    <w:p w:rsidR="00062AED" w:rsidRPr="00F90AEE" w:rsidRDefault="00062AED" w:rsidP="009370EA">
      <w:pPr>
        <w:spacing w:after="0" w:line="360" w:lineRule="auto"/>
        <w:ind w:left="720"/>
        <w:jc w:val="both"/>
        <w:rPr>
          <w:sz w:val="20"/>
        </w:rPr>
      </w:pPr>
      <w:r w:rsidRPr="00F90AEE">
        <w:rPr>
          <w:sz w:val="20"/>
        </w:rPr>
        <w:t>Yr Arfaeth gyson gaed</w:t>
      </w:r>
    </w:p>
    <w:p w:rsidR="00062AED" w:rsidRPr="00F90AEE" w:rsidRDefault="00062AED" w:rsidP="009370EA">
      <w:pPr>
        <w:spacing w:line="360" w:lineRule="auto"/>
        <w:ind w:left="720"/>
        <w:jc w:val="both"/>
        <w:rPr>
          <w:sz w:val="20"/>
        </w:rPr>
      </w:pPr>
      <w:r w:rsidRPr="00F90AEE">
        <w:rPr>
          <w:sz w:val="20"/>
        </w:rPr>
        <w:t>Yn marw yn ei gwaed</w:t>
      </w:r>
      <w:r w:rsidRPr="00F90AEE">
        <w:rPr>
          <w:rStyle w:val="FootnoteReference"/>
          <w:sz w:val="20"/>
        </w:rPr>
        <w:footnoteReference w:id="406"/>
      </w:r>
    </w:p>
    <w:p w:rsidR="00062AED" w:rsidRPr="00F90AEE" w:rsidRDefault="00062AED" w:rsidP="009370EA">
      <w:pPr>
        <w:spacing w:after="0" w:line="360" w:lineRule="auto"/>
        <w:ind w:left="720"/>
        <w:jc w:val="both"/>
        <w:rPr>
          <w:sz w:val="20"/>
        </w:rPr>
      </w:pPr>
      <w:r w:rsidRPr="00F90AEE">
        <w:rPr>
          <w:sz w:val="20"/>
        </w:rPr>
        <w:t>In the Council of the Divine Three,</w:t>
      </w:r>
    </w:p>
    <w:p w:rsidR="00062AED" w:rsidRPr="00F90AEE" w:rsidRDefault="00062AED" w:rsidP="009370EA">
      <w:pPr>
        <w:spacing w:after="0" w:line="360" w:lineRule="auto"/>
        <w:ind w:left="720"/>
        <w:jc w:val="both"/>
        <w:rPr>
          <w:sz w:val="20"/>
        </w:rPr>
      </w:pPr>
      <w:r w:rsidRPr="00F90AEE">
        <w:rPr>
          <w:sz w:val="20"/>
        </w:rPr>
        <w:t>Through loving foreknowledge,</w:t>
      </w:r>
      <w:r w:rsidRPr="00F90AEE">
        <w:rPr>
          <w:rStyle w:val="FootnoteReference"/>
          <w:sz w:val="20"/>
        </w:rPr>
        <w:footnoteReference w:id="407"/>
      </w:r>
    </w:p>
    <w:p w:rsidR="00062AED" w:rsidRPr="00F90AEE" w:rsidRDefault="00062AED" w:rsidP="009370EA">
      <w:pPr>
        <w:spacing w:after="0" w:line="360" w:lineRule="auto"/>
        <w:ind w:left="720"/>
        <w:jc w:val="both"/>
        <w:rPr>
          <w:sz w:val="20"/>
        </w:rPr>
      </w:pPr>
      <w:r w:rsidRPr="00F90AEE">
        <w:rPr>
          <w:sz w:val="20"/>
        </w:rPr>
        <w:t>He elected us;</w:t>
      </w:r>
    </w:p>
    <w:p w:rsidR="00062AED" w:rsidRPr="00F90AEE" w:rsidRDefault="00062AED" w:rsidP="009370EA">
      <w:pPr>
        <w:spacing w:after="0" w:line="360" w:lineRule="auto"/>
        <w:ind w:left="720"/>
        <w:jc w:val="both"/>
        <w:rPr>
          <w:sz w:val="20"/>
        </w:rPr>
      </w:pPr>
      <w:r w:rsidRPr="00F90AEE">
        <w:rPr>
          <w:sz w:val="20"/>
        </w:rPr>
        <w:t>The whole Purpose was accomplished</w:t>
      </w:r>
    </w:p>
    <w:p w:rsidR="00062AED" w:rsidRPr="00F90AEE" w:rsidRDefault="00062AED" w:rsidP="009370EA">
      <w:pPr>
        <w:spacing w:line="360" w:lineRule="auto"/>
        <w:ind w:left="720"/>
        <w:jc w:val="both"/>
        <w:rPr>
          <w:sz w:val="20"/>
        </w:rPr>
      </w:pPr>
      <w:r w:rsidRPr="00F90AEE">
        <w:rPr>
          <w:sz w:val="20"/>
        </w:rPr>
        <w:t>By dying in His blood</w:t>
      </w:r>
      <w:r w:rsidRPr="00F90AEE">
        <w:rPr>
          <w:rStyle w:val="FootnoteReference"/>
          <w:sz w:val="20"/>
        </w:rPr>
        <w:footnoteReference w:id="408"/>
      </w:r>
    </w:p>
    <w:p w:rsidR="00062AED" w:rsidRDefault="00062AED" w:rsidP="009370EA">
      <w:pPr>
        <w:spacing w:line="360" w:lineRule="auto"/>
        <w:jc w:val="both"/>
      </w:pPr>
      <w:r>
        <w:t>Here we see that election is not only connected for Williams to the Trinity, but also to the Eternal Purpose.</w:t>
      </w:r>
    </w:p>
    <w:p w:rsidR="00062AED" w:rsidRDefault="00062AED" w:rsidP="009370EA">
      <w:pPr>
        <w:spacing w:line="360" w:lineRule="auto"/>
        <w:jc w:val="both"/>
      </w:pPr>
      <w:r>
        <w:t>The final verse of this hymn makes clear that Williams sees it as getting to the heart of Apostolic theology. Having sung of eternity past in the first verse, and of the Cross of Christ in the second, Williams turns to the present in the third verse, connecting the believer’s present day experience back to that Eternal Purpose set in motion in election in eternity past and accomplished through the Cross of Christ. The result is ‘yr Apostolaidd drefn’ (the Apostolic order/economy). This then connects the doctrines of the Trinity, election and the Eternal Purpose to the concept of ‘the Apostolic Vision’, or the very heart of Apostolic theology.</w:t>
      </w:r>
    </w:p>
    <w:p w:rsidR="00062AED" w:rsidRDefault="00062AED" w:rsidP="009370EA">
      <w:pPr>
        <w:spacing w:line="360" w:lineRule="auto"/>
        <w:jc w:val="both"/>
      </w:pPr>
      <w:r>
        <w:t xml:space="preserve">The hymns of D.P. Williams express a depth of Trinitarian theology and devotion which set them apart from English-language Pentecostal song-writing, both of that period and of more recent times. As Hollenweger and Land have pointed out, hymns and songs are a hugely significant aspect of Pentecostal theological writing, both in the expression of Pentecostal thought and in its transmission. Thus the rich Trinitarianism of the hymns of D.P. Williams cannot be overlooked or ignored. In his hymns, the doctrine of the Trinity connects right to the heart of Apostolic theology, and should </w:t>
      </w:r>
      <w:r w:rsidR="00A2659C">
        <w:t>be taken seriously</w:t>
      </w:r>
      <w:r>
        <w:t>.</w:t>
      </w:r>
    </w:p>
    <w:p w:rsidR="00062AED" w:rsidRPr="00AE45EF" w:rsidRDefault="00062AED" w:rsidP="009370EA">
      <w:pPr>
        <w:spacing w:line="360" w:lineRule="auto"/>
        <w:jc w:val="both"/>
      </w:pPr>
    </w:p>
    <w:p w:rsidR="00062AED" w:rsidRPr="0047212F" w:rsidRDefault="00062AED" w:rsidP="009370EA">
      <w:pPr>
        <w:pStyle w:val="PhDSubheading"/>
        <w:spacing w:line="360" w:lineRule="auto"/>
      </w:pPr>
      <w:r>
        <w:t xml:space="preserve">3.3 </w:t>
      </w:r>
      <w:r w:rsidRPr="0047212F">
        <w:t>The Significance of the Role of Election and the Covenant of Redemption in D.P. Williams’ theology for Apostolic Trinitarian Thought</w:t>
      </w:r>
    </w:p>
    <w:p w:rsidR="00062AED" w:rsidRDefault="00062AED" w:rsidP="009370EA">
      <w:pPr>
        <w:spacing w:line="360" w:lineRule="auto"/>
        <w:jc w:val="both"/>
      </w:pPr>
      <w:r w:rsidRPr="00E07B86">
        <w:t xml:space="preserve">Having noted the place of the concepts of the Covenant of Redemption and the doctrine of election in Williams’ hymns, </w:t>
      </w:r>
      <w:r>
        <w:t>it will be worthwhile to pause for a moment to consider their role in his theology further. As noted above, these are not concepts traditionally associated with Pentecostal theology. The prevailing narrative in Pentecostal Studies sees Pentecostalism as a development from the 19</w:t>
      </w:r>
      <w:r w:rsidRPr="005A0F15">
        <w:rPr>
          <w:vertAlign w:val="superscript"/>
        </w:rPr>
        <w:t>th</w:t>
      </w:r>
      <w:r>
        <w:t xml:space="preserve"> Century Holiness movement, and thus expects Pentecostal theology to exhibit the characteristics of holiness revivalism and Arminianism.</w:t>
      </w:r>
      <w:r>
        <w:rPr>
          <w:rStyle w:val="FootnoteReference"/>
        </w:rPr>
        <w:footnoteReference w:id="409"/>
      </w:r>
      <w:r>
        <w:t xml:space="preserve"> As a result, election is not generally expected to be found as a major concern among Pentecostals. Furthermore, the premillennial convictions of the early Pentecostals have generally led to an adoption of Dispensational theology, which sees Covenant theology with its concept of a Covenant of Redemption as its opposite and opponent.</w:t>
      </w:r>
      <w:r>
        <w:rPr>
          <w:rStyle w:val="FootnoteReference"/>
        </w:rPr>
        <w:footnoteReference w:id="410"/>
      </w:r>
    </w:p>
    <w:p w:rsidR="00062AED" w:rsidRDefault="00062AED" w:rsidP="009370EA">
      <w:pPr>
        <w:spacing w:line="360" w:lineRule="auto"/>
        <w:jc w:val="both"/>
        <w:rPr>
          <w:iCs/>
        </w:rPr>
      </w:pPr>
      <w:r>
        <w:t>Yet Williams defies these expectations. Although sharing premillennial convictions with the other early Pentecostals, Williams (and other Apostolics too</w:t>
      </w:r>
      <w:r>
        <w:rPr>
          <w:rStyle w:val="FootnoteReference"/>
        </w:rPr>
        <w:footnoteReference w:id="411"/>
      </w:r>
      <w:r>
        <w:t>) did not see this as a contradiction of their Covenant Theology, but rather held the two together.</w:t>
      </w:r>
      <w:r>
        <w:rPr>
          <w:rStyle w:val="FootnoteReference"/>
        </w:rPr>
        <w:footnoteReference w:id="412"/>
      </w:r>
      <w:r>
        <w:t xml:space="preserve"> And furthermore, this Covenant Theology concept of the Covenant of Redemption (or Divine Trinitarian Counsel) was subordinate for Williams to a strong doctrine of election. As one early Apostolic writer put it, ‘</w:t>
      </w:r>
      <w:r w:rsidRPr="000B628E">
        <w:rPr>
          <w:iCs/>
        </w:rPr>
        <w:t>election, with its design of Christ character, is treated as the central sun of God’s eternal purpose; all other teachings, however much we value them, are regarded as so many planetary satellites.’</w:t>
      </w:r>
      <w:r>
        <w:rPr>
          <w:rStyle w:val="FootnoteReference"/>
          <w:iCs/>
        </w:rPr>
        <w:footnoteReference w:id="413"/>
      </w:r>
    </w:p>
    <w:p w:rsidR="00062AED" w:rsidRDefault="00062AED" w:rsidP="009370EA">
      <w:pPr>
        <w:spacing w:line="360" w:lineRule="auto"/>
        <w:jc w:val="both"/>
        <w:rPr>
          <w:iCs/>
        </w:rPr>
      </w:pPr>
      <w:r>
        <w:rPr>
          <w:iCs/>
        </w:rPr>
        <w:t xml:space="preserve">Beyond the importance of election as exhibited in his hymns, Williams attests to its centrality both in his own writings and also in what he chose, as editor, to include in the doctrinal magazine of the Apostolic Church, the </w:t>
      </w:r>
      <w:r>
        <w:rPr>
          <w:i/>
          <w:iCs/>
        </w:rPr>
        <w:t>R</w:t>
      </w:r>
      <w:r w:rsidR="00D413DB">
        <w:rPr>
          <w:i/>
          <w:iCs/>
        </w:rPr>
        <w:t xml:space="preserve">iches </w:t>
      </w:r>
      <w:r>
        <w:rPr>
          <w:i/>
          <w:iCs/>
        </w:rPr>
        <w:t>o</w:t>
      </w:r>
      <w:r w:rsidR="00D413DB">
        <w:rPr>
          <w:i/>
          <w:iCs/>
        </w:rPr>
        <w:t xml:space="preserve">f </w:t>
      </w:r>
      <w:r>
        <w:rPr>
          <w:i/>
          <w:iCs/>
        </w:rPr>
        <w:t>G</w:t>
      </w:r>
      <w:r w:rsidR="00D413DB">
        <w:rPr>
          <w:i/>
          <w:iCs/>
        </w:rPr>
        <w:t>race</w:t>
      </w:r>
      <w:r>
        <w:rPr>
          <w:iCs/>
        </w:rPr>
        <w:t xml:space="preserve">. In his own writings, Williams sees election as key to understanding how the </w:t>
      </w:r>
      <w:r w:rsidRPr="00B83F20">
        <w:rPr>
          <w:i/>
          <w:iCs/>
        </w:rPr>
        <w:t xml:space="preserve">opera trinitatis ad extra </w:t>
      </w:r>
      <w:r w:rsidR="008F2B9A" w:rsidRPr="00B83F20">
        <w:rPr>
          <w:i/>
          <w:iCs/>
        </w:rPr>
        <w:t xml:space="preserve">indivisa </w:t>
      </w:r>
      <w:r w:rsidRPr="00B83F20">
        <w:rPr>
          <w:i/>
          <w:iCs/>
        </w:rPr>
        <w:t>sunt</w:t>
      </w:r>
      <w:r>
        <w:rPr>
          <w:i/>
          <w:iCs/>
        </w:rPr>
        <w:t>.</w:t>
      </w:r>
      <w:r>
        <w:rPr>
          <w:iCs/>
        </w:rPr>
        <w:t xml:space="preserve"> The works </w:t>
      </w:r>
      <w:r w:rsidRPr="00672179">
        <w:rPr>
          <w:i/>
          <w:iCs/>
        </w:rPr>
        <w:t>ad extra</w:t>
      </w:r>
      <w:r>
        <w:rPr>
          <w:iCs/>
        </w:rPr>
        <w:t xml:space="preserve"> are united through election, thus ‘the work of the Father was to predestine; the work of the Son was to carry out His predestination to be facts in time; … the work of the Spirit is to reveal and bring </w:t>
      </w:r>
      <w:r>
        <w:rPr>
          <w:iCs/>
        </w:rPr>
        <w:lastRenderedPageBreak/>
        <w:t>such predestinated and accomplished facts to pass experimentally.’</w:t>
      </w:r>
      <w:r>
        <w:rPr>
          <w:rStyle w:val="FootnoteReference"/>
          <w:iCs/>
        </w:rPr>
        <w:footnoteReference w:id="414"/>
      </w:r>
      <w:r>
        <w:rPr>
          <w:iCs/>
        </w:rPr>
        <w:t xml:space="preserve"> Williams sees the Father as ‘the Source’ of election, and that ‘[a]fter He designed and purposed, the Son and the Spirit carried out His election to an effectual experience.’</w:t>
      </w:r>
      <w:r>
        <w:rPr>
          <w:rStyle w:val="FootnoteReference"/>
          <w:iCs/>
        </w:rPr>
        <w:footnoteReference w:id="415"/>
      </w:r>
    </w:p>
    <w:p w:rsidR="00062AED" w:rsidRDefault="00062AED" w:rsidP="009370EA">
      <w:pPr>
        <w:spacing w:after="0" w:line="360" w:lineRule="auto"/>
        <w:jc w:val="both"/>
        <w:rPr>
          <w:iCs/>
        </w:rPr>
      </w:pPr>
      <w:r>
        <w:rPr>
          <w:iCs/>
        </w:rPr>
        <w:t xml:space="preserve">Through his editorial decisions in the </w:t>
      </w:r>
      <w:r>
        <w:rPr>
          <w:i/>
          <w:iCs/>
        </w:rPr>
        <w:t>RoG</w:t>
      </w:r>
      <w:r>
        <w:rPr>
          <w:iCs/>
        </w:rPr>
        <w:t xml:space="preserve">, Williams further highlights the importance of election, and also further clarifies the nature of this election. In all his own writings on election, the cause of election is attributed to God alone. In 1935 Williams made the editorial decision to include two prophecies from a few years earlier on the subject of election in a single issue of the </w:t>
      </w:r>
      <w:r>
        <w:rPr>
          <w:i/>
          <w:iCs/>
        </w:rPr>
        <w:t>RoG</w:t>
      </w:r>
      <w:r>
        <w:rPr>
          <w:iCs/>
        </w:rPr>
        <w:t>. One of these prophecies made very clear the unconditional nature of this election:</w:t>
      </w:r>
    </w:p>
    <w:p w:rsidR="00062AED" w:rsidRPr="00FE1DA8" w:rsidRDefault="00062AED" w:rsidP="009370EA">
      <w:pPr>
        <w:spacing w:after="0" w:line="360" w:lineRule="auto"/>
        <w:ind w:left="720" w:right="720"/>
        <w:jc w:val="both"/>
        <w:rPr>
          <w:iCs/>
          <w:sz w:val="20"/>
        </w:rPr>
      </w:pPr>
      <w:r w:rsidRPr="00FE1DA8">
        <w:rPr>
          <w:iCs/>
          <w:sz w:val="20"/>
        </w:rPr>
        <w:t>Chosen and predestined are some, according to mine eternal purposes, unconditionally, according to the Divine decree that has found its essence in the Eternal One… For I definitely tell you that anyone that declares that I have not the right, according to mine own will and purposes, to choose unconditionally, I say unto you that you will find that I am Sovereign, that I have the authority thus to do and have done from the beginning, and it shall be done even to the end… And in the mystery of this declaration, I forbid the right even of my creation to ask me, “Why is it so?” for it has pleased the Lord your God thus to choose, to purpose, to pre-ordain, and it shall be done according to the purposes of that which has been woven in the garment of the Eternal purposes throughout the ages, saith the Lord.</w:t>
      </w:r>
      <w:r w:rsidRPr="00FE1DA8">
        <w:rPr>
          <w:rStyle w:val="FootnoteReference"/>
          <w:iCs/>
          <w:sz w:val="20"/>
        </w:rPr>
        <w:footnoteReference w:id="416"/>
      </w:r>
    </w:p>
    <w:p w:rsidR="00062AED" w:rsidRPr="00FE1DA8" w:rsidRDefault="00062AED" w:rsidP="009370EA">
      <w:pPr>
        <w:spacing w:line="360" w:lineRule="auto"/>
        <w:jc w:val="both"/>
        <w:rPr>
          <w:iCs/>
        </w:rPr>
      </w:pPr>
      <w:r>
        <w:rPr>
          <w:iCs/>
        </w:rPr>
        <w:t>This then clarifies Williams’ own exclusive focus on God’s role in election, for what he has in mind is not an Arminian concept of conditional election based on foreknowledge of human decisions, but rather an unconditional election based exclusively on the good pleasure of the Triune God. Yet for Williams, the nature of the Triune God also has an impact on the nature of this election. As this Triune God is in his very essence love, so too He elects in love.</w:t>
      </w:r>
      <w:r>
        <w:rPr>
          <w:rStyle w:val="FootnoteReference"/>
          <w:iCs/>
        </w:rPr>
        <w:footnoteReference w:id="417"/>
      </w:r>
    </w:p>
    <w:p w:rsidR="00062AED" w:rsidRDefault="00062AED" w:rsidP="009370EA">
      <w:pPr>
        <w:spacing w:line="360" w:lineRule="auto"/>
        <w:jc w:val="both"/>
      </w:pPr>
    </w:p>
    <w:p w:rsidR="00062AED" w:rsidRDefault="00062AED" w:rsidP="009370EA">
      <w:pPr>
        <w:pStyle w:val="PhDSubheading"/>
        <w:spacing w:line="360" w:lineRule="auto"/>
      </w:pPr>
      <w:r>
        <w:t xml:space="preserve">3.4 </w:t>
      </w:r>
      <w:r w:rsidRPr="00F24B7C">
        <w:t>W.R. Thomas’ Italian Trilogy and the Trinity</w:t>
      </w:r>
    </w:p>
    <w:p w:rsidR="00062AED" w:rsidRDefault="00062AED" w:rsidP="009370EA">
      <w:pPr>
        <w:spacing w:line="360" w:lineRule="auto"/>
        <w:jc w:val="both"/>
      </w:pPr>
      <w:r>
        <w:t>Although not focusing specifically on the doctrine of the Trinity, Thomas’s Trinitarian th</w:t>
      </w:r>
      <w:r w:rsidR="00E9637B">
        <w:t>ought comes through in this tri</w:t>
      </w:r>
      <w:r>
        <w:t xml:space="preserve">logy as highly developed.  For Thomas, love is at the very centre of Trinitarian theology and this theme permeates the whole of his Trinitarian thought. Love is God’s glory and His divinity for Thomas; in other words, Thomas finds the very divine essence and </w:t>
      </w:r>
      <w:r>
        <w:lastRenderedPageBreak/>
        <w:t>hence the unity of the Trinity in love.</w:t>
      </w:r>
      <w:r>
        <w:rPr>
          <w:rStyle w:val="FootnoteReference"/>
        </w:rPr>
        <w:footnoteReference w:id="418"/>
      </w:r>
      <w:r>
        <w:t xml:space="preserve"> Yet he also takes up the Augustinian conception of the Trinity in which ‘The Father loves, the Son is the loved One, the Spirit is love.’</w:t>
      </w:r>
      <w:r>
        <w:rPr>
          <w:rStyle w:val="FootnoteReference"/>
        </w:rPr>
        <w:footnoteReference w:id="419"/>
      </w:r>
      <w:r>
        <w:t xml:space="preserve"> ‘The Holy Spirit is the consubstantial love of the Father and the Son, and as such He is the unifying principle of everything.’</w:t>
      </w:r>
      <w:r>
        <w:rPr>
          <w:rStyle w:val="FootnoteReference"/>
        </w:rPr>
        <w:footnoteReference w:id="420"/>
      </w:r>
      <w:r>
        <w:t xml:space="preserve"> If love is both the divine essence and to be equated with the Spirit, this then means that the Spirit ‘completes’ the Trinity</w:t>
      </w:r>
      <w:r w:rsidR="00E9637B">
        <w:t>,</w:t>
      </w:r>
      <w:r>
        <w:rPr>
          <w:rStyle w:val="FootnoteReference"/>
        </w:rPr>
        <w:footnoteReference w:id="421"/>
      </w:r>
      <w:r>
        <w:t xml:space="preserve"> and the Spirit’s fullness is ‘the fullness of the Trinity in unity, and of the Deity in Trinity.’</w:t>
      </w:r>
      <w:r>
        <w:rPr>
          <w:rStyle w:val="FootnoteReference"/>
        </w:rPr>
        <w:footnoteReference w:id="422"/>
      </w:r>
      <w:r>
        <w:t xml:space="preserve"> This completion of the Triune identity by the Spirit is necessary ‘because there is no fourth person in God.’</w:t>
      </w:r>
      <w:r>
        <w:rPr>
          <w:rStyle w:val="FootnoteReference"/>
        </w:rPr>
        <w:footnoteReference w:id="423"/>
      </w:r>
      <w:r>
        <w:t xml:space="preserve"> </w:t>
      </w:r>
    </w:p>
    <w:p w:rsidR="00062AED" w:rsidRDefault="00062AED" w:rsidP="009370EA">
      <w:pPr>
        <w:spacing w:line="360" w:lineRule="auto"/>
        <w:jc w:val="both"/>
      </w:pPr>
      <w:r>
        <w:t>Thus we cannot appeal to some essence which stands behind the three persons and thus somehow turn it into a fourth, but rather must find the completion of Triune identity within the Three, which for Thomas means finding it in the Spirit who is love and constitutes the Triune God as love. ‘The Holy Spirit is the love that passes from the Father to the Son and from the Son returns to the Father.’</w:t>
      </w:r>
      <w:r>
        <w:rPr>
          <w:rStyle w:val="FootnoteReference"/>
        </w:rPr>
        <w:footnoteReference w:id="424"/>
      </w:r>
      <w:r>
        <w:t xml:space="preserve"> Thus it is the Spirit who brings the reciprocity to the Triune identity.</w:t>
      </w:r>
    </w:p>
    <w:p w:rsidR="00062AED" w:rsidRDefault="00062AED" w:rsidP="009370EA">
      <w:pPr>
        <w:spacing w:line="360" w:lineRule="auto"/>
        <w:jc w:val="both"/>
      </w:pPr>
      <w:r>
        <w:t xml:space="preserve">Yet this love does not remain only within the inner life of the Trinity. As </w:t>
      </w:r>
      <w:r w:rsidR="0028771E">
        <w:t>with</w:t>
      </w:r>
      <w:r>
        <w:t xml:space="preserve"> D.P. Williams, Thomas sees the Eternal Purpose and its outworking in the economy as springing from this eternal outpouring of love from one to the other within the fellowship of the Trinity. ‘In this unfathomable relationship of Divine love there was born the Eternal Purpose of God concerning the Church.’</w:t>
      </w:r>
      <w:r>
        <w:rPr>
          <w:rStyle w:val="FootnoteReference"/>
        </w:rPr>
        <w:footnoteReference w:id="425"/>
      </w:r>
    </w:p>
    <w:p w:rsidR="00062AED" w:rsidRDefault="00062AED" w:rsidP="009370EA">
      <w:pPr>
        <w:spacing w:line="360" w:lineRule="auto"/>
        <w:jc w:val="both"/>
      </w:pPr>
      <w:r>
        <w:t>The Spirit’s identity as the love between the Father and the Son, and His role in constituting and completing the Trinity, turn Thomas’ attention to the function of perichoresis in the unity of the Triune persons.  If the fullness of the Spirit is ‘the fullness of the Trinity in Unity, and of the Deity in Trinity’</w:t>
      </w:r>
      <w:r>
        <w:rPr>
          <w:rStyle w:val="FootnoteReference"/>
        </w:rPr>
        <w:footnoteReference w:id="426"/>
      </w:r>
      <w:r>
        <w:t>, then ‘where the Father is, and where the Son is, there is also the Holy Spirit.’</w:t>
      </w:r>
      <w:r>
        <w:rPr>
          <w:rStyle w:val="FootnoteReference"/>
        </w:rPr>
        <w:footnoteReference w:id="427"/>
      </w:r>
      <w:r>
        <w:t xml:space="preserve"> Thus, ‘in the Holiest Trinity there is the mutual inhabitation of the Triune Persons, so the inhabitation of the Holy Spirit embraces and includes the abiding of the Father and the Son.’</w:t>
      </w:r>
      <w:r>
        <w:rPr>
          <w:rStyle w:val="FootnoteReference"/>
        </w:rPr>
        <w:footnoteReference w:id="428"/>
      </w:r>
      <w:r>
        <w:t xml:space="preserve"> For Thomas, a unity found in the love that is the Holy Spirit goes hand in hand with a unity found in perichoresis.</w:t>
      </w:r>
    </w:p>
    <w:p w:rsidR="00062AED" w:rsidRDefault="00062AED" w:rsidP="009370EA">
      <w:pPr>
        <w:spacing w:line="360" w:lineRule="auto"/>
        <w:jc w:val="both"/>
      </w:pPr>
      <w:r>
        <w:lastRenderedPageBreak/>
        <w:t>This constitutive and unitive role of the Spirit in the Triune identity does not, however, for Thomas, in any way diminish the place of the Son. It is Christ who is ‘the visible image of the invisible Father’</w:t>
      </w:r>
      <w:r>
        <w:rPr>
          <w:rStyle w:val="FootnoteReference"/>
        </w:rPr>
        <w:footnoteReference w:id="429"/>
      </w:r>
      <w:r>
        <w:t xml:space="preserve"> and ‘the essence of God is contained perfectly’ in the Son.</w:t>
      </w:r>
      <w:r>
        <w:rPr>
          <w:rStyle w:val="FootnoteReference"/>
        </w:rPr>
        <w:footnoteReference w:id="430"/>
      </w:r>
    </w:p>
    <w:p w:rsidR="00062AED" w:rsidRDefault="00062AED" w:rsidP="009370EA">
      <w:pPr>
        <w:spacing w:line="360" w:lineRule="auto"/>
        <w:jc w:val="both"/>
      </w:pPr>
      <w:r w:rsidRPr="00736AE5">
        <w:rPr>
          <w:i/>
        </w:rPr>
        <w:t>Taxis</w:t>
      </w:r>
      <w:r>
        <w:t>, then, remains a significant concern for Thomas. He is in no way seeking to highlight the Holy Spirit’s role in order to undermine the Trinitarian taxis. His vision of a mutually-indwelling, loving communion of the three Triune persons is not a vision of an egalitarian community. Rather, he maintains a ‘subordination’, not of essence or being, but only in terms of ‘order’ and in relation to ‘office or workings’.</w:t>
      </w:r>
      <w:r>
        <w:rPr>
          <w:rStyle w:val="FootnoteReference"/>
        </w:rPr>
        <w:footnoteReference w:id="431"/>
      </w:r>
      <w:r>
        <w:t xml:space="preserve"> Thus, this subordination is ‘perfectly compatible with the concept of equality that exists between the three persons of the holiest Trinity.’</w:t>
      </w:r>
      <w:r>
        <w:rPr>
          <w:rStyle w:val="FootnoteReference"/>
        </w:rPr>
        <w:footnoteReference w:id="432"/>
      </w:r>
      <w:r>
        <w:t xml:space="preserve"> In terms of essence the three are equal; in terms of office there is </w:t>
      </w:r>
      <w:r w:rsidRPr="00E9637B">
        <w:t>a subordination</w:t>
      </w:r>
      <w:r>
        <w:t xml:space="preserve"> of the Holy Spirit to the Son and of the Son to the Father. This is, of course, the traditional conception of Trinitarian taxis.</w:t>
      </w:r>
    </w:p>
    <w:p w:rsidR="00062AED" w:rsidRDefault="00062AED" w:rsidP="009370EA">
      <w:pPr>
        <w:spacing w:line="360" w:lineRule="auto"/>
        <w:jc w:val="both"/>
      </w:pPr>
      <w:r>
        <w:t>Tied to this strong conception of economic taxis is the doctrine of the monarchy of the Father. Thomas maintains that ‘this One God and Father … He is the Fountain of Deity’</w:t>
      </w:r>
      <w:r>
        <w:rPr>
          <w:rStyle w:val="FootnoteReference"/>
        </w:rPr>
        <w:footnoteReference w:id="433"/>
      </w:r>
      <w:r>
        <w:t xml:space="preserve"> or ‘source of Deity’.</w:t>
      </w:r>
      <w:r>
        <w:rPr>
          <w:rStyle w:val="FootnoteReference"/>
        </w:rPr>
        <w:footnoteReference w:id="434"/>
      </w:r>
      <w:r>
        <w:t xml:space="preserve"> Thus at the centre of ‘the mystery of the Holy Trinity’ stands ‘the paternity of God to His Son’</w:t>
      </w:r>
      <w:r>
        <w:rPr>
          <w:rStyle w:val="FootnoteReference"/>
        </w:rPr>
        <w:footnoteReference w:id="435"/>
      </w:r>
      <w:r>
        <w:t xml:space="preserve"> and the unity of the Trinity comes not only from the Spirit, but is also found in ‘the unity of the Father.’</w:t>
      </w:r>
      <w:r>
        <w:rPr>
          <w:rStyle w:val="FootnoteReference"/>
        </w:rPr>
        <w:footnoteReference w:id="436"/>
      </w:r>
    </w:p>
    <w:p w:rsidR="00062AED" w:rsidRDefault="00062AED" w:rsidP="009370EA">
      <w:pPr>
        <w:spacing w:line="360" w:lineRule="auto"/>
        <w:jc w:val="both"/>
      </w:pPr>
      <w:r>
        <w:t>So, does this strong concept of taxis and the monarchy of the Father overrule the concepts of eternal loving fellowship and perichoresis which we have already seen at the heart of Thomas’ understanding of the unity of the Trinity? Not at all.  For Thomas these two sides belong together. The centrality of the loving fellowship and perichoresis keeps the reality of the Trinity in sight, while the strong concepts of taxis and the monarchy of the Father prevent this from descending into too loose a social Trinitarianism.</w:t>
      </w:r>
    </w:p>
    <w:p w:rsidR="00062AED" w:rsidRDefault="00062AED" w:rsidP="009370EA">
      <w:pPr>
        <w:spacing w:line="360" w:lineRule="auto"/>
        <w:jc w:val="both"/>
      </w:pPr>
      <w:r>
        <w:t xml:space="preserve">That raises one last question here. Is Thomas in any way a social Trinitarian? It would appear that the answer is yes, yet ironically this answer emerges from his discussion of taxis. In writing of the Spirit’s subordination to Christ, Thomas argues that this can be seen in the subordination of the gifts of the Spirit to the ministries of Christ in the church. ‘From this we can see that the Holy </w:t>
      </w:r>
      <w:r>
        <w:lastRenderedPageBreak/>
        <w:t>Spirit will never use His own Gifts … to command the Ministers of Christ.’</w:t>
      </w:r>
      <w:r>
        <w:rPr>
          <w:rStyle w:val="FootnoteReference"/>
        </w:rPr>
        <w:footnoteReference w:id="437"/>
      </w:r>
      <w:r>
        <w:t xml:space="preserve"> This would appear to be suggestive of two distinct centres of consciousness (that of the Spirit and that of Christ), and hence of some form of social Trinitarianism, albeit carefully protected by strong concepts of taxis and the monarchy of the Father.</w:t>
      </w:r>
    </w:p>
    <w:p w:rsidR="00062AED" w:rsidRDefault="00062AED" w:rsidP="009370EA">
      <w:pPr>
        <w:spacing w:line="360" w:lineRule="auto"/>
        <w:jc w:val="both"/>
      </w:pPr>
    </w:p>
    <w:p w:rsidR="00062AED" w:rsidRPr="00F24B7C" w:rsidRDefault="00062AED" w:rsidP="009370EA">
      <w:pPr>
        <w:pStyle w:val="PhDSubheading"/>
        <w:spacing w:line="360" w:lineRule="auto"/>
      </w:pPr>
      <w:r>
        <w:t xml:space="preserve">3.5 </w:t>
      </w:r>
      <w:r w:rsidRPr="00F24B7C">
        <w:t>Hugh Dawson’s Strong Trinitarianism and Its Detachment from the other Theological Loci</w:t>
      </w:r>
    </w:p>
    <w:p w:rsidR="00062AED" w:rsidRDefault="00062AED" w:rsidP="009370EA">
      <w:pPr>
        <w:spacing w:line="360" w:lineRule="auto"/>
        <w:jc w:val="both"/>
      </w:pPr>
      <w:r>
        <w:t>Hugh Dawson’s</w:t>
      </w:r>
      <w:r w:rsidR="00174167">
        <w:rPr>
          <w:rStyle w:val="FootnoteReference"/>
        </w:rPr>
        <w:footnoteReference w:id="438"/>
      </w:r>
      <w:r>
        <w:t xml:space="preserve"> Trinitarian theology is not so explicitly or extensively set out as that of eith</w:t>
      </w:r>
      <w:r w:rsidR="00480771">
        <w:t>er D.P. Williams or W.R. Thomas; r</w:t>
      </w:r>
      <w:r>
        <w:t>ather, it is found in his ecclesiological writing as he discussed the relationship between the Trinity and the Church. Dawson’s main contribution is to do with the nature of the unity of the Trinity.</w:t>
      </w:r>
    </w:p>
    <w:p w:rsidR="00062AED" w:rsidRDefault="00062AED" w:rsidP="009370EA">
      <w:pPr>
        <w:spacing w:line="360" w:lineRule="auto"/>
        <w:jc w:val="both"/>
      </w:pPr>
      <w:r>
        <w:t>First it should be noted that Dawson does not have a general or vague concept of ‘God’. For him the ‘one God’ is always to be thought of in terms of ‘a Trinity of Persons.’</w:t>
      </w:r>
      <w:r>
        <w:rPr>
          <w:rStyle w:val="FootnoteReference"/>
        </w:rPr>
        <w:footnoteReference w:id="439"/>
      </w:r>
      <w:r>
        <w:t xml:space="preserve"> Yet, most frequently when he uses the name God, He is referring to the Father.</w:t>
      </w:r>
      <w:r>
        <w:rPr>
          <w:rStyle w:val="FootnoteReference"/>
        </w:rPr>
        <w:footnoteReference w:id="440"/>
      </w:r>
      <w:r>
        <w:t xml:space="preserve"> Thus Dawson has no conception of a divine essence beyond the three Triune persons.</w:t>
      </w:r>
    </w:p>
    <w:p w:rsidR="00062AED" w:rsidRDefault="00062AED" w:rsidP="009370EA">
      <w:pPr>
        <w:spacing w:line="360" w:lineRule="auto"/>
        <w:jc w:val="both"/>
      </w:pPr>
      <w:r>
        <w:t>For Dawson, the subject of the unity of the Trinity is of great importance, as he argues that this is how we should understand the unity between Christ and the Church. ‘Nothing less than oneness as it exists in the Trinity is predicted and predetermined for Christ and His Body, the Church.’</w:t>
      </w:r>
      <w:r>
        <w:rPr>
          <w:rStyle w:val="FootnoteReference"/>
        </w:rPr>
        <w:footnoteReference w:id="441"/>
      </w:r>
      <w:r>
        <w:t xml:space="preserve"> ‘The Lord Jesus Christ and His Church will be one, even as God the Father, Son and Holy Spirit are one.’</w:t>
      </w:r>
      <w:r>
        <w:rPr>
          <w:rStyle w:val="FootnoteReference"/>
        </w:rPr>
        <w:footnoteReference w:id="442"/>
      </w:r>
      <w:r>
        <w:t xml:space="preserve"> But what sort of unity does he have in mind here? By this stage he has already established that this oneness between Christ and the Church is not a unity whereby the Church is absorbed into the substance of Christ, but rather a unity of fellowship. ‘Christ and the Church will be one, not in the sense that the Church will ever be Christ in essential being.’</w:t>
      </w:r>
      <w:r>
        <w:rPr>
          <w:rStyle w:val="FootnoteReference"/>
        </w:rPr>
        <w:footnoteReference w:id="443"/>
      </w:r>
      <w:r>
        <w:t xml:space="preserve"> Instead this unity is found in ‘perfection of fellowship’.</w:t>
      </w:r>
      <w:r>
        <w:rPr>
          <w:rStyle w:val="FootnoteReference"/>
        </w:rPr>
        <w:footnoteReference w:id="444"/>
      </w:r>
      <w:r>
        <w:t xml:space="preserve"> Further to this unity of fellowship, Dawson also sees the unity in purpose toward an eschatological end.</w:t>
      </w:r>
      <w:r>
        <w:rPr>
          <w:rStyle w:val="FootnoteReference"/>
        </w:rPr>
        <w:footnoteReference w:id="445"/>
      </w:r>
      <w:r>
        <w:t xml:space="preserve"> However, he does not develop this theme significantly.</w:t>
      </w:r>
    </w:p>
    <w:p w:rsidR="00062AED" w:rsidRDefault="00062AED" w:rsidP="009370EA">
      <w:pPr>
        <w:spacing w:line="360" w:lineRule="auto"/>
        <w:jc w:val="both"/>
      </w:pPr>
      <w:r>
        <w:lastRenderedPageBreak/>
        <w:t>Dawson’s Trinitarian theology is also significant in terms of what is not mentioned. While he grounds the unity of the Triune God in the perfect fellowship that exists between the three Triune persons, it is notable that he makes no mention of love in this regard. This then stands in stark contrast to both Williams and Thomas, for whom love was the key aspect of this fellowship between Father, Son and Holy Spirit. Furthermore, Dawson does not even mention the monarchy of the Father (although his references to the Father as ‘God’ could be indications that the monarchy of the Father was part of his wider, unwritten, Trinitarian thought; however, equally this could merely be a reflection of Pauline usage). Thus, with his unity grounded in fellowship and purpose without any mention of the monarchy of the Father or any similarly constitutive role for either of the other persons of the Trinity, nor any discussion of taxis, Dawson may possibly be the most social Trinitarian of the early Apostolics.</w:t>
      </w:r>
    </w:p>
    <w:p w:rsidR="00062AED" w:rsidRDefault="00062AED" w:rsidP="009370EA">
      <w:pPr>
        <w:spacing w:line="360" w:lineRule="auto"/>
        <w:jc w:val="both"/>
      </w:pPr>
      <w:r>
        <w:t xml:space="preserve">Yet, historically, Dawson was the most authoritarian of the early Apostolics. In 1942 Dawson was sent to Australia to help clarify some theological issues which had arisen there. However, his asserting of the authority of the apostleship, at the expense of prophecy, brought confusion rather than clarity and, coupled with his detached attitude to some of the key issues, </w:t>
      </w:r>
      <w:r w:rsidR="0006647A">
        <w:t>disheartened</w:t>
      </w:r>
      <w:r>
        <w:t xml:space="preserve"> many in the Australian church.</w:t>
      </w:r>
      <w:r>
        <w:rPr>
          <w:rStyle w:val="FootnoteReference"/>
        </w:rPr>
        <w:footnoteReference w:id="446"/>
      </w:r>
      <w:r>
        <w:t xml:space="preserve"> In 1953, as president of the General Council of the Apostolic Church, Dawson attempted to resolve a major theological controversy through authoritarian methods, with the imposition of an affirmation of total allegiance to the church’s constitution, which resulted in the resignation of two apostles and the loss of an entire mission field (the Gold Coast).</w:t>
      </w:r>
      <w:r>
        <w:rPr>
          <w:rStyle w:val="FootnoteReference"/>
        </w:rPr>
        <w:footnoteReference w:id="447"/>
      </w:r>
      <w:r>
        <w:t xml:space="preserve"> After his retirement, Dawson still maintained his authoritarian allegiance to the letter of constitutional procedure. In 1969 he issued a circular to all ministers of the church calling an extraordinary Council over the location of the new manse purchased for the incoming president. The manse was located approximately three miles away from the spot specified in the constitution, which so upset Dawson that he called his extraordinary meeting over the matter, and at this meeting the formation of a new, reformed Apostolic denomination was discussed.</w:t>
      </w:r>
      <w:r>
        <w:rPr>
          <w:rStyle w:val="FootnoteReference"/>
        </w:rPr>
        <w:footnoteReference w:id="448"/>
      </w:r>
      <w:r>
        <w:t xml:space="preserve"> Even when the full Council met in 1970 and censured Dawson’s actions and encouraged him to seek reconciliation, he still refused to submit.</w:t>
      </w:r>
      <w:r>
        <w:rPr>
          <w:rStyle w:val="FootnoteReference"/>
        </w:rPr>
        <w:footnoteReference w:id="449"/>
      </w:r>
      <w:r>
        <w:t xml:space="preserve"> How could the writer with the most egalitarian social model of the Trinity at the same time have the most authoritarian model of ecclesiastical structure? The answer here lies in another significant development which Dawson appears to usher in, and the one which is probably his most significant: the detachment of Trinitarian theology from the other theological loci.</w:t>
      </w:r>
    </w:p>
    <w:p w:rsidR="00062AED" w:rsidRDefault="00062AED" w:rsidP="009370EA">
      <w:pPr>
        <w:spacing w:line="360" w:lineRule="auto"/>
        <w:jc w:val="both"/>
      </w:pPr>
      <w:r>
        <w:lastRenderedPageBreak/>
        <w:t>As we have seen, for D.P. Williams, the doctrine of the Trinity was the basis for all Christian theology and so everything else had to be considered in light of the Trinity. With Dawson, however, that comes to an end. Thus, where Williams and Thomas turn to Trinitarian theology and the doctrine of perichoresis to explain the ecclesial fullness, Dawson is much happier with commercial ideas and, rather inelegantly, attempts to introduce the concept of imputation into ecclesiology.</w:t>
      </w:r>
      <w:r w:rsidR="000D5FDE">
        <w:rPr>
          <w:rStyle w:val="FootnoteReference"/>
        </w:rPr>
        <w:footnoteReference w:id="450"/>
      </w:r>
      <w:r>
        <w:t xml:space="preserve"> For Dawson, the doctrine of the Trinity no longer functions as the source of theological thought and the solution to theological problems. Rather, it has become simply one dogma on the list. Such a development would have a major impact, not only on Trinitarian thought among the Apostolics, but also on every other locus as it would lead to a reconfiguration of theological method.</w:t>
      </w:r>
    </w:p>
    <w:p w:rsidR="00062AED" w:rsidRDefault="00062AED" w:rsidP="009370EA">
      <w:pPr>
        <w:spacing w:line="360" w:lineRule="auto"/>
        <w:jc w:val="both"/>
      </w:pPr>
    </w:p>
    <w:p w:rsidR="00062AED" w:rsidRDefault="00062AED" w:rsidP="009370EA">
      <w:pPr>
        <w:pStyle w:val="PhDSubheading"/>
        <w:spacing w:line="360" w:lineRule="auto"/>
      </w:pPr>
      <w:r>
        <w:t xml:space="preserve">3.6 </w:t>
      </w:r>
      <w:r w:rsidRPr="00F24B7C">
        <w:t>W.A.C. Rowe’s One Lord, One Faith and the Westward Drift from Cappodocian Trinitarianism</w:t>
      </w:r>
    </w:p>
    <w:p w:rsidR="00062AED" w:rsidRDefault="00062AED" w:rsidP="009370EA">
      <w:pPr>
        <w:spacing w:line="360" w:lineRule="auto"/>
        <w:jc w:val="both"/>
      </w:pPr>
      <w:r>
        <w:t xml:space="preserve">W.A.C. Rowe’s book, </w:t>
      </w:r>
      <w:r w:rsidRPr="00BC0A73">
        <w:rPr>
          <w:i/>
        </w:rPr>
        <w:t>One Lord, One Faith</w:t>
      </w:r>
      <w:r>
        <w:t>, is perhaps one of the most influential works written by an early Apostolic. As no Apostolic writer produced a full systematic theology, Rowe’s work, although not in any way designed as such, has in many respects been used within the Apostolic Church to fill that gap. The book actually found its origin in a series of magazine articles for the young people of the Apostolic Church in Australia on Apostolic distinctives, but eventually grew into a large book.</w:t>
      </w:r>
      <w:r>
        <w:rPr>
          <w:rStyle w:val="FootnoteReference"/>
        </w:rPr>
        <w:footnoteReference w:id="451"/>
      </w:r>
      <w:r>
        <w:t xml:space="preserve"> However, given its origins, the book is much more detailed in some areas than others. Generally, the book covers what would be thought of as distinctive Apostolic issues (such as church government, and the baptism and gifts of the Spirit) in much greater detail than those issues generally held in common with other evangelical believers (such as the doctrine of the Trinity). </w:t>
      </w:r>
    </w:p>
    <w:p w:rsidR="00062AED" w:rsidRDefault="00062AED" w:rsidP="009370EA">
      <w:pPr>
        <w:spacing w:line="360" w:lineRule="auto"/>
        <w:jc w:val="both"/>
      </w:pPr>
      <w:r>
        <w:t>Yet, despite these weaknesses, Rowe’s work has remained of significant influence to Apostolic theological thought for much of the last fifty years. Unlike the works of Williams, Thomas or Dawson, it is still in print today, and so, for many Apostolic ministers, the thought of Williams and the earlier Apostolics has been filtered through the lenses of Rowe.</w:t>
      </w:r>
    </w:p>
    <w:p w:rsidR="00062AED" w:rsidRDefault="00062AED" w:rsidP="009370EA">
      <w:pPr>
        <w:spacing w:line="360" w:lineRule="auto"/>
        <w:jc w:val="both"/>
      </w:pPr>
      <w:r>
        <w:t xml:space="preserve">Rowe begins with the one Godhead, before briefly moving on to consideration of proofs for the existence of God, followed by the divine attributes. Love is here mentioned, but unlike in the thought of Williams or Thomas, love is considered merely as an attribute among others, rather </w:t>
      </w:r>
      <w:r>
        <w:lastRenderedPageBreak/>
        <w:t>than as the divine essence or the unity of the Trinity.</w:t>
      </w:r>
      <w:r>
        <w:rPr>
          <w:rStyle w:val="FootnoteReference"/>
        </w:rPr>
        <w:footnoteReference w:id="452"/>
      </w:r>
      <w:r>
        <w:t xml:space="preserve"> Finally, after considering the divine attributes in reference to the one Godhead, Rowe moves on to the subject of the Trinity. This he defines by writing: ‘there is one undivided nature in the Godhead which exists and manifests itself in three personal subsistences.’</w:t>
      </w:r>
      <w:r>
        <w:rPr>
          <w:rStyle w:val="FootnoteReference"/>
        </w:rPr>
        <w:footnoteReference w:id="453"/>
      </w:r>
      <w:r>
        <w:t xml:space="preserve"> He then further reinforces this by quoting from the Athanasian Creed.</w:t>
      </w:r>
      <w:r>
        <w:rPr>
          <w:rStyle w:val="FootnoteReference"/>
        </w:rPr>
        <w:footnoteReference w:id="454"/>
      </w:r>
    </w:p>
    <w:p w:rsidR="00062AED" w:rsidRDefault="00062AED" w:rsidP="009370EA">
      <w:pPr>
        <w:spacing w:line="360" w:lineRule="auto"/>
        <w:jc w:val="both"/>
      </w:pPr>
      <w:r>
        <w:t>From this definition it appears that Rowe is taking a substance, as opposed to relational view of the Trinity, and thus, unlike his predecessors, to be advocating a ‘Latin Trinitarianism’. This substance approach is seen again in how he treats the Old Testament divine names: ‘Jehovah, as a divine Name, speaks of His essence and is in the singular, whereas Elohim as another divine Name, is given in the plural and refers to the Persons in the Godhead.’</w:t>
      </w:r>
      <w:r>
        <w:rPr>
          <w:rStyle w:val="FootnoteReference"/>
        </w:rPr>
        <w:footnoteReference w:id="455"/>
      </w:r>
      <w:r>
        <w:t xml:space="preserve"> Not only is such an approach to the divine names unusual and unjustified, but it also risks hypostasising the essence of the Godhead into a fourth person.</w:t>
      </w:r>
    </w:p>
    <w:p w:rsidR="00062AED" w:rsidRDefault="00062AED" w:rsidP="009370EA">
      <w:pPr>
        <w:spacing w:line="360" w:lineRule="auto"/>
        <w:jc w:val="both"/>
      </w:pPr>
      <w:r>
        <w:t>Like Dawson, Rowe does not appear to ground all theology in the doctrine of the Trinity.</w:t>
      </w:r>
      <w:r>
        <w:rPr>
          <w:rStyle w:val="FootnoteReference"/>
        </w:rPr>
        <w:footnoteReference w:id="456"/>
      </w:r>
      <w:r>
        <w:t xml:space="preserve"> For Rowe this doctrine functions merely as the first among many others and so remains detached from them. Even when he comes to consider the Eternal Purpose, he does so in terms simply of ‘God’, rather than on a Trinitarian basis. Thus in Rowe we have the terminus of the about-turn from the </w:t>
      </w:r>
      <w:r w:rsidRPr="00BA22DA">
        <w:t>Cappodocian Trinitarianism</w:t>
      </w:r>
      <w:r>
        <w:t xml:space="preserve"> of the earlier Apostolics which stood as the source of all theology, to a </w:t>
      </w:r>
      <w:r w:rsidRPr="00BA22DA">
        <w:t>Latin Trinitarianism</w:t>
      </w:r>
      <w:r>
        <w:t xml:space="preserve"> almost wholly detached from the great sweep of Christian theology and the life of the Church.</w:t>
      </w:r>
    </w:p>
    <w:p w:rsidR="00062AED" w:rsidRDefault="00062AED" w:rsidP="009370EA">
      <w:pPr>
        <w:spacing w:line="360" w:lineRule="auto"/>
      </w:pPr>
      <w:r>
        <w:br w:type="page"/>
      </w:r>
    </w:p>
    <w:p w:rsidR="005A3297" w:rsidRDefault="005A3297" w:rsidP="009370EA">
      <w:pPr>
        <w:pStyle w:val="PhDChapterTitle"/>
        <w:spacing w:line="360" w:lineRule="auto"/>
      </w:pPr>
      <w:r>
        <w:lastRenderedPageBreak/>
        <w:t>Chapter 4</w:t>
      </w:r>
    </w:p>
    <w:p w:rsidR="00062AED" w:rsidRPr="00436916" w:rsidRDefault="00062AED" w:rsidP="009370EA">
      <w:pPr>
        <w:pStyle w:val="PhDChapterTitle"/>
        <w:spacing w:line="360" w:lineRule="auto"/>
      </w:pPr>
      <w:r w:rsidRPr="00436916">
        <w:t xml:space="preserve">Totus Christus: The Church which Ontologically is the Body of Christ </w:t>
      </w:r>
      <w:r>
        <w:t>in the Theology of D.P. Williams</w:t>
      </w:r>
    </w:p>
    <w:p w:rsidR="00062AED" w:rsidRPr="00436916" w:rsidRDefault="00062AED" w:rsidP="009370EA">
      <w:pPr>
        <w:spacing w:line="360" w:lineRule="auto"/>
        <w:jc w:val="center"/>
        <w:rPr>
          <w:b/>
          <w:i/>
          <w:sz w:val="28"/>
        </w:rPr>
      </w:pPr>
    </w:p>
    <w:p w:rsidR="00062AED" w:rsidRPr="00436916" w:rsidRDefault="00062AED" w:rsidP="009370EA">
      <w:pPr>
        <w:spacing w:line="360" w:lineRule="auto"/>
        <w:jc w:val="both"/>
      </w:pPr>
      <w:r w:rsidRPr="00436916">
        <w:t xml:space="preserve">For the early Apostolics the doctrine of the Church was no mere afterthought; rather it was their very </w:t>
      </w:r>
      <w:r w:rsidRPr="00436916">
        <w:rPr>
          <w:i/>
          <w:iCs/>
        </w:rPr>
        <w:t>raison d’être</w:t>
      </w:r>
      <w:r w:rsidRPr="00436916">
        <w:t>. In fact, right from the very beginning of its existence, for the Apostolic Church, ecclesiology was of the utmost importance.</w:t>
      </w:r>
      <w:r w:rsidRPr="00436916">
        <w:rPr>
          <w:vertAlign w:val="superscript"/>
        </w:rPr>
        <w:footnoteReference w:id="457"/>
      </w:r>
      <w:r w:rsidRPr="00436916">
        <w:t xml:space="preserve"> But how did they understand the concept of the church?</w:t>
      </w:r>
    </w:p>
    <w:p w:rsidR="00062AED" w:rsidRPr="00436916" w:rsidRDefault="00062AED" w:rsidP="009370EA">
      <w:pPr>
        <w:spacing w:line="360" w:lineRule="auto"/>
        <w:jc w:val="both"/>
      </w:pPr>
      <w:r w:rsidRPr="00D17F5C">
        <w:t xml:space="preserve">The </w:t>
      </w:r>
      <w:r w:rsidRPr="0088186C">
        <w:rPr>
          <w:i/>
        </w:rPr>
        <w:t>Tenets of the Apostolic Church</w:t>
      </w:r>
      <w:r w:rsidRPr="00D17F5C">
        <w:t xml:space="preserve"> explicitly define the Church as ‘the Body of Christ.’</w:t>
      </w:r>
      <w:r w:rsidRPr="00D17F5C">
        <w:rPr>
          <w:rStyle w:val="FootnoteReference"/>
        </w:rPr>
        <w:footnoteReference w:id="458"/>
      </w:r>
      <w:r w:rsidRPr="00D17F5C">
        <w:t xml:space="preserve"> However, the sixth Tenet, in which this statement is found, begins by speaking of ‘the nine gifts of the Holy Ghost’, and thus the ecclesiological content of the tenet is frequently overlooked due to an exclusive focus on the charismatic content.</w:t>
      </w:r>
      <w:r w:rsidRPr="00D17F5C">
        <w:rPr>
          <w:rStyle w:val="FootnoteReference"/>
        </w:rPr>
        <w:footnoteReference w:id="459"/>
      </w:r>
      <w:r w:rsidRPr="00D17F5C">
        <w:t xml:space="preserve"> Yet, for the earliest expositions of the Tenets, it was the ecclesiological aspect here which was preeminent.</w:t>
      </w:r>
      <w:r w:rsidRPr="00D17F5C">
        <w:rPr>
          <w:rStyle w:val="FootnoteReference"/>
        </w:rPr>
        <w:footnoteReference w:id="460"/>
      </w:r>
      <w:r w:rsidRPr="00D17F5C">
        <w:t xml:space="preserve"> In the Tenets, the Body of Christ is not merely a metaphor among several for the church, but rather the very definition of the church.</w:t>
      </w:r>
    </w:p>
    <w:p w:rsidR="00062AED" w:rsidRDefault="00062AED" w:rsidP="009370EA">
      <w:pPr>
        <w:spacing w:line="360" w:lineRule="auto"/>
        <w:jc w:val="both"/>
      </w:pPr>
      <w:r>
        <w:t>Although many other Apostolic thinkers would follow in D.P. Williams’ footsteps to write at length on the Headship of Christ and his relationship to the Body, Williams gave the subject the most extensive consideration. Others might refine the articulation of the doctrine,</w:t>
      </w:r>
      <w:r>
        <w:rPr>
          <w:rStyle w:val="FootnoteReference"/>
        </w:rPr>
        <w:footnoteReference w:id="461"/>
      </w:r>
      <w:r>
        <w:t xml:space="preserve"> yet none would be comprehensive in including all the aspects of Williams’ understanding of Headship and </w:t>
      </w:r>
      <w:r>
        <w:lastRenderedPageBreak/>
        <w:t>the Body.</w:t>
      </w:r>
      <w:r>
        <w:rPr>
          <w:rStyle w:val="FootnoteReference"/>
        </w:rPr>
        <w:footnoteReference w:id="462"/>
      </w:r>
      <w:r>
        <w:t xml:space="preserve"> By and large the direction of thought was well established in Williams’ work. Thus, rather than an in-depth examination of the many Apostolic writers who wrote on the Headship of Christ and the church as his Body, this chapter will focus on Williams as both representative </w:t>
      </w:r>
      <w:r w:rsidR="00A407DF">
        <w:t>and</w:t>
      </w:r>
      <w:r>
        <w:t xml:space="preserve"> fountainhead of the Apostolic ecclesiological tradition.</w:t>
      </w:r>
    </w:p>
    <w:p w:rsidR="00062AED" w:rsidRPr="00436916" w:rsidRDefault="00062AED" w:rsidP="009370EA">
      <w:pPr>
        <w:spacing w:line="360" w:lineRule="auto"/>
        <w:jc w:val="both"/>
      </w:pPr>
    </w:p>
    <w:p w:rsidR="00062AED" w:rsidRDefault="00062AED" w:rsidP="009370EA">
      <w:pPr>
        <w:pStyle w:val="PhDSubheading"/>
        <w:spacing w:line="360" w:lineRule="auto"/>
      </w:pPr>
      <w:r>
        <w:t xml:space="preserve">4.1 The Beginnings of Williams’ Apostolic Ecclesiology: The </w:t>
      </w:r>
      <w:r w:rsidRPr="00436916">
        <w:t xml:space="preserve">Athrawiaethau Sylfeinol </w:t>
      </w:r>
    </w:p>
    <w:p w:rsidR="00062AED" w:rsidRPr="00436916" w:rsidRDefault="00062AED" w:rsidP="009370EA">
      <w:pPr>
        <w:spacing w:line="360" w:lineRule="auto"/>
        <w:jc w:val="both"/>
      </w:pPr>
      <w:r w:rsidRPr="00436916">
        <w:t xml:space="preserve">In terms of ecclesiology, the </w:t>
      </w:r>
      <w:r w:rsidRPr="00436916">
        <w:rPr>
          <w:i/>
        </w:rPr>
        <w:t>Athrawiaethau Sylfeinol</w:t>
      </w:r>
      <w:r w:rsidRPr="00436916">
        <w:t xml:space="preserve"> places its emphasis on the sacraments and the ministry rather than the ontological nature of the church. This is of note given the nature of the work as an explicitly theological account of the doctrines of the Apostolic Church.</w:t>
      </w:r>
      <w:r w:rsidRPr="00436916">
        <w:rPr>
          <w:rStyle w:val="FootnoteReference"/>
        </w:rPr>
        <w:footnoteReference w:id="463"/>
      </w:r>
      <w:r w:rsidRPr="00436916">
        <w:t xml:space="preserve"> However, this provides a glimpse of the importance of the sacraments in the early Apostolic conception of the church. Baptism is seen as God’s way of providing a significant assurance of salvation.</w:t>
      </w:r>
      <w:r w:rsidRPr="00436916">
        <w:rPr>
          <w:rStyle w:val="FootnoteReference"/>
        </w:rPr>
        <w:footnoteReference w:id="464"/>
      </w:r>
      <w:r w:rsidRPr="00436916">
        <w:t xml:space="preserve"> Union with Christ through faith is closely associated with the sacrament of baptism, though not identical: union with Christ in his death must always come before burial with him in baptism.</w:t>
      </w:r>
      <w:r w:rsidRPr="00436916">
        <w:rPr>
          <w:rStyle w:val="FootnoteReference"/>
        </w:rPr>
        <w:footnoteReference w:id="465"/>
      </w:r>
      <w:r w:rsidRPr="00436916">
        <w:t xml:space="preserve"> Although of great importance, baptism is ‘not the door to the Church: Christ is the door.’</w:t>
      </w:r>
      <w:r w:rsidRPr="00436916">
        <w:rPr>
          <w:rStyle w:val="FootnoteReference"/>
        </w:rPr>
        <w:footnoteReference w:id="466"/>
      </w:r>
    </w:p>
    <w:p w:rsidR="00062AED" w:rsidRPr="00436916" w:rsidRDefault="00062AED" w:rsidP="009370EA">
      <w:pPr>
        <w:spacing w:line="360" w:lineRule="auto"/>
        <w:jc w:val="both"/>
      </w:pPr>
      <w:r w:rsidRPr="00436916">
        <w:t>Yet it is the other sacrament, the Lord’s Supper, which plays a more significant role in Apostolic ecclesiological thought. This could be seen even in their Eucharistic practice. The Breaking of Bread was celebrated every Sunday as the main service of the Church. New members could only be received at the Breaking of Bread and members were not to ‘absent [themselves] more than three times from Communion without sufficient reason given for [their] absence.’</w:t>
      </w:r>
      <w:r w:rsidRPr="00436916">
        <w:rPr>
          <w:rStyle w:val="FootnoteReference"/>
        </w:rPr>
        <w:footnoteReference w:id="467"/>
      </w:r>
      <w:r w:rsidRPr="00436916">
        <w:t xml:space="preserve"> Thus the life of the church was closely tied in practice to the sacrament. </w:t>
      </w:r>
    </w:p>
    <w:p w:rsidR="00062AED" w:rsidRPr="00436916" w:rsidRDefault="00062AED" w:rsidP="009370EA">
      <w:pPr>
        <w:spacing w:line="360" w:lineRule="auto"/>
        <w:jc w:val="both"/>
      </w:pPr>
      <w:r w:rsidRPr="00436916">
        <w:t xml:space="preserve">The </w:t>
      </w:r>
      <w:r w:rsidRPr="00436916">
        <w:rPr>
          <w:i/>
        </w:rPr>
        <w:t>Athrawiaethau Sylfeinol</w:t>
      </w:r>
      <w:r w:rsidRPr="00436916">
        <w:t xml:space="preserve"> provide the theological reflection on the Lord’s Table which underlies the Eucharistic practice of the Apostolics. Here Williams writes that:</w:t>
      </w:r>
    </w:p>
    <w:p w:rsidR="00062AED" w:rsidRPr="00436916" w:rsidRDefault="00062AED" w:rsidP="009370EA">
      <w:pPr>
        <w:spacing w:line="360" w:lineRule="auto"/>
        <w:ind w:left="720" w:right="720"/>
        <w:jc w:val="both"/>
        <w:rPr>
          <w:sz w:val="20"/>
        </w:rPr>
      </w:pPr>
      <w:r w:rsidRPr="00436916">
        <w:rPr>
          <w:iCs/>
          <w:sz w:val="20"/>
        </w:rPr>
        <w:t xml:space="preserve">we partake substantially, through faith, of His body and His blood, to be sustenance for the spiritual life. ‘Unless you eat the flesh of the Son of Man and drink His blood, you </w:t>
      </w:r>
      <w:r w:rsidRPr="00436916">
        <w:rPr>
          <w:iCs/>
          <w:sz w:val="20"/>
        </w:rPr>
        <w:lastRenderedPageBreak/>
        <w:t>have no life in you.’ The covenant He made in His own blood is the only foundation for salvation.</w:t>
      </w:r>
      <w:r w:rsidRPr="00436916">
        <w:rPr>
          <w:rStyle w:val="FootnoteReference"/>
          <w:iCs/>
          <w:sz w:val="20"/>
        </w:rPr>
        <w:footnoteReference w:id="468"/>
      </w:r>
    </w:p>
    <w:p w:rsidR="00062AED" w:rsidRPr="00436916" w:rsidRDefault="00062AED" w:rsidP="009370EA">
      <w:pPr>
        <w:spacing w:line="360" w:lineRule="auto"/>
        <w:jc w:val="both"/>
      </w:pPr>
      <w:r w:rsidRPr="00436916">
        <w:t xml:space="preserve">The church feeds on Christ ‘substantially.’ It is this substance of ‘His body and His blood’ which is the church’s sustenance. Tied with the quotation of John 6:53, this substantial sustenance of Christ’s body and blood is seen as the source of the ongoing life of the church. We will return to this point as we further examine D.P. Williams’ writings to see the ecclesiological implications of his Eucharistic thought. </w:t>
      </w:r>
    </w:p>
    <w:p w:rsidR="00062AED" w:rsidRPr="00436916" w:rsidRDefault="00062AED" w:rsidP="009370EA">
      <w:pPr>
        <w:spacing w:line="360" w:lineRule="auto"/>
        <w:jc w:val="both"/>
      </w:pPr>
      <w:r w:rsidRPr="00436916">
        <w:t xml:space="preserve">Yet the sacraments are not the only aspect of the life of the church found in the </w:t>
      </w:r>
      <w:r w:rsidRPr="004535DA">
        <w:rPr>
          <w:i/>
        </w:rPr>
        <w:t>Athrawiaethau Sylfeinol</w:t>
      </w:r>
      <w:r w:rsidRPr="00436916">
        <w:t xml:space="preserve">. God’s favour is seen in the </w:t>
      </w:r>
      <w:r w:rsidRPr="00436916">
        <w:rPr>
          <w:i/>
        </w:rPr>
        <w:t>Athrawiaethau</w:t>
      </w:r>
      <w:r w:rsidRPr="00436916">
        <w:t xml:space="preserve"> as </w:t>
      </w:r>
      <w:r w:rsidRPr="00436916">
        <w:rPr>
          <w:i/>
        </w:rPr>
        <w:t>cymdeithasol</w:t>
      </w:r>
      <w:r w:rsidRPr="00436916">
        <w:t xml:space="preserve"> (social) rather than in an individualistic manner.</w:t>
      </w:r>
      <w:r w:rsidRPr="00436916">
        <w:rPr>
          <w:rStyle w:val="FootnoteReference"/>
        </w:rPr>
        <w:footnoteReference w:id="469"/>
      </w:r>
      <w:r w:rsidRPr="00436916">
        <w:t xml:space="preserve"> Through sin, man is an exile from this </w:t>
      </w:r>
      <w:r w:rsidRPr="004535DA">
        <w:rPr>
          <w:i/>
        </w:rPr>
        <w:t>cymdeithasol</w:t>
      </w:r>
      <w:r w:rsidRPr="00436916">
        <w:t xml:space="preserve"> favour, but through (and only through) Christ’s work of propitiation sinners are brought not only into God’s peace, but also back into His </w:t>
      </w:r>
      <w:r w:rsidRPr="00436916">
        <w:rPr>
          <w:i/>
        </w:rPr>
        <w:t>cymdeithas</w:t>
      </w:r>
      <w:r w:rsidRPr="00436916">
        <w:t xml:space="preserve"> – a social fellowship.</w:t>
      </w:r>
      <w:r w:rsidRPr="00436916">
        <w:rPr>
          <w:rStyle w:val="FootnoteReference"/>
        </w:rPr>
        <w:footnoteReference w:id="470"/>
      </w:r>
      <w:r w:rsidRPr="00436916">
        <w:t xml:space="preserve"> Thus salvation is never to be seen in individualistic terms, but always in terms of </w:t>
      </w:r>
      <w:r w:rsidRPr="004535DA">
        <w:rPr>
          <w:i/>
        </w:rPr>
        <w:t>cymdeithas</w:t>
      </w:r>
      <w:r w:rsidRPr="00436916">
        <w:t>. It is a social salvation: salvation in re</w:t>
      </w:r>
      <w:r w:rsidR="00777FE5">
        <w:t>la</w:t>
      </w:r>
      <w:r w:rsidRPr="00436916">
        <w:t>tion or communion with all the saved. In other words, salvation is into the church. Hence, the church is founded upon Christ’s work of propitiation (</w:t>
      </w:r>
      <w:r w:rsidR="006B24E3">
        <w:rPr>
          <w:i/>
        </w:rPr>
        <w:t>yr I</w:t>
      </w:r>
      <w:r w:rsidRPr="00436916">
        <w:rPr>
          <w:i/>
        </w:rPr>
        <w:t>awn</w:t>
      </w:r>
      <w:r w:rsidRPr="00436916">
        <w:t>).</w:t>
      </w:r>
    </w:p>
    <w:p w:rsidR="00062AED" w:rsidRPr="00436916" w:rsidRDefault="00062AED" w:rsidP="009370EA">
      <w:pPr>
        <w:spacing w:line="360" w:lineRule="auto"/>
        <w:jc w:val="both"/>
      </w:pPr>
      <w:r w:rsidRPr="00436916">
        <w:t xml:space="preserve">Finally, Williams writes of the ministry of the church in the </w:t>
      </w:r>
      <w:r w:rsidRPr="00436916">
        <w:rPr>
          <w:i/>
        </w:rPr>
        <w:t>Athrawiaethau Sylfeinol</w:t>
      </w:r>
      <w:r w:rsidRPr="00436916">
        <w:t>. The ordained ministry is seen as essential to the life of the church, and the ministers described as God’s chosen (</w:t>
      </w:r>
      <w:r w:rsidRPr="00436916">
        <w:rPr>
          <w:i/>
        </w:rPr>
        <w:t>dewisedigion</w:t>
      </w:r>
      <w:r w:rsidRPr="00436916">
        <w:t>) and elect (</w:t>
      </w:r>
      <w:r w:rsidRPr="00436916">
        <w:rPr>
          <w:i/>
        </w:rPr>
        <w:t>rhai wedi eu hethol</w:t>
      </w:r>
      <w:r w:rsidRPr="00436916">
        <w:t>). An assembly of people is not a true church unless it has God’s chosen set apart as pastors and elders ‘for prayer and the ministry of the Word’ to care for the flock and protect it from wolves.</w:t>
      </w:r>
      <w:r w:rsidRPr="00436916">
        <w:rPr>
          <w:rStyle w:val="FootnoteReference"/>
        </w:rPr>
        <w:footnoteReference w:id="471"/>
      </w:r>
      <w:r w:rsidRPr="00436916">
        <w:t xml:space="preserve"> ‘The safety of every assembly is its chosen [ministers].’</w:t>
      </w:r>
      <w:r w:rsidRPr="00436916">
        <w:rPr>
          <w:rStyle w:val="FootnoteReference"/>
        </w:rPr>
        <w:footnoteReference w:id="472"/>
      </w:r>
      <w:r w:rsidRPr="00436916">
        <w:t xml:space="preserve"> The ordained ministry is thus viewed as necessary for the protection of the church, </w:t>
      </w:r>
      <w:r w:rsidRPr="00436916">
        <w:lastRenderedPageBreak/>
        <w:t>as well as so that there will be ‘order and unity’ (</w:t>
      </w:r>
      <w:r w:rsidRPr="00436916">
        <w:rPr>
          <w:i/>
        </w:rPr>
        <w:t>trefn ac unoliaeth</w:t>
      </w:r>
      <w:r w:rsidRPr="00436916">
        <w:t>).</w:t>
      </w:r>
      <w:r w:rsidRPr="00436916">
        <w:rPr>
          <w:rStyle w:val="FootnoteReference"/>
        </w:rPr>
        <w:footnoteReference w:id="473"/>
      </w:r>
      <w:r w:rsidRPr="00436916">
        <w:t xml:space="preserve"> The ordained ministry then is of the </w:t>
      </w:r>
      <w:r w:rsidRPr="00436916">
        <w:rPr>
          <w:i/>
        </w:rPr>
        <w:t>esse</w:t>
      </w:r>
      <w:r w:rsidRPr="00436916">
        <w:t xml:space="preserve"> of the church.</w:t>
      </w:r>
    </w:p>
    <w:p w:rsidR="00062AED" w:rsidRPr="00436916" w:rsidRDefault="00062AED" w:rsidP="009370EA">
      <w:pPr>
        <w:spacing w:line="360" w:lineRule="auto"/>
        <w:jc w:val="both"/>
      </w:pPr>
      <w:r w:rsidRPr="00436916">
        <w:t xml:space="preserve">The </w:t>
      </w:r>
      <w:r w:rsidRPr="00BE2EAE">
        <w:rPr>
          <w:i/>
        </w:rPr>
        <w:t>At</w:t>
      </w:r>
      <w:r w:rsidR="006631A6">
        <w:rPr>
          <w:i/>
        </w:rPr>
        <w:t>h</w:t>
      </w:r>
      <w:r w:rsidRPr="00BE2EAE">
        <w:rPr>
          <w:i/>
        </w:rPr>
        <w:t>rawiaethau Sylfeinol</w:t>
      </w:r>
      <w:r w:rsidRPr="00436916">
        <w:t xml:space="preserve"> provide an interesting perspective on the ecclesiology of D.P. Williams and the early Apostolic Church, for they give us a glimpse of their ecclesiology viewed from a rather different </w:t>
      </w:r>
      <w:r>
        <w:t>angle</w:t>
      </w:r>
      <w:r w:rsidRPr="00436916">
        <w:t xml:space="preserve">. Rather than focusing on the Headship of Christ and the Church as his Body, the </w:t>
      </w:r>
      <w:r w:rsidRPr="00436916">
        <w:rPr>
          <w:i/>
        </w:rPr>
        <w:t>Athrawiaethau Sylfeinol</w:t>
      </w:r>
      <w:r w:rsidRPr="00436916">
        <w:t xml:space="preserve"> present us with a salvation which is always </w:t>
      </w:r>
      <w:r w:rsidRPr="00436916">
        <w:rPr>
          <w:i/>
        </w:rPr>
        <w:t>cymdeithasol</w:t>
      </w:r>
      <w:r w:rsidRPr="00436916">
        <w:t xml:space="preserve"> – social, restoring lost individuals to the rich </w:t>
      </w:r>
      <w:r w:rsidRPr="00436916">
        <w:rPr>
          <w:i/>
        </w:rPr>
        <w:t>cymdeithas</w:t>
      </w:r>
      <w:r w:rsidRPr="00436916">
        <w:t xml:space="preserve"> of the Triune God and </w:t>
      </w:r>
      <w:r w:rsidR="003B5090">
        <w:t>h</w:t>
      </w:r>
      <w:r w:rsidRPr="00436916">
        <w:t xml:space="preserve">is people which was lost through the Fall. Here we see salvation into the church: a salvation which is always ecclesiological and never individualistic. And this </w:t>
      </w:r>
      <w:r w:rsidRPr="00436916">
        <w:rPr>
          <w:i/>
        </w:rPr>
        <w:t>cymdeithasol</w:t>
      </w:r>
      <w:r w:rsidRPr="00436916">
        <w:t xml:space="preserve"> salvation is sustained through the ordinary means of grace which Christ has given to his church: the Ministry of the Word (through the ordained ministers) and the sacraments (especially the Lord’s Supper where we feed on Christ’s body and blood as our sustenance in life).</w:t>
      </w:r>
    </w:p>
    <w:p w:rsidR="00062AED" w:rsidRPr="00436916" w:rsidRDefault="00062AED" w:rsidP="009370EA">
      <w:pPr>
        <w:spacing w:line="360" w:lineRule="auto"/>
        <w:jc w:val="both"/>
      </w:pPr>
    </w:p>
    <w:p w:rsidR="00062AED" w:rsidRPr="00436916" w:rsidRDefault="00062AED" w:rsidP="009370EA">
      <w:pPr>
        <w:spacing w:line="360" w:lineRule="auto"/>
        <w:jc w:val="both"/>
      </w:pPr>
    </w:p>
    <w:p w:rsidR="00062AED" w:rsidRPr="00650467" w:rsidRDefault="00062AED" w:rsidP="009370EA">
      <w:pPr>
        <w:pStyle w:val="PhDSubheading"/>
        <w:spacing w:line="360" w:lineRule="auto"/>
      </w:pPr>
      <w:r>
        <w:t xml:space="preserve">4.2 </w:t>
      </w:r>
      <w:r w:rsidRPr="00436916">
        <w:t>The Church in the Thought of D.P. Williams: The Body of the Incarnate Word</w:t>
      </w:r>
    </w:p>
    <w:p w:rsidR="00062AED" w:rsidRPr="00436916" w:rsidRDefault="00062AED" w:rsidP="009370EA">
      <w:pPr>
        <w:spacing w:line="360" w:lineRule="auto"/>
        <w:jc w:val="both"/>
      </w:pPr>
      <w:r w:rsidRPr="00436916">
        <w:t xml:space="preserve">Although the </w:t>
      </w:r>
      <w:r w:rsidRPr="00436916">
        <w:rPr>
          <w:i/>
        </w:rPr>
        <w:t>Athrawieathau Sylfeinol</w:t>
      </w:r>
      <w:r w:rsidRPr="00436916">
        <w:t xml:space="preserve"> were an official dogmatic text, they were also the work of an individual thinker, D.P. Williams, and so already provide us with some features of his ecclesiological thought. However, despite their contribution, the </w:t>
      </w:r>
      <w:r w:rsidRPr="00436916">
        <w:rPr>
          <w:i/>
        </w:rPr>
        <w:t>Athrawiaethau</w:t>
      </w:r>
      <w:r w:rsidRPr="00436916">
        <w:t xml:space="preserve"> are notable for their lack of the two most important words in Williams’ ecclesiology: </w:t>
      </w:r>
      <w:r w:rsidR="00922EA6" w:rsidRPr="00922EA6">
        <w:t>‘Body’</w:t>
      </w:r>
      <w:r w:rsidRPr="00436916">
        <w:t xml:space="preserve"> and </w:t>
      </w:r>
      <w:r w:rsidR="00922EA6">
        <w:t>‘</w:t>
      </w:r>
      <w:r w:rsidRPr="00922EA6">
        <w:t>Headship</w:t>
      </w:r>
      <w:r w:rsidR="00922EA6">
        <w:t>’</w:t>
      </w:r>
      <w:r w:rsidRPr="00436916">
        <w:t xml:space="preserve">. As becomes clear from even a cursory reading of Williams’ extensive ecclesiological writings, there is no way to understand his ecclesiological thought apart from a high view of the Body of Christ and Christ’s Headship of the Body. So did Williams change his mind after the writing the </w:t>
      </w:r>
      <w:r w:rsidRPr="00436916">
        <w:rPr>
          <w:i/>
        </w:rPr>
        <w:t>Athrawiaethau</w:t>
      </w:r>
      <w:r w:rsidRPr="00436916">
        <w:t>?</w:t>
      </w:r>
    </w:p>
    <w:p w:rsidR="00062AED" w:rsidRPr="00436916" w:rsidRDefault="00062AED" w:rsidP="009370EA">
      <w:pPr>
        <w:spacing w:line="360" w:lineRule="auto"/>
        <w:jc w:val="both"/>
      </w:pPr>
      <w:r w:rsidRPr="00436916">
        <w:t xml:space="preserve">Each of the three ecclesiological insights of the </w:t>
      </w:r>
      <w:r w:rsidRPr="00436916">
        <w:rPr>
          <w:i/>
        </w:rPr>
        <w:t>Athrawieathau</w:t>
      </w:r>
      <w:r w:rsidRPr="00436916">
        <w:t xml:space="preserve"> (the role of the Lord’s Supper, the corporate nature of salvation, both in the goal and outworking of Christ’s work, and the significance of the ordained ministry) continues throughout Williams’ later writings. Hence he does not appear to change his mind. Furthermore, the </w:t>
      </w:r>
      <w:r w:rsidRPr="00436916">
        <w:rPr>
          <w:i/>
        </w:rPr>
        <w:t>Athrawiaethau</w:t>
      </w:r>
      <w:r w:rsidRPr="00436916">
        <w:t xml:space="preserve"> were still in print, and the Welsh-speaking members of the Apostolic Church were still encouraged to read them, after Williams began writing of the </w:t>
      </w:r>
      <w:r w:rsidR="00566C03">
        <w:t>‘</w:t>
      </w:r>
      <w:r w:rsidRPr="00566C03">
        <w:t>Body</w:t>
      </w:r>
      <w:r w:rsidR="00566C03">
        <w:t>’</w:t>
      </w:r>
      <w:r w:rsidRPr="00436916">
        <w:t xml:space="preserve"> and </w:t>
      </w:r>
      <w:r w:rsidR="00566C03" w:rsidRPr="00566C03">
        <w:t>‘</w:t>
      </w:r>
      <w:r w:rsidRPr="00566C03">
        <w:t>Headship</w:t>
      </w:r>
      <w:r w:rsidR="00566C03" w:rsidRPr="00566C03">
        <w:t>’</w:t>
      </w:r>
      <w:r w:rsidRPr="00436916">
        <w:t xml:space="preserve">. So it is clear that Williams did not abandon the ecclesiology expressed in the </w:t>
      </w:r>
      <w:r w:rsidRPr="00436916">
        <w:rPr>
          <w:i/>
        </w:rPr>
        <w:t>Athrawiaethau Sylfeinol</w:t>
      </w:r>
      <w:r w:rsidRPr="00436916">
        <w:t>.</w:t>
      </w:r>
    </w:p>
    <w:p w:rsidR="00062AED" w:rsidRPr="00436916" w:rsidRDefault="00062AED" w:rsidP="009370EA">
      <w:pPr>
        <w:spacing w:line="360" w:lineRule="auto"/>
        <w:jc w:val="both"/>
      </w:pPr>
      <w:r w:rsidRPr="00436916">
        <w:lastRenderedPageBreak/>
        <w:t xml:space="preserve">Furthermore, although the words </w:t>
      </w:r>
      <w:r w:rsidRPr="009B4F54">
        <w:t>Body</w:t>
      </w:r>
      <w:r w:rsidRPr="00436916">
        <w:t xml:space="preserve"> and </w:t>
      </w:r>
      <w:r w:rsidRPr="009B4F54">
        <w:t>Headship</w:t>
      </w:r>
      <w:r w:rsidRPr="007F5D00">
        <w:rPr>
          <w:i/>
        </w:rPr>
        <w:t xml:space="preserve"> </w:t>
      </w:r>
      <w:r w:rsidRPr="00436916">
        <w:t xml:space="preserve">were not used in the </w:t>
      </w:r>
      <w:r w:rsidRPr="00436916">
        <w:rPr>
          <w:i/>
        </w:rPr>
        <w:t>Athrawiaethau Sylfeinol</w:t>
      </w:r>
      <w:r w:rsidRPr="00436916">
        <w:t xml:space="preserve">, some aspects of those subjects which would be important in Williams’ articulation are found there in embryonic form. For a start there is the </w:t>
      </w:r>
      <w:r w:rsidRPr="00436916">
        <w:rPr>
          <w:i/>
        </w:rPr>
        <w:t>cymdeithasol</w:t>
      </w:r>
      <w:r w:rsidRPr="00436916">
        <w:t xml:space="preserve"> nature of salvation, which would blossom into Williams’ understanding of the corporate life of the Body of Christ. Although, throughout the years, there would seem to be some equivocation over the precise relationship between salvation and membership of the Body of Christ, Williams always saw the Body as the ultimate goal of salvation,</w:t>
      </w:r>
      <w:r w:rsidRPr="00436916">
        <w:rPr>
          <w:rStyle w:val="FootnoteReference"/>
        </w:rPr>
        <w:footnoteReference w:id="474"/>
      </w:r>
      <w:r w:rsidRPr="00436916">
        <w:t xml:space="preserve"> and by 1940 had come to equate the life of the Body with the life of salvation: ‘we must be “born again” into the Church … it is a work of grace; and since we are placed in that Church by an act of Divine grace by Him, we are joined to Him in one Spirit.’</w:t>
      </w:r>
      <w:r w:rsidRPr="00436916">
        <w:rPr>
          <w:rStyle w:val="FootnoteReference"/>
        </w:rPr>
        <w:footnoteReference w:id="475"/>
      </w:r>
      <w:r w:rsidRPr="00436916">
        <w:t xml:space="preserve"> Remarkabl</w:t>
      </w:r>
      <w:r>
        <w:t>y</w:t>
      </w:r>
      <w:r w:rsidRPr="00436916">
        <w:t xml:space="preserve"> here in Williams’ thought, it is the ecclesial nature of salvation in Christ which results in being joined to Christ by the Spirit: the pentecostal is subordinated to the ecclesial.</w:t>
      </w:r>
    </w:p>
    <w:p w:rsidR="00062AED" w:rsidRPr="00436916" w:rsidRDefault="00062AED" w:rsidP="009370EA">
      <w:pPr>
        <w:spacing w:line="360" w:lineRule="auto"/>
        <w:jc w:val="both"/>
      </w:pPr>
      <w:r w:rsidRPr="00436916">
        <w:t xml:space="preserve">The doctrine of the ordained ministry taught in the </w:t>
      </w:r>
      <w:r w:rsidRPr="00436916">
        <w:rPr>
          <w:i/>
        </w:rPr>
        <w:t>Athrawiaethau Sylfeinol</w:t>
      </w:r>
      <w:r w:rsidRPr="00436916">
        <w:t xml:space="preserve"> also comes to fruition in Williams’ later writings. In the </w:t>
      </w:r>
      <w:r w:rsidRPr="00436916">
        <w:rPr>
          <w:i/>
        </w:rPr>
        <w:t>Athrawiaethau</w:t>
      </w:r>
      <w:r w:rsidRPr="00436916">
        <w:t xml:space="preserve"> he writes of the minister as God’s ‘chosen’ and ‘elect’, an emphasis which he would retain. For Williams, the true choice of ministers and call to the ministry comes from Christ, the Head of the Church.</w:t>
      </w:r>
      <w:r w:rsidRPr="00436916">
        <w:rPr>
          <w:rStyle w:val="FootnoteReference"/>
        </w:rPr>
        <w:footnoteReference w:id="476"/>
      </w:r>
      <w:r w:rsidRPr="00436916">
        <w:t xml:space="preserve"> Williams also retains his view of the necessity of the ordained ministry, strengthening it with a theological rationale grounded in the Headship of Christ. It is not simply that Christ gives these gifts of ministries to the Church, but Christ the Head of the Church who exercises the true ministry through his ordained ministry.</w:t>
      </w:r>
      <w:r w:rsidRPr="00436916">
        <w:rPr>
          <w:rStyle w:val="FootnoteReference"/>
        </w:rPr>
        <w:footnoteReference w:id="477"/>
      </w:r>
    </w:p>
    <w:p w:rsidR="00062AED" w:rsidRPr="00436916" w:rsidRDefault="00062AED" w:rsidP="009370EA">
      <w:pPr>
        <w:spacing w:line="360" w:lineRule="auto"/>
        <w:jc w:val="both"/>
      </w:pPr>
      <w:r w:rsidRPr="00436916">
        <w:t>Finally, Williams’ teaching on Christ’s body and blood as the source of the church’s ongoing life provides the kernel of another significant aspect of his ecclesiological thought. One of the most important implications of the Headship of Christ for Williams would be that the life of the church flows from the Head to the Body. Thus Christ the Head is the source of all the life of the church, not only in its initiation, but in its ongoing sustenance.</w:t>
      </w:r>
      <w:r w:rsidRPr="00436916">
        <w:rPr>
          <w:rStyle w:val="FootnoteReference"/>
        </w:rPr>
        <w:footnoteReference w:id="478"/>
      </w:r>
      <w:r w:rsidRPr="00436916">
        <w:t xml:space="preserve"> Williams does not abandon his Eucharistic thought, yet this view of Christ as the source of the church’s ongoing life does expand more widely in his later writings.</w:t>
      </w:r>
    </w:p>
    <w:p w:rsidR="00062AED" w:rsidRPr="00436916" w:rsidRDefault="00062AED" w:rsidP="009370EA">
      <w:pPr>
        <w:spacing w:line="360" w:lineRule="auto"/>
        <w:jc w:val="both"/>
      </w:pPr>
      <w:r w:rsidRPr="00436916">
        <w:t xml:space="preserve">So, having seen the embryonic form of Williams’ ecclesiological thought in the </w:t>
      </w:r>
      <w:r w:rsidRPr="00436916">
        <w:rPr>
          <w:i/>
        </w:rPr>
        <w:t>Athrawiaethau Sylfeinol</w:t>
      </w:r>
      <w:r w:rsidRPr="00436916">
        <w:t xml:space="preserve"> of 1914, we shall turn presently to his more mature thought when he picks up his pen </w:t>
      </w:r>
      <w:r w:rsidRPr="00436916">
        <w:lastRenderedPageBreak/>
        <w:t>again from 1916 onward.</w:t>
      </w:r>
      <w:r w:rsidRPr="00436916">
        <w:rPr>
          <w:rStyle w:val="FootnoteReference"/>
        </w:rPr>
        <w:footnoteReference w:id="479"/>
      </w:r>
      <w:r w:rsidRPr="00436916">
        <w:t xml:space="preserve"> However, first the question must be asked of why the concepts of the </w:t>
      </w:r>
      <w:r w:rsidRPr="00575320">
        <w:t>Body</w:t>
      </w:r>
      <w:r w:rsidRPr="00436916">
        <w:t xml:space="preserve"> and </w:t>
      </w:r>
      <w:r w:rsidRPr="00575320">
        <w:t>Headship</w:t>
      </w:r>
      <w:r w:rsidRPr="00436916">
        <w:t xml:space="preserve">, which would be so important to Williams (and all the other Apostolic ecclesiological writers) after 1916 are absent from the </w:t>
      </w:r>
      <w:r w:rsidRPr="00436916">
        <w:rPr>
          <w:i/>
        </w:rPr>
        <w:t>Athrawiaethau Sylfeinol</w:t>
      </w:r>
      <w:r w:rsidRPr="00436916">
        <w:t>. The answer may be suggested in a report of the Penygroes Convention in 1943, where Williams spoke of ‘when the vision of the Body of Christ dawned upon us.’</w:t>
      </w:r>
      <w:r w:rsidRPr="00436916">
        <w:rPr>
          <w:rStyle w:val="FootnoteReference"/>
        </w:rPr>
        <w:footnoteReference w:id="480"/>
      </w:r>
      <w:r w:rsidRPr="00436916">
        <w:t xml:space="preserve"> Williams here suggests that this ‘vision of the Body’ was a result of ‘the glorious outpouring of the Holy Ghost’, but does not indicate how long after the experience of the baptism of the Spirit that this ‘vision’ came. Certainly by the time he picks up his pen again in 1916 he was writing explicitly of the Body of Christ.</w:t>
      </w:r>
      <w:r w:rsidRPr="00436916">
        <w:rPr>
          <w:rStyle w:val="FootnoteReference"/>
        </w:rPr>
        <w:footnoteReference w:id="481"/>
      </w:r>
      <w:r w:rsidRPr="00436916">
        <w:t xml:space="preserve"> While there is already some indication of the corporate dimension of the church in 1914, it would seem that there was a crystallization of this ‘vision of the Body’ between then and 1916.</w:t>
      </w:r>
      <w:r w:rsidRPr="00436916">
        <w:rPr>
          <w:rStyle w:val="FootnoteReference"/>
        </w:rPr>
        <w:footnoteReference w:id="482"/>
      </w:r>
      <w:r w:rsidRPr="00436916">
        <w:t xml:space="preserve"> </w:t>
      </w:r>
    </w:p>
    <w:p w:rsidR="00062AED" w:rsidRPr="00436916" w:rsidRDefault="00062AED" w:rsidP="009370EA">
      <w:pPr>
        <w:spacing w:line="360" w:lineRule="auto"/>
        <w:jc w:val="both"/>
      </w:pPr>
      <w:r w:rsidRPr="00436916">
        <w:t>Having received this ‘vision of the Body’, for Williams it was then axiomatic that ‘the Church is a Divine Institution, and not a human association; a living Organism, and not a man-made organisation.’</w:t>
      </w:r>
      <w:r w:rsidRPr="00436916">
        <w:rPr>
          <w:rStyle w:val="FootnoteReference"/>
        </w:rPr>
        <w:footnoteReference w:id="483"/>
      </w:r>
      <w:r w:rsidRPr="00436916">
        <w:t xml:space="preserve"> Such a view of the church as a ‘living organism’ necessitated a corporate (as opposed to individualistic) understanding of Christianity, salvation, and the church. ‘The Body of Christ is not a collection of individuals, but a unit of living organism, or a live unity that has organs. Every member in the Body contributes health or disease to the Body… All are in mutual and sustained relation to the Head.’</w:t>
      </w:r>
      <w:r w:rsidRPr="00436916">
        <w:rPr>
          <w:rStyle w:val="FootnoteReference"/>
        </w:rPr>
        <w:footnoteReference w:id="484"/>
      </w:r>
      <w:r w:rsidRPr="00436916">
        <w:t xml:space="preserve"> Christians then are saved and born again ‘into the Church.’</w:t>
      </w:r>
      <w:r w:rsidRPr="00436916">
        <w:rPr>
          <w:rStyle w:val="FootnoteReference"/>
        </w:rPr>
        <w:footnoteReference w:id="485"/>
      </w:r>
      <w:r w:rsidRPr="00436916">
        <w:t xml:space="preserve"> Yet, not only are they saved into the church, they are also saved for the church: ‘This </w:t>
      </w:r>
      <w:r w:rsidRPr="00436916">
        <w:lastRenderedPageBreak/>
        <w:t>is the goal of perfection of each individual member – to make the Corporate Body One Harmonious Whole.’</w:t>
      </w:r>
      <w:r w:rsidRPr="00436916">
        <w:rPr>
          <w:rStyle w:val="FootnoteReference"/>
        </w:rPr>
        <w:footnoteReference w:id="486"/>
      </w:r>
    </w:p>
    <w:p w:rsidR="00062AED" w:rsidRPr="00436916" w:rsidRDefault="00062AED" w:rsidP="009370EA">
      <w:pPr>
        <w:spacing w:line="360" w:lineRule="auto"/>
        <w:jc w:val="both"/>
      </w:pPr>
      <w:r w:rsidRPr="00436916">
        <w:t>But what is the source of life of this ‘living organism’? Williams answers that it is the life of Christ, the Head of the Body. ‘The Body of Christ is a Divine structure in which the Life of Christ indwells.’</w:t>
      </w:r>
      <w:r w:rsidRPr="00436916">
        <w:rPr>
          <w:rStyle w:val="FootnoteReference"/>
        </w:rPr>
        <w:footnoteReference w:id="487"/>
      </w:r>
      <w:r w:rsidRPr="00436916">
        <w:t xml:space="preserve"> The Headship of Christ over the Body ‘shows a oneness of life.’</w:t>
      </w:r>
      <w:r w:rsidRPr="00436916">
        <w:rPr>
          <w:rStyle w:val="FootnoteReference"/>
        </w:rPr>
        <w:footnoteReference w:id="488"/>
      </w:r>
      <w:r w:rsidRPr="00436916">
        <w:t xml:space="preserve"> This life of the church is only possessed by the church through her union with the Head, and hence ‘depends on Fellowship, it exists by receiving and giving.’</w:t>
      </w:r>
      <w:r w:rsidRPr="00436916">
        <w:rPr>
          <w:rStyle w:val="FootnoteReference"/>
        </w:rPr>
        <w:footnoteReference w:id="489"/>
      </w:r>
      <w:r w:rsidRPr="00436916">
        <w:t xml:space="preserve"> The Head is ‘the Source of Life’ and it is his life which ‘binds the members of the Body in oneness’</w:t>
      </w:r>
      <w:r w:rsidRPr="00436916">
        <w:rPr>
          <w:rStyle w:val="FootnoteReference"/>
        </w:rPr>
        <w:footnoteReference w:id="490"/>
      </w:r>
      <w:r w:rsidRPr="00436916">
        <w:t xml:space="preserve"> and the Body is ‘not to expect to receive from any other source … [for] Christ is all that she needs.’</w:t>
      </w:r>
      <w:r w:rsidRPr="00436916">
        <w:rPr>
          <w:rStyle w:val="FootnoteReference"/>
        </w:rPr>
        <w:footnoteReference w:id="491"/>
      </w:r>
      <w:r w:rsidRPr="00436916">
        <w:t xml:space="preserve"> The church then is ‘the product of the life of God’</w:t>
      </w:r>
      <w:r w:rsidRPr="00436916">
        <w:rPr>
          <w:rStyle w:val="FootnoteReference"/>
        </w:rPr>
        <w:footnoteReference w:id="492"/>
      </w:r>
      <w:r w:rsidRPr="00436916">
        <w:t xml:space="preserve"> and so the church, through her union with Christ the Head, ‘possess[es] the Life that is in the Godhead.’</w:t>
      </w:r>
      <w:r w:rsidRPr="00436916">
        <w:rPr>
          <w:rStyle w:val="FootnoteReference"/>
        </w:rPr>
        <w:footnoteReference w:id="493"/>
      </w:r>
      <w:r w:rsidRPr="00436916">
        <w:t xml:space="preserve"> This union between Christ and the church ‘was so real to St Paul that he termed the Body to be Christ.’</w:t>
      </w:r>
      <w:r w:rsidRPr="00436916">
        <w:rPr>
          <w:rStyle w:val="FootnoteReference"/>
        </w:rPr>
        <w:footnoteReference w:id="494"/>
      </w:r>
    </w:p>
    <w:p w:rsidR="00062AED" w:rsidRPr="00436916" w:rsidRDefault="00062AED" w:rsidP="009370EA">
      <w:pPr>
        <w:spacing w:line="360" w:lineRule="auto"/>
        <w:jc w:val="both"/>
      </w:pPr>
      <w:r w:rsidRPr="00436916">
        <w:t>Further, for Williams,  beyond the ‘vision of the Body’ as a corporate, living organism, filled with the life of God in Christ, is the vision of the Body as the special object of Christ’s love: ‘there is nothing in time or in eternity nearer to the heart of Christ than His Church.’</w:t>
      </w:r>
      <w:r w:rsidRPr="00436916">
        <w:rPr>
          <w:rStyle w:val="FootnoteReference"/>
        </w:rPr>
        <w:footnoteReference w:id="495"/>
      </w:r>
      <w:r w:rsidRPr="00436916">
        <w:t xml:space="preserve"> Williams writes that this dawned on him one Sunday morning five or six years earlier. Thus, even allowing for any underestimation of the amount of time passed, this would appear to have been significantly later (perhaps up to a decade later) than his original reception of the ‘vision of the Body.’</w:t>
      </w:r>
      <w:r w:rsidRPr="00436916">
        <w:rPr>
          <w:rStyle w:val="FootnoteReference"/>
        </w:rPr>
        <w:footnoteReference w:id="496"/>
      </w:r>
      <w:r w:rsidRPr="00436916">
        <w:t xml:space="preserve"> Already the Body of Christ held a place of great significance in Williams’ theology, but with this fresh understanding of its central place in the love of Christ, ecclesiology, or perhaps more accurately, Christ and His Church, became the very centre of Apostolic thought.</w:t>
      </w:r>
    </w:p>
    <w:p w:rsidR="00062AED" w:rsidRPr="00436916" w:rsidRDefault="00062AED" w:rsidP="009370EA">
      <w:pPr>
        <w:spacing w:line="360" w:lineRule="auto"/>
        <w:jc w:val="both"/>
      </w:pPr>
      <w:r w:rsidRPr="00436916">
        <w:t>As the central object of Christ’s love, the church was seen as central to the eternal purpose of the Triune God.  ‘The Divine Purpose … is to “bring many sons to glory”; that is, a corporate Body qualified to reign.’</w:t>
      </w:r>
      <w:r w:rsidRPr="00436916">
        <w:rPr>
          <w:rStyle w:val="FootnoteReference"/>
        </w:rPr>
        <w:footnoteReference w:id="497"/>
      </w:r>
      <w:r w:rsidRPr="00436916">
        <w:t xml:space="preserve"> This purpose of ‘moulding a company of people on [Christ’s] image that will </w:t>
      </w:r>
      <w:r w:rsidRPr="00436916">
        <w:lastRenderedPageBreak/>
        <w:t>dwell with Him for Eternity’ is rooted in ‘the Eternal Predestinations of the Godhead’ and carried out through ‘the co-operation of the Trinity together.’</w:t>
      </w:r>
      <w:r w:rsidRPr="00436916">
        <w:rPr>
          <w:rStyle w:val="FootnoteReference"/>
        </w:rPr>
        <w:footnoteReference w:id="498"/>
      </w:r>
      <w:r w:rsidRPr="00436916">
        <w:t xml:space="preserve"> This ‘Body of people that will dwell with Him’ is ‘the Divine Calling and Election’, is rooted in the love of God in Christ (‘on His heart … born from His bosom’) and accomplished through the blood of the Cross.</w:t>
      </w:r>
      <w:r w:rsidRPr="00436916">
        <w:rPr>
          <w:rStyle w:val="FootnoteReference"/>
        </w:rPr>
        <w:footnoteReference w:id="499"/>
      </w:r>
      <w:r w:rsidRPr="00436916">
        <w:t xml:space="preserve"> The eternal purpose of the Triune God is ‘to manifest Himself in the Body, not only in the individual, so that the Church may be the manifester of Christ.’</w:t>
      </w:r>
      <w:r w:rsidRPr="00436916">
        <w:rPr>
          <w:rStyle w:val="FootnoteReference"/>
        </w:rPr>
        <w:footnoteReference w:id="500"/>
      </w:r>
      <w:r w:rsidRPr="00436916">
        <w:t xml:space="preserve"> Further, ‘this is the purpose of the whole plan of Redemption, the whole essence of it, that He might have a Body of people as perfect as the Godhead.’</w:t>
      </w:r>
      <w:r w:rsidRPr="00436916">
        <w:rPr>
          <w:rStyle w:val="FootnoteReference"/>
        </w:rPr>
        <w:footnoteReference w:id="501"/>
      </w:r>
    </w:p>
    <w:p w:rsidR="00062AED" w:rsidRPr="00436916" w:rsidRDefault="00062AED" w:rsidP="009370EA">
      <w:pPr>
        <w:spacing w:line="360" w:lineRule="auto"/>
        <w:jc w:val="both"/>
      </w:pPr>
      <w:r>
        <w:t>T</w:t>
      </w:r>
      <w:r w:rsidRPr="00436916">
        <w:t xml:space="preserve">his role of the Church in the eternal purpose is what necessitates the definition of the church as the body of Christ. </w:t>
      </w:r>
      <w:r>
        <w:t>T</w:t>
      </w:r>
      <w:r w:rsidRPr="00436916">
        <w:t>he expression ‘the body of Christ’ is seen to express ‘the fundamental truth’ of the nature of the church ‘as the manifestation of Christ through the Church in fellowship, wisdom, love and glory.’</w:t>
      </w:r>
      <w:r w:rsidRPr="00436916">
        <w:rPr>
          <w:rStyle w:val="FootnoteReference"/>
        </w:rPr>
        <w:footnoteReference w:id="502"/>
      </w:r>
      <w:r w:rsidRPr="00436916">
        <w:t xml:space="preserve"> Even here though, the image of a head and a body is not sufficient to see the perfection of the oneness between Christ and the church. ‘The perfect portrayal of the mystery of this close relation is, of course, that which obtains between the Father and the Son ... (John 17:21).’</w:t>
      </w:r>
      <w:r w:rsidRPr="00436916">
        <w:rPr>
          <w:rStyle w:val="FootnoteReference"/>
        </w:rPr>
        <w:footnoteReference w:id="503"/>
      </w:r>
      <w:r w:rsidRPr="00436916">
        <w:t xml:space="preserve"> Thus the church points beyond itself to the immanent Trinity.</w:t>
      </w:r>
    </w:p>
    <w:p w:rsidR="00062AED" w:rsidRPr="00436916" w:rsidRDefault="00062AED" w:rsidP="009370EA">
      <w:pPr>
        <w:spacing w:line="360" w:lineRule="auto"/>
        <w:jc w:val="both"/>
      </w:pPr>
      <w:r>
        <w:t>Being</w:t>
      </w:r>
      <w:r w:rsidRPr="00436916">
        <w:t xml:space="preserve"> central to the eternal purpose, the gathering of the church is the ‘supreme object’ of this age. The church is to be ‘a Body that will occupy the most glorious position in eternity, seated with Him in the Heavenlies … His companions in inconceivable Glory and responsibility.’</w:t>
      </w:r>
      <w:r w:rsidRPr="00436916">
        <w:rPr>
          <w:rStyle w:val="FootnoteReference"/>
        </w:rPr>
        <w:footnoteReference w:id="504"/>
      </w:r>
      <w:r w:rsidRPr="00436916">
        <w:t xml:space="preserve"> More strongly, Williams argues from Ephesians 1:18, 1:22-23 and 3:5-9 that ‘this Body will be the completion of the Head … This Body, united with Him, is and will be the Glory of His Inheritance … through the Body … Christ will possess the Glories that are awaiting Him when the Body is complete.’</w:t>
      </w:r>
      <w:r w:rsidRPr="00436916">
        <w:rPr>
          <w:rStyle w:val="FootnoteReference"/>
        </w:rPr>
        <w:footnoteReference w:id="505"/>
      </w:r>
    </w:p>
    <w:p w:rsidR="00062AED" w:rsidRPr="00436916" w:rsidRDefault="00062AED" w:rsidP="009370EA">
      <w:pPr>
        <w:spacing w:line="360" w:lineRule="auto"/>
        <w:jc w:val="both"/>
      </w:pPr>
      <w:r w:rsidRPr="00436916">
        <w:t>This living body, united to Christ her head, filled with His life, the special object of his love and centre of the eternal purpose of the Triune God is brought into being through the Incarnation and the Cross.</w:t>
      </w:r>
      <w:r w:rsidRPr="00436916">
        <w:rPr>
          <w:rStyle w:val="FootnoteReference"/>
        </w:rPr>
        <w:footnoteReference w:id="506"/>
      </w:r>
      <w:r w:rsidRPr="00436916">
        <w:t xml:space="preserve"> Williams insists that ‘the Incarnation is the foundation of the Church.’</w:t>
      </w:r>
      <w:r w:rsidRPr="00436916">
        <w:rPr>
          <w:rStyle w:val="FootnoteReference"/>
        </w:rPr>
        <w:footnoteReference w:id="507"/>
      </w:r>
      <w:r w:rsidRPr="00436916">
        <w:t xml:space="preserve"> The Christ </w:t>
      </w:r>
      <w:r w:rsidRPr="00436916">
        <w:lastRenderedPageBreak/>
        <w:t>who ‘is related to the Church as Head’ is the Incarnate Christ and it is the Incarnate Christ who is ‘all that [the church] needs.’</w:t>
      </w:r>
      <w:r w:rsidRPr="00436916">
        <w:rPr>
          <w:rStyle w:val="FootnoteReference"/>
        </w:rPr>
        <w:footnoteReference w:id="508"/>
      </w:r>
      <w:r w:rsidRPr="00436916">
        <w:t xml:space="preserve"> Furthermore, ‘it is the Ch</w:t>
      </w:r>
      <w:r>
        <w:t>ur</w:t>
      </w:r>
      <w:r w:rsidRPr="00436916">
        <w:t>ch which gives the real reason and purpose of His Incarnation and Atonement.’</w:t>
      </w:r>
      <w:r w:rsidRPr="00436916">
        <w:rPr>
          <w:rStyle w:val="FootnoteReference"/>
        </w:rPr>
        <w:footnoteReference w:id="509"/>
      </w:r>
      <w:r w:rsidRPr="00436916">
        <w:t xml:space="preserve"> Williams’ ecclesiology is firmly grounded in Christology.</w:t>
      </w:r>
      <w:r w:rsidRPr="00436916">
        <w:rPr>
          <w:rStyle w:val="FootnoteReference"/>
        </w:rPr>
        <w:footnoteReference w:id="510"/>
      </w:r>
      <w:r w:rsidRPr="00436916">
        <w:t xml:space="preserve"> No Nestorian ecclesiology will do: the church is not united merely to the divine nature of Christ, but to the one person of Christ, the Incarnate God. Thus the Head of the Church is not </w:t>
      </w:r>
      <w:r w:rsidR="00F32584">
        <w:t>only</w:t>
      </w:r>
      <w:r w:rsidRPr="00436916">
        <w:t xml:space="preserve"> a mighty God, but a man: the God-man who suffered, bled and died for his church, before rising and ascending for her. </w:t>
      </w:r>
    </w:p>
    <w:p w:rsidR="00062AED" w:rsidRPr="00436916" w:rsidRDefault="00062AED" w:rsidP="009370EA">
      <w:pPr>
        <w:spacing w:line="360" w:lineRule="auto"/>
        <w:jc w:val="both"/>
      </w:pPr>
      <w:r w:rsidRPr="00436916">
        <w:t xml:space="preserve">With the Incarnate Christ as Head, and hence with an ecclesiology firmly grounded in the Incarnation, the church cannot be severed from the </w:t>
      </w:r>
      <w:r w:rsidRPr="00436916">
        <w:rPr>
          <w:i/>
        </w:rPr>
        <w:t>historia salutis</w:t>
      </w:r>
      <w:r w:rsidRPr="00436916">
        <w:t>. Thus, with these few pages of overview of Williams’ ecclesiology, let us examine some of the major features of his thought in more depth through a consideration of the church as the body of the Incarnate Christ.</w:t>
      </w:r>
    </w:p>
    <w:p w:rsidR="00062AED" w:rsidRPr="00436916" w:rsidRDefault="00062AED" w:rsidP="009370EA">
      <w:pPr>
        <w:spacing w:line="360" w:lineRule="auto"/>
        <w:jc w:val="both"/>
      </w:pPr>
    </w:p>
    <w:p w:rsidR="00062AED" w:rsidRPr="00436916" w:rsidRDefault="00062AED" w:rsidP="009370EA">
      <w:pPr>
        <w:pStyle w:val="PhDSubheading"/>
        <w:spacing w:line="360" w:lineRule="auto"/>
      </w:pPr>
      <w:r>
        <w:t xml:space="preserve">4.2.1 </w:t>
      </w:r>
      <w:r w:rsidRPr="00436916">
        <w:t>The Church as the Body of the Crucified Christ</w:t>
      </w:r>
    </w:p>
    <w:p w:rsidR="00062AED" w:rsidRPr="00436916" w:rsidRDefault="00062AED" w:rsidP="009370EA">
      <w:pPr>
        <w:spacing w:line="360" w:lineRule="auto"/>
        <w:jc w:val="both"/>
      </w:pPr>
      <w:r w:rsidRPr="00436916">
        <w:t>If it is the Incarnate Christ who is Head of the Church, and if this Christ and his Body are one, then the Christ with whom the church so closely identifies is none other than Christ Crucified. For Williams, ‘union with Him, who is our Head’ cannot be separated in the church’s theology and proclamation from the blood of Calvary.</w:t>
      </w:r>
      <w:r w:rsidRPr="00436916">
        <w:rPr>
          <w:rStyle w:val="FootnoteReference"/>
        </w:rPr>
        <w:footnoteReference w:id="511"/>
      </w:r>
      <w:r w:rsidRPr="00436916">
        <w:t xml:space="preserve"> ‘Jesus Christ our Lord is the one Mediator, and Him crucified is the focus of the Church of God.’</w:t>
      </w:r>
      <w:r w:rsidRPr="00436916">
        <w:rPr>
          <w:rStyle w:val="FootnoteReference"/>
        </w:rPr>
        <w:footnoteReference w:id="512"/>
      </w:r>
      <w:r w:rsidRPr="00436916">
        <w:t xml:space="preserve"> Through our union with Christ, ‘the Lord included us in His death, and we take our position in Christ’s death, where the power of the Blood is in operation in us as a new life with resurrection energy.’</w:t>
      </w:r>
      <w:r w:rsidRPr="00436916">
        <w:rPr>
          <w:rStyle w:val="FootnoteReference"/>
        </w:rPr>
        <w:footnoteReference w:id="513"/>
      </w:r>
      <w:r w:rsidRPr="00436916">
        <w:t xml:space="preserve"> Thus, the very unity of the church was ‘wrought on Calvary.’</w:t>
      </w:r>
      <w:r w:rsidRPr="00436916">
        <w:rPr>
          <w:rStyle w:val="FootnoteReference"/>
        </w:rPr>
        <w:footnoteReference w:id="514"/>
      </w:r>
      <w:r w:rsidRPr="00436916">
        <w:t xml:space="preserve"> Every ministry, gift and grace in the Church depends on and flows from </w:t>
      </w:r>
      <w:r w:rsidRPr="00436916">
        <w:lastRenderedPageBreak/>
        <w:t>the Cross. ‘It is only on the ground of the Blood that the Holy Ghost does His work.’</w:t>
      </w:r>
      <w:r w:rsidRPr="00436916">
        <w:rPr>
          <w:rStyle w:val="FootnoteReference"/>
        </w:rPr>
        <w:footnoteReference w:id="515"/>
      </w:r>
      <w:r w:rsidRPr="00436916">
        <w:t xml:space="preserve"> The merit of the ‘finished work of Calvary’ stands behind ‘every work of Grace within the Church.’</w:t>
      </w:r>
      <w:r w:rsidRPr="00436916">
        <w:rPr>
          <w:rStyle w:val="FootnoteReference"/>
        </w:rPr>
        <w:footnoteReference w:id="516"/>
      </w:r>
      <w:r w:rsidRPr="00436916">
        <w:t xml:space="preserve"> </w:t>
      </w:r>
    </w:p>
    <w:p w:rsidR="00062AED" w:rsidRPr="00436916" w:rsidRDefault="00062AED" w:rsidP="009370EA">
      <w:pPr>
        <w:spacing w:line="360" w:lineRule="auto"/>
        <w:jc w:val="both"/>
      </w:pPr>
      <w:r w:rsidRPr="00436916">
        <w:t xml:space="preserve">Williams argues that it is only as </w:t>
      </w:r>
      <w:r>
        <w:t xml:space="preserve">the </w:t>
      </w:r>
      <w:r w:rsidRPr="00436916">
        <w:t>Cross of Christ is preached and as the Church comes to know her Head as the Crucified, that ‘the Spirit of life in Christ Jesus, even the power of His Resurrection can possess and indwell the Church.’</w:t>
      </w:r>
      <w:r w:rsidRPr="00436916">
        <w:rPr>
          <w:rStyle w:val="FootnoteReference"/>
        </w:rPr>
        <w:footnoteReference w:id="517"/>
      </w:r>
      <w:r w:rsidRPr="00436916">
        <w:t xml:space="preserve"> Thus the church lives out of the death of Christ her Head. ‘For out of our union with Him, in His death the fullness of His Life will work in us and manifest itself through us.’</w:t>
      </w:r>
      <w:r w:rsidRPr="00436916">
        <w:rPr>
          <w:rStyle w:val="FootnoteReference"/>
        </w:rPr>
        <w:footnoteReference w:id="518"/>
      </w:r>
      <w:r w:rsidRPr="00436916">
        <w:t xml:space="preserve"> </w:t>
      </w:r>
    </w:p>
    <w:p w:rsidR="00062AED" w:rsidRDefault="00062AED" w:rsidP="009370EA">
      <w:pPr>
        <w:spacing w:line="360" w:lineRule="auto"/>
        <w:jc w:val="both"/>
      </w:pPr>
      <w:r w:rsidRPr="00436916">
        <w:t xml:space="preserve">Two aspects of this union of the Church with the Crucified Christ are of particular note and merit further examination: </w:t>
      </w:r>
      <w:r w:rsidRPr="00436916">
        <w:rPr>
          <w:i/>
        </w:rPr>
        <w:t>theologia crucis</w:t>
      </w:r>
      <w:r w:rsidRPr="00436916">
        <w:t xml:space="preserve"> and the role of the Breaking of Bread.</w:t>
      </w:r>
    </w:p>
    <w:p w:rsidR="00062AED" w:rsidRPr="00436916" w:rsidRDefault="00062AED" w:rsidP="009370EA">
      <w:pPr>
        <w:spacing w:line="360" w:lineRule="auto"/>
        <w:jc w:val="both"/>
      </w:pPr>
    </w:p>
    <w:p w:rsidR="00062AED" w:rsidRDefault="00062AED" w:rsidP="009370EA">
      <w:pPr>
        <w:pStyle w:val="PhDSubheading"/>
        <w:spacing w:line="360" w:lineRule="auto"/>
      </w:pPr>
      <w:r>
        <w:t xml:space="preserve">4.2.1.1 </w:t>
      </w:r>
      <w:r w:rsidRPr="00436916">
        <w:t xml:space="preserve">Theologia Crucis </w:t>
      </w:r>
    </w:p>
    <w:p w:rsidR="00062AED" w:rsidRPr="00436916" w:rsidRDefault="00062AED" w:rsidP="009370EA">
      <w:pPr>
        <w:spacing w:line="360" w:lineRule="auto"/>
        <w:jc w:val="both"/>
      </w:pPr>
      <w:r w:rsidRPr="00436916">
        <w:t xml:space="preserve">As we have seen above with Williams’ theology of the baptism of the Holy Spirit, there is a stark contrast between his cruciform thinking and the widespread triumphalism of much Pentecostal thought, resulting instead in a Pentecostal </w:t>
      </w:r>
      <w:r w:rsidRPr="00436916">
        <w:rPr>
          <w:i/>
        </w:rPr>
        <w:t>theologia crucis</w:t>
      </w:r>
      <w:r w:rsidRPr="00436916">
        <w:t xml:space="preserve">. This </w:t>
      </w:r>
      <w:r w:rsidRPr="00436916">
        <w:rPr>
          <w:i/>
        </w:rPr>
        <w:t>theologia crucis</w:t>
      </w:r>
      <w:r w:rsidRPr="00436916">
        <w:t xml:space="preserve"> is also evident in Williams’ thought on the Body of Christ. For Williams, as for Luther, it is imperative that the true theologian ‘comprehends the visible and manifest things of God seen through suffering and the cross.’</w:t>
      </w:r>
      <w:r w:rsidRPr="00436916">
        <w:rPr>
          <w:rStyle w:val="FootnoteReference"/>
        </w:rPr>
        <w:footnoteReference w:id="519"/>
      </w:r>
    </w:p>
    <w:p w:rsidR="00062AED" w:rsidRPr="00436916" w:rsidRDefault="00062AED" w:rsidP="009370EA">
      <w:pPr>
        <w:spacing w:line="360" w:lineRule="auto"/>
        <w:jc w:val="both"/>
      </w:pPr>
      <w:r w:rsidRPr="00436916">
        <w:t>For Williams, the Cross ‘gives new meaning to a sorrowful world’ and it is only through the Cross that we can rightly perceive ‘the Divine Will and Purpose.’</w:t>
      </w:r>
      <w:r w:rsidRPr="00436916">
        <w:rPr>
          <w:rStyle w:val="FootnoteReference"/>
        </w:rPr>
        <w:footnoteReference w:id="520"/>
      </w:r>
      <w:r w:rsidRPr="00436916">
        <w:t xml:space="preserve"> Thus, ‘the Way of Life is death. The Cross is the entrance to Glory.’</w:t>
      </w:r>
      <w:r w:rsidRPr="00436916">
        <w:rPr>
          <w:rStyle w:val="FootnoteReference"/>
        </w:rPr>
        <w:footnoteReference w:id="521"/>
      </w:r>
      <w:r w:rsidRPr="00436916">
        <w:t xml:space="preserve"> As Luther put it, ‘true theology and recognition of God are in the crucified Christ.’</w:t>
      </w:r>
      <w:r w:rsidRPr="00436916">
        <w:rPr>
          <w:rStyle w:val="FootnoteReference"/>
        </w:rPr>
        <w:footnoteReference w:id="522"/>
      </w:r>
      <w:r w:rsidRPr="00436916">
        <w:t xml:space="preserve"> In Williams’ words, ‘as we rise higher, we sink deeper to His death.’</w:t>
      </w:r>
      <w:r w:rsidRPr="00436916">
        <w:rPr>
          <w:rStyle w:val="FootnoteReference"/>
        </w:rPr>
        <w:footnoteReference w:id="523"/>
      </w:r>
      <w:r w:rsidRPr="00436916">
        <w:t xml:space="preserve"> The true power and glory of God are only to be found in the weakness and suffering of the Cross, for ‘Christ still reigns on the Tree.’</w:t>
      </w:r>
      <w:r w:rsidRPr="00436916">
        <w:rPr>
          <w:rStyle w:val="FootnoteReference"/>
        </w:rPr>
        <w:footnoteReference w:id="524"/>
      </w:r>
    </w:p>
    <w:p w:rsidR="00062AED" w:rsidRPr="00436916" w:rsidRDefault="00062AED" w:rsidP="009370EA">
      <w:pPr>
        <w:spacing w:line="360" w:lineRule="auto"/>
        <w:jc w:val="both"/>
      </w:pPr>
      <w:r w:rsidRPr="00436916">
        <w:lastRenderedPageBreak/>
        <w:t>Therefore, the church must find her life, power, and glory in the death, weakness and shame of the Cross. Thus the church is, and can be no</w:t>
      </w:r>
      <w:r>
        <w:t>ne</w:t>
      </w:r>
      <w:r w:rsidRPr="00436916">
        <w:t xml:space="preserve"> other than, ‘a Crucified Church.’</w:t>
      </w:r>
      <w:r w:rsidRPr="00436916">
        <w:rPr>
          <w:rStyle w:val="FootnoteReference"/>
        </w:rPr>
        <w:footnoteReference w:id="525"/>
      </w:r>
      <w:r w:rsidRPr="00436916">
        <w:t xml:space="preserve"> The church ‘can hold the glory only to the extent that we are crucified.’</w:t>
      </w:r>
      <w:r w:rsidRPr="00436916">
        <w:rPr>
          <w:rStyle w:val="FootnoteReference"/>
        </w:rPr>
        <w:footnoteReference w:id="526"/>
      </w:r>
      <w:r w:rsidRPr="00436916">
        <w:t xml:space="preserve"> The true pentecostal power is found only where ‘the heart is the Cross.’</w:t>
      </w:r>
      <w:r w:rsidRPr="00436916">
        <w:rPr>
          <w:rStyle w:val="FootnoteReference"/>
        </w:rPr>
        <w:footnoteReference w:id="527"/>
      </w:r>
      <w:r w:rsidRPr="00436916">
        <w:t xml:space="preserve"> It is always ‘power with Blood on it.’</w:t>
      </w:r>
      <w:r w:rsidRPr="00436916">
        <w:rPr>
          <w:rStyle w:val="FootnoteReference"/>
        </w:rPr>
        <w:footnoteReference w:id="528"/>
      </w:r>
      <w:r w:rsidRPr="00436916">
        <w:t xml:space="preserve"> The true glory is only found when the Cross penetrates right through the soul.</w:t>
      </w:r>
      <w:r w:rsidRPr="00436916">
        <w:rPr>
          <w:rStyle w:val="FootnoteReference"/>
        </w:rPr>
        <w:footnoteReference w:id="529"/>
      </w:r>
    </w:p>
    <w:p w:rsidR="00062AED" w:rsidRPr="00436916" w:rsidRDefault="00062AED" w:rsidP="009370EA">
      <w:pPr>
        <w:spacing w:line="360" w:lineRule="auto"/>
        <w:jc w:val="both"/>
      </w:pPr>
      <w:r w:rsidRPr="00436916">
        <w:t xml:space="preserve">This </w:t>
      </w:r>
      <w:r w:rsidRPr="00436916">
        <w:rPr>
          <w:i/>
        </w:rPr>
        <w:t>theologia crucis</w:t>
      </w:r>
      <w:r w:rsidRPr="00436916">
        <w:t xml:space="preserve"> is seen </w:t>
      </w:r>
      <w:r w:rsidR="00E1268F">
        <w:t>worked out</w:t>
      </w:r>
      <w:r w:rsidRPr="00436916">
        <w:t xml:space="preserve"> in the true life of the church, for ‘it is in the nature of Divine Fellowship to suffer and to sacrifice.’</w:t>
      </w:r>
      <w:r w:rsidRPr="00436916">
        <w:rPr>
          <w:rStyle w:val="FootnoteReference"/>
        </w:rPr>
        <w:footnoteReference w:id="530"/>
      </w:r>
      <w:r w:rsidRPr="00436916">
        <w:t xml:space="preserve"> It is only through such suffering and sacrifice that the members of the church are built up into the glory of true unity.</w:t>
      </w:r>
      <w:r w:rsidRPr="00436916">
        <w:rPr>
          <w:rStyle w:val="FootnoteReference"/>
        </w:rPr>
        <w:footnoteReference w:id="531"/>
      </w:r>
      <w:r w:rsidRPr="00436916">
        <w:t xml:space="preserve"> Yet this suffering and sacrifice is borne willingly, for ‘in that Cross we know that there is a Throne, [and] that makes our lives glorious, that changes our character.’</w:t>
      </w:r>
      <w:r w:rsidRPr="00436916">
        <w:rPr>
          <w:rStyle w:val="FootnoteReference"/>
        </w:rPr>
        <w:footnoteReference w:id="532"/>
      </w:r>
      <w:r w:rsidRPr="00436916">
        <w:t xml:space="preserve"> True glory is found only in the suffering of the Cross. Therefore, the church ‘must be a broken Church, crushed, in order that the glory that indwells may shine forth.’</w:t>
      </w:r>
      <w:r w:rsidRPr="00436916">
        <w:rPr>
          <w:rStyle w:val="FootnoteReference"/>
        </w:rPr>
        <w:footnoteReference w:id="533"/>
      </w:r>
      <w:r w:rsidRPr="00436916">
        <w:t xml:space="preserve">  This true glory that shines forth from a crucified church is ‘the glory of the knowledge of Jesus.’</w:t>
      </w:r>
      <w:r w:rsidRPr="00436916">
        <w:rPr>
          <w:rStyle w:val="FootnoteReference"/>
        </w:rPr>
        <w:footnoteReference w:id="534"/>
      </w:r>
      <w:r w:rsidRPr="00436916">
        <w:t xml:space="preserve"> The broken church makes known the glory of him whose body was broken. The crucified church points always away from itself to the crucified Saviour.</w:t>
      </w:r>
    </w:p>
    <w:p w:rsidR="00062AED" w:rsidRPr="00436916" w:rsidRDefault="00062AED" w:rsidP="009370EA">
      <w:pPr>
        <w:spacing w:line="360" w:lineRule="auto"/>
        <w:jc w:val="both"/>
      </w:pPr>
      <w:r w:rsidRPr="00436916">
        <w:t xml:space="preserve">Already we have seen the close connection between </w:t>
      </w:r>
      <w:r>
        <w:t>BHS</w:t>
      </w:r>
      <w:r w:rsidRPr="00436916">
        <w:t xml:space="preserve"> and the </w:t>
      </w:r>
      <w:r w:rsidRPr="00436916">
        <w:rPr>
          <w:i/>
        </w:rPr>
        <w:t>theologia crucis</w:t>
      </w:r>
      <w:r w:rsidRPr="00436916">
        <w:t xml:space="preserve"> in Williams’ thought, and this is still the case when it comes to the Body of Christ. It is through being filled with the Holy Spirit that ‘we may know the ministry of mutual fellowship, in suffering with Christ, and with every member of the Body; the ministry of compassion and weeping.’</w:t>
      </w:r>
      <w:r w:rsidRPr="00436916">
        <w:rPr>
          <w:rStyle w:val="FootnoteReference"/>
        </w:rPr>
        <w:footnoteReference w:id="535"/>
      </w:r>
      <w:r w:rsidRPr="00436916">
        <w:t xml:space="preserve"> The faithful church will find that ‘Pentecost will always lead to suffering.’</w:t>
      </w:r>
      <w:r w:rsidRPr="00436916">
        <w:rPr>
          <w:rStyle w:val="FootnoteReference"/>
        </w:rPr>
        <w:footnoteReference w:id="536"/>
      </w:r>
      <w:r w:rsidRPr="00436916">
        <w:t xml:space="preserve"> Yet this is vital to the being of the church, for it is only as the members of the Body ‘maintain [their] position in His death that [they] become vehicles for the Life of Christ in the power of His Resurrection.’</w:t>
      </w:r>
      <w:r w:rsidRPr="00436916">
        <w:rPr>
          <w:rStyle w:val="FootnoteReference"/>
        </w:rPr>
        <w:footnoteReference w:id="537"/>
      </w:r>
      <w:r w:rsidRPr="00436916">
        <w:t xml:space="preserve"> In Williams’ cross-shaped vision, ‘life lives on death, sacrificing all to find itself in resurrection, victory and glory.’</w:t>
      </w:r>
      <w:r w:rsidRPr="00436916">
        <w:rPr>
          <w:rStyle w:val="FootnoteReference"/>
        </w:rPr>
        <w:footnoteReference w:id="538"/>
      </w:r>
      <w:r w:rsidRPr="00436916">
        <w:t xml:space="preserve"> It is only the church united to Christ in death which knows the fullness of his life.</w:t>
      </w:r>
      <w:r w:rsidRPr="00436916">
        <w:rPr>
          <w:rStyle w:val="FootnoteReference"/>
        </w:rPr>
        <w:footnoteReference w:id="539"/>
      </w:r>
      <w:r w:rsidRPr="00436916">
        <w:t xml:space="preserve"> </w:t>
      </w:r>
    </w:p>
    <w:p w:rsidR="00062AED" w:rsidRDefault="00062AED" w:rsidP="009370EA">
      <w:pPr>
        <w:spacing w:line="360" w:lineRule="auto"/>
        <w:jc w:val="both"/>
      </w:pPr>
      <w:r w:rsidRPr="00436916">
        <w:lastRenderedPageBreak/>
        <w:t xml:space="preserve">Only with such a </w:t>
      </w:r>
      <w:r w:rsidRPr="00436916">
        <w:rPr>
          <w:i/>
        </w:rPr>
        <w:t>theologia crucis</w:t>
      </w:r>
      <w:r w:rsidRPr="00436916">
        <w:t xml:space="preserve"> can the church remain faithful to its calling; when the church cannot be seen through suffering and the cross it has abandoned its calling for ‘the superficialities of religion (like children playing on the seashore, amused with the rippling waves and their sandcastles).’</w:t>
      </w:r>
      <w:r w:rsidRPr="00436916">
        <w:rPr>
          <w:rStyle w:val="FootnoteReference"/>
        </w:rPr>
        <w:footnoteReference w:id="540"/>
      </w:r>
      <w:r w:rsidRPr="00436916">
        <w:t xml:space="preserve"> Such a superficial church with its </w:t>
      </w:r>
      <w:r w:rsidRPr="00436916">
        <w:rPr>
          <w:i/>
        </w:rPr>
        <w:t>theology of glory</w:t>
      </w:r>
      <w:r w:rsidRPr="00436916">
        <w:t xml:space="preserve"> will ‘avoid facing the rough seas and strong winds of persecution, and the breakers of criticism.’</w:t>
      </w:r>
      <w:r w:rsidRPr="00436916">
        <w:rPr>
          <w:rStyle w:val="FootnoteReference"/>
        </w:rPr>
        <w:footnoteReference w:id="541"/>
      </w:r>
      <w:r w:rsidRPr="00436916">
        <w:t xml:space="preserve"> However, armed instead with a </w:t>
      </w:r>
      <w:r w:rsidRPr="00436916">
        <w:rPr>
          <w:i/>
        </w:rPr>
        <w:t>theology of the cross</w:t>
      </w:r>
      <w:r w:rsidRPr="00436916">
        <w:t xml:space="preserve"> (and only when so armed), the faithful church can ‘venture into the deep waters where the current of Divine Election will carry them along to accomplish the eternal purpose of God in Christ.’</w:t>
      </w:r>
      <w:r w:rsidRPr="00436916">
        <w:rPr>
          <w:rStyle w:val="FootnoteReference"/>
        </w:rPr>
        <w:footnoteReference w:id="542"/>
      </w:r>
      <w:r w:rsidRPr="00436916">
        <w:t xml:space="preserve"> True ecclesiology must be an </w:t>
      </w:r>
      <w:r w:rsidRPr="00436916">
        <w:rPr>
          <w:i/>
        </w:rPr>
        <w:t>ecclesiologia crucis</w:t>
      </w:r>
      <w:r w:rsidRPr="00436916">
        <w:t xml:space="preserve">. The only faithful church is the </w:t>
      </w:r>
      <w:r w:rsidRPr="00436916">
        <w:rPr>
          <w:i/>
        </w:rPr>
        <w:t>ecclesia crucis</w:t>
      </w:r>
      <w:r w:rsidRPr="00436916">
        <w:t>. ‘The roots of the Church of Christ must be deep in His Death.’</w:t>
      </w:r>
      <w:r w:rsidRPr="00436916">
        <w:rPr>
          <w:rStyle w:val="FootnoteReference"/>
        </w:rPr>
        <w:footnoteReference w:id="543"/>
      </w:r>
    </w:p>
    <w:p w:rsidR="00A55DCB" w:rsidRDefault="00A55DCB" w:rsidP="009370EA">
      <w:pPr>
        <w:spacing w:line="360" w:lineRule="auto"/>
        <w:jc w:val="both"/>
      </w:pPr>
    </w:p>
    <w:p w:rsidR="00A55DCB" w:rsidRPr="00436916" w:rsidRDefault="00A55DCB" w:rsidP="009370EA">
      <w:pPr>
        <w:spacing w:line="360" w:lineRule="auto"/>
        <w:jc w:val="both"/>
      </w:pPr>
    </w:p>
    <w:p w:rsidR="00062AED" w:rsidRDefault="00062AED" w:rsidP="009370EA">
      <w:pPr>
        <w:pStyle w:val="PhDSubheading"/>
        <w:spacing w:line="360" w:lineRule="auto"/>
      </w:pPr>
      <w:r>
        <w:t xml:space="preserve">4.2.1.2 </w:t>
      </w:r>
      <w:r w:rsidRPr="00436916">
        <w:t xml:space="preserve">The Breaking of Bread. </w:t>
      </w:r>
    </w:p>
    <w:p w:rsidR="00062AED" w:rsidRPr="00436916" w:rsidRDefault="00062AED" w:rsidP="009370EA">
      <w:pPr>
        <w:spacing w:line="360" w:lineRule="auto"/>
        <w:jc w:val="both"/>
      </w:pPr>
      <w:r w:rsidRPr="00436916">
        <w:t>The Breaking of Bread was the centre of early Apostolic (and wider British Pentecostal)</w:t>
      </w:r>
      <w:r>
        <w:rPr>
          <w:rStyle w:val="FootnoteReference"/>
        </w:rPr>
        <w:footnoteReference w:id="544"/>
      </w:r>
      <w:r w:rsidRPr="00436916">
        <w:t xml:space="preserve"> worship and spirituality. The main worship service of the church was simply known as ‘the Breaking of Bread’ and so the whole service revolved around the sacrament, with everything flowing into or out of the Lord’s Supper itself.</w:t>
      </w:r>
      <w:r w:rsidRPr="00436916">
        <w:rPr>
          <w:rStyle w:val="FootnoteReference"/>
        </w:rPr>
        <w:footnoteReference w:id="545"/>
      </w:r>
      <w:r w:rsidRPr="00436916">
        <w:t xml:space="preserve"> </w:t>
      </w:r>
    </w:p>
    <w:p w:rsidR="00062AED" w:rsidRPr="00436916" w:rsidRDefault="00062AED" w:rsidP="009370EA">
      <w:pPr>
        <w:spacing w:line="360" w:lineRule="auto"/>
        <w:jc w:val="both"/>
      </w:pPr>
      <w:r w:rsidRPr="00436916">
        <w:t xml:space="preserve">We have already seen something of Williams’ high view of the Supper in our examination of the </w:t>
      </w:r>
      <w:r w:rsidRPr="00436916">
        <w:rPr>
          <w:i/>
        </w:rPr>
        <w:t>Athrawiaethau Sylfeinol</w:t>
      </w:r>
      <w:r w:rsidRPr="00436916">
        <w:t xml:space="preserve"> above. There he wrote of how ‘we partake substantially, through faith, of His body and His blood, to be sustenance for the spiritual life.’</w:t>
      </w:r>
      <w:r w:rsidRPr="00436916">
        <w:rPr>
          <w:rStyle w:val="FootnoteReference"/>
        </w:rPr>
        <w:footnoteReference w:id="546"/>
      </w:r>
      <w:r w:rsidRPr="00436916">
        <w:t xml:space="preserve"> </w:t>
      </w:r>
      <w:r w:rsidR="00561723">
        <w:t>Elsewhere he describes this as ‘a mystical union of eating His flesh and drinking His blood’</w:t>
      </w:r>
      <w:r w:rsidR="00561723">
        <w:rPr>
          <w:rStyle w:val="FootnoteReference"/>
        </w:rPr>
        <w:footnoteReference w:id="547"/>
      </w:r>
      <w:r w:rsidR="00561723">
        <w:t xml:space="preserve"> and feeding upon ‘the Unblemished Lamb who has been sacrificed for us.’</w:t>
      </w:r>
      <w:r w:rsidR="00561723">
        <w:rPr>
          <w:rStyle w:val="FootnoteReference"/>
        </w:rPr>
        <w:footnoteReference w:id="548"/>
      </w:r>
      <w:r w:rsidR="00561723">
        <w:t xml:space="preserve"> </w:t>
      </w:r>
      <w:r w:rsidRPr="00436916">
        <w:t xml:space="preserve">Thus Williams views the presence of Christ in the Supper in a substantial way. He is no Zwinglian memorialist: Christ is present not only in </w:t>
      </w:r>
      <w:r w:rsidRPr="00436916">
        <w:lastRenderedPageBreak/>
        <w:t>memory or by the influence of his divine power on the worshipping community, but substantially in the sacrament. Yet what does Williams envisage by the substantial presence of Christ?</w:t>
      </w:r>
    </w:p>
    <w:p w:rsidR="00062AED" w:rsidRPr="00436916" w:rsidRDefault="00062AED" w:rsidP="009370EA">
      <w:pPr>
        <w:spacing w:line="360" w:lineRule="auto"/>
        <w:jc w:val="both"/>
      </w:pPr>
      <w:r w:rsidRPr="00436916">
        <w:t xml:space="preserve">It would be easy to read Williams’ eucharistic thought in the light of the doctrine of Calvinistic </w:t>
      </w:r>
      <w:r>
        <w:t xml:space="preserve">spiritual </w:t>
      </w:r>
      <w:r w:rsidRPr="00436916">
        <w:t>presence due to the common acceptance of this doctrine by other early and later Apostolics, and the theological mil</w:t>
      </w:r>
      <w:r>
        <w:t>i</w:t>
      </w:r>
      <w:r w:rsidRPr="00436916">
        <w:t>eu of Welsh experiential Calvinism which formed the background to Williams’ theological formation.</w:t>
      </w:r>
      <w:r w:rsidRPr="00436916">
        <w:rPr>
          <w:rStyle w:val="FootnoteReference"/>
        </w:rPr>
        <w:footnoteReference w:id="549"/>
      </w:r>
      <w:r w:rsidRPr="00436916">
        <w:t xml:space="preserve"> However, there are suggestive pieces of evidence which </w:t>
      </w:r>
      <w:r>
        <w:t>indicate</w:t>
      </w:r>
      <w:r w:rsidRPr="00436916">
        <w:t xml:space="preserve"> an even higher view of Christ’s substantial presence in Williams’ Euchari</w:t>
      </w:r>
      <w:r>
        <w:t>s</w:t>
      </w:r>
      <w:r w:rsidRPr="00436916">
        <w:t>tic thought.</w:t>
      </w:r>
    </w:p>
    <w:p w:rsidR="00062AED" w:rsidRPr="00436916" w:rsidRDefault="00062AED" w:rsidP="009370EA">
      <w:pPr>
        <w:spacing w:line="360" w:lineRule="auto"/>
        <w:jc w:val="both"/>
      </w:pPr>
      <w:r w:rsidRPr="00436916">
        <w:t xml:space="preserve">Firstly, we must enquire as to the role of faith in this statement from the </w:t>
      </w:r>
      <w:r w:rsidRPr="00436916">
        <w:rPr>
          <w:i/>
        </w:rPr>
        <w:t>Athrawiaethau Sylfeinol</w:t>
      </w:r>
      <w:r w:rsidRPr="00436916">
        <w:t xml:space="preserve">. Is Williams here teaching that the believer receives Christ’s body and blood by faith? If so, he would appear either to conform to the Calvinistic doctrine of spiritual presence or to be advocating some form of receptionism. Yet, this is not the only possible reading of his words, for his sentence continues by signalling the benefit of the sacrament. Thus, rather than advocating the receiving of Christ’s body and blood through faith, Williams may be advocating the receiving of Christ’s body and blood </w:t>
      </w:r>
      <w:r w:rsidRPr="00436916">
        <w:rPr>
          <w:i/>
        </w:rPr>
        <w:t>to one’s spiritual benefit</w:t>
      </w:r>
      <w:r w:rsidRPr="00436916">
        <w:t xml:space="preserve"> through faith. This would leave the way open for a view which allowed those who ate without faith to receive the true body and blood, only not their spiritual benefit, and hence the possibility of a doctrine of the </w:t>
      </w:r>
      <w:r w:rsidRPr="00436916">
        <w:rPr>
          <w:i/>
        </w:rPr>
        <w:t>manducatio impiorum</w:t>
      </w:r>
      <w:r w:rsidRPr="00436916">
        <w:t>.</w:t>
      </w:r>
    </w:p>
    <w:p w:rsidR="00062AED" w:rsidRPr="00436916" w:rsidRDefault="00062AED" w:rsidP="009370EA">
      <w:pPr>
        <w:spacing w:line="360" w:lineRule="auto"/>
        <w:jc w:val="both"/>
      </w:pPr>
      <w:r w:rsidRPr="00436916">
        <w:t>In fact, there is a</w:t>
      </w:r>
      <w:r>
        <w:t xml:space="preserve">t least one more indication of </w:t>
      </w:r>
      <w:r w:rsidRPr="00436916">
        <w:t xml:space="preserve">the possibility of a doctrine of the </w:t>
      </w:r>
      <w:r w:rsidRPr="00436916">
        <w:rPr>
          <w:i/>
        </w:rPr>
        <w:t>manducatio impiorum</w:t>
      </w:r>
      <w:r w:rsidRPr="00436916">
        <w:t xml:space="preserve"> in Williams’ work. In a Welsh hymn on the sacrament Williams raises the issue of Judas Iscariot’s participation in the first Eucharist, stating that heaven and earth met there, even though the traitor was at the table.</w:t>
      </w:r>
      <w:r w:rsidRPr="00436916">
        <w:rPr>
          <w:rStyle w:val="FootnoteReference"/>
        </w:rPr>
        <w:footnoteReference w:id="550"/>
      </w:r>
      <w:r w:rsidRPr="00436916">
        <w:t xml:space="preserve"> Williams does not settle the matter (in fact, the next verse of the hymn goes on to wonder at how exactly Christ could feed his disciples in the shadow of the cross),</w:t>
      </w:r>
      <w:r w:rsidRPr="00436916">
        <w:rPr>
          <w:rStyle w:val="FootnoteReference"/>
        </w:rPr>
        <w:footnoteReference w:id="551"/>
      </w:r>
      <w:r w:rsidRPr="00436916">
        <w:t xml:space="preserve"> yet such language wo</w:t>
      </w:r>
      <w:r>
        <w:t xml:space="preserve">uld imply </w:t>
      </w:r>
      <w:r w:rsidRPr="00436916">
        <w:t xml:space="preserve">that he left open the possibility of the </w:t>
      </w:r>
      <w:r w:rsidRPr="00436916">
        <w:rPr>
          <w:i/>
        </w:rPr>
        <w:t>manducatio impiorum</w:t>
      </w:r>
      <w:r w:rsidRPr="00436916">
        <w:t xml:space="preserve">. In combination with the strong warnings about eating unworthily leading to </w:t>
      </w:r>
      <w:r>
        <w:t>being</w:t>
      </w:r>
      <w:r w:rsidRPr="00436916">
        <w:t xml:space="preserve"> guilt</w:t>
      </w:r>
      <w:r>
        <w:t>y</w:t>
      </w:r>
      <w:r w:rsidRPr="00436916">
        <w:t xml:space="preserve"> of Christ’s body and blood and thus to judgment, such a possibility is further strengthened.</w:t>
      </w:r>
      <w:r w:rsidRPr="00436916">
        <w:rPr>
          <w:rStyle w:val="FootnoteReference"/>
        </w:rPr>
        <w:footnoteReference w:id="552"/>
      </w:r>
    </w:p>
    <w:p w:rsidR="00062AED" w:rsidRPr="00436916" w:rsidRDefault="00062AED" w:rsidP="009370EA">
      <w:pPr>
        <w:spacing w:line="360" w:lineRule="auto"/>
        <w:jc w:val="both"/>
      </w:pPr>
      <w:r w:rsidRPr="00436916">
        <w:lastRenderedPageBreak/>
        <w:t xml:space="preserve">With these indications of Williams’ openness to a doctrine of the </w:t>
      </w:r>
      <w:r w:rsidRPr="00436916">
        <w:rPr>
          <w:i/>
        </w:rPr>
        <w:t>manducatio impiorum</w:t>
      </w:r>
      <w:r w:rsidRPr="00436916">
        <w:t>, it would seem best to read his words about partaking ‘substantially, through faith’ not in terms of simply receiving the body and blood through faith, but in terms of receiving the body and blood ‘to be su</w:t>
      </w:r>
      <w:r>
        <w:t>stenance for the spiritual life</w:t>
      </w:r>
      <w:r w:rsidRPr="00436916">
        <w:t>’</w:t>
      </w:r>
      <w:r>
        <w:t xml:space="preserve"> through faith.</w:t>
      </w:r>
      <w:r w:rsidRPr="00436916">
        <w:rPr>
          <w:rStyle w:val="FootnoteReference"/>
        </w:rPr>
        <w:footnoteReference w:id="553"/>
      </w:r>
      <w:r w:rsidRPr="00436916">
        <w:t xml:space="preserve"> Further considerations strengthen this case. For Williams, not only do heaven and earth meet at the Supper, but the bread which is broken in the Supper is the Bread of Heaven.</w:t>
      </w:r>
      <w:r w:rsidRPr="00436916">
        <w:rPr>
          <w:rStyle w:val="FootnoteReference"/>
        </w:rPr>
        <w:footnoteReference w:id="554"/>
      </w:r>
      <w:r w:rsidRPr="00436916">
        <w:t xml:space="preserve"> As it is Christ himself who is the Bread of Heaven, such a statement ties his presence in the sacrament to the elements of bread and wine themselves, rather than a presence by the Spirit through the eating and drinking or among the gathered assembly. Williams further explicitly states that ‘we drink His Blood; we eat His Flesh.’</w:t>
      </w:r>
      <w:r w:rsidRPr="00436916">
        <w:rPr>
          <w:rStyle w:val="FootnoteReference"/>
        </w:rPr>
        <w:footnoteReference w:id="555"/>
      </w:r>
      <w:r w:rsidRPr="00436916">
        <w:t xml:space="preserve"> While all the early Apostolics were happy to say that ‘each believing saint partake[s] by faith of the virtue of His Own Body and Blood,’</w:t>
      </w:r>
      <w:r w:rsidRPr="00436916">
        <w:rPr>
          <w:rStyle w:val="FootnoteReference"/>
        </w:rPr>
        <w:footnoteReference w:id="556"/>
      </w:r>
      <w:r w:rsidRPr="00436916">
        <w:t xml:space="preserve"> Williams himself speaks not merely of the virtue of the body and blood, but of the body and blood themselves, and uses the much more physical language of eating and drinking. Furthermore, here Williams does not insert ‘by faith’ between the eating and drinking and the body and blood.</w:t>
      </w:r>
    </w:p>
    <w:p w:rsidR="00062AED" w:rsidRPr="00436916" w:rsidRDefault="00062AED" w:rsidP="009370EA">
      <w:pPr>
        <w:spacing w:line="360" w:lineRule="auto"/>
        <w:jc w:val="both"/>
      </w:pPr>
      <w:r w:rsidRPr="00436916">
        <w:t>Yet, here it must be recognised that Williams could also speak of feeding on the body and blood of Christ in another way, apart from the sacrament:</w:t>
      </w:r>
    </w:p>
    <w:p w:rsidR="00062AED" w:rsidRPr="000C7657" w:rsidRDefault="00062AED" w:rsidP="009370EA">
      <w:pPr>
        <w:spacing w:line="360" w:lineRule="auto"/>
        <w:ind w:left="720" w:right="720"/>
        <w:jc w:val="both"/>
        <w:rPr>
          <w:sz w:val="20"/>
        </w:rPr>
      </w:pPr>
      <w:r w:rsidRPr="000C7657">
        <w:rPr>
          <w:sz w:val="20"/>
        </w:rPr>
        <w:t>God brings us to a realisation of His intention that we should feed on one another; and His Word is bringing us through a process whereby we can eat the Flesh of the Son of God, and drink His Blood, because His Life is flowing through the members of His Body and bringing us into Oneness and Divine Harmony … Whatever is our place in the Body, the process of God’s Word must be carried out in every one of us before we can be a vessel of blessing to one another.</w:t>
      </w:r>
      <w:r w:rsidRPr="000C7657">
        <w:rPr>
          <w:rStyle w:val="FootnoteReference"/>
          <w:sz w:val="20"/>
        </w:rPr>
        <w:footnoteReference w:id="557"/>
      </w:r>
    </w:p>
    <w:p w:rsidR="00062AED" w:rsidRDefault="00062AED" w:rsidP="009370EA">
      <w:pPr>
        <w:spacing w:line="360" w:lineRule="auto"/>
        <w:jc w:val="both"/>
      </w:pPr>
      <w:r>
        <w:t xml:space="preserve">What does Williams mean by eating the flesh of the Son of God and drinking his blood through feeding on one another? The key to his thought here is the importance he places on the Word of God. As we shall see below, for Williams, Christ is present in his Word, and thus to feed on the Word is to feed on Christ himself. As one member of the body speaks Christ’s word to another member, they feed one another with Christ. Due to </w:t>
      </w:r>
      <w:r w:rsidR="00E23FF0">
        <w:t>Williams’</w:t>
      </w:r>
      <w:r>
        <w:t xml:space="preserve"> strongly Cyrilline Christology, there can be no separation between the two natures in Christ, thus one cannot feed on Christ without feeding on his body and blood. </w:t>
      </w:r>
    </w:p>
    <w:p w:rsidR="00062AED" w:rsidRDefault="00062AED" w:rsidP="009370EA">
      <w:pPr>
        <w:spacing w:line="360" w:lineRule="auto"/>
        <w:jc w:val="both"/>
      </w:pPr>
      <w:r>
        <w:lastRenderedPageBreak/>
        <w:t xml:space="preserve">Hence, for Williams, there is the </w:t>
      </w:r>
      <w:r w:rsidRPr="00D703F6">
        <w:rPr>
          <w:i/>
        </w:rPr>
        <w:t>real presence</w:t>
      </w:r>
      <w:r>
        <w:t xml:space="preserve"> of Christ in the proclamation of the Word as well as in the sacrament. However, this should not be reduced to a Zwinglian equation of eating Christ’s body and drinking his blood with faith in contradistinction to the Supper.</w:t>
      </w:r>
      <w:r>
        <w:rPr>
          <w:rStyle w:val="FootnoteReference"/>
        </w:rPr>
        <w:footnoteReference w:id="558"/>
      </w:r>
      <w:r>
        <w:t xml:space="preserve"> For Williams, it is not merely in faith, but in the Word and the sacrament where the believer is fed and nourished with Christ’s body and blood. Christ feeds us with his body and blood through his chosen means (Word and sacrament), and through faith believers receive his body and blood to their spiritual benefit. Thus, this instance where Williams writes of eating Christ’s flesh and drinking his blood apart from the Supper does not in any way diminish his view of the presence of Christ in the sacrament.</w:t>
      </w:r>
    </w:p>
    <w:p w:rsidR="00062AED" w:rsidRDefault="00062AED" w:rsidP="009370EA">
      <w:pPr>
        <w:spacing w:line="360" w:lineRule="auto"/>
        <w:jc w:val="both"/>
      </w:pPr>
      <w:r>
        <w:t>How, for Williams, do the faithful receive Christ’s benefits at the Table? The answer he provides is ‘mediately and directly from His Person.’</w:t>
      </w:r>
      <w:r>
        <w:rPr>
          <w:rStyle w:val="FootnoteReference"/>
        </w:rPr>
        <w:footnoteReference w:id="559"/>
      </w:r>
      <w:r>
        <w:t xml:space="preserve"> Again, this points to Williams’ high view of Christ’s presence. Grace is received ‘mediately’, thus through the means of bread of wine, and yet ‘directly’, for the communicants do indeed eat Christ’s body and drink his blood. Through the visible means there is a true participation in the body and blood where alone the invisible grace of God is found.</w:t>
      </w:r>
    </w:p>
    <w:p w:rsidR="00062AED" w:rsidRDefault="00062AED" w:rsidP="009370EA">
      <w:pPr>
        <w:spacing w:line="360" w:lineRule="auto"/>
        <w:jc w:val="both"/>
      </w:pPr>
      <w:r>
        <w:t>But does Williams not contradict all this himself? It is true that he explicitly states that ‘the elements … hav[e] no means of grace in themselves.’</w:t>
      </w:r>
      <w:r>
        <w:rPr>
          <w:rStyle w:val="FootnoteReference"/>
        </w:rPr>
        <w:footnoteReference w:id="560"/>
      </w:r>
      <w:r>
        <w:t xml:space="preserve"> Yet this should not be misread as a denial that the sacrament of the Lord’s Supper is a true (and powerful) means of grace in Williams’ thought.</w:t>
      </w:r>
      <w:r>
        <w:rPr>
          <w:rStyle w:val="FootnoteReference"/>
        </w:rPr>
        <w:footnoteReference w:id="561"/>
      </w:r>
      <w:r>
        <w:t xml:space="preserve"> In the very same sentence Williams states that the sacrament mediates grace, and we have already seen how he views this feeding on the substance of Christ’s body and blood as ‘</w:t>
      </w:r>
      <w:r w:rsidRPr="00436916">
        <w:t>sustenance for the spiritual life</w:t>
      </w:r>
      <w:r>
        <w:t>.’</w:t>
      </w:r>
      <w:r>
        <w:rPr>
          <w:rStyle w:val="FootnoteReference"/>
        </w:rPr>
        <w:footnoteReference w:id="562"/>
      </w:r>
      <w:r>
        <w:t xml:space="preserve"> What Williams is denying here is not that the Supper is a means of grace, but rather that the bread and wine in themselves have the power of themselves to impart grace. The grace comes from ‘the sacrificial Death of the Ever-Living Christ’ which he </w:t>
      </w:r>
      <w:r>
        <w:lastRenderedPageBreak/>
        <w:t>mediates by giving his body and blood in the bread and wine.</w:t>
      </w:r>
      <w:r>
        <w:rPr>
          <w:rStyle w:val="FootnoteReference"/>
        </w:rPr>
        <w:footnoteReference w:id="563"/>
      </w:r>
      <w:r>
        <w:t xml:space="preserve"> In the context it is clear that what Wi</w:t>
      </w:r>
      <w:r w:rsidR="00FF6245">
        <w:t xml:space="preserve">lliams is denying is </w:t>
      </w:r>
      <w:r w:rsidR="00085529">
        <w:t>any notion of an</w:t>
      </w:r>
      <w:r w:rsidR="00FF6245">
        <w:t xml:space="preserve"> automatic </w:t>
      </w:r>
      <w:r w:rsidR="00085529">
        <w:t>conferral of grace merely by the elements of bread and wine in themselves</w:t>
      </w:r>
      <w:r>
        <w:t>. The power is neither in the elements nor in ‘the virtue nor the godliness of those that officiate at the Table.’</w:t>
      </w:r>
      <w:r>
        <w:rPr>
          <w:rStyle w:val="FootnoteReference"/>
        </w:rPr>
        <w:footnoteReference w:id="564"/>
      </w:r>
      <w:r>
        <w:t xml:space="preserve"> Rather, it is only ‘through the agency of the Holy Spirit, and the blessing of Christ, [that] the effectiveness of the Finished Work on Man’s behalf is spiritually experienced and appropriated by them who have entered within the bonds of the Covenant of Grace.’</w:t>
      </w:r>
      <w:r>
        <w:rPr>
          <w:rStyle w:val="FootnoteReference"/>
        </w:rPr>
        <w:footnoteReference w:id="565"/>
      </w:r>
    </w:p>
    <w:p w:rsidR="00062AED" w:rsidRDefault="00062AED" w:rsidP="009370EA">
      <w:pPr>
        <w:spacing w:line="360" w:lineRule="auto"/>
        <w:jc w:val="both"/>
      </w:pPr>
      <w:r>
        <w:t>So then, Williams’ understanding of the Lord’s Supper was that by the work of the Spirit and the Word of Christ, Christ’s body and blood are eaten and drunk in the Supper with the bread and wine.</w:t>
      </w:r>
      <w:r w:rsidRPr="00AE3F53">
        <w:t xml:space="preserve"> </w:t>
      </w:r>
      <w:r>
        <w:t>Furthermore, it would appear that Williams thought of the body and blood as not only being eaten and drunk, but also distributed and received.</w:t>
      </w:r>
      <w:r>
        <w:rPr>
          <w:rStyle w:val="FootnoteReference"/>
        </w:rPr>
        <w:footnoteReference w:id="566"/>
      </w:r>
      <w:r>
        <w:t xml:space="preserve"> Hence, Williams’ doctrine of the Lord’s Supper may perhaps approximate more closely to the Lutheran doctrine than to the Calvinistic conception of the spiritual presence.</w:t>
      </w:r>
      <w:r>
        <w:rPr>
          <w:rStyle w:val="FootnoteReference"/>
        </w:rPr>
        <w:footnoteReference w:id="567"/>
      </w:r>
      <w:r>
        <w:t xml:space="preserve"> </w:t>
      </w:r>
    </w:p>
    <w:p w:rsidR="00062AED" w:rsidRDefault="00062AED" w:rsidP="009370EA">
      <w:pPr>
        <w:spacing w:line="360" w:lineRule="auto"/>
        <w:jc w:val="both"/>
      </w:pPr>
      <w:r>
        <w:t>However, Williams never openly identifies his view as Lutheran. Yet this may be due to a lack of exposure to Lutheran sources and a mischaracterisation of the Lutheran doctrine of the Supper in the Reformed sources which were available to Williams. Certainly it is unlikely that Williams had any exposure to Luther’s own Eucharistic works or the writings on the Supper of the theologians of Lutheran orthodoxy, such as Chemnitz or Gerhard.</w:t>
      </w:r>
      <w:r>
        <w:rPr>
          <w:rStyle w:val="FootnoteReference"/>
        </w:rPr>
        <w:footnoteReference w:id="568"/>
      </w:r>
      <w:r>
        <w:t xml:space="preserve"> There is no Welsh translation of Luther’s writings on the Eucharist,</w:t>
      </w:r>
      <w:r>
        <w:rPr>
          <w:rStyle w:val="FootnoteReference"/>
        </w:rPr>
        <w:footnoteReference w:id="569"/>
      </w:r>
      <w:r>
        <w:t xml:space="preserve"> and English translations would not have been readily available in </w:t>
      </w:r>
      <w:r>
        <w:lastRenderedPageBreak/>
        <w:t>Wales in the early years of the twentieth century.</w:t>
      </w:r>
      <w:r>
        <w:rPr>
          <w:rStyle w:val="FootnoteReference"/>
        </w:rPr>
        <w:footnoteReference w:id="570"/>
      </w:r>
      <w:r>
        <w:t xml:space="preserve"> Thus, Williams’ understanding of the Lutheran doctrine of the Supper would have been mediated by (anti-Lutheran) Reformed theologians. Williams certainly read Charles Hodge’s </w:t>
      </w:r>
      <w:r w:rsidRPr="00342B16">
        <w:rPr>
          <w:i/>
        </w:rPr>
        <w:t>Systematic Theology</w:t>
      </w:r>
      <w:r w:rsidR="00296F64">
        <w:rPr>
          <w:rStyle w:val="FootnoteReference"/>
          <w:i/>
        </w:rPr>
        <w:footnoteReference w:id="571"/>
      </w:r>
      <w:r>
        <w:t xml:space="preserve"> and he may also have read the work of Hodge’s son, </w:t>
      </w:r>
      <w:r w:rsidRPr="00D96ACE">
        <w:t>Archibald Alexander Hodge</w:t>
      </w:r>
      <w:r>
        <w:t>, as it was available in Welsh translation.</w:t>
      </w:r>
      <w:r>
        <w:rPr>
          <w:rStyle w:val="FootnoteReference"/>
        </w:rPr>
        <w:footnoteReference w:id="572"/>
      </w:r>
      <w:r>
        <w:t xml:space="preserve"> It is also likely that he read Cynddylan Jone</w:t>
      </w:r>
      <w:r w:rsidRPr="00D96ACE">
        <w:t>s</w:t>
      </w:r>
      <w:r>
        <w:t xml:space="preserve">’ </w:t>
      </w:r>
      <w:r w:rsidRPr="00342B16">
        <w:rPr>
          <w:i/>
        </w:rPr>
        <w:t>Cysondeb y Ffydd</w:t>
      </w:r>
      <w:r>
        <w:t xml:space="preserve"> as it was the standard Welsh language work of systematic theology of the early twentieth century and was referred to by other early Apostolic writers.</w:t>
      </w:r>
      <w:r>
        <w:rPr>
          <w:rStyle w:val="FootnoteReference"/>
        </w:rPr>
        <w:footnoteReference w:id="573"/>
      </w:r>
      <w:r>
        <w:t xml:space="preserve"> Furthermore, Williams was a friend of Ffinant Morgan, one time Moderator of the </w:t>
      </w:r>
      <w:r w:rsidR="00C76B2B">
        <w:t>Calvinistic Methodist</w:t>
      </w:r>
      <w:r>
        <w:t xml:space="preserve"> Church of Wales who was later invited to become lecturer in church history at the Apostolic Church International Bible School in Penygroes.</w:t>
      </w:r>
      <w:r>
        <w:rPr>
          <w:rStyle w:val="FootnoteReference"/>
        </w:rPr>
        <w:footnoteReference w:id="574"/>
      </w:r>
      <w:r>
        <w:t xml:space="preserve"> Williams, as editor, asked Morgan to contribute a series of articles to the </w:t>
      </w:r>
      <w:r w:rsidRPr="00642C8F">
        <w:rPr>
          <w:i/>
        </w:rPr>
        <w:t>Riches of Grace</w:t>
      </w:r>
      <w:r>
        <w:t xml:space="preserve"> on the Eucharist Controversy as part of which he (as a </w:t>
      </w:r>
      <w:r w:rsidR="00C76B2B">
        <w:t>Calvinistic Methodist</w:t>
      </w:r>
      <w:r>
        <w:t xml:space="preserve">) writes on the Lutheran view. From these sources then we get an idea of </w:t>
      </w:r>
      <w:r w:rsidR="00E23FF0">
        <w:t>Williams’</w:t>
      </w:r>
      <w:r>
        <w:t xml:space="preserve"> understanding of the Lutheran doctrine of the Supper.</w:t>
      </w:r>
    </w:p>
    <w:p w:rsidR="00062AED" w:rsidRDefault="00062AED" w:rsidP="009370EA">
      <w:pPr>
        <w:spacing w:line="360" w:lineRule="auto"/>
        <w:jc w:val="both"/>
      </w:pPr>
      <w:r w:rsidRPr="000931F1">
        <w:t xml:space="preserve">An examination of these four Reformed sources demonstrates that Williams would have received a misleading and unfavourable presentation of the teaching of Luther. Each of these sources accuses the Lutherans of teaching </w:t>
      </w:r>
      <w:r w:rsidRPr="000931F1">
        <w:rPr>
          <w:i/>
        </w:rPr>
        <w:t>consubstantiation</w:t>
      </w:r>
      <w:r w:rsidRPr="000931F1">
        <w:t xml:space="preserve"> and a </w:t>
      </w:r>
      <w:r w:rsidRPr="000931F1">
        <w:rPr>
          <w:i/>
        </w:rPr>
        <w:t>local</w:t>
      </w:r>
      <w:r w:rsidRPr="000931F1">
        <w:t xml:space="preserve"> presence, both of which were explicitly denied by Luther and his followers, and neither of which were held to by Williams.</w:t>
      </w:r>
      <w:r w:rsidRPr="000931F1">
        <w:rPr>
          <w:vertAlign w:val="superscript"/>
        </w:rPr>
        <w:footnoteReference w:id="575"/>
      </w:r>
      <w:r w:rsidRPr="000931F1">
        <w:t xml:space="preserve"> A.A. Hodge even goes as far as to call the Lutheran doctrine of the Supper: ‘heterodox/devious, repugnant and harmful,’</w:t>
      </w:r>
      <w:r w:rsidRPr="000931F1">
        <w:rPr>
          <w:vertAlign w:val="superscript"/>
        </w:rPr>
        <w:footnoteReference w:id="576"/>
      </w:r>
      <w:r w:rsidRPr="000931F1">
        <w:t xml:space="preserve"> although not quite as ‘immensely dangerous’ as transubstantiation.</w:t>
      </w:r>
      <w:r w:rsidRPr="000931F1">
        <w:rPr>
          <w:vertAlign w:val="superscript"/>
        </w:rPr>
        <w:footnoteReference w:id="577"/>
      </w:r>
      <w:r w:rsidRPr="000931F1">
        <w:t xml:space="preserve"> </w:t>
      </w:r>
      <w:r w:rsidRPr="000931F1">
        <w:lastRenderedPageBreak/>
        <w:t>Thus, on the basis of such an unreliable picture of Luther’s doctrine, it is unlikely that Williams would have recognised his own views as approaching those of the great Reformer.</w:t>
      </w:r>
    </w:p>
    <w:p w:rsidR="00062AED" w:rsidRDefault="00062AED" w:rsidP="009370EA">
      <w:pPr>
        <w:spacing w:line="360" w:lineRule="auto"/>
        <w:jc w:val="both"/>
      </w:pPr>
      <w:r w:rsidRPr="0095674A">
        <w:t xml:space="preserve">Two other aspects of Williams’ theology (in which he is closer to the Lutherans than the Calvinists) also help to support his view of a real eating of Christ’s flesh and drinking of Christ’s blood in the sacrament: his theology of the Word, and his Christology. As we shall see further below, Williams’ theology of the Word maintains that Christ is present in his word. Thus the </w:t>
      </w:r>
      <w:r>
        <w:t>W</w:t>
      </w:r>
      <w:r w:rsidRPr="0095674A">
        <w:t xml:space="preserve">ords of </w:t>
      </w:r>
      <w:r>
        <w:t>I</w:t>
      </w:r>
      <w:r w:rsidRPr="0095674A">
        <w:t>nstitution at the Supper are neither empty words nor a mere recitation of a past event, but the living Word of God which does what it says. Further, as we have noted above, Williams’ Christology was of a 5</w:t>
      </w:r>
      <w:r w:rsidRPr="0095674A">
        <w:rPr>
          <w:vertAlign w:val="superscript"/>
        </w:rPr>
        <w:t>th</w:t>
      </w:r>
      <w:r w:rsidRPr="0095674A">
        <w:t xml:space="preserve"> Council, Cyrillian variety, which would thus be closer to the Lutheran than the Reformed understanding</w:t>
      </w:r>
      <w:r>
        <w:t>. As underlying Christological differences played such an important role in the Eucharistic controversies of the Reformation, it would seem that Williams’ Christology would fit more readily with a Lutheran approach to the sacrament.</w:t>
      </w:r>
    </w:p>
    <w:p w:rsidR="00062AED" w:rsidRDefault="00062AED" w:rsidP="009370EA">
      <w:pPr>
        <w:spacing w:line="360" w:lineRule="auto"/>
        <w:jc w:val="both"/>
      </w:pPr>
      <w:r>
        <w:t>This examination of Williams’ understanding of the substantial presence of Christ in the bread and wine of the Lord’s Supper has been important, due to part of Williams’ teaching on the benefit of the sacrament and how it relates to the Body of Christ. For, when Williams writes that Christ’s true body and blood in the sacrament are our ‘</w:t>
      </w:r>
      <w:r w:rsidRPr="00FE4A67">
        <w:rPr>
          <w:iCs/>
        </w:rPr>
        <w:t>sust</w:t>
      </w:r>
      <w:r>
        <w:rPr>
          <w:iCs/>
        </w:rPr>
        <w:t>enance for the spiritual life’ and ties this to John 6:53 (‘</w:t>
      </w:r>
      <w:r w:rsidRPr="00FE4A67">
        <w:rPr>
          <w:iCs/>
        </w:rPr>
        <w:t>Unless you eat the flesh of the Son of Man and drink His</w:t>
      </w:r>
      <w:r>
        <w:rPr>
          <w:iCs/>
        </w:rPr>
        <w:t xml:space="preserve"> blood, you have no life in you</w:t>
      </w:r>
      <w:r w:rsidRPr="00FE4A67">
        <w:rPr>
          <w:iCs/>
        </w:rPr>
        <w:t>’</w:t>
      </w:r>
      <w:r>
        <w:rPr>
          <w:iCs/>
        </w:rPr>
        <w:t>), it is not an individualistic conception of life that he has in mind.</w:t>
      </w:r>
      <w:r>
        <w:rPr>
          <w:rStyle w:val="FootnoteReference"/>
          <w:iCs/>
        </w:rPr>
        <w:footnoteReference w:id="578"/>
      </w:r>
      <w:r>
        <w:rPr>
          <w:rStyle w:val="FootnoteReference"/>
          <w:iCs/>
        </w:rPr>
        <w:t xml:space="preserve"> </w:t>
      </w:r>
      <w:r>
        <w:t xml:space="preserve">Rather, in the terms of the </w:t>
      </w:r>
      <w:r w:rsidRPr="00FE4A67">
        <w:rPr>
          <w:i/>
        </w:rPr>
        <w:t>Athrawiaethau Sylfeinol</w:t>
      </w:r>
      <w:r>
        <w:t xml:space="preserve">, this life is a life which is </w:t>
      </w:r>
      <w:r w:rsidRPr="00FE4A67">
        <w:rPr>
          <w:i/>
        </w:rPr>
        <w:t>cymdeithasol</w:t>
      </w:r>
      <w:r>
        <w:t xml:space="preserve">; in the terms of </w:t>
      </w:r>
      <w:r w:rsidR="00E23FF0">
        <w:t>Williams’</w:t>
      </w:r>
      <w:r>
        <w:t xml:space="preserve"> later writings, it is the life of the Head in the Body.</w:t>
      </w:r>
    </w:p>
    <w:p w:rsidR="00062AED" w:rsidRDefault="00062AED" w:rsidP="009370EA">
      <w:pPr>
        <w:spacing w:line="360" w:lineRule="auto"/>
        <w:jc w:val="both"/>
      </w:pPr>
      <w:r>
        <w:t>For Williams, the Breaking of Bread is ‘the means of expression and participation of the New Life through His Death.’</w:t>
      </w:r>
      <w:r>
        <w:rPr>
          <w:rStyle w:val="FootnoteReference"/>
        </w:rPr>
        <w:footnoteReference w:id="579"/>
      </w:r>
      <w:r>
        <w:t xml:space="preserve"> The eternal life which has been procured for the church through the ransom of Calvary and into which the church enters through faith in Jesus, is sustained through eating his flesh and drinking his blood (which will result ultimately in the church’s resurrection at Christ’s return).</w:t>
      </w:r>
      <w:r>
        <w:rPr>
          <w:rStyle w:val="FootnoteReference"/>
        </w:rPr>
        <w:footnoteReference w:id="580"/>
      </w:r>
      <w:r>
        <w:t xml:space="preserve"> The members of the church gather together around the Lord’s Table to participate in His life by eating his body and drinking his blood in and with the bread and wine. This life of the Head is then expressed through the church which lives from his body and blood.</w:t>
      </w:r>
      <w:r>
        <w:rPr>
          <w:rStyle w:val="FootnoteReference"/>
        </w:rPr>
        <w:footnoteReference w:id="581"/>
      </w:r>
      <w:r>
        <w:t xml:space="preserve"> </w:t>
      </w:r>
      <w:r>
        <w:lastRenderedPageBreak/>
        <w:t>The ‘Blood of the Slain Lamb’ which we drink in the Cup at ‘the Holy Eucharist’ is ‘the marriage ring’ of Christ’s Bride, the Church.</w:t>
      </w:r>
      <w:r>
        <w:rPr>
          <w:rStyle w:val="FootnoteReference"/>
        </w:rPr>
        <w:footnoteReference w:id="582"/>
      </w:r>
      <w:r>
        <w:t xml:space="preserve"> Thus as the church feeds on Christ at his Table, the marriage union between the Bride and her heavenly Bridegroom, the oneness of life between the Head and his Body, comes to expression. For Williams, the church is essentially a Eucharistic fellowship.</w:t>
      </w:r>
      <w:r>
        <w:rPr>
          <w:rStyle w:val="FootnoteReference"/>
        </w:rPr>
        <w:footnoteReference w:id="583"/>
      </w:r>
      <w:r>
        <w:t xml:space="preserve"> </w:t>
      </w:r>
    </w:p>
    <w:p w:rsidR="00062AED" w:rsidRDefault="00062AED" w:rsidP="009370EA">
      <w:pPr>
        <w:spacing w:line="360" w:lineRule="auto"/>
        <w:jc w:val="both"/>
      </w:pPr>
      <w:r>
        <w:t>Williams does not hold back from closely connecting the sacrament of the Lord’s Supper with salvation. In the Supper we participate and are sustained in eternal life and those who eat Christ’s body and drink his blood in the Supper will be raised from the dead on the last day.</w:t>
      </w:r>
      <w:r>
        <w:rPr>
          <w:rStyle w:val="FootnoteReference"/>
        </w:rPr>
        <w:footnoteReference w:id="584"/>
      </w:r>
      <w:r>
        <w:t xml:space="preserve"> The unsaved are those who are ‘outside the favour of the Lord’s Table.’</w:t>
      </w:r>
      <w:r>
        <w:rPr>
          <w:rStyle w:val="FootnoteReference"/>
        </w:rPr>
        <w:footnoteReference w:id="585"/>
      </w:r>
      <w:r>
        <w:t xml:space="preserve"> This connection is so strong that Williams warns, ‘to neglect and disregard the Holy Sacrament is to disregard the very Covenant itself.’</w:t>
      </w:r>
      <w:r>
        <w:rPr>
          <w:rStyle w:val="FootnoteReference"/>
        </w:rPr>
        <w:footnoteReference w:id="586"/>
      </w:r>
      <w:r>
        <w:t xml:space="preserve"> Yet this covenant is made, not merely with individuals, but with the Bride, the Church.</w:t>
      </w:r>
      <w:r>
        <w:rPr>
          <w:rStyle w:val="FootnoteReference"/>
        </w:rPr>
        <w:footnoteReference w:id="587"/>
      </w:r>
      <w:r>
        <w:t xml:space="preserve"> To disregard the covenant would be to disregard the life which we have as part of Christ’s body, the life in which the members participate as (though not exclusively as) they eat his flesh and drink his blood. It is no wonder then that the Breaking of Bread stands at the heart of the life of the church.</w:t>
      </w:r>
    </w:p>
    <w:p w:rsidR="00062AED" w:rsidRDefault="00062AED" w:rsidP="009370EA">
      <w:pPr>
        <w:spacing w:line="360" w:lineRule="auto"/>
        <w:jc w:val="both"/>
      </w:pPr>
      <w:r>
        <w:t>For Williams, feasting on the graces which flow from the Cross at the Lord’s Table and there sharing in the ‘kiss of the Father’ is the great image of what it looks like to be saved and possess eternal life.</w:t>
      </w:r>
      <w:r>
        <w:rPr>
          <w:rStyle w:val="FootnoteReference"/>
        </w:rPr>
        <w:footnoteReference w:id="588"/>
      </w:r>
      <w:r>
        <w:t xml:space="preserve"> In his hymnody, the church sits at this table as we eat and drink in the sacrament today, and yet we long to sit at this table in the age to come.</w:t>
      </w:r>
      <w:r>
        <w:rPr>
          <w:rStyle w:val="FootnoteReference"/>
        </w:rPr>
        <w:footnoteReference w:id="589"/>
      </w:r>
      <w:r>
        <w:t xml:space="preserve"> Here at the Table, heaven and earth meet.</w:t>
      </w:r>
      <w:r>
        <w:rPr>
          <w:rStyle w:val="FootnoteReference"/>
        </w:rPr>
        <w:footnoteReference w:id="590"/>
      </w:r>
      <w:r>
        <w:t xml:space="preserve"> At this feast we are ushered by the nail-scarred hands into a new Eden.</w:t>
      </w:r>
      <w:r>
        <w:rPr>
          <w:rStyle w:val="FootnoteReference"/>
        </w:rPr>
        <w:footnoteReference w:id="591"/>
      </w:r>
      <w:r>
        <w:t xml:space="preserve"> Eden was the place of humanity sharing in the loving fellowship of the Triune God, as Adam and Eve walked with Christ in the Garden, filled with the Holy Spirit,</w:t>
      </w:r>
      <w:r>
        <w:rPr>
          <w:rStyle w:val="FootnoteReference"/>
        </w:rPr>
        <w:footnoteReference w:id="592"/>
      </w:r>
      <w:r>
        <w:t xml:space="preserve"> and at the Table we are welcomed </w:t>
      </w:r>
      <w:r>
        <w:lastRenderedPageBreak/>
        <w:t>back into this loving fellowship of the Trinity, knowing Christ as our merciful invitation, ‘loving welcome’, and substantial sustenance in this feast where we share in the ‘kiss of the Father.’</w:t>
      </w:r>
      <w:r>
        <w:rPr>
          <w:rStyle w:val="FootnoteReference"/>
        </w:rPr>
        <w:footnoteReference w:id="593"/>
      </w:r>
      <w:r>
        <w:t xml:space="preserve"> As we eat his flesh and drink his blood, Christ abides in us and we in him (John 6:56), and so through this kiss we know Christ’s Father as our Father, and thus share in the love of the Father for His Son.</w:t>
      </w:r>
      <w:r w:rsidR="00163A92">
        <w:t xml:space="preserve"> ‘There is a communion with the Three in One … when partaking of the sacramental bread and wine.’</w:t>
      </w:r>
      <w:r w:rsidR="00163A92">
        <w:rPr>
          <w:rStyle w:val="FootnoteReference"/>
        </w:rPr>
        <w:footnoteReference w:id="594"/>
      </w:r>
      <w:r>
        <w:t xml:space="preserve"> </w:t>
      </w:r>
      <w:r w:rsidRPr="00E07D39">
        <w:t>Yet such fellowship in the love of the Trinity, coming from our union with Christ, is not possible through merely a spiritual influence, but only through a partaking of the one person of the God-Man, and thus through a substantial feeding upon his body and blood. Through his incarnation, God was, ‘by the very act, raising human nature into union with Himself in the person of Jesus Christ.’</w:t>
      </w:r>
      <w:r w:rsidRPr="00E07D39">
        <w:rPr>
          <w:rStyle w:val="FootnoteReference"/>
        </w:rPr>
        <w:footnoteReference w:id="595"/>
      </w:r>
      <w:r w:rsidRPr="00E07D39">
        <w:t xml:space="preserve"> Now in the Supper we share in his humanity as we eat his body and drink his blood, thus growing in our union with him.</w:t>
      </w:r>
      <w:r w:rsidR="00163A92">
        <w:rPr>
          <w:rStyle w:val="FootnoteReference"/>
        </w:rPr>
        <w:footnoteReference w:id="596"/>
      </w:r>
      <w:r w:rsidRPr="00E07D39">
        <w:t xml:space="preserve"> In union with the Man Christ Jesus, we share in the loving fellowship of the Triune God as well-beloved sons in the well-beloved Son.</w:t>
      </w:r>
      <w:r w:rsidR="00A75247">
        <w:rPr>
          <w:rStyle w:val="FootnoteReference"/>
        </w:rPr>
        <w:footnoteReference w:id="597"/>
      </w:r>
    </w:p>
    <w:p w:rsidR="00062AED" w:rsidRDefault="00062AED" w:rsidP="009370EA">
      <w:pPr>
        <w:spacing w:line="360" w:lineRule="auto"/>
        <w:jc w:val="both"/>
      </w:pPr>
      <w:r>
        <w:t>Even more strongly, Williams writes that ‘as we commune with Him, we derive the properties of God; we drink His Blood; we eat His Flesh, and we become unchangeable as God Himself, and it is only that fellowship that can keep us steady and unmovable to walk with Him.’</w:t>
      </w:r>
      <w:r>
        <w:rPr>
          <w:rStyle w:val="FootnoteReference"/>
        </w:rPr>
        <w:footnoteReference w:id="598"/>
      </w:r>
      <w:r>
        <w:t xml:space="preserve"> In eating the flesh of Christ, we eat the flesh of God. In drinking the blood of Christ, we drink the blood of God.</w:t>
      </w:r>
      <w:r>
        <w:rPr>
          <w:rStyle w:val="FootnoteReference"/>
        </w:rPr>
        <w:footnoteReference w:id="599"/>
      </w:r>
      <w:r>
        <w:t xml:space="preserve"> Thus Williams can state that we derive the properties of God from partaking of Christ’s body and blood in the sacrament. We partake of him and so we become like him. At the Table the church experiences </w:t>
      </w:r>
      <w:r w:rsidRPr="00FE4558">
        <w:t>theosis</w:t>
      </w:r>
      <w:r>
        <w:t>.</w:t>
      </w:r>
    </w:p>
    <w:p w:rsidR="00062AED" w:rsidRPr="00036B53" w:rsidRDefault="00062AED" w:rsidP="009370EA">
      <w:pPr>
        <w:spacing w:line="360" w:lineRule="auto"/>
        <w:jc w:val="both"/>
        <w:rPr>
          <w:sz w:val="20"/>
        </w:rPr>
      </w:pPr>
      <w:r>
        <w:t xml:space="preserve">Here </w:t>
      </w:r>
      <w:r w:rsidR="00E23FF0">
        <w:t>Williams’</w:t>
      </w:r>
      <w:r>
        <w:t xml:space="preserve"> Eucharistic thought echoes that of Cyril of Alexandria. For Cyril, ‘the Eucharist is, in a special sense, the heritage through which the Incarnate Word carries out His work of restoring incorruptibility in man.’</w:t>
      </w:r>
      <w:r>
        <w:rPr>
          <w:rStyle w:val="FootnoteReference"/>
        </w:rPr>
        <w:footnoteReference w:id="600"/>
      </w:r>
      <w:r>
        <w:t xml:space="preserve"> What Williams refers to as being ‘unchangeable,’ ‘unmoveable’, and </w:t>
      </w:r>
      <w:r>
        <w:lastRenderedPageBreak/>
        <w:t>‘deriv[ing] the properties of God’, Cyril writes of in terms of ‘incorruptibility’,</w:t>
      </w:r>
      <w:r>
        <w:rPr>
          <w:rStyle w:val="FootnoteReference"/>
        </w:rPr>
        <w:footnoteReference w:id="601"/>
      </w:r>
      <w:r>
        <w:t xml:space="preserve"> ‘immortality’,</w:t>
      </w:r>
      <w:r>
        <w:rPr>
          <w:rStyle w:val="FootnoteReference"/>
        </w:rPr>
        <w:footnoteReference w:id="602"/>
      </w:r>
      <w:r>
        <w:t xml:space="preserve"> ‘abolishing all the decay that is in us,’</w:t>
      </w:r>
      <w:r>
        <w:rPr>
          <w:rStyle w:val="FootnoteReference"/>
        </w:rPr>
        <w:footnoteReference w:id="603"/>
      </w:r>
      <w:r>
        <w:t xml:space="preserve"> and having ‘his own good attribute.’</w:t>
      </w:r>
      <w:r>
        <w:rPr>
          <w:rStyle w:val="FootnoteReference"/>
        </w:rPr>
        <w:footnoteReference w:id="604"/>
      </w:r>
      <w:r>
        <w:t xml:space="preserve"> </w:t>
      </w:r>
    </w:p>
    <w:p w:rsidR="00062AED" w:rsidRDefault="00062AED" w:rsidP="009370EA">
      <w:pPr>
        <w:spacing w:line="360" w:lineRule="auto"/>
        <w:jc w:val="both"/>
      </w:pPr>
      <w:r w:rsidRPr="00496559">
        <w:t xml:space="preserve">Perhaps surprisingly then, we see the Eucharistic thought of an early twentieth century, Welsh Pentecostal sharing significant features with, not only Luther, but also with </w:t>
      </w:r>
      <w:r w:rsidR="00496559" w:rsidRPr="00496559">
        <w:t xml:space="preserve">so </w:t>
      </w:r>
      <w:r w:rsidRPr="00496559">
        <w:t xml:space="preserve">significant </w:t>
      </w:r>
      <w:r w:rsidR="00496559" w:rsidRPr="00496559">
        <w:t xml:space="preserve">a </w:t>
      </w:r>
      <w:r w:rsidRPr="00496559">
        <w:t>patristic figures as Cyril of Alexandria.</w:t>
      </w:r>
    </w:p>
    <w:p w:rsidR="00062AED" w:rsidRDefault="00062AED" w:rsidP="009370EA">
      <w:pPr>
        <w:spacing w:line="360" w:lineRule="auto"/>
        <w:jc w:val="both"/>
      </w:pPr>
      <w:r>
        <w:t xml:space="preserve">Thus the church is the body of the Crucified Christ. The church shares in his sufferings and experiences his life and glory only through being conformed to his death as the </w:t>
      </w:r>
      <w:r w:rsidRPr="00D102B8">
        <w:rPr>
          <w:i/>
        </w:rPr>
        <w:t>ecclesia crucis</w:t>
      </w:r>
      <w:r>
        <w:t>, and the church partakes of the life of her crucified head as she feeds upon his body and blood in the sacrament of the breaking of bread. It is only through the ‘sacrificial Death and the shedding of His Blood’ of the Head to whom she is united that the church can know the cure for her ‘corruption and disease’ and ‘be liberated from sin and death, actually partaking of a new, sinless nature unto a new, deathless life.’</w:t>
      </w:r>
      <w:r>
        <w:rPr>
          <w:rStyle w:val="FootnoteReference"/>
        </w:rPr>
        <w:footnoteReference w:id="605"/>
      </w:r>
    </w:p>
    <w:p w:rsidR="00062AED" w:rsidRDefault="00062AED" w:rsidP="009370EA">
      <w:pPr>
        <w:spacing w:line="360" w:lineRule="auto"/>
        <w:jc w:val="both"/>
      </w:pPr>
    </w:p>
    <w:p w:rsidR="00062AED" w:rsidRPr="00436916" w:rsidRDefault="00062AED" w:rsidP="009370EA">
      <w:pPr>
        <w:pStyle w:val="PhDSubheading"/>
        <w:spacing w:line="360" w:lineRule="auto"/>
      </w:pPr>
      <w:r>
        <w:t xml:space="preserve">4.2.2 </w:t>
      </w:r>
      <w:r w:rsidRPr="00436916">
        <w:t xml:space="preserve">The Church as the Body of the </w:t>
      </w:r>
      <w:r>
        <w:t>Risen</w:t>
      </w:r>
      <w:r w:rsidRPr="00436916">
        <w:t xml:space="preserve"> Christ</w:t>
      </w:r>
    </w:p>
    <w:p w:rsidR="00062AED" w:rsidRDefault="00062AED" w:rsidP="009370EA">
      <w:pPr>
        <w:spacing w:line="360" w:lineRule="auto"/>
        <w:jc w:val="both"/>
      </w:pPr>
      <w:r>
        <w:t>As the body of the Risen Christ, the church is filled with his resurrection life, for:</w:t>
      </w:r>
    </w:p>
    <w:p w:rsidR="00062AED" w:rsidRPr="007067CD" w:rsidRDefault="00062AED" w:rsidP="009370EA">
      <w:pPr>
        <w:spacing w:line="360" w:lineRule="auto"/>
        <w:ind w:left="720" w:right="720"/>
        <w:jc w:val="both"/>
        <w:rPr>
          <w:sz w:val="20"/>
        </w:rPr>
      </w:pPr>
      <w:r w:rsidRPr="007067CD">
        <w:rPr>
          <w:sz w:val="20"/>
        </w:rPr>
        <w:t>The Church cannot be made; it must be ‘born’, and by the energy of the resurrected Life working within a Body of People. The Church is the product of the Life of God, and that Life (according to its own principles) working itself out in Divine order … Every member is an expression of the risen Life of the Lord, under the control of Christ as the Head, holding the Head from which all the Body by joints and bands, having nourishment ministered, and knit together, increaseth with the increase of God (Col. 2:19). This is according to the abilities and spiritual capacities of each member, who are fully prepared for the Head to rule.</w:t>
      </w:r>
      <w:r w:rsidRPr="007067CD">
        <w:rPr>
          <w:rStyle w:val="FootnoteReference"/>
          <w:sz w:val="20"/>
        </w:rPr>
        <w:footnoteReference w:id="606"/>
      </w:r>
    </w:p>
    <w:p w:rsidR="00062AED" w:rsidRDefault="00062AED" w:rsidP="009370EA">
      <w:pPr>
        <w:spacing w:line="360" w:lineRule="auto"/>
        <w:jc w:val="both"/>
      </w:pPr>
      <w:r>
        <w:t>Thus the life of the church is not her own, but the life of the Risen Head, the resurrection life of Christ which flows from the Head to the body. As a result, the members of the body, through their various gifts and ministries, express ‘the indwelling life manifesting Christ.’</w:t>
      </w:r>
      <w:r>
        <w:rPr>
          <w:rStyle w:val="FootnoteReference"/>
        </w:rPr>
        <w:footnoteReference w:id="607"/>
      </w:r>
      <w:r>
        <w:t xml:space="preserve"> It is for this </w:t>
      </w:r>
      <w:r>
        <w:lastRenderedPageBreak/>
        <w:t>reason that the church is Christ’s body: not merely because the body belongs to him, but because the life of the body is Christ’s own resurrection life. Hence the body can even be called ‘Christ’ (1 Corinthians 12:12), because ‘He is one with the members.’</w:t>
      </w:r>
      <w:r>
        <w:rPr>
          <w:rStyle w:val="FootnoteReference"/>
        </w:rPr>
        <w:footnoteReference w:id="608"/>
      </w:r>
      <w:r>
        <w:t xml:space="preserve"> Thus Williams’ theology of the body of Christ and the Headship of Christ in the body is in fact a theology of the </w:t>
      </w:r>
      <w:r w:rsidRPr="00D166A2">
        <w:rPr>
          <w:i/>
        </w:rPr>
        <w:t>Totus Christus</w:t>
      </w:r>
      <w:r>
        <w:t>.</w:t>
      </w:r>
    </w:p>
    <w:p w:rsidR="00062AED" w:rsidRDefault="00062AED" w:rsidP="009370EA">
      <w:pPr>
        <w:spacing w:line="360" w:lineRule="auto"/>
        <w:jc w:val="both"/>
      </w:pPr>
      <w:r>
        <w:t>As the church abides in Christ, filled with his own resurrection life, the Head not only gives new life to his members, but in doing so transforms their manner of life.</w:t>
      </w:r>
      <w:r>
        <w:rPr>
          <w:rStyle w:val="FootnoteReference"/>
        </w:rPr>
        <w:footnoteReference w:id="609"/>
      </w:r>
      <w:r>
        <w:t xml:space="preserve"> Thus the church is sanctified through the inflowing of the resurrection life of the Head. Christ conforms his body to his image through its union with him. Christ conforms his church to his image through the inflowing of his resurrection life.</w:t>
      </w:r>
    </w:p>
    <w:p w:rsidR="00062AED" w:rsidRDefault="00062AED" w:rsidP="009370EA">
      <w:pPr>
        <w:spacing w:line="360" w:lineRule="auto"/>
        <w:jc w:val="both"/>
      </w:pPr>
      <w:r>
        <w:t>This inflowing of the resurrection life of the Head to the body is another way of saying that ‘Christ comes to dwell in a Body’, and as a result, ‘this Body which is Christ’s Body is not a collection of human beings having their own opinions and views,’ but rather, in this Body, the indwelling Christ manifests ‘Himself in His Purpose and in His Fulness, in every manifestation of the Holy Spirit.’</w:t>
      </w:r>
      <w:r>
        <w:rPr>
          <w:rStyle w:val="FootnoteReference"/>
        </w:rPr>
        <w:footnoteReference w:id="610"/>
      </w:r>
      <w:r>
        <w:t xml:space="preserve"> As such:</w:t>
      </w:r>
    </w:p>
    <w:p w:rsidR="00062AED" w:rsidRPr="00017D9F" w:rsidRDefault="00062AED" w:rsidP="009370EA">
      <w:pPr>
        <w:spacing w:line="360" w:lineRule="auto"/>
        <w:ind w:left="720" w:right="720"/>
        <w:jc w:val="both"/>
        <w:rPr>
          <w:sz w:val="20"/>
        </w:rPr>
      </w:pPr>
      <w:r w:rsidRPr="00017D9F">
        <w:rPr>
          <w:sz w:val="20"/>
        </w:rPr>
        <w:t>Every individual member must be a life-centre himself, constantly deriving life as he depends upon his vital fellowship with Christ … The Life is not inherent, but derived as we depend upon our union with Christ … The Body of Christ as a Spiritual Organism is not a gathering of individuals, merely, but every individual possesses Eternal Life in oneness and mystical union organized into a corporate unity.</w:t>
      </w:r>
      <w:r w:rsidRPr="00017D9F">
        <w:rPr>
          <w:rStyle w:val="FootnoteReference"/>
          <w:sz w:val="20"/>
        </w:rPr>
        <w:footnoteReference w:id="611"/>
      </w:r>
    </w:p>
    <w:p w:rsidR="00062AED" w:rsidRDefault="00062AED" w:rsidP="009370EA">
      <w:pPr>
        <w:spacing w:line="360" w:lineRule="auto"/>
        <w:jc w:val="both"/>
      </w:pPr>
      <w:r>
        <w:t xml:space="preserve">As we have seen, the body is not only filled with Christ’s resurrection life, but </w:t>
      </w:r>
      <w:r w:rsidR="00C533A4">
        <w:t>‘</w:t>
      </w:r>
      <w:r>
        <w:t>born</w:t>
      </w:r>
      <w:r w:rsidR="00C533A4">
        <w:t>’</w:t>
      </w:r>
      <w:r>
        <w:t xml:space="preserve"> of it.</w:t>
      </w:r>
      <w:r>
        <w:rPr>
          <w:rStyle w:val="FootnoteReference"/>
        </w:rPr>
        <w:footnoteReference w:id="612"/>
      </w:r>
      <w:r>
        <w:t xml:space="preserve"> Thus, ‘the Body is formed by the very Life itself.’</w:t>
      </w:r>
      <w:r>
        <w:rPr>
          <w:rStyle w:val="FootnoteReference"/>
        </w:rPr>
        <w:footnoteReference w:id="613"/>
      </w:r>
      <w:r>
        <w:t xml:space="preserve"> As a result, ‘its functions are not fixed from outside by human selection, but the Life in the Body selects the functions of expression … that the unlimited Will and Purpose of God may reach its goal in the Body to the full.’</w:t>
      </w:r>
      <w:r>
        <w:rPr>
          <w:rStyle w:val="FootnoteReference"/>
        </w:rPr>
        <w:footnoteReference w:id="614"/>
      </w:r>
      <w:r>
        <w:t xml:space="preserve"> This is the Headship of Christ in operation: the Head gives his own life to the members and forms them by that life into his body, setting them each in their place as he chooses so that he may express his life through them in the gifts and ministries he gives. Hence, the church finds its sufficiency, not in herself or her ministers, but only in the risen life of Christ:</w:t>
      </w:r>
    </w:p>
    <w:p w:rsidR="00062AED" w:rsidRPr="00EA3002" w:rsidRDefault="00062AED" w:rsidP="009370EA">
      <w:pPr>
        <w:spacing w:line="360" w:lineRule="auto"/>
        <w:ind w:left="720" w:right="720"/>
        <w:jc w:val="both"/>
        <w:rPr>
          <w:sz w:val="20"/>
        </w:rPr>
      </w:pPr>
      <w:r w:rsidRPr="00EA3002">
        <w:rPr>
          <w:sz w:val="20"/>
        </w:rPr>
        <w:lastRenderedPageBreak/>
        <w:t>Christ’s sufficiency is to be incorporated in His Body; every joint must be supplied, every member must be compacted, brought and knitted together, according to the power that is working in every part. ([Eph. 4] v.16). The measure of life and grace is derivable from the Head, to the end that the Body may grow unto perfection, with no leakage, no division, so that the Body may be a vessel containing the excellences of the knowledge and love of God. That is the goal to reach.</w:t>
      </w:r>
      <w:r w:rsidRPr="00EA3002">
        <w:rPr>
          <w:rStyle w:val="FootnoteReference"/>
          <w:sz w:val="20"/>
        </w:rPr>
        <w:footnoteReference w:id="615"/>
      </w:r>
    </w:p>
    <w:p w:rsidR="00062AED" w:rsidRDefault="00062AED" w:rsidP="009370EA">
      <w:pPr>
        <w:spacing w:line="360" w:lineRule="auto"/>
        <w:jc w:val="both"/>
      </w:pPr>
      <w:r>
        <w:t>Through this filling of the church with Christ in his risen life, ‘the riches of the Godhead in Him are at [the church’s] disposal,’</w:t>
      </w:r>
      <w:r>
        <w:rPr>
          <w:rStyle w:val="FootnoteReference"/>
        </w:rPr>
        <w:footnoteReference w:id="616"/>
      </w:r>
      <w:r>
        <w:t xml:space="preserve"> but this means that ‘all the members must realize that they are dependent on Him, the Head, deriving their life as they abide in Him.’</w:t>
      </w:r>
      <w:r>
        <w:rPr>
          <w:rStyle w:val="FootnoteReference"/>
        </w:rPr>
        <w:footnoteReference w:id="617"/>
      </w:r>
      <w:r>
        <w:t xml:space="preserve"> This leads the church to be a church of prayer and fellowship with the risen Head, for it is in this way that the church recognises that its sufficiency is found only in Christ, and is thus guarded in his abiding life and kept ‘pure from the poison of the dragon.’</w:t>
      </w:r>
      <w:r>
        <w:rPr>
          <w:rStyle w:val="FootnoteReference"/>
        </w:rPr>
        <w:footnoteReference w:id="618"/>
      </w:r>
    </w:p>
    <w:p w:rsidR="00062AED" w:rsidRDefault="00062AED" w:rsidP="009370EA">
      <w:pPr>
        <w:spacing w:line="360" w:lineRule="auto"/>
        <w:jc w:val="both"/>
      </w:pPr>
      <w:r>
        <w:t>As the church is formed by and filled with the risen life of Christ, this not only results in life-sustaining ministry within the church, but also leads the church outwards in mission:</w:t>
      </w:r>
    </w:p>
    <w:p w:rsidR="00062AED" w:rsidRPr="00464D84" w:rsidRDefault="00062AED" w:rsidP="009370EA">
      <w:pPr>
        <w:spacing w:line="360" w:lineRule="auto"/>
        <w:ind w:left="720" w:right="720"/>
        <w:jc w:val="both"/>
        <w:rPr>
          <w:sz w:val="20"/>
        </w:rPr>
      </w:pPr>
      <w:r w:rsidRPr="00464D84">
        <w:rPr>
          <w:sz w:val="20"/>
        </w:rPr>
        <w:t>When the gift of Life Eternal has been imparted, it is not only provided with ample provision to sustain others, and to establish the members of the Body of Christ, but it goes out with passion for the increase of the added members. Life is productive, and that Life imparts the gifts and empowers them all with the grace needed to do the work allotted to ever</w:t>
      </w:r>
      <w:r>
        <w:rPr>
          <w:sz w:val="20"/>
        </w:rPr>
        <w:t>y</w:t>
      </w:r>
      <w:r w:rsidRPr="00464D84">
        <w:rPr>
          <w:sz w:val="20"/>
        </w:rPr>
        <w:t xml:space="preserve"> one of them … In the realm of the Body of Christ there is no limit to the power of the life that continually goes out in action and service towards others.</w:t>
      </w:r>
      <w:r w:rsidRPr="00464D84">
        <w:rPr>
          <w:rStyle w:val="FootnoteReference"/>
          <w:sz w:val="20"/>
        </w:rPr>
        <w:footnoteReference w:id="619"/>
      </w:r>
    </w:p>
    <w:p w:rsidR="00062AED" w:rsidRDefault="00062AED" w:rsidP="009370EA">
      <w:pPr>
        <w:spacing w:line="360" w:lineRule="auto"/>
        <w:jc w:val="both"/>
      </w:pPr>
      <w:r>
        <w:t>Whether for ministry to the body or mission in the world, every member depends on union with the risen Christ for life and service. ‘The upkeep of every gift must be kept by a continual stream of life in union with the risen Lord, before the least member in the Body can be sustained by our service. Our supply to others depends, therefore, on our connection with the Source (Christ).’</w:t>
      </w:r>
      <w:r>
        <w:rPr>
          <w:rStyle w:val="FootnoteReference"/>
        </w:rPr>
        <w:footnoteReference w:id="620"/>
      </w:r>
    </w:p>
    <w:p w:rsidR="00062AED" w:rsidRDefault="00062AED" w:rsidP="009370EA">
      <w:pPr>
        <w:spacing w:line="360" w:lineRule="auto"/>
        <w:jc w:val="both"/>
      </w:pPr>
      <w:r>
        <w:t xml:space="preserve">This indwelling of the life of the risen Head in the body also has an impact on the government of the church. When ‘the superabundance of the life of Christ’ dwells in the Body, this risen life of the Head is also ‘ruling the Body collectively – God’s order, rule, unity, love, truth, power, dynamic and jurisdiction reigning in Life’ and thus it is ‘Christ as the Head [who] govern[s] every </w:t>
      </w:r>
      <w:r>
        <w:lastRenderedPageBreak/>
        <w:t>member in Divine harmony.’</w:t>
      </w:r>
      <w:r>
        <w:rPr>
          <w:rStyle w:val="FootnoteReference"/>
        </w:rPr>
        <w:footnoteReference w:id="621"/>
      </w:r>
      <w:r>
        <w:t xml:space="preserve"> Thus, for Williams, this means that the church must be ‘Theocratic and not democratic.’</w:t>
      </w:r>
      <w:r>
        <w:rPr>
          <w:rStyle w:val="FootnoteReference"/>
        </w:rPr>
        <w:footnoteReference w:id="622"/>
      </w:r>
      <w:r>
        <w:t xml:space="preserve"> In church government, what should be seen is ‘truly the dynamic rule of the Trinity in the Body.’</w:t>
      </w:r>
      <w:r>
        <w:rPr>
          <w:rStyle w:val="FootnoteReference"/>
        </w:rPr>
        <w:footnoteReference w:id="623"/>
      </w:r>
    </w:p>
    <w:p w:rsidR="00062AED" w:rsidRDefault="00062AED" w:rsidP="009370EA">
      <w:pPr>
        <w:spacing w:line="360" w:lineRule="auto"/>
        <w:jc w:val="both"/>
      </w:pPr>
      <w:r>
        <w:t>Whether in church government, inward ministry or outward mission, the life of the risen Christ in the church is not only an empowerment or enabling, but the expression of Christ himself as Head in the Body. The risen Christ does not only give his life, but Himself, ‘with all His properties’ to the church.</w:t>
      </w:r>
      <w:r>
        <w:rPr>
          <w:rStyle w:val="FootnoteReference"/>
        </w:rPr>
        <w:footnoteReference w:id="624"/>
      </w:r>
      <w:r>
        <w:t xml:space="preserve"> The church then, as his Body, expresses Christ the Head, or rather, more precisely, Christ the Head expresses himself in the Church, the </w:t>
      </w:r>
      <w:r w:rsidRPr="00E07D08">
        <w:rPr>
          <w:i/>
        </w:rPr>
        <w:t>Totus Christus</w:t>
      </w:r>
      <w:r>
        <w:t>. ‘It is as Christ has been allowed to form Himself in the individual saint, and corporately in His Body, that He can express Himself.’</w:t>
      </w:r>
      <w:r>
        <w:rPr>
          <w:rStyle w:val="FootnoteReference"/>
        </w:rPr>
        <w:footnoteReference w:id="625"/>
      </w:r>
    </w:p>
    <w:p w:rsidR="00062AED" w:rsidRDefault="00062AED" w:rsidP="009370EA">
      <w:pPr>
        <w:spacing w:line="360" w:lineRule="auto"/>
        <w:jc w:val="both"/>
      </w:pPr>
    </w:p>
    <w:p w:rsidR="00062AED" w:rsidRPr="00436916" w:rsidRDefault="00062AED" w:rsidP="009370EA">
      <w:pPr>
        <w:pStyle w:val="PhDSubheading"/>
        <w:spacing w:line="360" w:lineRule="auto"/>
      </w:pPr>
      <w:r>
        <w:t xml:space="preserve">4.2.3 </w:t>
      </w:r>
      <w:r w:rsidRPr="00436916">
        <w:t xml:space="preserve">The Church as the Body of the </w:t>
      </w:r>
      <w:r>
        <w:t>Ascended</w:t>
      </w:r>
      <w:r w:rsidRPr="00436916">
        <w:t xml:space="preserve"> Christ</w:t>
      </w:r>
    </w:p>
    <w:p w:rsidR="00062AED" w:rsidRDefault="00062AED" w:rsidP="009370EA">
      <w:pPr>
        <w:spacing w:line="360" w:lineRule="auto"/>
        <w:jc w:val="both"/>
      </w:pPr>
      <w:r>
        <w:t>The Ascension of Christ played a powerful role in the theology of Williams and the early Apostolics. In fact, for these early British Pentecostals, it could be argued that the Ascension was of even greater significance than Pentecost. Rather than focusing on the Spirit’s coming to the church on the day of Pentecost, Williams and his peers preferred to give attention to Christ’s sending of the Spirit as a result of his Ascension. ‘Jesus has ascended the Throne; He is in Heaven, but He has sent His Holy Spirit down to exercise His Lordship among us.’</w:t>
      </w:r>
      <w:r>
        <w:rPr>
          <w:rStyle w:val="FootnoteReference"/>
        </w:rPr>
        <w:footnoteReference w:id="626"/>
      </w:r>
      <w:r>
        <w:t xml:space="preserve"> The ordained ministry was also strongly associated with the ascension of Christ. The five-fold ministry of apostles, prophets, evangelists, pastors and teachers</w:t>
      </w:r>
      <w:r>
        <w:rPr>
          <w:rStyle w:val="FootnoteReference"/>
        </w:rPr>
        <w:footnoteReference w:id="627"/>
      </w:r>
      <w:r>
        <w:t xml:space="preserve"> were, for Williams (and all the early Apostolics), ‘gifts of the Ascended Lord.’</w:t>
      </w:r>
      <w:r>
        <w:rPr>
          <w:rStyle w:val="FootnoteReference"/>
        </w:rPr>
        <w:footnoteReference w:id="628"/>
      </w:r>
      <w:r>
        <w:t xml:space="preserve"> Thus, in considering Williams’ conception of the church as the Body of the Ascended Christ, we will turn our attention to these two themes of the outpouring of the Spirit upon the church and the ordained ministry.</w:t>
      </w:r>
    </w:p>
    <w:p w:rsidR="00062AED" w:rsidRDefault="00062AED" w:rsidP="009370EA">
      <w:pPr>
        <w:spacing w:line="360" w:lineRule="auto"/>
        <w:jc w:val="both"/>
      </w:pPr>
    </w:p>
    <w:p w:rsidR="00965AC8" w:rsidRDefault="00965AC8" w:rsidP="009370EA">
      <w:pPr>
        <w:spacing w:line="360" w:lineRule="auto"/>
        <w:jc w:val="both"/>
      </w:pPr>
    </w:p>
    <w:p w:rsidR="00062AED" w:rsidRDefault="00062AED" w:rsidP="009370EA">
      <w:pPr>
        <w:pStyle w:val="PhDSubheading"/>
        <w:spacing w:line="360" w:lineRule="auto"/>
      </w:pPr>
      <w:r>
        <w:lastRenderedPageBreak/>
        <w:t xml:space="preserve">4.2.3.1 </w:t>
      </w:r>
      <w:r w:rsidRPr="00841C2F">
        <w:t>The Spirit Outpoured upon the Body</w:t>
      </w:r>
      <w:r>
        <w:t xml:space="preserve">. </w:t>
      </w:r>
    </w:p>
    <w:p w:rsidR="00062AED" w:rsidRDefault="00062AED" w:rsidP="009370EA">
      <w:pPr>
        <w:spacing w:line="360" w:lineRule="auto"/>
        <w:jc w:val="both"/>
      </w:pPr>
      <w:r>
        <w:t>We have already seen in our consideration of BHS and the ecclesial fullness, above, that the Pentecostal outpouring played a significant ecclesiological role in Williams’ thought. In his consideration, the formation of the Body of Christ ‘started with the Outpouring of the Holy Spirit on the day of Pentecost.’</w:t>
      </w:r>
      <w:r>
        <w:rPr>
          <w:rStyle w:val="FootnoteReference"/>
        </w:rPr>
        <w:footnoteReference w:id="629"/>
      </w:r>
      <w:r>
        <w:t xml:space="preserve"> It was ‘the outpouring of the Holy Spirit in Jerusalem [that was] intended to unite the separate disciples (as so many grains) into one organism (one loaf).’</w:t>
      </w:r>
      <w:r>
        <w:rPr>
          <w:rStyle w:val="FootnoteReference"/>
        </w:rPr>
        <w:footnoteReference w:id="630"/>
      </w:r>
      <w:r>
        <w:t xml:space="preserve"> Therefore, Williams saw it as ‘the work of the Holy Spirit to unite every member of the Body, and to temper the Body.’</w:t>
      </w:r>
      <w:r>
        <w:rPr>
          <w:rStyle w:val="FootnoteReference"/>
        </w:rPr>
        <w:footnoteReference w:id="631"/>
      </w:r>
      <w:r>
        <w:t xml:space="preserve"> Thus through the Holy Spirit’s presence in the church, ‘the life of Christ brings this oneness of relationship.’</w:t>
      </w:r>
      <w:r>
        <w:rPr>
          <w:rStyle w:val="FootnoteReference"/>
        </w:rPr>
        <w:footnoteReference w:id="632"/>
      </w:r>
    </w:p>
    <w:p w:rsidR="00062AED" w:rsidRDefault="00062AED" w:rsidP="009370EA">
      <w:pPr>
        <w:spacing w:line="360" w:lineRule="auto"/>
        <w:jc w:val="both"/>
      </w:pPr>
      <w:r>
        <w:t>Williams continues to link this unifying work of the Spirit in the church closely to BHS. Drawing on Luke 24:49 and Acts 1:8, he argues that:</w:t>
      </w:r>
    </w:p>
    <w:p w:rsidR="00062AED" w:rsidRPr="00781A61" w:rsidRDefault="00062AED" w:rsidP="009370EA">
      <w:pPr>
        <w:spacing w:line="360" w:lineRule="auto"/>
        <w:ind w:left="720" w:right="720"/>
        <w:jc w:val="both"/>
        <w:rPr>
          <w:sz w:val="20"/>
        </w:rPr>
      </w:pPr>
      <w:r w:rsidRPr="00781A61">
        <w:rPr>
          <w:sz w:val="20"/>
        </w:rPr>
        <w:t>the Lord has ordained that his Church should run by Divine dynamic. It will not operate by the power of nature, by the devices of man, nor by any cult, but as the members of the Body submit themselves to the dynamic of the Holy Ghost. God is the only Originator, Designer and Sustainer of the Church.</w:t>
      </w:r>
      <w:r w:rsidRPr="00781A61">
        <w:rPr>
          <w:rStyle w:val="FootnoteReference"/>
          <w:sz w:val="20"/>
        </w:rPr>
        <w:footnoteReference w:id="633"/>
      </w:r>
    </w:p>
    <w:p w:rsidR="00062AED" w:rsidRDefault="00062AED" w:rsidP="009370EA">
      <w:pPr>
        <w:spacing w:line="360" w:lineRule="auto"/>
        <w:jc w:val="both"/>
      </w:pPr>
      <w:r>
        <w:t>He then continues by arguing that the promise of Luke 24:49 and Acts 1:8 is ‘the Divine energy, force and dynamic’ required for the life of the church.</w:t>
      </w:r>
      <w:r>
        <w:rPr>
          <w:rStyle w:val="FootnoteReference"/>
        </w:rPr>
        <w:footnoteReference w:id="634"/>
      </w:r>
      <w:r>
        <w:t xml:space="preserve"> Thus, ‘the Life that is in the Church is an endowment of the Pentecostal life force, and God’s Energy.’</w:t>
      </w:r>
      <w:r>
        <w:rPr>
          <w:rStyle w:val="FootnoteReference"/>
        </w:rPr>
        <w:footnoteReference w:id="635"/>
      </w:r>
      <w:r>
        <w:t xml:space="preserve"> Williams goes so far as to declare that ‘there is no Church if this promise is not fulfilled.’</w:t>
      </w:r>
      <w:r>
        <w:rPr>
          <w:rStyle w:val="FootnoteReference"/>
        </w:rPr>
        <w:footnoteReference w:id="636"/>
      </w:r>
      <w:r>
        <w:t xml:space="preserve"> </w:t>
      </w:r>
    </w:p>
    <w:p w:rsidR="00062AED" w:rsidRDefault="00062AED" w:rsidP="009370EA">
      <w:pPr>
        <w:spacing w:line="360" w:lineRule="auto"/>
        <w:jc w:val="both"/>
      </w:pPr>
      <w:r>
        <w:t>In the Pentecostal outpouring:</w:t>
      </w:r>
    </w:p>
    <w:p w:rsidR="00062AED" w:rsidRPr="00523217" w:rsidRDefault="00062AED" w:rsidP="009370EA">
      <w:pPr>
        <w:spacing w:line="360" w:lineRule="auto"/>
        <w:ind w:left="720" w:right="720"/>
        <w:jc w:val="both"/>
        <w:rPr>
          <w:sz w:val="20"/>
        </w:rPr>
      </w:pPr>
      <w:r w:rsidRPr="00523217">
        <w:rPr>
          <w:sz w:val="20"/>
        </w:rPr>
        <w:t>The Holy Spirit has been given for a specific purpose, and the purpose in God’s great design is that He should form the Body of Christ in perfect unity in its formation, that the Wisdom, Love, Glory and Fellowship of God may be demonstrated in the Church.</w:t>
      </w:r>
      <w:r w:rsidRPr="00523217">
        <w:rPr>
          <w:rStyle w:val="FootnoteReference"/>
          <w:sz w:val="20"/>
        </w:rPr>
        <w:footnoteReference w:id="637"/>
      </w:r>
    </w:p>
    <w:p w:rsidR="00062AED" w:rsidRDefault="00062AED" w:rsidP="009370EA">
      <w:pPr>
        <w:spacing w:line="360" w:lineRule="auto"/>
        <w:jc w:val="both"/>
      </w:pPr>
      <w:r>
        <w:lastRenderedPageBreak/>
        <w:t>The Spirit’s role in the Body then is not only to create unity, but also ‘to manifest the Lordship of Christ.’</w:t>
      </w:r>
      <w:r>
        <w:rPr>
          <w:rStyle w:val="FootnoteReference"/>
        </w:rPr>
        <w:footnoteReference w:id="638"/>
      </w:r>
      <w:r>
        <w:t xml:space="preserve"> In fact, these are not two separate roles of the Spirit in the church, for it is only through filling the body with Christ the Head that the Spirit truly brings about the unity of the Body. Thus Williams sees the sacrament of baptism as the ‘seal of the life in [Christ], the ultimate ground of our union.’</w:t>
      </w:r>
      <w:r>
        <w:rPr>
          <w:rStyle w:val="FootnoteReference"/>
        </w:rPr>
        <w:footnoteReference w:id="639"/>
      </w:r>
      <w:r>
        <w:t xml:space="preserve"> It is sharing in the life of Christ through the Spirit which effects the unity of the church. </w:t>
      </w:r>
    </w:p>
    <w:p w:rsidR="00062AED" w:rsidRPr="00932E39" w:rsidRDefault="00062AED" w:rsidP="009370EA">
      <w:pPr>
        <w:spacing w:line="360" w:lineRule="auto"/>
        <w:ind w:left="720" w:right="720"/>
        <w:jc w:val="both"/>
        <w:rPr>
          <w:sz w:val="20"/>
        </w:rPr>
      </w:pPr>
      <w:r w:rsidRPr="00932E39">
        <w:rPr>
          <w:sz w:val="20"/>
        </w:rPr>
        <w:t>There is sufficient substance in Christ, the Second Person in the Trinity, for the Holy Ghost, the Third Person in the Trinity, to take from and reveal to us without ever exhausting His unfathomable Riches … There is no other person to be found that can enter into the Eternity of His Person, only He, the Holy Ghost, who searches the deep things of God. God knoweth the mind of the Spirit. God has placed everything in Christ, and the Holy Ghost is in Christ revealing the Godhead, the Triune God in Unity in the Body of Ch</w:t>
      </w:r>
      <w:r>
        <w:rPr>
          <w:sz w:val="20"/>
        </w:rPr>
        <w:t>ri</w:t>
      </w:r>
      <w:r w:rsidRPr="00932E39">
        <w:rPr>
          <w:sz w:val="20"/>
        </w:rPr>
        <w:t>st.</w:t>
      </w:r>
      <w:r w:rsidRPr="00932E39">
        <w:rPr>
          <w:rStyle w:val="FootnoteReference"/>
          <w:sz w:val="20"/>
        </w:rPr>
        <w:footnoteReference w:id="640"/>
      </w:r>
      <w:r w:rsidRPr="00932E39">
        <w:rPr>
          <w:sz w:val="20"/>
        </w:rPr>
        <w:t xml:space="preserve"> </w:t>
      </w:r>
    </w:p>
    <w:p w:rsidR="00062AED" w:rsidRDefault="00062AED" w:rsidP="009370EA">
      <w:pPr>
        <w:spacing w:line="360" w:lineRule="auto"/>
        <w:jc w:val="both"/>
      </w:pPr>
      <w:r>
        <w:t>For Williams, then, this is a Trinitarian work and thus a Trinitarian unity in the church. ‘We have our oneness with the Trinity.’</w:t>
      </w:r>
      <w:r>
        <w:rPr>
          <w:rStyle w:val="FootnoteReference"/>
        </w:rPr>
        <w:footnoteReference w:id="641"/>
      </w:r>
      <w:r>
        <w:t xml:space="preserve"> This is essential to Williams’ Trinitarian approach to ecclesiology, for ‘they are not Three Persons independently of each other, but Three Persons depending on each other.’</w:t>
      </w:r>
      <w:r>
        <w:rPr>
          <w:rStyle w:val="FootnoteReference"/>
        </w:rPr>
        <w:footnoteReference w:id="642"/>
      </w:r>
      <w:r>
        <w:t xml:space="preserve"> This Trinitarian unity of the church is manifested in that the church is one through the filling of the Spirit, one in her union with Christ as Head of the Body, and ‘one in communion with the Fatherhood of God.’</w:t>
      </w:r>
      <w:r>
        <w:rPr>
          <w:rStyle w:val="FootnoteReference"/>
        </w:rPr>
        <w:footnoteReference w:id="643"/>
      </w:r>
      <w:r>
        <w:t xml:space="preserve"> This, for Williams, is ‘the ultimate purpose of the work of the Trinity in the Redemptive Plan’: to bring the church (‘His Elect’) back into this harmonious communion with the Trinity.</w:t>
      </w:r>
      <w:r>
        <w:rPr>
          <w:rStyle w:val="FootnoteReference"/>
        </w:rPr>
        <w:footnoteReference w:id="644"/>
      </w:r>
    </w:p>
    <w:p w:rsidR="00062AED" w:rsidRDefault="00062AED" w:rsidP="009370EA">
      <w:pPr>
        <w:spacing w:line="360" w:lineRule="auto"/>
        <w:jc w:val="both"/>
      </w:pPr>
      <w:r>
        <w:t>As we have seen above, the precise role of BHS in the formation of the Body of Christ has been a tricky issue in Apostolic thought. While there appears to be near consensus that the outpouring of the Holy Spirit on the Day of Pentecost was what brought the Body into being initially, and thus that BHS plays an ecclesiologically significant role, there have been divergences over the exact nature of that role in the ongoing life of the church. Above we have pointed to D.P. Williams’ contention that it is still through BHS that believers are brought into the church today and his distinction between the Body (into which one is baptised in the Spirit) and the Kingdom (into which one is born again).</w:t>
      </w:r>
    </w:p>
    <w:p w:rsidR="00062AED" w:rsidRDefault="00062AED" w:rsidP="009370EA">
      <w:pPr>
        <w:spacing w:line="360" w:lineRule="auto"/>
        <w:jc w:val="both"/>
      </w:pPr>
      <w:r>
        <w:lastRenderedPageBreak/>
        <w:t>Yet it appears that even Williams himself may have come to realise the inherent theological problems within such a position later in his ministry.  While in 1920 he would argue that the members of the body must be baptised in the Holy Spirit, as that is how they are brought into effective connection with Christ the Head,</w:t>
      </w:r>
      <w:r>
        <w:rPr>
          <w:rStyle w:val="FootnoteReference"/>
        </w:rPr>
        <w:footnoteReference w:id="645"/>
      </w:r>
      <w:r>
        <w:t xml:space="preserve"> by 1940 he would argue that: </w:t>
      </w:r>
    </w:p>
    <w:p w:rsidR="00062AED" w:rsidRPr="00E32C3F" w:rsidRDefault="00062AED" w:rsidP="009370EA">
      <w:pPr>
        <w:spacing w:line="360" w:lineRule="auto"/>
        <w:ind w:left="720" w:right="720"/>
        <w:jc w:val="both"/>
        <w:rPr>
          <w:sz w:val="20"/>
        </w:rPr>
      </w:pPr>
      <w:r w:rsidRPr="00E32C3F">
        <w:rPr>
          <w:sz w:val="20"/>
        </w:rPr>
        <w:t>We cannot join the Church; we must be “born again” into the Church; and it is He that brings us into the Church. It is a work of grace; and since we are placed in that Church by an act of Divine grace by Him, we are joined to Him in one Spirit.</w:t>
      </w:r>
      <w:r w:rsidRPr="00E32C3F">
        <w:rPr>
          <w:rStyle w:val="FootnoteReference"/>
          <w:sz w:val="20"/>
        </w:rPr>
        <w:footnoteReference w:id="646"/>
      </w:r>
    </w:p>
    <w:p w:rsidR="00062AED" w:rsidRDefault="00062AED" w:rsidP="009370EA">
      <w:pPr>
        <w:spacing w:line="360" w:lineRule="auto"/>
        <w:jc w:val="both"/>
      </w:pPr>
      <w:r>
        <w:t xml:space="preserve">Here it is no longer BHS which unites the believer to the Body of Christ, but rather being joined to Christ the Head through regeneration that joins the believer to the Holy Spirit of Christ. By this stage in </w:t>
      </w:r>
      <w:r w:rsidR="00E23FF0">
        <w:t>Williams’</w:t>
      </w:r>
      <w:r>
        <w:t xml:space="preserve"> theology, the Mediation of Christ has become of such importance, that it is only union with Christ the Head that could possibly mediate the fullness of the Spirit, and so the order of BHS and membership of the Body must reverse in his theology. The Holy Spirit still imparts the life of Christ to the Body, but only as Christ the Mediator continually sends the Spirit from himself to the Body.</w:t>
      </w:r>
      <w:r>
        <w:rPr>
          <w:rStyle w:val="FootnoteReference"/>
        </w:rPr>
        <w:footnoteReference w:id="647"/>
      </w:r>
      <w:r>
        <w:t xml:space="preserve"> Every work of the Spirit in the Body then must be seen as the work of Christ the Head through the Spirit.</w:t>
      </w:r>
      <w:r>
        <w:rPr>
          <w:rStyle w:val="FootnoteReference"/>
        </w:rPr>
        <w:footnoteReference w:id="648"/>
      </w:r>
    </w:p>
    <w:p w:rsidR="00062AED" w:rsidRDefault="00062AED" w:rsidP="009370EA">
      <w:pPr>
        <w:spacing w:line="360" w:lineRule="auto"/>
        <w:jc w:val="both"/>
      </w:pPr>
      <w:r>
        <w:t xml:space="preserve">By the year before, Williams had made a separation between BHS and membership of the Body, but had not yet come to see the </w:t>
      </w:r>
      <w:r w:rsidR="00BB40EB">
        <w:t>moment</w:t>
      </w:r>
      <w:r>
        <w:t xml:space="preserve"> of joining the body in regeneration.</w:t>
      </w:r>
      <w:r>
        <w:rPr>
          <w:rStyle w:val="FootnoteReference"/>
        </w:rPr>
        <w:footnoteReference w:id="649"/>
      </w:r>
      <w:r>
        <w:t xml:space="preserve"> However, by this point he had identified three aspects of the role of the Holy Spirit in the life of the Body, which would then allow for the further development in his thought the next year. He writes:</w:t>
      </w:r>
    </w:p>
    <w:p w:rsidR="00062AED" w:rsidRPr="00151DEE" w:rsidRDefault="00062AED" w:rsidP="009370EA">
      <w:pPr>
        <w:spacing w:line="360" w:lineRule="auto"/>
        <w:ind w:left="720" w:right="720"/>
        <w:jc w:val="both"/>
        <w:rPr>
          <w:sz w:val="20"/>
        </w:rPr>
      </w:pPr>
      <w:r w:rsidRPr="00151DEE">
        <w:rPr>
          <w:sz w:val="20"/>
        </w:rPr>
        <w:t>We must not think that when we say ‘mystical body’ that we mean a mysterious, intangible body. We say ‘Mystical Body’ in order to distinguish the Spirit-created, Divine New Creation from the natural; for it has (a) come to birth by the Spirit (John3.5); (b) Sealed by the Spirit (1 Cor. 12.13,14); (c) Lives in the Spirit (Rom. 8.1,2). They are the real Body of their Master and Lord to dwell in.</w:t>
      </w:r>
      <w:r w:rsidRPr="00151DEE">
        <w:rPr>
          <w:rStyle w:val="FootnoteReference"/>
          <w:sz w:val="20"/>
        </w:rPr>
        <w:footnoteReference w:id="650"/>
      </w:r>
    </w:p>
    <w:p w:rsidR="00062AED" w:rsidRDefault="00062AED" w:rsidP="009370EA">
      <w:pPr>
        <w:spacing w:line="360" w:lineRule="auto"/>
        <w:jc w:val="both"/>
      </w:pPr>
      <w:r>
        <w:lastRenderedPageBreak/>
        <w:t xml:space="preserve">By this stage Williams then sees BHS as only one of the key factors in the Spirit’s formation of the Body, yet still playing an important ecclesiological role. At the same time, he also closely links BHS with his vision of an </w:t>
      </w:r>
      <w:r w:rsidRPr="00D44652">
        <w:rPr>
          <w:i/>
        </w:rPr>
        <w:t>ecclesiologia crucis</w:t>
      </w:r>
      <w:r>
        <w:t>.</w:t>
      </w:r>
      <w:r>
        <w:rPr>
          <w:rStyle w:val="FootnoteReference"/>
        </w:rPr>
        <w:footnoteReference w:id="651"/>
      </w:r>
    </w:p>
    <w:p w:rsidR="00062AED" w:rsidRDefault="00062AED" w:rsidP="009370EA">
      <w:pPr>
        <w:spacing w:line="360" w:lineRule="auto"/>
        <w:jc w:val="both"/>
      </w:pPr>
      <w:r>
        <w:t>The outpouring of the Holy Spirit also plays an eschatological role in Williams’ ecclesiology. When the Holy Spirit falls on the church, ‘Heaven will come down with such a renewing of the Spirit of Christ.’</w:t>
      </w:r>
      <w:r>
        <w:rPr>
          <w:rStyle w:val="FootnoteReference"/>
        </w:rPr>
        <w:footnoteReference w:id="652"/>
      </w:r>
      <w:r>
        <w:t xml:space="preserve"> As a result of this in-breaking of heaven through the Spirit, the church ‘will see that we do not belong to this Age, but that we are conformed to </w:t>
      </w:r>
      <w:r w:rsidRPr="00F0709B">
        <w:t>the</w:t>
      </w:r>
      <w:r w:rsidRPr="00F0709B">
        <w:rPr>
          <w:i/>
        </w:rPr>
        <w:t xml:space="preserve"> Spirit of</w:t>
      </w:r>
      <w:r>
        <w:t xml:space="preserve"> </w:t>
      </w:r>
      <w:r w:rsidRPr="00F0709B">
        <w:rPr>
          <w:i/>
        </w:rPr>
        <w:t>the Age to Come</w:t>
      </w:r>
      <w:r>
        <w:t>.’</w:t>
      </w:r>
      <w:r>
        <w:rPr>
          <w:rStyle w:val="FootnoteReference"/>
        </w:rPr>
        <w:footnoteReference w:id="653"/>
      </w:r>
      <w:r>
        <w:t xml:space="preserve"> Williams particularly ties this to the filling of the Spirit and the gifts of the Spirit, thus these tangible manifestations of the Spirit in the midst of the church provide an eschatological in-breaking through a foretaste of the powers of the age to come. The Holy Spirit operates outside of the limitations of time and so for the church, at least to some degree, through the ministry of the Spirit, the future is now.</w:t>
      </w:r>
      <w:r>
        <w:rPr>
          <w:rStyle w:val="FootnoteReference"/>
        </w:rPr>
        <w:footnoteReference w:id="654"/>
      </w:r>
      <w:r>
        <w:t xml:space="preserve"> </w:t>
      </w:r>
    </w:p>
    <w:p w:rsidR="00062AED" w:rsidRDefault="00062AED" w:rsidP="009370EA">
      <w:pPr>
        <w:spacing w:line="360" w:lineRule="auto"/>
        <w:jc w:val="both"/>
      </w:pPr>
    </w:p>
    <w:p w:rsidR="00062AED" w:rsidRDefault="00062AED" w:rsidP="009370EA">
      <w:pPr>
        <w:pStyle w:val="PhDSubheading"/>
        <w:spacing w:line="360" w:lineRule="auto"/>
      </w:pPr>
      <w:r>
        <w:t xml:space="preserve">4.2.3.2 </w:t>
      </w:r>
      <w:r w:rsidRPr="00B273FD">
        <w:t>The Ordained Ministry</w:t>
      </w:r>
      <w:r>
        <w:t xml:space="preserve">. </w:t>
      </w:r>
    </w:p>
    <w:p w:rsidR="00062AED" w:rsidRDefault="00062AED" w:rsidP="009370EA">
      <w:pPr>
        <w:spacing w:line="360" w:lineRule="auto"/>
        <w:jc w:val="both"/>
      </w:pPr>
      <w:r>
        <w:t>In the Tenets, the Apostolic Church confesses its belief in ‘c</w:t>
      </w:r>
      <w:r w:rsidRPr="00803E5A">
        <w:t>hurch government by apostles, prophets, evangelists, pastors, teachers, elders and deacons.</w:t>
      </w:r>
      <w:r>
        <w:t>’</w:t>
      </w:r>
      <w:r>
        <w:rPr>
          <w:rStyle w:val="FootnoteReference"/>
        </w:rPr>
        <w:footnoteReference w:id="655"/>
      </w:r>
      <w:r>
        <w:t xml:space="preserve"> These are the offices which, for the Apostolics, comprised the ordained ministry of the church. As we have already seen in the </w:t>
      </w:r>
      <w:r w:rsidRPr="00D65F54">
        <w:rPr>
          <w:i/>
        </w:rPr>
        <w:t>Athrawiaethau Sylfeinol</w:t>
      </w:r>
      <w:r>
        <w:t>, D.P. Williams had such a high view of the ordained ministry that, to his consideration, an assembly of people was not a true church without the ordained ministry.</w:t>
      </w:r>
      <w:r>
        <w:rPr>
          <w:rStyle w:val="FootnoteReference"/>
        </w:rPr>
        <w:footnoteReference w:id="656"/>
      </w:r>
      <w:r>
        <w:t xml:space="preserve"> Williams and the other early Apostolics made a strong connection between the first five ministries listed in the Tenets (apostles, prophets, evangelists, pastors and teachers) and the ascension of Christ on the basis of Ephesians 4:7-16.</w:t>
      </w:r>
      <w:r>
        <w:rPr>
          <w:rStyle w:val="FootnoteReference"/>
        </w:rPr>
        <w:footnoteReference w:id="657"/>
      </w:r>
    </w:p>
    <w:p w:rsidR="00062AED" w:rsidRDefault="00062AED" w:rsidP="009370EA">
      <w:pPr>
        <w:spacing w:line="360" w:lineRule="auto"/>
        <w:jc w:val="both"/>
      </w:pPr>
      <w:r>
        <w:t xml:space="preserve">True to his insistence on biblical authority, Williams pointed to Scripture as sufficient for the ordering of the church’s ordained ministry. ‘The Word of God still remains the same. The Order of </w:t>
      </w:r>
      <w:r>
        <w:lastRenderedPageBreak/>
        <w:t>government is plainly set forth in the Epistles of Paul.’</w:t>
      </w:r>
      <w:r>
        <w:rPr>
          <w:rStyle w:val="FootnoteReference"/>
        </w:rPr>
        <w:footnoteReference w:id="658"/>
      </w:r>
      <w:r>
        <w:t xml:space="preserve"> Yet his understanding of the ordained ministry cannot be dismissed as a naïve Biblicism; alongside his appeal to the New Testament pattern is a deep theological underpinning of his view. Firstly, he roots the necessity for a New Testament form of ministry and church government in the ontological reality of the church. The church is not merely a human organisation, but a living Body filled with the life of the Head.</w:t>
      </w:r>
    </w:p>
    <w:p w:rsidR="00062AED" w:rsidRPr="00642A54" w:rsidRDefault="00062AED" w:rsidP="009370EA">
      <w:pPr>
        <w:spacing w:line="360" w:lineRule="auto"/>
        <w:ind w:left="720" w:right="720"/>
        <w:jc w:val="both"/>
        <w:rPr>
          <w:sz w:val="20"/>
        </w:rPr>
      </w:pPr>
      <w:r w:rsidRPr="00642A54">
        <w:rPr>
          <w:sz w:val="20"/>
        </w:rPr>
        <w:t>Life must have a certain form. In the New Testament we have the form which the Church, the Body of Christ, must take. From this we may expect to know the activities of the Spirit and the form He will take to operate through the Body.</w:t>
      </w:r>
      <w:r w:rsidRPr="00642A54">
        <w:rPr>
          <w:rStyle w:val="FootnoteReference"/>
          <w:sz w:val="20"/>
        </w:rPr>
        <w:footnoteReference w:id="659"/>
      </w:r>
    </w:p>
    <w:p w:rsidR="00062AED" w:rsidRDefault="00062AED" w:rsidP="009370EA">
      <w:pPr>
        <w:spacing w:line="360" w:lineRule="auto"/>
        <w:jc w:val="both"/>
      </w:pPr>
      <w:r>
        <w:t>Thus, for Williams, appropriate structures and valid ministry are not found through human attempts at discerning the blessing of the Spirit. Rather, the true activity of the Spirit is discerned within the structures of life ordained by the Head. Therefore, the church is not found where the Spirit is discerned to be at work, but rather the church is found where Christ is, as the Body which Christ indwells and orders. This Christ-formed Body then is where the Spirit is to be known, for He is always the Spirit of Christ.</w:t>
      </w:r>
      <w:r>
        <w:rPr>
          <w:rStyle w:val="FootnoteReference"/>
        </w:rPr>
        <w:footnoteReference w:id="660"/>
      </w:r>
    </w:p>
    <w:p w:rsidR="00062AED" w:rsidRDefault="00062AED" w:rsidP="009370EA">
      <w:pPr>
        <w:spacing w:line="360" w:lineRule="auto"/>
        <w:jc w:val="both"/>
      </w:pPr>
      <w:r>
        <w:t>Furthermore, Williams viewed Jesus Christ himself as the true apostle, prophet, evangelist, pastor and teacher, and thus the ordained ministry in the church was an expression of the Headship of Christ.</w:t>
      </w:r>
      <w:r>
        <w:rPr>
          <w:rStyle w:val="FootnoteReference"/>
        </w:rPr>
        <w:footnoteReference w:id="661"/>
      </w:r>
      <w:r>
        <w:t xml:space="preserve"> These five ministries are first and foremost ‘the Offices of the Ascended Christ.’</w:t>
      </w:r>
      <w:r>
        <w:rPr>
          <w:rStyle w:val="FootnoteReference"/>
        </w:rPr>
        <w:footnoteReference w:id="662"/>
      </w:r>
    </w:p>
    <w:p w:rsidR="00062AED" w:rsidRPr="00C57738" w:rsidRDefault="00062AED" w:rsidP="009370EA">
      <w:pPr>
        <w:spacing w:line="360" w:lineRule="auto"/>
        <w:ind w:left="720" w:right="720"/>
        <w:jc w:val="both"/>
        <w:rPr>
          <w:sz w:val="20"/>
        </w:rPr>
      </w:pPr>
      <w:r w:rsidRPr="00C57738">
        <w:rPr>
          <w:sz w:val="20"/>
        </w:rPr>
        <w:t>The Ministers (Eph. 4:11) themselves, in their governmental order, are five in number (‘apostles, prophets, evangelists, pastors and teachers’) through whom the Head of the Church ministers for edification and protection, to perfect the Body in the unity of faith, knowledge and love, to perfect the saints also to the work of the ‘ministry,’ that all may be edified … The whole Body (figuratively as ‘one new man’) is to grow to the end that Christ in His full measure may dwell therein. That is the vision before us. Christ incorporate in the Church as Man in perfection.</w:t>
      </w:r>
      <w:r w:rsidRPr="00C57738">
        <w:rPr>
          <w:rStyle w:val="FootnoteReference"/>
          <w:sz w:val="20"/>
        </w:rPr>
        <w:footnoteReference w:id="663"/>
      </w:r>
    </w:p>
    <w:p w:rsidR="00062AED" w:rsidRDefault="00062AED" w:rsidP="009370EA">
      <w:pPr>
        <w:spacing w:line="360" w:lineRule="auto"/>
        <w:jc w:val="both"/>
      </w:pPr>
      <w:r>
        <w:lastRenderedPageBreak/>
        <w:t>Christ is the true minister who ministers to his Body through the ministers he gives as gifts to the Body through which to express his Headship. Each minister ‘ministers from the plenitude and fulness of the Head.’</w:t>
      </w:r>
      <w:r>
        <w:rPr>
          <w:rStyle w:val="FootnoteReference"/>
        </w:rPr>
        <w:footnoteReference w:id="664"/>
      </w:r>
      <w:r>
        <w:t xml:space="preserve"> ‘The Offices are the functions of the Ascended Lord, the Head, and are placed in the Body for Christ to express Himself through them.’</w:t>
      </w:r>
      <w:r>
        <w:rPr>
          <w:rStyle w:val="FootnoteReference"/>
        </w:rPr>
        <w:footnoteReference w:id="665"/>
      </w:r>
      <w:r>
        <w:t xml:space="preserve"> Thus, through the ordained ministry, there is an ‘impartation by the Head of Life resources to His Church.’</w:t>
      </w:r>
      <w:r>
        <w:rPr>
          <w:rStyle w:val="FootnoteReference"/>
        </w:rPr>
        <w:footnoteReference w:id="666"/>
      </w:r>
      <w:r>
        <w:t xml:space="preserve"> As a result, the ministers cannot function independently of the Head:</w:t>
      </w:r>
    </w:p>
    <w:p w:rsidR="00062AED" w:rsidRPr="00B328C9" w:rsidRDefault="00062AED" w:rsidP="009370EA">
      <w:pPr>
        <w:spacing w:line="360" w:lineRule="auto"/>
        <w:ind w:left="720" w:right="720"/>
        <w:jc w:val="both"/>
        <w:rPr>
          <w:sz w:val="20"/>
        </w:rPr>
      </w:pPr>
      <w:r w:rsidRPr="00B328C9">
        <w:rPr>
          <w:sz w:val="20"/>
        </w:rPr>
        <w:t>The service of each member of the Body of Christ does not depend entirely upon the gifts he possesses, but upon the grace which operates through such gift-functions; for the members of Christ’s Body are not called to put soul-force into that spiritual organism, but ‘faith working by grace.’ The spiritual endowments pertaining to the Life received from the Head in Glory must pass through every organ in continuous flow, if each function is to keep up to the fulness of possibility and efficiency … The upkeep of every gift must be kept by a continual stream of life in union with the risen Lord, before the least members in the Body can be sustained by our service. Our supply to others depends, therefore, on our connection with the Source (Christ).</w:t>
      </w:r>
      <w:r w:rsidRPr="00B328C9">
        <w:rPr>
          <w:rStyle w:val="FootnoteReference"/>
          <w:sz w:val="20"/>
        </w:rPr>
        <w:footnoteReference w:id="667"/>
      </w:r>
    </w:p>
    <w:p w:rsidR="00062AED" w:rsidRDefault="00062AED" w:rsidP="009370EA">
      <w:pPr>
        <w:spacing w:line="360" w:lineRule="auto"/>
        <w:jc w:val="both"/>
      </w:pPr>
      <w:r>
        <w:t>As a result, ‘if we put our trust in the gifts and not in the Giver, we shall soon become prodigals from our Father’s home.’</w:t>
      </w:r>
      <w:r>
        <w:rPr>
          <w:rStyle w:val="FootnoteReference"/>
        </w:rPr>
        <w:footnoteReference w:id="668"/>
      </w:r>
      <w:r>
        <w:t xml:space="preserve"> Therefore, the ministers must beware of ‘the peril of self-centredness and aggrandisement … there is a danger of drawing the attention of others to the work more than to the Person… The true ministry of grace and gifts is to direct others to the Source of Life for themselves and to put their trust in the Living God.’</w:t>
      </w:r>
      <w:r>
        <w:rPr>
          <w:rStyle w:val="FootnoteReference"/>
        </w:rPr>
        <w:footnoteReference w:id="669"/>
      </w:r>
      <w:r>
        <w:t xml:space="preserve"> Thus the ministry gifts must ‘be used not only for others, but towards the Giver.’</w:t>
      </w:r>
      <w:r>
        <w:rPr>
          <w:rStyle w:val="FootnoteReference"/>
        </w:rPr>
        <w:footnoteReference w:id="670"/>
      </w:r>
      <w:r>
        <w:t xml:space="preserve"> True ministry is from Christ and to Christ; it is Christ the Head in action drawing to himself.</w:t>
      </w:r>
    </w:p>
    <w:p w:rsidR="00062AED" w:rsidRDefault="00062AED" w:rsidP="009370EA">
      <w:pPr>
        <w:spacing w:line="360" w:lineRule="auto"/>
        <w:jc w:val="both"/>
      </w:pPr>
      <w:r>
        <w:t>As it is the Head who ministers through the gifts of ministers he has placed in the Body, these ministry gifts (and particularly for Williams apostles and prophets) are ‘evidence that God dwells in the Body of Christ by His Spirit.’</w:t>
      </w:r>
      <w:r>
        <w:rPr>
          <w:rStyle w:val="FootnoteReference"/>
        </w:rPr>
        <w:footnoteReference w:id="671"/>
      </w:r>
      <w:r>
        <w:t xml:space="preserve"> These gifts and offices are ‘the representatives and means of Grace appointed by Him, the Head of the Body … for maintaining the unity of truth and purpose </w:t>
      </w:r>
      <w:r>
        <w:lastRenderedPageBreak/>
        <w:t>of God.’</w:t>
      </w:r>
      <w:r>
        <w:rPr>
          <w:rStyle w:val="FootnoteReference"/>
        </w:rPr>
        <w:footnoteReference w:id="672"/>
      </w:r>
      <w:r>
        <w:t xml:space="preserve"> As Christ’s representatives, the ministers are ‘symbolic of His Presence, and channels of Grace in and to the Body.’</w:t>
      </w:r>
      <w:r>
        <w:rPr>
          <w:rStyle w:val="FootnoteReference"/>
        </w:rPr>
        <w:footnoteReference w:id="673"/>
      </w:r>
    </w:p>
    <w:p w:rsidR="00062AED" w:rsidRDefault="00062AED" w:rsidP="009370EA">
      <w:pPr>
        <w:spacing w:line="360" w:lineRule="auto"/>
        <w:jc w:val="both"/>
      </w:pPr>
      <w:r>
        <w:t xml:space="preserve">Does such talk of symbols and channels of grace step back from </w:t>
      </w:r>
      <w:r w:rsidR="00E23FF0">
        <w:t>Williams’</w:t>
      </w:r>
      <w:r>
        <w:t xml:space="preserve"> concept of Christ as the true minister who ministers through the ministry gifts of apostles, prophets, evangelists, pastors and teachers, who share in his ministry? A comparison with Williams’ use of the language of symbols in regard to the Lord’s Supper, will help us to see that this is no retreat.</w:t>
      </w:r>
    </w:p>
    <w:p w:rsidR="00062AED" w:rsidRDefault="00062AED" w:rsidP="009370EA">
      <w:pPr>
        <w:spacing w:line="360" w:lineRule="auto"/>
        <w:jc w:val="both"/>
      </w:pPr>
      <w:r>
        <w:t>Although as we have seen above, Williams has a very high view of the real presence of Christ in the Lord’s Supper, that does not in any way prevent him from using the language of symbols.</w:t>
      </w:r>
      <w:r>
        <w:rPr>
          <w:rStyle w:val="FootnoteReference"/>
        </w:rPr>
        <w:footnoteReference w:id="674"/>
      </w:r>
      <w:r>
        <w:t xml:space="preserve"> Yet, given his view of the real presence, when he writes of the bread and wine as symbols or types, he does not thereby exclude the real presence of Christ. For Williams the real presence of Christ can be conveyed through ‘symbols’ as true means of grace. Thus the broken bread is symbolic of Christ’s broken body, yet is also the means by which communicants partake of that broken body. Christ could have chosen a means that was not symbolic in any way to give his body and blood, but instead chose means which had, at the same time, a symbolic feature. The same is true for Williams of the ministry. The ministers, as symbols of the ministry of the Head, are not representatives of an absent Christ, but represent the Christ who is at work ministering through them. Instead they are ‘representatives … through which He administers Himself to the Body.’</w:t>
      </w:r>
      <w:r>
        <w:rPr>
          <w:rStyle w:val="FootnoteReference"/>
        </w:rPr>
        <w:footnoteReference w:id="675"/>
      </w:r>
    </w:p>
    <w:p w:rsidR="00062AED" w:rsidRDefault="00062AED" w:rsidP="009370EA">
      <w:pPr>
        <w:spacing w:line="360" w:lineRule="auto"/>
        <w:jc w:val="both"/>
      </w:pPr>
      <w:r>
        <w:t>With such a concept of symbols then, it is evident that when Williams writes of the ordained ministry as ‘symbolic of [Christ’s] presence and channels of grace in and to the Body’ that he is not writing of symbols and channels to the exclusion of the presence and activity of Christ, but rather, symbols and channels through whom Christ gives himself to the Body: ‘the repositories of the Glory of Christ’ himself.</w:t>
      </w:r>
      <w:r>
        <w:rPr>
          <w:rStyle w:val="FootnoteReference"/>
        </w:rPr>
        <w:footnoteReference w:id="676"/>
      </w:r>
    </w:p>
    <w:p w:rsidR="00062AED" w:rsidRDefault="00062AED" w:rsidP="009370EA">
      <w:pPr>
        <w:spacing w:line="360" w:lineRule="auto"/>
        <w:jc w:val="both"/>
      </w:pPr>
      <w:r>
        <w:t>If it is Christ who is the true apostle, prophet, evangelist, pastor and teacher, then there is a need for plurality in the ministry. ‘One person could not bear and receive the fulness that was in Christ.’</w:t>
      </w:r>
      <w:r>
        <w:rPr>
          <w:rStyle w:val="FootnoteReference"/>
        </w:rPr>
        <w:footnoteReference w:id="677"/>
      </w:r>
      <w:r>
        <w:t xml:space="preserve"> No one individual can minister alone in the fullness of the apostolic ministry, for the fullness of apostleship is found only in Christ the Chief Apostle. ‘The administration of Apostleship as a whole is a universal ministry in the Christ of God … the Apostleship of Christ is divided </w:t>
      </w:r>
      <w:r>
        <w:lastRenderedPageBreak/>
        <w:t>between [the apostles]’ for it is impossible for one man to carry the whole of Christ’s apostleship.</w:t>
      </w:r>
      <w:r>
        <w:rPr>
          <w:rStyle w:val="FootnoteReference"/>
        </w:rPr>
        <w:footnoteReference w:id="678"/>
      </w:r>
      <w:r>
        <w:t xml:space="preserve"> </w:t>
      </w:r>
      <w:r w:rsidRPr="00BD180E">
        <w:t xml:space="preserve">This stress on plurality in church government also serves to </w:t>
      </w:r>
      <w:r>
        <w:t>guard the pre-eminence of Christ’</w:t>
      </w:r>
      <w:r w:rsidRPr="00BD180E">
        <w:t>s Headship, there being no individual human to act as a head</w:t>
      </w:r>
      <w:r>
        <w:t>.</w:t>
      </w:r>
      <w:r>
        <w:rPr>
          <w:rStyle w:val="FootnoteReference"/>
        </w:rPr>
        <w:footnoteReference w:id="679"/>
      </w:r>
    </w:p>
    <w:p w:rsidR="00062AED" w:rsidRDefault="00062AED" w:rsidP="009370EA">
      <w:pPr>
        <w:spacing w:line="360" w:lineRule="auto"/>
        <w:jc w:val="both"/>
      </w:pPr>
      <w:r>
        <w:t xml:space="preserve">Williams’ </w:t>
      </w:r>
      <w:r w:rsidRPr="0034790D">
        <w:t xml:space="preserve">view of apostleship as an expression of the Headship of Christ in His body locates the ministry squarely within the Church. Without the Church there can be no apostleship. Such a theology of apostleship would be of great utility today in the wider pentecostal and charismatic movements, where Macchia notes that </w:t>
      </w:r>
      <w:r>
        <w:rPr>
          <w:rFonts w:ascii="Calibri" w:hAnsi="Calibri" w:cs="Calibri"/>
        </w:rPr>
        <w:t>‘</w:t>
      </w:r>
      <w:r w:rsidRPr="0034790D">
        <w:t xml:space="preserve">there is even a movement afoot </w:t>
      </w:r>
      <w:r>
        <w:rPr>
          <w:rFonts w:ascii="Calibri" w:hAnsi="Calibri" w:cs="Calibri"/>
        </w:rPr>
        <w:t xml:space="preserve">… </w:t>
      </w:r>
      <w:r w:rsidRPr="0034790D">
        <w:t>that releases into the church world rogue apostles directly and independently appointed by the Spirit of Christ and in search of an ecclesiastical structure into which they could incorporate themselves!</w:t>
      </w:r>
      <w:r>
        <w:t>’</w:t>
      </w:r>
      <w:r>
        <w:rPr>
          <w:rStyle w:val="FootnoteReference"/>
        </w:rPr>
        <w:footnoteReference w:id="680"/>
      </w:r>
      <w:r>
        <w:t xml:space="preserve"> </w:t>
      </w:r>
      <w:r w:rsidRPr="0034790D">
        <w:t>Such an ecclesially independent apostle would be unconscionable within Apostolic thought, for if the min</w:t>
      </w:r>
      <w:r>
        <w:t>istry is an expression of Christ’</w:t>
      </w:r>
      <w:r w:rsidRPr="0034790D">
        <w:t xml:space="preserve">s Headship in the Body, it follows that calls to the ministry can only be recognised </w:t>
      </w:r>
      <w:r>
        <w:t>within the context of the Body.</w:t>
      </w:r>
      <w:r>
        <w:rPr>
          <w:rStyle w:val="FootnoteReference"/>
        </w:rPr>
        <w:footnoteReference w:id="681"/>
      </w:r>
    </w:p>
    <w:p w:rsidR="00062AED" w:rsidRDefault="00062AED" w:rsidP="009370EA">
      <w:pPr>
        <w:spacing w:line="360" w:lineRule="auto"/>
        <w:jc w:val="both"/>
      </w:pPr>
      <w:r>
        <w:t xml:space="preserve">As a result of such a theology of the ordained ministry, the Apostolic Church </w:t>
      </w:r>
      <w:r w:rsidRPr="00501FF8">
        <w:t>careful</w:t>
      </w:r>
      <w:r>
        <w:t>ly</w:t>
      </w:r>
      <w:r w:rsidRPr="00501FF8">
        <w:t xml:space="preserve"> </w:t>
      </w:r>
      <w:r>
        <w:t xml:space="preserve">protected the </w:t>
      </w:r>
      <w:r w:rsidRPr="00501FF8">
        <w:t xml:space="preserve"> calling and ordination</w:t>
      </w:r>
      <w:r>
        <w:t xml:space="preserve"> of ministers </w:t>
      </w:r>
      <w:r w:rsidRPr="00501FF8">
        <w:t>as churchly functions under the charge of the apostleship.</w:t>
      </w:r>
      <w:r>
        <w:rPr>
          <w:rStyle w:val="FootnoteReference"/>
        </w:rPr>
        <w:footnoteReference w:id="682"/>
      </w:r>
      <w:r w:rsidRPr="00501FF8">
        <w:t xml:space="preserve"> Only the Head of the Church can call a man to one of the Headship ministries, as it is </w:t>
      </w:r>
      <w:r>
        <w:t>h</w:t>
      </w:r>
      <w:r w:rsidRPr="00501FF8">
        <w:t xml:space="preserve">e </w:t>
      </w:r>
      <w:r>
        <w:t>h</w:t>
      </w:r>
      <w:r w:rsidRPr="00501FF8">
        <w:t>imself who has given these men as gifts to</w:t>
      </w:r>
      <w:r>
        <w:t xml:space="preserve"> </w:t>
      </w:r>
      <w:r w:rsidRPr="00901DC1">
        <w:t>His Body (Eph. 4:8-11); therefore the Head reveals His callings through His a</w:t>
      </w:r>
      <w:r>
        <w:t>ppointed channels in the Church, and it is then for the apostleship to lay on hands and anoint with oil for ordination to the ministry.</w:t>
      </w:r>
      <w:r>
        <w:rPr>
          <w:rStyle w:val="FootnoteReference"/>
        </w:rPr>
        <w:footnoteReference w:id="683"/>
      </w:r>
    </w:p>
    <w:p w:rsidR="00062AED" w:rsidRDefault="00062AED" w:rsidP="009370EA">
      <w:pPr>
        <w:spacing w:line="360" w:lineRule="auto"/>
        <w:jc w:val="both"/>
      </w:pPr>
      <w:r>
        <w:t>Is Williams’ concept of the five-fold ministry antithetical to the historic three orders of ministry in the church? Williams certainly doesn’t appear to have thought so. He has a strong concept of the three orders of ministry (apostleship, presbytery and diaconate). In an article from 1923 Williams carefully traces the emergence of the various ministries through the book of Acts and concludes, not only that the responsibility for the calling of ministers and their ordination to office rests with the apostleship, but also that the apostles set in office ‘in three ways: – Firstly, as to Deacons … Secondly: Elders … Thirdly: Apostles.’</w:t>
      </w:r>
      <w:r>
        <w:rPr>
          <w:rStyle w:val="FootnoteReference"/>
        </w:rPr>
        <w:footnoteReference w:id="684"/>
      </w:r>
      <w:r>
        <w:t xml:space="preserve"> This was not a one-off, passing argument on Williams’ </w:t>
      </w:r>
      <w:r>
        <w:lastRenderedPageBreak/>
        <w:t xml:space="preserve">part. In 1931 he contributed a series of articles on the Diaconate to the </w:t>
      </w:r>
      <w:r w:rsidRPr="00D3647F">
        <w:rPr>
          <w:i/>
        </w:rPr>
        <w:t>Riches of Grace</w:t>
      </w:r>
      <w:r>
        <w:t>, in which he noted the distinction between the Diaconate and the other two orders of ministry: the apostleship and the ‘Bishops (Elders)’.</w:t>
      </w:r>
      <w:r>
        <w:rPr>
          <w:rStyle w:val="FootnoteReference"/>
        </w:rPr>
        <w:footnoteReference w:id="685"/>
      </w:r>
      <w:r>
        <w:t xml:space="preserve"> Here one difference between the Apostolic three orders of ministry in Williams’ ecclesiology and the traditional three orders becomes evident in terms of terminology. While the traditional enumeration of the three orders would assign the title of bishop to the apostolic ministry, Williams equates the title of bishop with that of elder for the order of presbyter (although, in practice, the title of bishop would never be used for this order due to its historic associations with the apostolic order of ministry). Williams is clear that ‘the lower office of a Deacon is always subject to the higher namely the Apostleship and Eldership.’</w:t>
      </w:r>
      <w:r>
        <w:rPr>
          <w:rStyle w:val="FootnoteReference"/>
        </w:rPr>
        <w:footnoteReference w:id="686"/>
      </w:r>
      <w:r>
        <w:t xml:space="preserve"> There is a clear distinction between the orders of ministry, for the deacon ‘is not definitely called to the ministry of a Bishop,’ although Williams does allow that some deacons may ‘emerge into [the ministry] of an Elder or Evangelist.’</w:t>
      </w:r>
      <w:r>
        <w:rPr>
          <w:rStyle w:val="FootnoteReference"/>
        </w:rPr>
        <w:footnoteReference w:id="687"/>
      </w:r>
    </w:p>
    <w:p w:rsidR="00062AED" w:rsidRDefault="00062AED" w:rsidP="009370EA">
      <w:pPr>
        <w:spacing w:line="360" w:lineRule="auto"/>
        <w:jc w:val="both"/>
      </w:pPr>
      <w:r>
        <w:t>With this emphasis on the three orders of apostles, elders and deacons, where do pastors fit in to Williams’ conception of the ordained ministry? Williams’ answer is that pastors are elders and so belong to the order of presbyter.</w:t>
      </w:r>
      <w:r>
        <w:rPr>
          <w:rStyle w:val="FootnoteReference"/>
        </w:rPr>
        <w:footnoteReference w:id="688"/>
      </w:r>
      <w:r>
        <w:t xml:space="preserve"> The difference in terminology between pastors, elders and overseers in the internal workings of the Apostolic Church </w:t>
      </w:r>
      <w:r w:rsidR="00684148">
        <w:t>was</w:t>
      </w:r>
      <w:r>
        <w:t xml:space="preserve"> based on differences in responsibility, but not an essential difference in ministry. In the 1932 Council, in a discussion on this very point, Williams noted that ‘the Lord changed the name of the officers, “Pastors” (not called out) to be called “Overseers”.’</w:t>
      </w:r>
      <w:r>
        <w:rPr>
          <w:rStyle w:val="FootnoteReference"/>
        </w:rPr>
        <w:footnoteReference w:id="689"/>
      </w:r>
      <w:r>
        <w:t xml:space="preserve"> In Apostolic parlance this meant that the nomenclature for non-salaried pastors was changed to overseers on the basis of prophecy.</w:t>
      </w:r>
      <w:r>
        <w:rPr>
          <w:rStyle w:val="FootnoteReference"/>
        </w:rPr>
        <w:footnoteReference w:id="690"/>
      </w:r>
      <w:r>
        <w:t xml:space="preserve"> A similar discussion had taken place a few years earlier, when:</w:t>
      </w:r>
    </w:p>
    <w:p w:rsidR="00062AED" w:rsidRPr="006C20E3" w:rsidRDefault="00062AED" w:rsidP="009370EA">
      <w:pPr>
        <w:spacing w:line="360" w:lineRule="auto"/>
        <w:ind w:left="720" w:right="720"/>
        <w:jc w:val="both"/>
        <w:rPr>
          <w:sz w:val="20"/>
        </w:rPr>
      </w:pPr>
      <w:r w:rsidRPr="006C20E3">
        <w:rPr>
          <w:sz w:val="20"/>
        </w:rPr>
        <w:t xml:space="preserve">The President [D.P. Williams] explained that the distinction had been made of calling called out men ‘pastors’, and unpaid men ‘overseers.’ We have done that for our advantage in honouring them that are called-out; but as far as the virtue of the word goes, they mean the same thing. You have five elders and one is an overseer, chosen out. He is not a bit higher than the other four. He is called an overseer for advantage’s sake. </w:t>
      </w:r>
      <w:r w:rsidRPr="006C20E3">
        <w:rPr>
          <w:sz w:val="20"/>
        </w:rPr>
        <w:lastRenderedPageBreak/>
        <w:t>That the distinction is set on the operation of his eldership. So the man who was called out again, we would call him for our advantage’s sake, not that there is anything in the Word but for our advantage we call him ‘pastor’, as he is called out; but he is still the same as the others, as far as the meaning of the word goes. The Holy Ghost put that distinction for our advantage … You can call him a bishop or elder or overseer or pastor, as far as the meaning of the word goes, but in Divine Wisdom God is calling one of the elders, naming him to have the oversight and the charge over the assembly, and the pastor has the same function. You are calling a pastor to have oversight over many assemblies.</w:t>
      </w:r>
      <w:r w:rsidRPr="006C20E3">
        <w:rPr>
          <w:rStyle w:val="FootnoteReference"/>
          <w:sz w:val="20"/>
        </w:rPr>
        <w:footnoteReference w:id="691"/>
      </w:r>
    </w:p>
    <w:p w:rsidR="00062AED" w:rsidRDefault="00062AED" w:rsidP="009370EA">
      <w:pPr>
        <w:spacing w:line="360" w:lineRule="auto"/>
        <w:jc w:val="both"/>
      </w:pPr>
      <w:r>
        <w:t>Later in the same meeting there was a prophecy stating that these various titles of elder, bishop, overseer and pastor ‘are all equal and one, and that there is no difference according to the nature of the calling, but there is a difference in the sphere of the ministry and the performance of the calling.’</w:t>
      </w:r>
      <w:r>
        <w:rPr>
          <w:rStyle w:val="FootnoteReference"/>
        </w:rPr>
        <w:footnoteReference w:id="692"/>
      </w:r>
      <w:r>
        <w:t xml:space="preserve"> This was adopted as the official position of the church,</w:t>
      </w:r>
      <w:r>
        <w:rPr>
          <w:rStyle w:val="FootnoteReference"/>
        </w:rPr>
        <w:footnoteReference w:id="693"/>
      </w:r>
      <w:r>
        <w:t xml:space="preserve"> and was reflected in the practice of ordinations: ‘The ordaining of an Overseer or Pastor who is already an Elder and as such has been anointed should be done by prayer and the laying on of hands.’</w:t>
      </w:r>
      <w:r>
        <w:rPr>
          <w:rStyle w:val="FootnoteReference"/>
        </w:rPr>
        <w:footnoteReference w:id="694"/>
      </w:r>
    </w:p>
    <w:p w:rsidR="00062AED" w:rsidRDefault="00062AED" w:rsidP="009370EA">
      <w:pPr>
        <w:spacing w:line="360" w:lineRule="auto"/>
        <w:jc w:val="both"/>
      </w:pPr>
      <w:r>
        <w:t>The three orders of ministry were also reflected in the sacramental life of the church. For Williams, it was the pastor, overseer, or presiding elder of the local assembly who should normally be responsible for the Table, and ‘the local elders should always take around the bread and wine to those who are members.’</w:t>
      </w:r>
      <w:r>
        <w:rPr>
          <w:rStyle w:val="FootnoteReference"/>
        </w:rPr>
        <w:footnoteReference w:id="695"/>
      </w:r>
      <w:r>
        <w:t xml:space="preserve"> Deacons, forming a separate order of ministry, could not preside at the Table. According to the </w:t>
      </w:r>
      <w:r w:rsidRPr="00F0641C">
        <w:rPr>
          <w:i/>
        </w:rPr>
        <w:t>Fundamental Truths</w:t>
      </w:r>
      <w:r>
        <w:t>, ‘the administration of the Lord’s table should be in the hands of the Apostles, Pastors, Overseers, Presiding Elders or Elders, the highest office always taking the actual administration.’</w:t>
      </w:r>
      <w:r>
        <w:rPr>
          <w:rStyle w:val="FootnoteReference"/>
        </w:rPr>
        <w:footnoteReference w:id="696"/>
      </w:r>
      <w:r>
        <w:t xml:space="preserve"> For Williams, the ministry of the sacrament has been confided to the apostleship (as part of the ministry of the keys) and is appropriately delegated from the apostleship to the presbytery in the local assemblies</w:t>
      </w:r>
      <w:r w:rsidR="00624655">
        <w:t xml:space="preserve"> through ordination</w:t>
      </w:r>
      <w:r>
        <w:t>, as in the classical understanding of the three orders of ministry.</w:t>
      </w:r>
      <w:r>
        <w:rPr>
          <w:rStyle w:val="FootnoteReference"/>
        </w:rPr>
        <w:footnoteReference w:id="697"/>
      </w:r>
    </w:p>
    <w:p w:rsidR="00062AED" w:rsidRDefault="00062AED" w:rsidP="009370EA">
      <w:pPr>
        <w:spacing w:line="360" w:lineRule="auto"/>
        <w:jc w:val="both"/>
      </w:pPr>
      <w:r w:rsidRPr="001818F2">
        <w:t xml:space="preserve">Coupled with Williams’ understanding of the classical three orders of ministry is his understanding that the apostle or presbyter stands </w:t>
      </w:r>
      <w:r w:rsidRPr="001818F2">
        <w:rPr>
          <w:i/>
        </w:rPr>
        <w:t xml:space="preserve">in </w:t>
      </w:r>
      <w:r w:rsidR="00624655">
        <w:rPr>
          <w:i/>
        </w:rPr>
        <w:t>p</w:t>
      </w:r>
      <w:r w:rsidRPr="001818F2">
        <w:rPr>
          <w:i/>
        </w:rPr>
        <w:t>ersona Christi</w:t>
      </w:r>
      <w:r w:rsidRPr="001818F2">
        <w:t>.</w:t>
      </w:r>
      <w:r w:rsidRPr="001818F2">
        <w:rPr>
          <w:rStyle w:val="FootnoteReference"/>
        </w:rPr>
        <w:footnoteReference w:id="698"/>
      </w:r>
      <w:r>
        <w:t xml:space="preserve"> ‘Every true servant of </w:t>
      </w:r>
      <w:r>
        <w:lastRenderedPageBreak/>
        <w:t>God points to the Christ as the only Head and the centre of the Church.’</w:t>
      </w:r>
      <w:r>
        <w:rPr>
          <w:rStyle w:val="FootnoteReference"/>
        </w:rPr>
        <w:footnoteReference w:id="699"/>
      </w:r>
      <w:r>
        <w:t xml:space="preserve"> The apostles, in particular, are ‘invested with the honour of representing and presenting Christ to the Churches, and, at all times, of manifesting the Character of Christ in every aspect of their lives, both in word and deed.’</w:t>
      </w:r>
      <w:r>
        <w:rPr>
          <w:rStyle w:val="FootnoteReference"/>
        </w:rPr>
        <w:footnoteReference w:id="700"/>
      </w:r>
      <w:r>
        <w:t xml:space="preserve"> This standing </w:t>
      </w:r>
      <w:r w:rsidRPr="00573A3B">
        <w:rPr>
          <w:i/>
        </w:rPr>
        <w:t>in persona Christi</w:t>
      </w:r>
      <w:r>
        <w:t xml:space="preserve"> is essential to the exercise of the office of the keys and to the role of apostles and presbyters as ministers of the sacraments.</w:t>
      </w:r>
      <w:r>
        <w:rPr>
          <w:rStyle w:val="FootnoteReference"/>
        </w:rPr>
        <w:footnoteReference w:id="701"/>
      </w:r>
    </w:p>
    <w:p w:rsidR="00062AED" w:rsidRDefault="00062AED" w:rsidP="009370EA">
      <w:pPr>
        <w:spacing w:line="360" w:lineRule="auto"/>
        <w:jc w:val="both"/>
      </w:pPr>
      <w:r>
        <w:t>Yet, despite such agreement with the classical doctrine of the ministry, there is also something significantly different in Williams’ understanding of the ordained ministry, especially in terms of the ministry of apostles and prophets. From the outside perspective, this was the feature of Apostolic thought which was usually considered to be the most significant (although the Apostolics themselves denied this).</w:t>
      </w:r>
      <w:r>
        <w:rPr>
          <w:rStyle w:val="FootnoteReference"/>
        </w:rPr>
        <w:footnoteReference w:id="702"/>
      </w:r>
      <w:r>
        <w:t xml:space="preserve"> </w:t>
      </w:r>
    </w:p>
    <w:p w:rsidR="00062AED" w:rsidRDefault="00062AED" w:rsidP="009370EA">
      <w:pPr>
        <w:spacing w:line="360" w:lineRule="auto"/>
        <w:jc w:val="both"/>
      </w:pPr>
      <w:r>
        <w:t>For Williams, ‘Apostles are the first Governmental Function in the Body.’</w:t>
      </w:r>
      <w:r>
        <w:rPr>
          <w:rStyle w:val="FootnoteReference"/>
        </w:rPr>
        <w:footnoteReference w:id="703"/>
      </w:r>
      <w:r>
        <w:t xml:space="preserve"> Yet this did not mean that apostleship was a mere administrative function. Rather, ‘the purpose of the gift of Apostleship is to reveal the character of Christ.’</w:t>
      </w:r>
      <w:r>
        <w:rPr>
          <w:rStyle w:val="FootnoteReference"/>
        </w:rPr>
        <w:footnoteReference w:id="704"/>
      </w:r>
      <w:r>
        <w:t xml:space="preserve"> Thus ‘the burden of their message [is] the Person of Christ, and His accomplished work and exalted position.’</w:t>
      </w:r>
      <w:r>
        <w:rPr>
          <w:rStyle w:val="FootnoteReference"/>
        </w:rPr>
        <w:footnoteReference w:id="705"/>
      </w:r>
      <w:r>
        <w:t xml:space="preserve"> It is not incidental to the apostolic ministry that true apostles are apostles of Jesus Christ. Every true apostle ‘points to the Christ as the only Head and the centre of the Church.’</w:t>
      </w:r>
      <w:r>
        <w:rPr>
          <w:rStyle w:val="FootnoteReference"/>
        </w:rPr>
        <w:footnoteReference w:id="706"/>
      </w:r>
    </w:p>
    <w:p w:rsidR="00062AED" w:rsidRDefault="00062AED" w:rsidP="009370EA">
      <w:pPr>
        <w:spacing w:line="360" w:lineRule="auto"/>
        <w:jc w:val="both"/>
      </w:pPr>
      <w:r>
        <w:t>As we have seen, in Williams’ thought, it is Christ the Apostle who ministers through the ordained apostles, and that this necessitates a plurality of apostleship.</w:t>
      </w:r>
    </w:p>
    <w:p w:rsidR="00062AED" w:rsidRPr="00A2067D" w:rsidRDefault="00062AED" w:rsidP="009370EA">
      <w:pPr>
        <w:spacing w:line="360" w:lineRule="auto"/>
        <w:ind w:left="720" w:right="720"/>
        <w:jc w:val="both"/>
        <w:rPr>
          <w:sz w:val="20"/>
        </w:rPr>
      </w:pPr>
      <w:r w:rsidRPr="00A2067D">
        <w:rPr>
          <w:sz w:val="20"/>
        </w:rPr>
        <w:t>The Lord Christ being the Chief Apostle, unique (Heb. 3.1), in Whom all the fulness dwells, it was essential that a body of men should be called unto the Apostleship, in order that the Holy Spirit might distribute the Apostleship of Christ to them for the sake of the Church Universal. The capacities of the human at best are limited; but the ‘ocean-bed’ of the God-Man in His Personality is limitless; the plenitude of the Godhead resided in Him. Hence the necessity of qualified and elected men to be given as Gifts to the Church, for its building-up, in order that the Body might receive of the fulness of Truth, and be brought to perfection.</w:t>
      </w:r>
      <w:r w:rsidRPr="00A2067D">
        <w:rPr>
          <w:rStyle w:val="FootnoteReference"/>
          <w:sz w:val="20"/>
        </w:rPr>
        <w:footnoteReference w:id="707"/>
      </w:r>
    </w:p>
    <w:p w:rsidR="00062AED" w:rsidRDefault="00062AED" w:rsidP="009370EA">
      <w:pPr>
        <w:spacing w:line="360" w:lineRule="auto"/>
        <w:jc w:val="both"/>
      </w:pPr>
      <w:r>
        <w:lastRenderedPageBreak/>
        <w:t>Significantly here we see Williams’ Cyrilline Christology at work; it is Jesus Christ, the God-Man who is the Chief Apostle. This is an office of the one Person of Christ the Son, not an office of merely his human nature (which would be an impossibility for such a Cyrilline Christology). For Williams, Christ has always been the Apostle, not only in time in the incarnation, but in eternity with a view to the incarnation. Jesus is:</w:t>
      </w:r>
    </w:p>
    <w:p w:rsidR="00062AED" w:rsidRPr="00EA5DA0" w:rsidRDefault="00062AED" w:rsidP="009370EA">
      <w:pPr>
        <w:spacing w:line="360" w:lineRule="auto"/>
        <w:ind w:left="720" w:right="720"/>
        <w:jc w:val="both"/>
        <w:rPr>
          <w:sz w:val="20"/>
        </w:rPr>
      </w:pPr>
      <w:r w:rsidRPr="00EA5DA0">
        <w:rPr>
          <w:sz w:val="20"/>
        </w:rPr>
        <w:t>‘the Great’ or the ‘the Chief Apostle,’ as one that was fore-ordained and set apart in the Godhead for the great Plan of Redemption. He ‘proceeded forth’ – to what end? – the Incarnation. As ‘One Sent’ of the Father, He came in the flesh as the Apostle of the New Covenant, bringing into operation the great Plan of Salvation to be revealed in these Last Days. In the Will of God He was ordained in Eternity, but might not appear in flesh until the hour would come into the fulness of time.</w:t>
      </w:r>
      <w:r w:rsidRPr="00EA5DA0">
        <w:rPr>
          <w:rStyle w:val="FootnoteReference"/>
          <w:sz w:val="20"/>
        </w:rPr>
        <w:footnoteReference w:id="708"/>
      </w:r>
    </w:p>
    <w:p w:rsidR="00062AED" w:rsidRDefault="00062AED" w:rsidP="009370EA">
      <w:pPr>
        <w:spacing w:line="360" w:lineRule="auto"/>
        <w:jc w:val="both"/>
      </w:pPr>
      <w:r>
        <w:t>The ministry of apostles in the church then corresponds to the office as seen in Christ in that ‘the Apostle is one who has been (</w:t>
      </w:r>
      <w:r w:rsidRPr="001A5E01">
        <w:rPr>
          <w:i/>
        </w:rPr>
        <w:t>a</w:t>
      </w:r>
      <w:r>
        <w:t>) separated, pre-ordained, elected; and (</w:t>
      </w:r>
      <w:r w:rsidRPr="001A5E01">
        <w:rPr>
          <w:i/>
        </w:rPr>
        <w:t>b</w:t>
      </w:r>
      <w:r>
        <w:t>) sent, in the predestinations of God, “before the foundation of the world.”’</w:t>
      </w:r>
      <w:r>
        <w:rPr>
          <w:rStyle w:val="FootnoteReference"/>
        </w:rPr>
        <w:footnoteReference w:id="709"/>
      </w:r>
      <w:r>
        <w:t xml:space="preserve"> Williams defines the ministry:</w:t>
      </w:r>
    </w:p>
    <w:p w:rsidR="00062AED" w:rsidRPr="00D17718" w:rsidRDefault="00062AED" w:rsidP="009370EA">
      <w:pPr>
        <w:spacing w:line="360" w:lineRule="auto"/>
        <w:ind w:left="720" w:right="720"/>
        <w:jc w:val="both"/>
        <w:rPr>
          <w:sz w:val="20"/>
        </w:rPr>
      </w:pPr>
      <w:r w:rsidRPr="00D17718">
        <w:rPr>
          <w:sz w:val="20"/>
        </w:rPr>
        <w:t>an Apostle is one sent of God to exercise gifts of ministry in the assemblies from place to place … they were gifts given by the ascended Lord to the Body, commissioned to establish churches, to bring revelations of the truth to the churches, to give decisions on matters pertaining to doctrine, and to have care and oversight in the government; to impart gifts, and build up the saints in corporate unity of truth, knowledge and love.</w:t>
      </w:r>
      <w:r w:rsidRPr="00D17718">
        <w:rPr>
          <w:rStyle w:val="FootnoteReference"/>
          <w:sz w:val="20"/>
        </w:rPr>
        <w:footnoteReference w:id="710"/>
      </w:r>
    </w:p>
    <w:p w:rsidR="00062AED" w:rsidRDefault="00062AED" w:rsidP="009370EA">
      <w:pPr>
        <w:spacing w:line="360" w:lineRule="auto"/>
        <w:jc w:val="both"/>
      </w:pPr>
      <w:r>
        <w:t>Although one apostle cannot exercise the fullness of apostleship, the apostleship contains within it then the fullness of the (ordained) ministry. As Williams puts it, ‘the office of Apostle involves and includes more or less the functions of the several other offices.’</w:t>
      </w:r>
      <w:r>
        <w:rPr>
          <w:rStyle w:val="FootnoteReference"/>
        </w:rPr>
        <w:footnoteReference w:id="711"/>
      </w:r>
      <w:r>
        <w:t xml:space="preserve"> Thus:</w:t>
      </w:r>
    </w:p>
    <w:p w:rsidR="00062AED" w:rsidRPr="00123AF8" w:rsidRDefault="00062AED" w:rsidP="009370EA">
      <w:pPr>
        <w:spacing w:line="360" w:lineRule="auto"/>
        <w:ind w:left="720" w:right="720"/>
        <w:jc w:val="both"/>
        <w:rPr>
          <w:sz w:val="20"/>
        </w:rPr>
      </w:pPr>
      <w:r w:rsidRPr="00B22536">
        <w:rPr>
          <w:sz w:val="20"/>
        </w:rPr>
        <w:t>the Apostle is qualified to meet the general demands of his ministry in the Body, being both Apostle, Prophet, Elder, Pastor, Teacher, and Evangelist … in their general supervision they were fitted for whatever need or call arose, and in their vocation they had all right and liberty to enter into every aspect of the Church of God in service. The ministry of the Apostles compassed the whole truth in the Body as a whole.</w:t>
      </w:r>
      <w:r w:rsidRPr="00B22536">
        <w:rPr>
          <w:rStyle w:val="FootnoteReference"/>
          <w:sz w:val="20"/>
        </w:rPr>
        <w:footnoteReference w:id="712"/>
      </w:r>
    </w:p>
    <w:p w:rsidR="00062AED" w:rsidRDefault="00062AED" w:rsidP="009370EA">
      <w:pPr>
        <w:spacing w:line="360" w:lineRule="auto"/>
        <w:jc w:val="both"/>
      </w:pPr>
      <w:r>
        <w:lastRenderedPageBreak/>
        <w:t>For Williams, apostles were very definitely ‘first’ in church government (1 Cor. 12:28).</w:t>
      </w:r>
      <w:r>
        <w:rPr>
          <w:rStyle w:val="FootnoteReference"/>
        </w:rPr>
        <w:footnoteReference w:id="713"/>
      </w:r>
      <w:r>
        <w:t xml:space="preserve"> However he was also keen to stress that this position of the apostleship was only under Christ the Head:</w:t>
      </w:r>
    </w:p>
    <w:p w:rsidR="00062AED" w:rsidRPr="00B20A17" w:rsidRDefault="00062AED" w:rsidP="009370EA">
      <w:pPr>
        <w:spacing w:line="360" w:lineRule="auto"/>
        <w:ind w:left="720" w:right="720"/>
        <w:jc w:val="both"/>
        <w:rPr>
          <w:sz w:val="20"/>
        </w:rPr>
      </w:pPr>
      <w:r w:rsidRPr="00B20A17">
        <w:rPr>
          <w:sz w:val="20"/>
        </w:rPr>
        <w:t>We must bear in mind that Christ is the Head of the Church. There is a danger in pushing the Apostleship too far. It should never be allowed to usurp the place of Christ, the Second Person in the Trinity. It should also be kept well in mind that, whatsoever office or gift we may have, they must point to and glorify the Christ alone, else we shall find ourselves treading on slippery paths and treacherous ground.</w:t>
      </w:r>
      <w:r w:rsidRPr="00B20A17">
        <w:rPr>
          <w:rStyle w:val="FootnoteReference"/>
          <w:sz w:val="20"/>
        </w:rPr>
        <w:footnoteReference w:id="714"/>
      </w:r>
    </w:p>
    <w:p w:rsidR="00062AED" w:rsidRDefault="00062AED" w:rsidP="009370EA">
      <w:pPr>
        <w:spacing w:line="360" w:lineRule="auto"/>
        <w:jc w:val="both"/>
      </w:pPr>
      <w:r>
        <w:t>As it is Christ the Apostle who ministers through his chosen apostles, they become ‘the repositories of the Glory of Christ which pertain[s] to the Apostolic Commission committed unto them.’</w:t>
      </w:r>
      <w:r>
        <w:rPr>
          <w:rStyle w:val="FootnoteReference"/>
        </w:rPr>
        <w:footnoteReference w:id="715"/>
      </w:r>
      <w:r>
        <w:t xml:space="preserve"> 2 Corinthians 8:23 figures prominently in Williams’ understanding of the apostles as ‘the glory of Christ.’</w:t>
      </w:r>
      <w:r>
        <w:rPr>
          <w:rStyle w:val="FootnoteReference"/>
        </w:rPr>
        <w:footnoteReference w:id="716"/>
      </w:r>
      <w:r>
        <w:t xml:space="preserve"> Here it should be recalled that Williams’ understanding of true glory is always seen through the Cross (</w:t>
      </w:r>
      <w:r w:rsidRPr="00803C93">
        <w:rPr>
          <w:i/>
        </w:rPr>
        <w:t>theologia crucis</w:t>
      </w:r>
      <w:r>
        <w:t>). Thus it is only when Christ:</w:t>
      </w:r>
    </w:p>
    <w:p w:rsidR="00062AED" w:rsidRPr="00803C93" w:rsidRDefault="00062AED" w:rsidP="009370EA">
      <w:pPr>
        <w:spacing w:line="360" w:lineRule="auto"/>
        <w:ind w:left="720" w:right="720"/>
        <w:jc w:val="both"/>
        <w:rPr>
          <w:sz w:val="20"/>
        </w:rPr>
      </w:pPr>
      <w:r w:rsidRPr="00803C93">
        <w:rPr>
          <w:sz w:val="20"/>
        </w:rPr>
        <w:t>stripped Himself of His Eternal Glory (which was “the form of God”) in order to take upon Himself “the form of a servant” [that] He came with the Glory of the great Plan of Redemption, which expresses the Loving Heart of God in its fulness for the restoration of all things. This was committed or given unto Him. In order to give that Glory to His earthly followers, He needs must humble Himself.</w:t>
      </w:r>
      <w:r w:rsidRPr="00803C93">
        <w:rPr>
          <w:rStyle w:val="FootnoteReference"/>
          <w:sz w:val="20"/>
        </w:rPr>
        <w:footnoteReference w:id="717"/>
      </w:r>
    </w:p>
    <w:p w:rsidR="00062AED" w:rsidRDefault="00062AED" w:rsidP="009370EA">
      <w:pPr>
        <w:spacing w:line="360" w:lineRule="auto"/>
        <w:jc w:val="both"/>
      </w:pPr>
      <w:r>
        <w:t>So ‘the weight of the Eternal Glory of God’s Predestinations was laid upon’ the Incarnate Christ in his state of humiliation.</w:t>
      </w:r>
      <w:r>
        <w:rPr>
          <w:rStyle w:val="FootnoteReference"/>
        </w:rPr>
        <w:footnoteReference w:id="718"/>
      </w:r>
    </w:p>
    <w:p w:rsidR="00062AED" w:rsidRPr="003D15BF" w:rsidRDefault="00062AED" w:rsidP="009370EA">
      <w:pPr>
        <w:spacing w:line="360" w:lineRule="auto"/>
        <w:ind w:left="720" w:right="720"/>
        <w:jc w:val="both"/>
        <w:rPr>
          <w:sz w:val="20"/>
        </w:rPr>
      </w:pPr>
      <w:r w:rsidRPr="003D15BF">
        <w:rPr>
          <w:sz w:val="20"/>
        </w:rPr>
        <w:t>And when the Plan was completed, and its Glory shone forth in the splendour of the glorious victory of the Cross and the great triumph over Death and Hell, then it was that the Glory of His Eternal Commission was given unto the Apostles, they becoming responsible to God for the delegated Apostleship of Christ. It was given over to them in all i</w:t>
      </w:r>
      <w:r w:rsidR="00DD2C58">
        <w:rPr>
          <w:sz w:val="20"/>
        </w:rPr>
        <w:t>t</w:t>
      </w:r>
      <w:r w:rsidRPr="003D15BF">
        <w:rPr>
          <w:sz w:val="20"/>
        </w:rPr>
        <w:t>s Glory, Power and Purpose. The charge was given them to carry the glorious Gospel of Salvation to the uttermost ends of the earth.</w:t>
      </w:r>
      <w:r w:rsidRPr="003D15BF">
        <w:rPr>
          <w:rStyle w:val="FootnoteReference"/>
          <w:sz w:val="20"/>
        </w:rPr>
        <w:footnoteReference w:id="719"/>
      </w:r>
    </w:p>
    <w:p w:rsidR="00062AED" w:rsidRDefault="00062AED" w:rsidP="009370EA">
      <w:pPr>
        <w:spacing w:line="360" w:lineRule="auto"/>
        <w:jc w:val="both"/>
      </w:pPr>
      <w:r>
        <w:t xml:space="preserve">Thus the glory of which the apostles are repositories is the glory of the Cross; it is the glory of Christ crucified who ministers through them and to whom true apostolic ministry points and leads. For Williams, this glory is seen in three ways in the apostolic ministry: 1) the dignity of </w:t>
      </w:r>
      <w:r>
        <w:lastRenderedPageBreak/>
        <w:t>Christ is seen as the apostles represent and proclaim Christ to the churches and manifest the character of Christ in their lives; 2) the authority of Christ the Head is manifest in the authority of the apostleship; and 3) the responsibility of the apostleship to Christ.</w:t>
      </w:r>
      <w:r>
        <w:rPr>
          <w:rStyle w:val="FootnoteReference"/>
        </w:rPr>
        <w:footnoteReference w:id="720"/>
      </w:r>
    </w:p>
    <w:p w:rsidR="00062AED" w:rsidRDefault="00062AED" w:rsidP="009370EA">
      <w:pPr>
        <w:spacing w:line="360" w:lineRule="auto"/>
        <w:jc w:val="both"/>
      </w:pPr>
      <w:r>
        <w:t>It is this union with Christ Crucified, the Head of the Church and Chief Apostle, which provides the source of the power and authority of the apostolic ministry.</w:t>
      </w:r>
    </w:p>
    <w:p w:rsidR="00062AED" w:rsidRPr="00CD31C7" w:rsidRDefault="00062AED" w:rsidP="009370EA">
      <w:pPr>
        <w:spacing w:line="360" w:lineRule="auto"/>
        <w:ind w:left="720" w:right="720"/>
        <w:jc w:val="both"/>
        <w:rPr>
          <w:sz w:val="20"/>
        </w:rPr>
      </w:pPr>
      <w:r w:rsidRPr="00CD31C7">
        <w:rPr>
          <w:sz w:val="20"/>
        </w:rPr>
        <w:t>The Apostleship is invested with power and authority to carry forth the Revelation committed unto them: in prayer, intercession, the ministry of the Word; to preach, teach and heal; to toil, labour and suffer; to ordain Elders, impart spiritual Gifts (confirmed of God with signs and wonders); to rule and govern with demonstration of Divine wisdom, knowledge and discernment.</w:t>
      </w:r>
      <w:r w:rsidRPr="00CD31C7">
        <w:rPr>
          <w:rStyle w:val="FootnoteReference"/>
          <w:sz w:val="20"/>
        </w:rPr>
        <w:footnoteReference w:id="721"/>
      </w:r>
    </w:p>
    <w:p w:rsidR="00062AED" w:rsidRDefault="00062AED" w:rsidP="009370EA">
      <w:pPr>
        <w:spacing w:line="360" w:lineRule="auto"/>
        <w:jc w:val="both"/>
      </w:pPr>
      <w:r>
        <w:t xml:space="preserve">Notice here the role of suffering in the apostolic ministry, despite the language of ‘power’, ‘authority’ and ‘glory’; given Williams </w:t>
      </w:r>
      <w:r w:rsidRPr="001F56E1">
        <w:rPr>
          <w:i/>
        </w:rPr>
        <w:t>theologia crucis</w:t>
      </w:r>
      <w:r>
        <w:t xml:space="preserve"> the place of suffering here is neither unexpected nor out of place. With such a view of the church as the </w:t>
      </w:r>
      <w:r w:rsidRPr="001F56E1">
        <w:rPr>
          <w:i/>
        </w:rPr>
        <w:t>ecclesia crucis</w:t>
      </w:r>
      <w:r>
        <w:t xml:space="preserve"> it is essential that the apostolic ministry should share in suffering. Further it should be noted here that the emphasis in Williams’ understanding of the apostolic ministry is placed upon prayer and the ministry of the Word (cf. Acts 6:4). The authority, power and glory of apostleship is intimately tied to the ministry of the Word, so that, above all else, apostleship is a ministry of the Word. Thus, to properly understand Williams’ concept of the ordained ministry in general, and of the apostleship more specifically, we must look at Williams’ understanding of the Word and the ministry of the Word. Yet, before doing so, we will briefly turn our attention to the other more unusual aspect of the ordained ministry in the thought of Williams and the Apostolics: the office of the prophet.</w:t>
      </w:r>
    </w:p>
    <w:p w:rsidR="00062AED" w:rsidRDefault="00062AED" w:rsidP="009370EA">
      <w:pPr>
        <w:spacing w:line="360" w:lineRule="auto"/>
        <w:jc w:val="both"/>
      </w:pPr>
      <w:r>
        <w:t>Williams and the other Apostolics distinguished between prophecy as one of the gifts of the Spirit and the office of the prophet. While the gift of prophecy could be exercised by any believer, according to the Holy Spirit’s distribution, only those specifically called and ordained were recognised as prophets.</w:t>
      </w:r>
      <w:r>
        <w:rPr>
          <w:rStyle w:val="FootnoteReference"/>
        </w:rPr>
        <w:footnoteReference w:id="722"/>
      </w:r>
      <w:r>
        <w:t xml:space="preserve"> The gift of prophecy was ‘given for edification, exhortation and comfort’ of the church, whereas ‘the office of the prophet … while it includes these possibilities, nevertheless rises higher in Church government in ministry and operation.’</w:t>
      </w:r>
      <w:r>
        <w:rPr>
          <w:rStyle w:val="FootnoteReference"/>
        </w:rPr>
        <w:footnoteReference w:id="723"/>
      </w:r>
      <w:r>
        <w:t xml:space="preserve"> For Williams, the office of the prophet was a twin office with that of the apostleship, the two working together in harmony for the upbuilding of the church, with the prophetical ministry submitted to the </w:t>
      </w:r>
      <w:r>
        <w:lastRenderedPageBreak/>
        <w:t>authority of the apostleship.</w:t>
      </w:r>
      <w:r>
        <w:rPr>
          <w:rStyle w:val="FootnoteReference"/>
        </w:rPr>
        <w:footnoteReference w:id="724"/>
      </w:r>
      <w:r>
        <w:t xml:space="preserve"> ‘The office of Prophet has a special relation to the Apostleship, one being married, as it were, in co-operation, to the other… The Prophet simply allows the Word to flow through his lips, and then those in charge of the Assembly, as Stewards, discern and divide the Word in their office.’</w:t>
      </w:r>
      <w:r>
        <w:rPr>
          <w:rStyle w:val="FootnoteReference"/>
        </w:rPr>
        <w:footnoteReference w:id="725"/>
      </w:r>
    </w:p>
    <w:p w:rsidR="00062AED" w:rsidRDefault="00062AED" w:rsidP="009370EA">
      <w:pPr>
        <w:spacing w:line="360" w:lineRule="auto"/>
        <w:jc w:val="both"/>
      </w:pPr>
      <w:r w:rsidRPr="006D21EE">
        <w:t>It is in this close co-operation with the apostleship that the prophets were used in calling men to the ministry. As we have seen, the responsibility for calls and ordination lay with the apostleship. Yet the calls themselves could come in prophetical ministry through the prophets.</w:t>
      </w:r>
      <w:r w:rsidRPr="006D21EE">
        <w:rPr>
          <w:rStyle w:val="FootnoteReference"/>
        </w:rPr>
        <w:footnoteReference w:id="726"/>
      </w:r>
      <w:r w:rsidRPr="006D21EE">
        <w:t xml:space="preserve"> The prophets, however, could not ordain; rather, such a prophetical call must be handled by the apostleship who would (as with all prophecies) judge the prophecy before carrying out any ordination. Not only were the prophets </w:t>
      </w:r>
      <w:r>
        <w:t>to be</w:t>
      </w:r>
      <w:r w:rsidRPr="006D21EE">
        <w:t xml:space="preserve"> used in calls to the ministry, but also in other governmental matters in the life of the church, including the location of ministers.</w:t>
      </w:r>
      <w:r>
        <w:rPr>
          <w:rStyle w:val="FootnoteReference"/>
        </w:rPr>
        <w:footnoteReference w:id="727"/>
      </w:r>
      <w:r w:rsidRPr="003106DF">
        <w:t xml:space="preserve"> </w:t>
      </w:r>
      <w:r>
        <w:t xml:space="preserve">For Williams, such an external call to the ministry was of great importance as: </w:t>
      </w:r>
    </w:p>
    <w:p w:rsidR="00062AED" w:rsidRPr="003106DF" w:rsidRDefault="00062AED" w:rsidP="009370EA">
      <w:pPr>
        <w:spacing w:line="360" w:lineRule="auto"/>
        <w:ind w:left="720" w:right="720"/>
        <w:jc w:val="both"/>
        <w:rPr>
          <w:sz w:val="20"/>
        </w:rPr>
      </w:pPr>
      <w:r>
        <w:rPr>
          <w:sz w:val="20"/>
        </w:rPr>
        <w:t xml:space="preserve">The call was revealed in the Church to express the unity of the Body. </w:t>
      </w:r>
      <w:r w:rsidRPr="003106DF">
        <w:rPr>
          <w:sz w:val="20"/>
        </w:rPr>
        <w:t>Whatever might have been their personal revelation, now the calling has been made known through the prophetical ministry as well. Personal revelation is one thing, but confirmation by the Voice of God, and the corporate unity of the Church, unifies the activities of the Church and the ministry.</w:t>
      </w:r>
      <w:r w:rsidRPr="003106DF">
        <w:rPr>
          <w:rStyle w:val="FootnoteReference"/>
          <w:sz w:val="20"/>
        </w:rPr>
        <w:footnoteReference w:id="728"/>
      </w:r>
    </w:p>
    <w:p w:rsidR="00062AED" w:rsidRDefault="00062AED" w:rsidP="009370EA">
      <w:pPr>
        <w:spacing w:line="360" w:lineRule="auto"/>
        <w:jc w:val="both"/>
      </w:pPr>
      <w:r>
        <w:t>It is in light of this practical application of the prophetical ministry in the functioning of the church that Williams could write:</w:t>
      </w:r>
    </w:p>
    <w:p w:rsidR="00062AED" w:rsidRPr="00C73418" w:rsidRDefault="00062AED" w:rsidP="009370EA">
      <w:pPr>
        <w:spacing w:line="360" w:lineRule="auto"/>
        <w:ind w:left="720" w:right="720"/>
        <w:jc w:val="both"/>
        <w:rPr>
          <w:sz w:val="20"/>
        </w:rPr>
      </w:pPr>
      <w:r w:rsidRPr="00C73418">
        <w:rPr>
          <w:sz w:val="20"/>
        </w:rPr>
        <w:t>If we are called as an Apostolic Church to witness for some thing above another, we witness to the unassailable truth that we are a standing Body that is an evidence of the existence and value of the prophetic ministry. Because of our attestation to the prophetic function in the Body of Christ, we have suffered… Whatever may be the imperfections of those whom God has so highly honoured to be the vessels of His Voice, and of those whom God has called unto authority and supervision, it is a very easy matter for us to confess how unworthy we are of such transcendent honour, and of the privilege of hearing the Voice of God directly speaking to us.</w:t>
      </w:r>
      <w:r w:rsidRPr="00C73418">
        <w:rPr>
          <w:rStyle w:val="FootnoteReference"/>
          <w:sz w:val="20"/>
        </w:rPr>
        <w:footnoteReference w:id="729"/>
      </w:r>
    </w:p>
    <w:p w:rsidR="00062AED" w:rsidRDefault="00062AED" w:rsidP="009370EA">
      <w:pPr>
        <w:spacing w:line="360" w:lineRule="auto"/>
        <w:jc w:val="both"/>
      </w:pPr>
      <w:r>
        <w:t xml:space="preserve">Here Williams is not claiming that the ministry of the prophet is the centre of his theology (elsewhere he is clear that his theology is grounded in the relationship between the Father and </w:t>
      </w:r>
      <w:r>
        <w:lastRenderedPageBreak/>
        <w:t>the Son and the relationship between the Head and the Body),</w:t>
      </w:r>
      <w:r>
        <w:rPr>
          <w:rStyle w:val="FootnoteReference"/>
        </w:rPr>
        <w:footnoteReference w:id="730"/>
      </w:r>
      <w:r>
        <w:t xml:space="preserve"> but rather he is pointing to the powerful impact the prophetical ministry had upon the life of the Apostolic Church. Not only were men called as ministers and missionaries through prophecy, but also new assemblies were planted and new mission fields opened as an outcome of the ministry of the prophets.</w:t>
      </w:r>
    </w:p>
    <w:p w:rsidR="00062AED" w:rsidRDefault="00062AED" w:rsidP="009370EA">
      <w:pPr>
        <w:spacing w:line="360" w:lineRule="auto"/>
        <w:jc w:val="both"/>
      </w:pPr>
      <w:r>
        <w:t xml:space="preserve">The close relationship between the ministries of apostle and prophet is even seen in the form Williams’ theologising often took. As can be seen in the footnotes to this chapter, Williams’ theological reflection often took the form of an exposition of prophetical ministry. In the close relationship between the ministries of apostle and prophet, the apostle would be called on to comment on prophetical ministry brought by the prophet. In fact, this practice originated in the early Penygroes Conventions where most of the prophetical ministry would be brought in Welsh, and yet many people were present in </w:t>
      </w:r>
      <w:r w:rsidR="00A967B0">
        <w:t>the congregation from outside</w:t>
      </w:r>
      <w:r>
        <w:t xml:space="preserve"> Welsh-speaking Wales. Williams, therefore, as the convenor of the convention, would give an exposition of the prophecy in English, explaining and commenting on what had been spoken in the Welsh prophecies. This developed over time into the practice of the apostles expounding on the prophetical ministry even when both were given in the same language. A practice which began for linguistic reasons developed into a key expression of the inter-relationship between the apostolic and prophetic ministries. As both the prophecy and the exposition came to be given in the same language, there was no longer any need for the apostle to repeat the clear message of the prophecy, and so the exposition took on more of the form of a response inspired by the prophecy, and thus, in Williams’ day, became the place for the dissemination of significant theological reflection.</w:t>
      </w:r>
      <w:r>
        <w:rPr>
          <w:rStyle w:val="FootnoteReference"/>
        </w:rPr>
        <w:footnoteReference w:id="731"/>
      </w:r>
    </w:p>
    <w:p w:rsidR="00062AED" w:rsidRDefault="00062AED" w:rsidP="009370EA">
      <w:pPr>
        <w:spacing w:line="360" w:lineRule="auto"/>
        <w:jc w:val="both"/>
      </w:pPr>
      <w:r>
        <w:t>Williams’ view of the nature of prophetical ministry differs vastly from contemporary charismatic accounts of prophecy, such as that of Wayne Grudem.</w:t>
      </w:r>
      <w:r>
        <w:rPr>
          <w:rStyle w:val="FootnoteReference"/>
        </w:rPr>
        <w:footnoteReference w:id="732"/>
      </w:r>
      <w:r>
        <w:t xml:space="preserve"> While Grudem argues that prophecy is ‘speaking merely human words to report something God brings to mind,’</w:t>
      </w:r>
      <w:r>
        <w:rPr>
          <w:rStyle w:val="FootnoteReference"/>
        </w:rPr>
        <w:footnoteReference w:id="733"/>
      </w:r>
      <w:r>
        <w:t xml:space="preserve"> Williams insists that prophecy is ‘the Voice of God, as heard through the lips of His prophets, convey[ing] the Mind and Disposition of God.’</w:t>
      </w:r>
      <w:r>
        <w:rPr>
          <w:rStyle w:val="FootnoteReference"/>
        </w:rPr>
        <w:footnoteReference w:id="734"/>
      </w:r>
      <w:r>
        <w:t xml:space="preserve"> Prophecy </w:t>
      </w:r>
      <w:r w:rsidRPr="00C37D8D">
        <w:t>is ‘a Divinely generated utterance through human lips by the indwelling Spirit of God.’</w:t>
      </w:r>
      <w:r>
        <w:rPr>
          <w:rStyle w:val="FootnoteReference"/>
        </w:rPr>
        <w:footnoteReference w:id="735"/>
      </w:r>
      <w:r>
        <w:t xml:space="preserve"> The words spoken by the prophet in prophecy were considered ‘the </w:t>
      </w:r>
      <w:r>
        <w:lastRenderedPageBreak/>
        <w:t>words of the Holy Spirit.’</w:t>
      </w:r>
      <w:r>
        <w:rPr>
          <w:rStyle w:val="FootnoteReference"/>
        </w:rPr>
        <w:footnoteReference w:id="736"/>
      </w:r>
      <w:r>
        <w:t xml:space="preserve"> </w:t>
      </w:r>
      <w:r w:rsidRPr="00D351C9">
        <w:t xml:space="preserve">Williams </w:t>
      </w:r>
      <w:r>
        <w:t>certainly</w:t>
      </w:r>
      <w:r w:rsidRPr="00D351C9">
        <w:t xml:space="preserve"> believed that prophecies should be judged,</w:t>
      </w:r>
      <w:r>
        <w:rPr>
          <w:rStyle w:val="FootnoteReference"/>
        </w:rPr>
        <w:footnoteReference w:id="737"/>
      </w:r>
      <w:r w:rsidRPr="00D351C9">
        <w:t xml:space="preserve"> but did not see that as being in any way incompatible with a prophecy (which has been judged and found acceptable) being accepted as the very words of God.</w:t>
      </w:r>
      <w:r>
        <w:rPr>
          <w:rStyle w:val="FootnoteReference"/>
        </w:rPr>
        <w:footnoteReference w:id="738"/>
      </w:r>
    </w:p>
    <w:p w:rsidR="00062AED" w:rsidRDefault="00062AED" w:rsidP="009370EA">
      <w:pPr>
        <w:spacing w:line="360" w:lineRule="auto"/>
        <w:jc w:val="both"/>
      </w:pPr>
      <w:r>
        <w:t>Would such a view of prophecy not raise it to equality with Scripture? Certainly not. For Williams, prophecy must always be judged by and expounded in light of Scripture.</w:t>
      </w:r>
      <w:r>
        <w:rPr>
          <w:rStyle w:val="FootnoteReference"/>
        </w:rPr>
        <w:footnoteReference w:id="739"/>
      </w:r>
      <w:r>
        <w:t xml:space="preserve"> So how can he hold this tension of prophecy being ‘the Spoken Word’</w:t>
      </w:r>
      <w:r w:rsidR="00C6099E">
        <w:t xml:space="preserve"> </w:t>
      </w:r>
      <w:r>
        <w:t>while not functioning as an addition to Scripture? The answer lies in Williams’ theology of the Word.</w:t>
      </w:r>
    </w:p>
    <w:p w:rsidR="00062AED" w:rsidRDefault="00062AED" w:rsidP="009370EA">
      <w:pPr>
        <w:spacing w:line="360" w:lineRule="auto"/>
        <w:jc w:val="both"/>
      </w:pPr>
      <w:r>
        <w:t>For Williams, whether conceived in terms of apostles, prophets, evangelists, pastors and teachers, or in terms of the orders of the apostleship and the presbytery, the ordained ministry is in its essence the ministry of the Word. This is how the church grows in its union with Christ the Head: ‘His Word being ministered to the end that the Church may become the corporation of Christ.’</w:t>
      </w:r>
      <w:r>
        <w:rPr>
          <w:rStyle w:val="FootnoteReference"/>
        </w:rPr>
        <w:footnoteReference w:id="740"/>
      </w:r>
      <w:r>
        <w:t xml:space="preserve"> This is why Christ has given the gifts of ministers to his church.</w:t>
      </w:r>
    </w:p>
    <w:p w:rsidR="00062AED" w:rsidRPr="004C0875" w:rsidRDefault="00062AED" w:rsidP="009370EA">
      <w:pPr>
        <w:spacing w:line="360" w:lineRule="auto"/>
        <w:ind w:left="720" w:right="720"/>
        <w:jc w:val="both"/>
        <w:rPr>
          <w:sz w:val="20"/>
        </w:rPr>
      </w:pPr>
      <w:r w:rsidRPr="004C0875">
        <w:rPr>
          <w:sz w:val="20"/>
        </w:rPr>
        <w:t>They are to go forward in their ordination because He has ordained them so that His children may have food. God wants to qualify them so that the Word, as the Bread of Life, may be placed within them. And not only the prophets, but those of His choice as Apostles, etc., that His Word may be in them as Bread to the children.</w:t>
      </w:r>
      <w:r w:rsidRPr="004C0875">
        <w:rPr>
          <w:rStyle w:val="FootnoteReference"/>
          <w:sz w:val="20"/>
        </w:rPr>
        <w:footnoteReference w:id="741"/>
      </w:r>
    </w:p>
    <w:p w:rsidR="00062AED" w:rsidRDefault="00062AED" w:rsidP="009370EA">
      <w:pPr>
        <w:spacing w:line="360" w:lineRule="auto"/>
        <w:jc w:val="both"/>
      </w:pPr>
      <w:r>
        <w:t>Through the mouths of his apostles and prophets Christ ‘gives bread to the Body to eat’, without which nourishment the Body will not live.</w:t>
      </w:r>
      <w:r>
        <w:rPr>
          <w:rStyle w:val="FootnoteReference"/>
        </w:rPr>
        <w:footnoteReference w:id="742"/>
      </w:r>
      <w:r>
        <w:t xml:space="preserve"> All things are to be done ‘for the edification of the Body of Christ, that we may be knit together by the Word of God.’</w:t>
      </w:r>
      <w:r>
        <w:rPr>
          <w:rStyle w:val="FootnoteReference"/>
        </w:rPr>
        <w:footnoteReference w:id="743"/>
      </w:r>
      <w:r>
        <w:t xml:space="preserve"> Thus the church is built by the Word and lives by the Word. It is also the church’s task to proclaim the word to those outside; the church’s call is:</w:t>
      </w:r>
    </w:p>
    <w:p w:rsidR="00062AED" w:rsidRPr="00432255" w:rsidRDefault="00062AED" w:rsidP="009370EA">
      <w:pPr>
        <w:spacing w:line="360" w:lineRule="auto"/>
        <w:ind w:left="720" w:right="720"/>
        <w:jc w:val="both"/>
        <w:rPr>
          <w:sz w:val="20"/>
        </w:rPr>
      </w:pPr>
      <w:r w:rsidRPr="00432255">
        <w:rPr>
          <w:sz w:val="20"/>
        </w:rPr>
        <w:t xml:space="preserve">to herald a complete triumph on the ground of the mighty conquest of Calvary … This is our ministry. We preach Christ Crucified. It is the Sword – the Word of God … This is our </w:t>
      </w:r>
      <w:r w:rsidRPr="00432255">
        <w:rPr>
          <w:sz w:val="20"/>
        </w:rPr>
        <w:lastRenderedPageBreak/>
        <w:t>Victory – the ministry concerning the Blood. The unveiling of Christ is the calling of the Church.</w:t>
      </w:r>
      <w:r w:rsidRPr="00432255">
        <w:rPr>
          <w:rStyle w:val="FootnoteReference"/>
          <w:sz w:val="20"/>
        </w:rPr>
        <w:t xml:space="preserve"> </w:t>
      </w:r>
      <w:r w:rsidRPr="00432255">
        <w:rPr>
          <w:rStyle w:val="FootnoteReference"/>
          <w:sz w:val="20"/>
        </w:rPr>
        <w:footnoteReference w:id="744"/>
      </w:r>
    </w:p>
    <w:p w:rsidR="00062AED" w:rsidRDefault="00062AED" w:rsidP="009370EA">
      <w:pPr>
        <w:spacing w:line="360" w:lineRule="auto"/>
        <w:jc w:val="both"/>
      </w:pPr>
      <w:r>
        <w:t xml:space="preserve">Here we see that for Williams, to proclaim the Word is not simply to speak from the Bible. To proclaim the Word is to preach Christ Crucified; the ministry of the Word is the ministry concerning the Blood. </w:t>
      </w:r>
      <w:r w:rsidRPr="008B5B00">
        <w:rPr>
          <w:i/>
        </w:rPr>
        <w:t>A</w:t>
      </w:r>
      <w:r>
        <w:t xml:space="preserve"> biblical message is insufficient; the call of the church is to proclaim </w:t>
      </w:r>
      <w:r w:rsidRPr="00D028A4">
        <w:rPr>
          <w:i/>
        </w:rPr>
        <w:t>the</w:t>
      </w:r>
      <w:r>
        <w:t xml:space="preserve"> biblical message of Jesus Christ and him crucified (cf. John 5:39-40, 46). The church does not merely speak truth, but ‘Christ is the truth’ which the church proclaims.</w:t>
      </w:r>
      <w:r>
        <w:rPr>
          <w:rStyle w:val="FootnoteReference"/>
        </w:rPr>
        <w:footnoteReference w:id="745"/>
      </w:r>
      <w:r>
        <w:t xml:space="preserve"> ‘Where Truth, which is Jesus, triumphs in the hearts and lives of men, there is victory.’</w:t>
      </w:r>
      <w:r>
        <w:rPr>
          <w:rStyle w:val="FootnoteReference"/>
        </w:rPr>
        <w:footnoteReference w:id="746"/>
      </w:r>
    </w:p>
    <w:p w:rsidR="00062AED" w:rsidRDefault="00062AED" w:rsidP="009370EA">
      <w:pPr>
        <w:spacing w:line="360" w:lineRule="auto"/>
        <w:jc w:val="both"/>
      </w:pPr>
      <w:r>
        <w:t>Yet, for Williams, the Word is not simply a message about Christ, or even a biblical message about Christ crucified, for this Word is ‘Divine substance and nourishment to our souls; power and fire and light and energy and victory in our lives.’</w:t>
      </w:r>
      <w:r>
        <w:rPr>
          <w:rStyle w:val="FootnoteReference"/>
        </w:rPr>
        <w:footnoteReference w:id="747"/>
      </w:r>
      <w:r>
        <w:t xml:space="preserve"> He is not using the word ‘substance’ lightly here, for he goes on to write:</w:t>
      </w:r>
    </w:p>
    <w:p w:rsidR="00062AED" w:rsidRPr="008F5F89" w:rsidRDefault="00062AED" w:rsidP="009370EA">
      <w:pPr>
        <w:spacing w:line="360" w:lineRule="auto"/>
        <w:ind w:left="720" w:right="720"/>
        <w:jc w:val="both"/>
        <w:rPr>
          <w:sz w:val="20"/>
        </w:rPr>
      </w:pPr>
      <w:r w:rsidRPr="008F5F89">
        <w:rPr>
          <w:sz w:val="20"/>
        </w:rPr>
        <w:t>we are taking in the Bread of Life; we are taking in substance from the Divine Nature … You are taking in substance by the power of the Holy Spirit into your spirit and soul, by feeding on the Word spoken at this time; you are participating in the nature of God as He is giving of Himself by the ministry of the Word and of the Holy Spirit within you.</w:t>
      </w:r>
      <w:r w:rsidRPr="008F5F89">
        <w:rPr>
          <w:rStyle w:val="FootnoteReference"/>
          <w:sz w:val="20"/>
        </w:rPr>
        <w:footnoteReference w:id="748"/>
      </w:r>
    </w:p>
    <w:p w:rsidR="00062AED" w:rsidRDefault="00062AED" w:rsidP="009370EA">
      <w:pPr>
        <w:spacing w:line="360" w:lineRule="auto"/>
        <w:jc w:val="both"/>
      </w:pPr>
      <w:r>
        <w:t>Here we see something of the significance of the Word in Williams’ theology. By receiving the Word, one receives the very substance of the Bread of Life and participates in the divine nature. The hearers of the Word do not only hear about God, but rather God communicates Himself to them through the ministry of the Word. But how can this be? Williams answer is simple: ‘because … this Word is the Christ.’</w:t>
      </w:r>
      <w:r>
        <w:rPr>
          <w:rStyle w:val="FootnoteReference"/>
        </w:rPr>
        <w:footnoteReference w:id="749"/>
      </w:r>
    </w:p>
    <w:p w:rsidR="00062AED" w:rsidRDefault="00062AED" w:rsidP="009370EA">
      <w:pPr>
        <w:spacing w:line="360" w:lineRule="auto"/>
        <w:jc w:val="both"/>
      </w:pPr>
      <w:r>
        <w:t>For Williams it is essential to grasp that the Word is a three-fold Word: ‘this Word, whether it be the Written, the Spoken or the Incarnate Word, this Word is the Christ.’</w:t>
      </w:r>
      <w:r>
        <w:rPr>
          <w:rStyle w:val="FootnoteReference"/>
        </w:rPr>
        <w:footnoteReference w:id="750"/>
      </w:r>
      <w:r>
        <w:t xml:space="preserve"> </w:t>
      </w:r>
      <w:r w:rsidRPr="003D5104">
        <w:t xml:space="preserve">While it may be tempting to immediately think of Karl Barth when a theology of the three-fold Word is seen, it must be remembered that Williams articulates this in 1925, whilst Barth did not write </w:t>
      </w:r>
      <w:r w:rsidRPr="003D5104">
        <w:rPr>
          <w:i/>
        </w:rPr>
        <w:t>Die Kirchliche Dogmatik I: Die Lehre von Wort Gottes 1</w:t>
      </w:r>
      <w:r w:rsidRPr="003D5104">
        <w:t xml:space="preserve"> until 1932 and the first translation into English </w:t>
      </w:r>
      <w:r w:rsidRPr="003D5104">
        <w:lastRenderedPageBreak/>
        <w:t>was not made until 1936.</w:t>
      </w:r>
      <w:r w:rsidRPr="003D5104">
        <w:rPr>
          <w:rStyle w:val="FootnoteReference"/>
        </w:rPr>
        <w:footnoteReference w:id="751"/>
      </w:r>
      <w:r w:rsidRPr="003D5104">
        <w:t xml:space="preserve"> While Barth had begun to express the idea of the three-fold Word before KD I/1 in his Göttingen lectures, these were not published in either English or the original German during Williams’ (or Barth’s) lifetime.</w:t>
      </w:r>
      <w:r w:rsidRPr="003D5104">
        <w:rPr>
          <w:rStyle w:val="FootnoteReference"/>
        </w:rPr>
        <w:footnoteReference w:id="752"/>
      </w:r>
      <w:r w:rsidRPr="003D5104">
        <w:t xml:space="preserve"> Barth’s Göttingen dogmatics lectures were delivered in 1924-1925, whilst it was in August 1925 that Williams declared that ‘this Word, whether it be the Written, the Spoken or the Incarnate Word, this Word is the Christ.’</w:t>
      </w:r>
      <w:r w:rsidRPr="003D5104">
        <w:rPr>
          <w:rStyle w:val="FootnoteReference"/>
        </w:rPr>
        <w:footnoteReference w:id="753"/>
      </w:r>
      <w:r w:rsidRPr="003D5104">
        <w:t xml:space="preserve"> There was simply no time for Williams to pick up on something Barth was beginning to teach in untranslated and unpublished lectures delivered in a language which Williams did not speak, half a continent away. </w:t>
      </w:r>
      <w:r w:rsidR="00E23FF0">
        <w:t>Williams’</w:t>
      </w:r>
      <w:r w:rsidRPr="003D5104">
        <w:t xml:space="preserve"> doctrine of the three-fold Word then must be entirely independent of that of Barth.</w:t>
      </w:r>
    </w:p>
    <w:p w:rsidR="00062AED" w:rsidRDefault="00062AED" w:rsidP="009370EA">
      <w:pPr>
        <w:spacing w:line="360" w:lineRule="auto"/>
        <w:jc w:val="both"/>
      </w:pPr>
      <w:r>
        <w:t>Although it was Barth who drew the attention of twentieth century theologians to the threefold Word, the concept, and even the expression, date back much further. While Peter Martyr Vermigli used the expression, his understanding of the threefold word was somewhat different (incarnate, audible, and visible words, and distinguishing two natures in each word).</w:t>
      </w:r>
      <w:r>
        <w:rPr>
          <w:rStyle w:val="FootnoteReference"/>
        </w:rPr>
        <w:footnoteReference w:id="754"/>
      </w:r>
      <w:r>
        <w:t xml:space="preserve"> It is Luther’s concept of the threefold Word which is much closer to that of both Barth and Williams.</w:t>
      </w:r>
      <w:r>
        <w:rPr>
          <w:rStyle w:val="FootnoteReference"/>
        </w:rPr>
        <w:footnoteReference w:id="755"/>
      </w:r>
      <w:r>
        <w:t xml:space="preserve"> Although Barth explicitly drew on Luther, Williams did not (and as we have seen above in our consideration of the Supper, few, if any, of Luther’s writings would have been available to Williams).</w:t>
      </w:r>
    </w:p>
    <w:p w:rsidR="00062AED" w:rsidRDefault="00062AED" w:rsidP="009370EA">
      <w:pPr>
        <w:spacing w:line="360" w:lineRule="auto"/>
        <w:jc w:val="both"/>
      </w:pPr>
      <w:r>
        <w:t>According to Williams’ concept of the three-fold Word, wherever and whenever God speaks, ‘the Word is a Person’ and, as a result, ‘is alive in its effect.’</w:t>
      </w:r>
      <w:r>
        <w:rPr>
          <w:rStyle w:val="FootnoteReference"/>
        </w:rPr>
        <w:footnoteReference w:id="756"/>
      </w:r>
      <w:r>
        <w:t xml:space="preserve"> Thus, the power of the Word and its efficacy are not exterior to the Word; the Holy Spirit does not add power to the Word, for the Word is the living person of God the Word in His own power. This does not mean that Williams </w:t>
      </w:r>
      <w:r>
        <w:lastRenderedPageBreak/>
        <w:t>separates Word and Spirit; he regularly speaks of the two together.</w:t>
      </w:r>
      <w:r>
        <w:rPr>
          <w:rStyle w:val="FootnoteReference"/>
        </w:rPr>
        <w:footnoteReference w:id="757"/>
      </w:r>
      <w:r>
        <w:t xml:space="preserve"> However, what it does mean is that, for Williams, the Word is not empty or powerless without the Spirit, for the power and authority of the Word is the power and authority of Christ himself. Moreover, the Word is never apart from the Spirit, for the second and third persons of the Trinity cannot be divided. For Williams, as in the Lutheran understanding of the relationship, there is a perpetual union of the Spirit and the Word.</w:t>
      </w:r>
      <w:r>
        <w:rPr>
          <w:rStyle w:val="FootnoteReference"/>
        </w:rPr>
        <w:footnoteReference w:id="758"/>
      </w:r>
      <w:r>
        <w:t xml:space="preserve"> It is, for Williams, Christ the Word, the Mediator, who mediates ‘the power of grace and truth to operate effectively upon a ruined race’</w:t>
      </w:r>
      <w:r>
        <w:rPr>
          <w:rStyle w:val="FootnoteReference"/>
        </w:rPr>
        <w:footnoteReference w:id="759"/>
      </w:r>
      <w:r>
        <w:t xml:space="preserve"> and thus it is not the Holy Spirit who unites with the Word to make it effective, but rather the Holy Spirit works through the Word. In other words, Williams takes the Lutheran approach to the Spirit’s relationship to the Word (the Spirit works </w:t>
      </w:r>
      <w:r w:rsidRPr="00835CFF">
        <w:rPr>
          <w:i/>
        </w:rPr>
        <w:t>per verbum</w:t>
      </w:r>
      <w:r>
        <w:t xml:space="preserve">) as opposed to the Reformed idea (that the Spirit works </w:t>
      </w:r>
      <w:r w:rsidRPr="00835CFF">
        <w:rPr>
          <w:i/>
        </w:rPr>
        <w:t>cum verbo</w:t>
      </w:r>
      <w:r>
        <w:t>).</w:t>
      </w:r>
      <w:r>
        <w:rPr>
          <w:rStyle w:val="FootnoteReference"/>
        </w:rPr>
        <w:footnoteReference w:id="760"/>
      </w:r>
      <w:r>
        <w:t xml:space="preserve"> Christ is the Mediator and Christ is the Word, therefore it is the Word which mediates the Spirit (in order that the Spirit may glorify Christ the Word).</w:t>
      </w:r>
    </w:p>
    <w:p w:rsidR="00062AED" w:rsidRDefault="00062AED" w:rsidP="009370EA">
      <w:pPr>
        <w:spacing w:line="360" w:lineRule="auto"/>
        <w:jc w:val="both"/>
      </w:pPr>
      <w:r>
        <w:t>At the root of all Williams’ theology of the Word is his insistence that ‘it is important to get the fundamental conception of the Word as a Person.’</w:t>
      </w:r>
      <w:r>
        <w:rPr>
          <w:rStyle w:val="FootnoteReference"/>
        </w:rPr>
        <w:footnoteReference w:id="761"/>
      </w:r>
      <w:r>
        <w:t xml:space="preserve"> It is only with this understanding in place that we can rightly approach ‘the Written Word’ and ‘the Word spoken.’</w:t>
      </w:r>
      <w:r>
        <w:rPr>
          <w:rStyle w:val="FootnoteReference"/>
        </w:rPr>
        <w:footnoteReference w:id="762"/>
      </w:r>
      <w:r>
        <w:t xml:space="preserve"> It is only because Christ himself is the Word that the ministry of the Word brings life, and the ultimate effect of the ministry of the Word will be that, in the eschaton, those who have received life in the Word ‘shall be able that Day to enjoy the Word of God visibly.’</w:t>
      </w:r>
      <w:r>
        <w:rPr>
          <w:rStyle w:val="FootnoteReference"/>
        </w:rPr>
        <w:footnoteReference w:id="763"/>
      </w:r>
      <w:r>
        <w:t xml:space="preserve"> </w:t>
      </w:r>
    </w:p>
    <w:p w:rsidR="00062AED" w:rsidRDefault="00062AED" w:rsidP="009370EA">
      <w:pPr>
        <w:spacing w:line="360" w:lineRule="auto"/>
        <w:jc w:val="both"/>
      </w:pPr>
      <w:r>
        <w:t>In Scripture (the Written Word) and proclamation (the Spoken Word), ‘that which is eternal is uttered, declaring and revealing Him, the otherwise unknown and hidden mind of God, by which He created all things, upholding all things; the Incarnate Redeeming Word, whether Written or Spoken through inspired men.’</w:t>
      </w:r>
      <w:r>
        <w:rPr>
          <w:rStyle w:val="FootnoteReference"/>
        </w:rPr>
        <w:footnoteReference w:id="764"/>
      </w:r>
      <w:r>
        <w:t xml:space="preserve"> It is the Incarnate Redeeming Word which is written and spoken. It is the Incarnate Redeeming Word which reveals God. It is the Incarnate Redeeming Word who works effectively in Scripture and proclamation. For Williams, Christ is present in His Word, for the Word is Christ.</w:t>
      </w:r>
    </w:p>
    <w:p w:rsidR="00062AED" w:rsidRDefault="00062AED" w:rsidP="009370EA">
      <w:pPr>
        <w:spacing w:line="360" w:lineRule="auto"/>
        <w:jc w:val="both"/>
      </w:pPr>
      <w:r>
        <w:lastRenderedPageBreak/>
        <w:t>A word should be said here on ‘the Spoken Word.’ It was typical among early Apostolics to refer to prophecy as ‘the Spoken Word.’ However, in Williams’ theology, the expression has a wider application than purely the prophetical ministry. The Spoken Word ‘is diverse in these different ministers: The Word of wisdom, of knowledge, of absolution, of prophecy, of tongues, of interpretation, of revelation, and of reconciliation.’</w:t>
      </w:r>
      <w:r>
        <w:rPr>
          <w:rStyle w:val="FootnoteReference"/>
        </w:rPr>
        <w:footnoteReference w:id="765"/>
      </w:r>
      <w:r>
        <w:t xml:space="preserve"> Thus we see that the Spoken Word is connected strongly to the ordained ministry as the ministry of the Word, and comprises not only the Word of the Lord through the various ‘Voice Gifts’, but also the ministerial proclamations of absolution and reconciliation: the office of the keys and the office of gospel preaching. Hence, the Spoken Word is not limited to prophecy, but includes all proclamation of Christ the Word.</w:t>
      </w:r>
    </w:p>
    <w:p w:rsidR="00062AED" w:rsidRDefault="00062AED" w:rsidP="009370EA">
      <w:pPr>
        <w:spacing w:line="360" w:lineRule="auto"/>
        <w:jc w:val="both"/>
      </w:pPr>
      <w:r>
        <w:t>Not only is Christ present in His Word, but Christ is only known by His Word.</w:t>
      </w:r>
      <w:r>
        <w:rPr>
          <w:rStyle w:val="FootnoteReference"/>
        </w:rPr>
        <w:footnoteReference w:id="766"/>
      </w:r>
      <w:r>
        <w:t xml:space="preserve">  Jesus is ‘the revelation of His Father’ and ‘the Person who reveals God in His fulness.’</w:t>
      </w:r>
      <w:r>
        <w:rPr>
          <w:rStyle w:val="FootnoteReference"/>
        </w:rPr>
        <w:footnoteReference w:id="767"/>
      </w:r>
      <w:r>
        <w:t xml:space="preserve"> Furthermore, Christ is in his ministers by his Word,</w:t>
      </w:r>
      <w:r>
        <w:rPr>
          <w:rStyle w:val="FootnoteReference"/>
        </w:rPr>
        <w:footnoteReference w:id="768"/>
      </w:r>
      <w:r>
        <w:t xml:space="preserve"> and the members of the Body are united to the Head by the Word and grow in Him through the Word too.</w:t>
      </w:r>
      <w:r>
        <w:rPr>
          <w:rStyle w:val="FootnoteReference"/>
        </w:rPr>
        <w:footnoteReference w:id="769"/>
      </w:r>
      <w:r>
        <w:t xml:space="preserve"> Union with Christ then, would appear, for Williams, to be not only by the Spirit, but by Word and Spirit (or, more precisely, by the Spirit only through the Word). The Triune God ‘speaks and gives forth His Word … to establish and nourish Faith, the Faith of the saints, in His Word.’</w:t>
      </w:r>
      <w:r>
        <w:rPr>
          <w:rStyle w:val="FootnoteReference"/>
        </w:rPr>
        <w:footnoteReference w:id="770"/>
      </w:r>
      <w:r>
        <w:t xml:space="preserve"> It is ‘in the Spoken Word’ that the Holy Spirit appears in the midst of the Pentecostal assembly.</w:t>
      </w:r>
      <w:r>
        <w:rPr>
          <w:rStyle w:val="FootnoteReference"/>
        </w:rPr>
        <w:footnoteReference w:id="771"/>
      </w:r>
      <w:r>
        <w:t xml:space="preserve"> In the Spoken Word, ‘God the Holy Ghost has come to use the historical or the Written [Word] and to impart the Incarnate Word unto us in Divine Substance so that we are strong in the three-fold power of … His Word.’</w:t>
      </w:r>
      <w:r>
        <w:rPr>
          <w:rStyle w:val="FootnoteReference"/>
        </w:rPr>
        <w:footnoteReference w:id="772"/>
      </w:r>
    </w:p>
    <w:p w:rsidR="00062AED" w:rsidRDefault="00062AED" w:rsidP="009370EA">
      <w:pPr>
        <w:spacing w:line="360" w:lineRule="auto"/>
        <w:jc w:val="both"/>
      </w:pPr>
      <w:r>
        <w:t>The three forms of the Word cannot be separated: ‘we must always combine the Written Word, the Incarnate Word, and the Spoken Word, because they are One.’</w:t>
      </w:r>
      <w:r>
        <w:rPr>
          <w:rStyle w:val="FootnoteReference"/>
        </w:rPr>
        <w:footnoteReference w:id="773"/>
      </w:r>
      <w:r>
        <w:t xml:space="preserve"> The authentic Word is ‘the Word of God, Historical,</w:t>
      </w:r>
      <w:r>
        <w:rPr>
          <w:rStyle w:val="FootnoteReference"/>
        </w:rPr>
        <w:footnoteReference w:id="774"/>
      </w:r>
      <w:r>
        <w:t xml:space="preserve"> Incarnate, and Spoken through the Gifts of the Holy Spirit; – the Word, in His full orbed ministry.’</w:t>
      </w:r>
      <w:r>
        <w:rPr>
          <w:rStyle w:val="FootnoteReference"/>
        </w:rPr>
        <w:footnoteReference w:id="775"/>
      </w:r>
      <w:r>
        <w:t xml:space="preserve"> This unity of the three-fold Word is vital ‘because the Word Incarnate from the Throne, and the historical (Written) and Spoken Word are one in their </w:t>
      </w:r>
      <w:r>
        <w:lastRenderedPageBreak/>
        <w:t>redemptive object and effect, namely to redeem everything that has been touched by sin.’</w:t>
      </w:r>
      <w:r>
        <w:rPr>
          <w:rStyle w:val="FootnoteReference"/>
        </w:rPr>
        <w:footnoteReference w:id="776"/>
      </w:r>
      <w:r>
        <w:t xml:space="preserve"> This unity of the three-fold word is a mystery to us, yet we must not try and resolve this mystery by logic and speculation for ‘he who tries to understand and explain the Word of God with his own human reason and construction will fall to ruins.’</w:t>
      </w:r>
      <w:r>
        <w:rPr>
          <w:rStyle w:val="FootnoteReference"/>
        </w:rPr>
        <w:footnoteReference w:id="777"/>
      </w:r>
    </w:p>
    <w:p w:rsidR="00062AED" w:rsidRDefault="00062AED" w:rsidP="009370EA">
      <w:pPr>
        <w:spacing w:line="360" w:lineRule="auto"/>
        <w:jc w:val="both"/>
      </w:pPr>
      <w:r>
        <w:t>Thus for Williams, it is of the utmost importance that in the proclamation of the Word (the Spoken Word), we see that ‘they are not “words”, mere words. But it is the WORD of God.’</w:t>
      </w:r>
      <w:r>
        <w:rPr>
          <w:rStyle w:val="FootnoteReference"/>
        </w:rPr>
        <w:footnoteReference w:id="778"/>
      </w:r>
      <w:r>
        <w:t xml:space="preserve"> Williams points to the proclamation of the Old Testament prophets, noting that ‘it is very remarkable that … they did not say “the Words of the Lord”, but “the Word of the Lord.”’</w:t>
      </w:r>
      <w:r>
        <w:rPr>
          <w:rStyle w:val="FootnoteReference"/>
        </w:rPr>
        <w:footnoteReference w:id="779"/>
      </w:r>
      <w:r>
        <w:t xml:space="preserve"> Here Williams’ theology of Christ as the Mediator of Revelation and Christ as the Mediator of Redemption come together. Williams uses the Welsh word </w:t>
      </w:r>
      <w:r w:rsidRPr="00E9140F">
        <w:rPr>
          <w:i/>
        </w:rPr>
        <w:t>gagendor</w:t>
      </w:r>
      <w:r>
        <w:t xml:space="preserve"> (which refers to a wide empty space, a fissure, a gulf, or abyss, and is significantly also the word used in the Welsh Bible in Luke 16:26 for the ‘great gulf’ between ‘Abraham’s bosom’ and ‘Hades’) to speak of the distance between God and humanity across which no message can travel. It is an empty vacuum, which ‘separated you and me from the Throne, and from communication with God the Father.’</w:t>
      </w:r>
      <w:r>
        <w:rPr>
          <w:rStyle w:val="FootnoteReference"/>
        </w:rPr>
        <w:footnoteReference w:id="780"/>
      </w:r>
      <w:r>
        <w:t xml:space="preserve"> It is ‘the sin of the human race that had caused this </w:t>
      </w:r>
      <w:r w:rsidRPr="00150DB8">
        <w:rPr>
          <w:i/>
        </w:rPr>
        <w:t>gagendor</w:t>
      </w:r>
      <w:r>
        <w:t>.’</w:t>
      </w:r>
      <w:r>
        <w:rPr>
          <w:rStyle w:val="FootnoteReference"/>
        </w:rPr>
        <w:footnoteReference w:id="781"/>
      </w:r>
      <w:r>
        <w:t xml:space="preserve"> As an empty vacuum, the only way for a message to cross the </w:t>
      </w:r>
      <w:r w:rsidRPr="00150DB8">
        <w:rPr>
          <w:i/>
        </w:rPr>
        <w:t>gagendor</w:t>
      </w:r>
      <w:r>
        <w:t xml:space="preserve"> is for it to be filled. ‘But the WORD filled the space and travelled from Eternity and came down here; and [now] there is no gulf, because the Word has filled it.’</w:t>
      </w:r>
      <w:r>
        <w:rPr>
          <w:rStyle w:val="FootnoteReference"/>
        </w:rPr>
        <w:footnoteReference w:id="782"/>
      </w:r>
      <w:r>
        <w:t xml:space="preserve"> Christ the Word fills the vacuum between our fallen time and God’s eternity, bringing God to humanity and humanity to God, both in revelation and redemption. For Williams though, this is not simply a matter of Christ’s cross bridging the gap between a holy God and sinful humanity; rather this filling of the </w:t>
      </w:r>
      <w:r w:rsidRPr="00EC7CE3">
        <w:rPr>
          <w:i/>
        </w:rPr>
        <w:t>gagendor</w:t>
      </w:r>
      <w:r>
        <w:t xml:space="preserve"> by the Word ‘is continuing … all the time.’</w:t>
      </w:r>
      <w:r>
        <w:rPr>
          <w:rStyle w:val="FootnoteReference"/>
        </w:rPr>
        <w:footnoteReference w:id="783"/>
      </w:r>
      <w:r>
        <w:t xml:space="preserve"> Yes, vitally, ‘when He hung on the Cross of Calvary … the gulf was filled by His atoning Sacrifice, [yet] more than that, the gulf is still filled with the Word’ and Christ still spans the </w:t>
      </w:r>
      <w:r w:rsidRPr="00EC7CE3">
        <w:rPr>
          <w:i/>
        </w:rPr>
        <w:t>gagendor</w:t>
      </w:r>
      <w:r>
        <w:t xml:space="preserve"> ‘through His Word to reach you and I.’</w:t>
      </w:r>
      <w:r>
        <w:rPr>
          <w:rStyle w:val="FootnoteReference"/>
        </w:rPr>
        <w:footnoteReference w:id="784"/>
      </w:r>
      <w:r>
        <w:t xml:space="preserve"> The problem is that we try to span the </w:t>
      </w:r>
      <w:r w:rsidRPr="00F91268">
        <w:rPr>
          <w:i/>
        </w:rPr>
        <w:t>gagendor</w:t>
      </w:r>
      <w:r>
        <w:t xml:space="preserve"> with our own words. ‘The hindrance has been that the saints have put their own human construction on things. We try to span the </w:t>
      </w:r>
      <w:r w:rsidRPr="00F91268">
        <w:rPr>
          <w:i/>
        </w:rPr>
        <w:t>gagendor</w:t>
      </w:r>
      <w:r>
        <w:t xml:space="preserve"> … instead of letting the gulf be measured and filled by the Word. We expect the Word of God to be as we construe it, and put our own human construction upon </w:t>
      </w:r>
      <w:r>
        <w:lastRenderedPageBreak/>
        <w:t>it.’ This is what happens when we do not recognise the unity of the three-fold Word and when the proclamation of the word is confused with mere human words.</w:t>
      </w:r>
      <w:r>
        <w:rPr>
          <w:rStyle w:val="FootnoteReference"/>
        </w:rPr>
        <w:footnoteReference w:id="785"/>
      </w:r>
    </w:p>
    <w:p w:rsidR="00062AED" w:rsidRDefault="00062AED" w:rsidP="009370EA">
      <w:pPr>
        <w:spacing w:line="360" w:lineRule="auto"/>
        <w:jc w:val="both"/>
      </w:pPr>
      <w:r>
        <w:t xml:space="preserve">The Spoken Word then, in </w:t>
      </w:r>
      <w:r w:rsidR="00E23FF0">
        <w:t>Williams’</w:t>
      </w:r>
      <w:r>
        <w:t xml:space="preserve"> theology, whether in the preaching of the gospel or the gifts of the Spirit (or even in the minister’s pronouncement of absolution</w:t>
      </w:r>
      <w:r>
        <w:rPr>
          <w:rStyle w:val="FootnoteReference"/>
        </w:rPr>
        <w:footnoteReference w:id="786"/>
      </w:r>
      <w:r>
        <w:t>) is what forms and builds up the church of Christ,</w:t>
      </w:r>
      <w:r>
        <w:rPr>
          <w:rStyle w:val="FootnoteReference"/>
        </w:rPr>
        <w:footnoteReference w:id="787"/>
      </w:r>
      <w:r>
        <w:t xml:space="preserve"> for Christ the Head is present in the Word and communicates Himself to His Body by the Word, for the Spoken Word, the Written Word and the Incarnate Word are one.</w:t>
      </w:r>
    </w:p>
    <w:p w:rsidR="00062AED" w:rsidRDefault="00062AED" w:rsidP="009370EA">
      <w:pPr>
        <w:spacing w:line="360" w:lineRule="auto"/>
        <w:jc w:val="both"/>
      </w:pPr>
      <w:r>
        <w:t>If the ordained ministry is essentially a ministry of the Word, and the church is built by the Word into union with the Word who is its Head, then what of the role of the Holy Spirit in the ministry? After all, D.P. Williams was a Pentecostal, and we have already examined the importance of BHS for his ecclesiology. His concept of the five-fold ministry has traditionally been viewed as distinctively Pentecostal, but is it in fact more Word-centred and less Pneumatic than to be expected? Not at all. It should be remembered that, for Williams, the Spirit acts through the Word. Therefore a Word-centred ministry is not any less pneumatic; rather, it is only as the ministry is centred in the Word that a truly pneumatic ministry can be seen at all. While it is Christ the Head who gives these gifts of ministers to his Body and who ministers through them by his Word as they minister in union with him, the Holy Spirit is also involved in this union and ministry, through the Word, so that the ministry gifts may be ‘manifestations of the Holy Trinity in the Body.’</w:t>
      </w:r>
      <w:r>
        <w:rPr>
          <w:rStyle w:val="FootnoteReference"/>
        </w:rPr>
        <w:footnoteReference w:id="788"/>
      </w:r>
      <w:r>
        <w:t xml:space="preserve"> For Williams, it is ‘the indwelling Holy Spirit [who] takes from the Invisible Head </w:t>
      </w:r>
      <w:r>
        <w:lastRenderedPageBreak/>
        <w:t>and gives to the Church, through the visible members of His Body.’</w:t>
      </w:r>
      <w:r>
        <w:rPr>
          <w:rStyle w:val="FootnoteReference"/>
        </w:rPr>
        <w:footnoteReference w:id="789"/>
      </w:r>
      <w:r>
        <w:t xml:space="preserve"> This is due to the unity of the Trinity, and so ‘this Comforter Divine … has come to live Christ in us.’</w:t>
      </w:r>
      <w:r>
        <w:rPr>
          <w:rStyle w:val="FootnoteReference"/>
        </w:rPr>
        <w:footnoteReference w:id="790"/>
      </w:r>
      <w:r>
        <w:t xml:space="preserve"> Williams can even go so far as to say of the Headship Gifts of Christ that ‘the Holy Ghost is sent down from Heaven, embodied in gifts, in Divine Election, to express and manifest the character of the Risen Lord in His Kingship, in His Priesthood, and again as Prophet.’</w:t>
      </w:r>
      <w:r>
        <w:rPr>
          <w:rStyle w:val="FootnoteReference"/>
        </w:rPr>
        <w:footnoteReference w:id="791"/>
      </w:r>
    </w:p>
    <w:p w:rsidR="00062AED" w:rsidRDefault="00062AED" w:rsidP="009370EA">
      <w:pPr>
        <w:spacing w:line="360" w:lineRule="auto"/>
        <w:jc w:val="both"/>
      </w:pPr>
      <w:r>
        <w:t>Therefore, there is a Trinitarian character to the ordained ministry: Christ’s ministers are elect of the Father,</w:t>
      </w:r>
      <w:r>
        <w:rPr>
          <w:rStyle w:val="FootnoteReference"/>
        </w:rPr>
        <w:footnoteReference w:id="792"/>
      </w:r>
      <w:r>
        <w:t xml:space="preserve"> united to Christ and sent by him that he might communicate himself through them by the power of his Spirit through his Word. Hence, for Williams, the ministry gifts are ‘exhibiting the Trinity … The Offices fulfilled by the Three Persons are thus manifesting, uniting and edifying the Body.’</w:t>
      </w:r>
      <w:r>
        <w:rPr>
          <w:rStyle w:val="FootnoteReference"/>
        </w:rPr>
        <w:footnoteReference w:id="793"/>
      </w:r>
      <w:r>
        <w:t xml:space="preserve"> The ministry gifts of apostles, prophets, evangelists, pastors and teachers ‘are all connected with the Blessed Trinity, the Divine Three in One, in their origin, use, and result.’</w:t>
      </w:r>
      <w:r>
        <w:rPr>
          <w:rStyle w:val="FootnoteReference"/>
        </w:rPr>
        <w:footnoteReference w:id="794"/>
      </w:r>
    </w:p>
    <w:p w:rsidR="00062AED" w:rsidRDefault="00062AED" w:rsidP="009370EA">
      <w:pPr>
        <w:spacing w:line="360" w:lineRule="auto"/>
        <w:jc w:val="both"/>
      </w:pPr>
    </w:p>
    <w:p w:rsidR="00062AED" w:rsidRPr="00436916" w:rsidRDefault="00062AED" w:rsidP="009370EA">
      <w:pPr>
        <w:pStyle w:val="PhDSubheading"/>
        <w:spacing w:line="360" w:lineRule="auto"/>
      </w:pPr>
      <w:r>
        <w:t xml:space="preserve">4.2.4 </w:t>
      </w:r>
      <w:r w:rsidRPr="00436916">
        <w:t xml:space="preserve">The Church as the Body of the </w:t>
      </w:r>
      <w:r>
        <w:t>Coming</w:t>
      </w:r>
      <w:r w:rsidRPr="00436916">
        <w:t xml:space="preserve"> Christ</w:t>
      </w:r>
    </w:p>
    <w:p w:rsidR="00062AED" w:rsidRDefault="00062AED" w:rsidP="009370EA">
      <w:pPr>
        <w:spacing w:line="360" w:lineRule="auto"/>
        <w:jc w:val="both"/>
      </w:pPr>
      <w:r>
        <w:t>Eschatology was of great importance for the early Pentecostals. In 1920 Williams’ friend and colleag</w:t>
      </w:r>
      <w:r w:rsidR="003D6F3F">
        <w:t>ue, Thomas Jones</w:t>
      </w:r>
      <w:r>
        <w:t xml:space="preserve"> Llwynhendy, wrote: ‘We Apostolic people are always mentioning the Second Coming!’</w:t>
      </w:r>
      <w:r>
        <w:rPr>
          <w:rStyle w:val="FootnoteReference"/>
        </w:rPr>
        <w:footnoteReference w:id="795"/>
      </w:r>
      <w:r>
        <w:t xml:space="preserve"> This eschatological fervour was not only confined to preaching on Christ’s return, but also had an impact on their theological understanding of the Body of Christ. The church was not only at the centre of God’s purpose in this age, but also in the age to come. Christ ‘has come to make a mansion of the Church, in order to bring His Church to His mansions.’</w:t>
      </w:r>
      <w:r>
        <w:rPr>
          <w:rStyle w:val="FootnoteReference"/>
        </w:rPr>
        <w:footnoteReference w:id="796"/>
      </w:r>
      <w:r>
        <w:t xml:space="preserve"> In the eschaton, ‘the Bride of the Lamb will appear in her eternal completeness.’</w:t>
      </w:r>
      <w:r>
        <w:rPr>
          <w:rStyle w:val="FootnoteReference"/>
        </w:rPr>
        <w:footnoteReference w:id="797"/>
      </w:r>
      <w:r>
        <w:t xml:space="preserve"> The eschatological aspect of Williams’ ecclesiology is even connected to the ministry of the Word:</w:t>
      </w:r>
    </w:p>
    <w:p w:rsidR="00062AED" w:rsidRPr="005C65BB" w:rsidRDefault="00062AED" w:rsidP="009370EA">
      <w:pPr>
        <w:spacing w:line="360" w:lineRule="auto"/>
        <w:ind w:left="720" w:right="720"/>
        <w:jc w:val="both"/>
        <w:rPr>
          <w:sz w:val="20"/>
        </w:rPr>
      </w:pPr>
      <w:r w:rsidRPr="005C65BB">
        <w:rPr>
          <w:sz w:val="20"/>
        </w:rPr>
        <w:t xml:space="preserve">All the purposes of God are bound up in His Son. All the redemptive fulness of the Son is bound up in His Church. God the Father manifested Himself through His Son. God the Son will manifest His fulness throughout the ages eternal through His Body, the Church. With </w:t>
      </w:r>
      <w:r w:rsidRPr="005C65BB">
        <w:rPr>
          <w:sz w:val="20"/>
        </w:rPr>
        <w:lastRenderedPageBreak/>
        <w:t>that in view the Word is given. The measure of the Word in the Body is to reach the ultimate purpose that God has ordained for Christ and the Church in the universe.</w:t>
      </w:r>
      <w:r w:rsidRPr="005C65BB">
        <w:rPr>
          <w:rStyle w:val="FootnoteReference"/>
          <w:sz w:val="20"/>
        </w:rPr>
        <w:footnoteReference w:id="798"/>
      </w:r>
    </w:p>
    <w:p w:rsidR="00062AED" w:rsidRDefault="00062AED" w:rsidP="009370EA">
      <w:pPr>
        <w:spacing w:line="360" w:lineRule="auto"/>
        <w:jc w:val="both"/>
      </w:pPr>
      <w:r>
        <w:t>In fact eschatology had a significant influence on all of Williams’ theology and is often connected in Williams’ thought with the doctrine of election; in other words, for Williams, there is an inseparable link between ‘eternity past’ and ‘eternity future’. The eschatological perfection of the church is being brought about through ‘the perfection of [the unchangeable God’s] predestination concerning [the church] in Him, even in Christ your Lord.’</w:t>
      </w:r>
      <w:r>
        <w:rPr>
          <w:rStyle w:val="FootnoteReference"/>
        </w:rPr>
        <w:footnoteReference w:id="799"/>
      </w:r>
    </w:p>
    <w:p w:rsidR="00062AED" w:rsidRDefault="00062AED" w:rsidP="009370EA">
      <w:pPr>
        <w:spacing w:line="360" w:lineRule="auto"/>
        <w:jc w:val="both"/>
      </w:pPr>
      <w:r>
        <w:t>The connection between the eternal predestination of God and the eschatological future lies, for Williams, in the central concept of Apostolic theology, the eternal purpose.</w:t>
      </w:r>
      <w:r>
        <w:rPr>
          <w:rStyle w:val="FootnoteReference"/>
        </w:rPr>
        <w:footnoteReference w:id="800"/>
      </w:r>
      <w:r>
        <w:t xml:space="preserve"> For Williams the locus of the eternal purpose is found in the union between Christ the Head and His Body, the Church. Through this union Christ has ‘passed on that Glory [which the Father gave him] to the members of His Body, – the Church,’ and as such the saints will be ‘made perfect’ by sharing ‘in His Perfection to make One Glorious Company … to the Glory of God the Father.’</w:t>
      </w:r>
      <w:r>
        <w:rPr>
          <w:rStyle w:val="FootnoteReference"/>
        </w:rPr>
        <w:footnoteReference w:id="801"/>
      </w:r>
      <w:r>
        <w:t xml:space="preserve"> This is the:</w:t>
      </w:r>
    </w:p>
    <w:p w:rsidR="00062AED" w:rsidRPr="00855391" w:rsidRDefault="00062AED" w:rsidP="009370EA">
      <w:pPr>
        <w:spacing w:line="360" w:lineRule="auto"/>
        <w:ind w:left="720" w:right="720"/>
        <w:jc w:val="both"/>
        <w:rPr>
          <w:sz w:val="20"/>
        </w:rPr>
      </w:pPr>
      <w:r w:rsidRPr="00855391">
        <w:rPr>
          <w:sz w:val="20"/>
        </w:rPr>
        <w:t>Great mystery, the secret, ‘Christ in You’; Christ mystical, this distinct company of rulers for the Heavenlies, this body of people prepared and qualified for the throne, this company of Overcomers, will be His companions on the throne in an inconceivable glory, sharing with Him His eternal statesmanship above all heavens.</w:t>
      </w:r>
      <w:r w:rsidRPr="00855391">
        <w:rPr>
          <w:rStyle w:val="FootnoteReference"/>
          <w:sz w:val="20"/>
        </w:rPr>
        <w:footnoteReference w:id="802"/>
      </w:r>
    </w:p>
    <w:p w:rsidR="00062AED" w:rsidRDefault="00062AED" w:rsidP="009370EA">
      <w:pPr>
        <w:spacing w:line="360" w:lineRule="auto"/>
        <w:jc w:val="both"/>
      </w:pPr>
      <w:r>
        <w:t>The church is:</w:t>
      </w:r>
    </w:p>
    <w:p w:rsidR="00062AED" w:rsidRPr="00105E34" w:rsidRDefault="00062AED" w:rsidP="009370EA">
      <w:pPr>
        <w:spacing w:line="360" w:lineRule="auto"/>
        <w:ind w:left="720" w:right="720"/>
        <w:jc w:val="both"/>
        <w:rPr>
          <w:sz w:val="20"/>
        </w:rPr>
      </w:pPr>
      <w:r w:rsidRPr="00105E34">
        <w:rPr>
          <w:sz w:val="20"/>
        </w:rPr>
        <w:t>predestined … to be on the Christ Image … to become part of that consummated glory at the restoration of all things, in Heaven and Earth, in Christ, towards which the whole Creation is groaning, travailing and moving onward, and which will eventually bring satisfaction, bliss and eternal glory to the Divine Heart, through Calvary.</w:t>
      </w:r>
      <w:r w:rsidRPr="00105E34">
        <w:rPr>
          <w:rStyle w:val="FootnoteReference"/>
          <w:sz w:val="20"/>
        </w:rPr>
        <w:footnoteReference w:id="803"/>
      </w:r>
    </w:p>
    <w:p w:rsidR="00062AED" w:rsidRDefault="00062AED" w:rsidP="009370EA">
      <w:pPr>
        <w:spacing w:line="360" w:lineRule="auto"/>
        <w:jc w:val="both"/>
      </w:pPr>
      <w:r>
        <w:t>For Williams, this is nothing more than the ‘comprehensive vision’ which ‘absorbed’ the Apostle Paul, arguing that redemption was, for Paul, much more than the forgiveness of individual sinners.</w:t>
      </w:r>
      <w:r>
        <w:rPr>
          <w:rStyle w:val="FootnoteReference"/>
        </w:rPr>
        <w:footnoteReference w:id="804"/>
      </w:r>
    </w:p>
    <w:p w:rsidR="00062AED" w:rsidRPr="00843D14" w:rsidRDefault="00062AED" w:rsidP="009370EA">
      <w:pPr>
        <w:spacing w:line="360" w:lineRule="auto"/>
        <w:ind w:left="720" w:right="720"/>
        <w:jc w:val="both"/>
        <w:rPr>
          <w:sz w:val="20"/>
        </w:rPr>
      </w:pPr>
      <w:r w:rsidRPr="00843D14">
        <w:rPr>
          <w:sz w:val="20"/>
        </w:rPr>
        <w:t>Re</w:t>
      </w:r>
      <w:r>
        <w:rPr>
          <w:sz w:val="20"/>
        </w:rPr>
        <w:t>demption to him was a principle</w:t>
      </w:r>
      <w:r w:rsidRPr="00843D14">
        <w:rPr>
          <w:sz w:val="20"/>
        </w:rPr>
        <w:t xml:space="preserve"> of reconciliation of things in Heaven and things in earth, a ‘gathering’ of all things together in Christ Jesus, under on</w:t>
      </w:r>
      <w:r>
        <w:rPr>
          <w:sz w:val="20"/>
        </w:rPr>
        <w:t>e</w:t>
      </w:r>
      <w:r w:rsidRPr="00843D14">
        <w:rPr>
          <w:sz w:val="20"/>
        </w:rPr>
        <w:t xml:space="preserve"> Central Head, in one </w:t>
      </w:r>
      <w:r w:rsidRPr="00843D14">
        <w:rPr>
          <w:sz w:val="20"/>
        </w:rPr>
        <w:lastRenderedPageBreak/>
        <w:t>harmonious whole, (Eph. 1:10; Col.1), of which the organism of the Church is only the commencement, to compare with the consummation of redemption … their crowing end in a glorious state whereby Christ in and through His redemptive excellences will express Himself through an infinite variety in Heaven and earth.</w:t>
      </w:r>
      <w:r w:rsidRPr="00843D14">
        <w:rPr>
          <w:rStyle w:val="FootnoteReference"/>
          <w:sz w:val="20"/>
        </w:rPr>
        <w:footnoteReference w:id="805"/>
      </w:r>
    </w:p>
    <w:p w:rsidR="00062AED" w:rsidRDefault="00062AED" w:rsidP="009370EA">
      <w:pPr>
        <w:spacing w:line="360" w:lineRule="auto"/>
        <w:jc w:val="both"/>
      </w:pPr>
      <w:r>
        <w:t>This, for Williams, is ‘the full purpose of the Body.’</w:t>
      </w:r>
      <w:r>
        <w:rPr>
          <w:rStyle w:val="FootnoteReference"/>
        </w:rPr>
        <w:footnoteReference w:id="806"/>
      </w:r>
      <w:r>
        <w:t xml:space="preserve"> This is why God ‘will establish this glorious Oneness of the Body of Christ, so that in the Church may be seen God’s Wisdom, Love and Glory throughout all ages, world without end.’</w:t>
      </w:r>
      <w:r>
        <w:rPr>
          <w:rStyle w:val="FootnoteReference"/>
        </w:rPr>
        <w:footnoteReference w:id="807"/>
      </w:r>
      <w:r>
        <w:t xml:space="preserve"> Thus the church is to be ‘the glorious vehicle’ which displays Christ, not only to humanity, but also to the angelic powers.</w:t>
      </w:r>
      <w:r>
        <w:rPr>
          <w:rStyle w:val="FootnoteReference"/>
        </w:rPr>
        <w:footnoteReference w:id="808"/>
      </w:r>
      <w:r>
        <w:t xml:space="preserve"> </w:t>
      </w:r>
    </w:p>
    <w:p w:rsidR="00062AED" w:rsidRDefault="00062AED" w:rsidP="009370EA">
      <w:pPr>
        <w:spacing w:line="360" w:lineRule="auto"/>
        <w:jc w:val="both"/>
      </w:pPr>
      <w:r>
        <w:t>This eternal purpose of God is brought about by the joint working of the three persons of the Triune God. The church is:</w:t>
      </w:r>
    </w:p>
    <w:p w:rsidR="00062AED" w:rsidRPr="00F21001" w:rsidRDefault="00062AED" w:rsidP="009370EA">
      <w:pPr>
        <w:spacing w:line="360" w:lineRule="auto"/>
        <w:ind w:left="720" w:right="720"/>
        <w:jc w:val="both"/>
        <w:rPr>
          <w:sz w:val="20"/>
        </w:rPr>
      </w:pPr>
      <w:r w:rsidRPr="00F21001">
        <w:rPr>
          <w:sz w:val="20"/>
        </w:rPr>
        <w:t>brought together through the One Sacrifice and Atonement, born of the same Spirit, to br</w:t>
      </w:r>
      <w:r>
        <w:rPr>
          <w:sz w:val="20"/>
        </w:rPr>
        <w:t>ing to pass the same predestined</w:t>
      </w:r>
      <w:r w:rsidRPr="00F21001">
        <w:rPr>
          <w:sz w:val="20"/>
        </w:rPr>
        <w:t xml:space="preserve"> purpose and the election of God, combined together for its establishment, growth and victory, and to be the ‘Holiest of all’ for God to dwell therein … By the immanence of Christ throughout His members (His handiwork), the mystery of Divine fellowship is to be made known to men. The numerous aspects of the wisdom of God are also to be made known to angels; the limitless love of God to the saints, bringing glory throughout endless ages to God. Oh that all God’s children would grasp the place of the Church in the economy of Redemption – called to function in the restoration of the universe! (Eph. 3).</w:t>
      </w:r>
      <w:r w:rsidRPr="00F21001">
        <w:rPr>
          <w:rStyle w:val="FootnoteReference"/>
          <w:sz w:val="20"/>
        </w:rPr>
        <w:footnoteReference w:id="809"/>
      </w:r>
    </w:p>
    <w:p w:rsidR="00062AED" w:rsidRDefault="00062AED" w:rsidP="009370EA">
      <w:pPr>
        <w:spacing w:line="360" w:lineRule="auto"/>
        <w:jc w:val="both"/>
      </w:pPr>
      <w:r>
        <w:t>Thus this eternal purpose for the church is ‘the masterpiece of Grace’ as ‘discordant individuals, spoiled by sin’ are redeemed and set harmoniously together in the Body through the love of God in Christ, and filled with his fullness so that ‘the Church is the highest form, in this world, of Communal Life.’</w:t>
      </w:r>
      <w:r>
        <w:rPr>
          <w:rStyle w:val="FootnoteReference"/>
        </w:rPr>
        <w:footnoteReference w:id="810"/>
      </w:r>
    </w:p>
    <w:p w:rsidR="00062AED" w:rsidRDefault="00062AED" w:rsidP="009370EA">
      <w:pPr>
        <w:spacing w:line="360" w:lineRule="auto"/>
        <w:jc w:val="both"/>
      </w:pPr>
      <w:r>
        <w:t>This is not merely one purpose of God among many, but every purpose and plan of God contributes to this one eternal purpose for Christ and his Church:</w:t>
      </w:r>
    </w:p>
    <w:p w:rsidR="00062AED" w:rsidRPr="00F52234" w:rsidRDefault="00062AED" w:rsidP="009370EA">
      <w:pPr>
        <w:spacing w:line="360" w:lineRule="auto"/>
        <w:ind w:left="720" w:right="720"/>
        <w:jc w:val="both"/>
        <w:rPr>
          <w:sz w:val="20"/>
        </w:rPr>
      </w:pPr>
      <w:r w:rsidRPr="00F52234">
        <w:rPr>
          <w:sz w:val="20"/>
        </w:rPr>
        <w:t xml:space="preserve">God has one purpose in the Redemptive Plan, but there are many other purposes involved therein, which also have a means to the end of accomplishing the great purpose. It is according to His good pleasure that in the fulness of time He will reunite the universe </w:t>
      </w:r>
      <w:r w:rsidRPr="00F52234">
        <w:rPr>
          <w:sz w:val="20"/>
        </w:rPr>
        <w:lastRenderedPageBreak/>
        <w:t>under one Headship, and the manifestation of this will surpass all the wisdom of former ages. This mysterious design He has in view above all. The plan of reconstruction goeth on. The decisive epoch of the Incarnate Son and His sacrificial death and triumphant Resurrection has secured it, and with one glorious sweep He will bring all unto subjection, when there will be a summing up of all things in Christ … Love will rule … when the Father will gather all things in Christ. All enmity and effect of sin will be removed. All powers in heaven and earth will come under His rule. Through the mighty power of His will, He will rectify and adjust all things unto harmony. The infinite germ of this Life Eternal as a Seed has fallen down to this world of sin and disorder, and it will work against all elements. And as Christ rose from the dead in triumph over all His foes, even so the forces of Divine reconstruction are powerful enough because they are in Him to gather all things in Christ.</w:t>
      </w:r>
      <w:r w:rsidRPr="00F52234">
        <w:rPr>
          <w:rStyle w:val="FootnoteReference"/>
          <w:sz w:val="20"/>
        </w:rPr>
        <w:footnoteReference w:id="811"/>
      </w:r>
    </w:p>
    <w:p w:rsidR="00062AED" w:rsidRDefault="00062AED" w:rsidP="009370EA">
      <w:pPr>
        <w:spacing w:line="360" w:lineRule="auto"/>
        <w:jc w:val="both"/>
      </w:pPr>
      <w:r>
        <w:t>This purpose of uniting all things under the Headship of Christ is carried out in and through the Body of Christ.</w:t>
      </w:r>
      <w:r>
        <w:rPr>
          <w:rStyle w:val="FootnoteReference"/>
        </w:rPr>
        <w:footnoteReference w:id="812"/>
      </w:r>
    </w:p>
    <w:p w:rsidR="00062AED" w:rsidRDefault="00062AED" w:rsidP="009370EA">
      <w:pPr>
        <w:spacing w:line="360" w:lineRule="auto"/>
        <w:jc w:val="both"/>
      </w:pPr>
      <w:r>
        <w:t>Although Williams’ eschatological vision of the eternal purpose sees a glorious future for the church in her union with Christ the Head, the impact of his eschatology on his ecclesiology is not only for the eschatological future. Already, for Williams, there is an eschatological in-breaking in the Body of Christ. The Body does not ‘belong to this age, but to the age to come’ for the Holy Spirit who fills the body is the presence of the future.</w:t>
      </w:r>
      <w:r>
        <w:rPr>
          <w:rStyle w:val="FootnoteReference"/>
        </w:rPr>
        <w:footnoteReference w:id="813"/>
      </w:r>
      <w:r>
        <w:t xml:space="preserve"> For Williams, it is clear that this foretaste of the age to come is relational. The age to come is the age of this full communion of the church in the love of the Triune God. Therefore any eschatological in-breaking must bring a foretaste of that loving communion. In the words of a prophecy through Williams’ brother:</w:t>
      </w:r>
    </w:p>
    <w:p w:rsidR="00062AED" w:rsidRPr="00535F6E" w:rsidRDefault="00062AED" w:rsidP="009370EA">
      <w:pPr>
        <w:spacing w:line="360" w:lineRule="auto"/>
        <w:ind w:left="720" w:right="720"/>
        <w:jc w:val="both"/>
        <w:rPr>
          <w:sz w:val="20"/>
        </w:rPr>
      </w:pPr>
      <w:r w:rsidRPr="00535F6E">
        <w:rPr>
          <w:sz w:val="20"/>
        </w:rPr>
        <w:t>I am offering Myself, not for Time, but I am offering Myself for Eternity to you … In the stead of your own plans and designs, revelation and unbelief, I am giving you Myself. That i</w:t>
      </w:r>
      <w:r w:rsidR="00EF7163">
        <w:rPr>
          <w:sz w:val="20"/>
        </w:rPr>
        <w:t xml:space="preserve">s what Eternity is in reality, </w:t>
      </w:r>
      <w:r w:rsidRPr="00535F6E">
        <w:rPr>
          <w:sz w:val="20"/>
        </w:rPr>
        <w:t>the Redeemed possessing the Eternal, and the Eternal possessing the Redeemed. I am yours and you are Mine.</w:t>
      </w:r>
      <w:r w:rsidRPr="00535F6E">
        <w:rPr>
          <w:rStyle w:val="FootnoteReference"/>
          <w:sz w:val="20"/>
        </w:rPr>
        <w:footnoteReference w:id="814"/>
      </w:r>
    </w:p>
    <w:p w:rsidR="00062AED" w:rsidRDefault="00062AED" w:rsidP="009370EA">
      <w:pPr>
        <w:spacing w:line="360" w:lineRule="auto"/>
        <w:jc w:val="both"/>
      </w:pPr>
      <w:r w:rsidRPr="00A16FC3">
        <w:t>Here we have seen in Williams’ ecclesiology</w:t>
      </w:r>
      <w:r>
        <w:t xml:space="preserve"> that the Body of Christ and the Headship of Christ are not in any way loose concepts or analogies. The Body of Christ is an ontological reality united to Christ her heavenly Head by Word, Spirit and sacrament (in each of which Christ is present), to form ‘one new man’ – the </w:t>
      </w:r>
      <w:r w:rsidRPr="00A16FC3">
        <w:rPr>
          <w:i/>
        </w:rPr>
        <w:t>Totus Christus</w:t>
      </w:r>
      <w:r>
        <w:t xml:space="preserve">. Furthermore, the Christ to whom the church is united is the Incarnate Word of God, and thus by union with him, the church participates in all that is his, </w:t>
      </w:r>
      <w:r>
        <w:lastRenderedPageBreak/>
        <w:t xml:space="preserve">including his death, resurrection, ascension and return. The Head and Body together are at the centre of the Eternal Purpose of the Triune God. </w:t>
      </w:r>
    </w:p>
    <w:p w:rsidR="00062AED" w:rsidRDefault="00062AED" w:rsidP="009370EA">
      <w:pPr>
        <w:spacing w:line="360" w:lineRule="auto"/>
      </w:pPr>
      <w:r>
        <w:br w:type="page"/>
      </w:r>
    </w:p>
    <w:p w:rsidR="00BB5074" w:rsidRDefault="00BB5074" w:rsidP="009370EA">
      <w:pPr>
        <w:pStyle w:val="PhDChapterTitle"/>
        <w:spacing w:line="360" w:lineRule="auto"/>
      </w:pPr>
      <w:r>
        <w:lastRenderedPageBreak/>
        <w:t>Chapter 5</w:t>
      </w:r>
    </w:p>
    <w:p w:rsidR="00062AED" w:rsidRPr="00103E2D" w:rsidRDefault="00062AED" w:rsidP="009370EA">
      <w:pPr>
        <w:pStyle w:val="PhDChapterTitle"/>
        <w:spacing w:line="360" w:lineRule="auto"/>
      </w:pPr>
      <w:r w:rsidRPr="00103E2D">
        <w:t>The Eternal Purpose of God: An Ecclesiology of Theosis</w:t>
      </w:r>
    </w:p>
    <w:p w:rsidR="00062AED" w:rsidRPr="00103E2D" w:rsidRDefault="00062AED" w:rsidP="009370EA">
      <w:pPr>
        <w:spacing w:line="360" w:lineRule="auto"/>
      </w:pPr>
    </w:p>
    <w:p w:rsidR="00062AED" w:rsidRPr="00103E2D" w:rsidRDefault="00062AED" w:rsidP="009370EA">
      <w:pPr>
        <w:spacing w:line="360" w:lineRule="auto"/>
        <w:jc w:val="both"/>
      </w:pPr>
      <w:r w:rsidRPr="00103E2D">
        <w:t>Throughout the preceding chapters, whether discussing the Trinity, the Baptism in the Holy Spirit, or the Church as the Body of Christ, a constant theme has come up in the thought of the early Apostolic writers, namely, the Eternal Purpose of God. But what did they mean by the Eternal Purpose and why is the subject found so often in their thought?</w:t>
      </w:r>
    </w:p>
    <w:p w:rsidR="00062AED" w:rsidRDefault="00062AED" w:rsidP="009370EA">
      <w:pPr>
        <w:spacing w:line="360" w:lineRule="auto"/>
        <w:jc w:val="both"/>
      </w:pPr>
      <w:r w:rsidRPr="00103E2D">
        <w:t xml:space="preserve">The second of these questions will prove simpler to answer than the </w:t>
      </w:r>
      <w:r>
        <w:t>first. The Eternal Purpose recur</w:t>
      </w:r>
      <w:r w:rsidRPr="00103E2D">
        <w:t xml:space="preserve">s frequently in </w:t>
      </w:r>
      <w:r>
        <w:t>Apostolic thought because it is, as W.A.C. Rowe explains, the ‘most distinctive feature of Apostolic faith and purpose.’</w:t>
      </w:r>
      <w:r>
        <w:rPr>
          <w:rStyle w:val="FootnoteReference"/>
        </w:rPr>
        <w:footnoteReference w:id="815"/>
      </w:r>
      <w:r>
        <w:t xml:space="preserve"> Rowe is adamant that the chief distinctive of the Apostolic Church is not ‘to declare that there are Apostles and Prophets for today,’ adding forcefully that ‘that is not the Apostolic Vision.’</w:t>
      </w:r>
      <w:r>
        <w:rPr>
          <w:rStyle w:val="FootnoteReference"/>
        </w:rPr>
        <w:footnoteReference w:id="816"/>
      </w:r>
      <w:r>
        <w:t xml:space="preserve"> Rather, ‘the Apostolic Vision’ is the Eternal Purpose of God. For Rowe, the Apostolic Church ‘was specifically called into being to bear a message [and] that message is the Eternal Purpose of God.’</w:t>
      </w:r>
      <w:r>
        <w:rPr>
          <w:rStyle w:val="FootnoteReference"/>
        </w:rPr>
        <w:footnoteReference w:id="817"/>
      </w:r>
      <w:r>
        <w:t xml:space="preserve"> This theme, then, is the centre of Apostolic thought and theology. </w:t>
      </w:r>
    </w:p>
    <w:p w:rsidR="00062AED" w:rsidRDefault="00062AED" w:rsidP="009370EA">
      <w:pPr>
        <w:spacing w:line="360" w:lineRule="auto"/>
        <w:jc w:val="both"/>
      </w:pPr>
      <w:r>
        <w:t>Although Rowe was writing in the mid-twentieth century, he was not the first to express this. Thomas Rees, W.H. Lewis, and Jacob Purnell wrote of the Eternal Purpose as the Apostolic Vision in the 1930s,</w:t>
      </w:r>
      <w:r>
        <w:rPr>
          <w:rStyle w:val="FootnoteReference"/>
        </w:rPr>
        <w:footnoteReference w:id="818"/>
      </w:r>
      <w:r>
        <w:t xml:space="preserve"> and D.P. Williams was already writing of ‘the heavenly vision’ (</w:t>
      </w:r>
      <w:r w:rsidRPr="007534CD">
        <w:rPr>
          <w:i/>
        </w:rPr>
        <w:t>weledigaeth nefol</w:t>
      </w:r>
      <w:r>
        <w:t>) in 1914.</w:t>
      </w:r>
      <w:r>
        <w:rPr>
          <w:rStyle w:val="FootnoteReference"/>
        </w:rPr>
        <w:footnoteReference w:id="819"/>
      </w:r>
      <w:r>
        <w:t xml:space="preserve"> In the very first issue of </w:t>
      </w:r>
      <w:r w:rsidRPr="0089549D">
        <w:rPr>
          <w:i/>
        </w:rPr>
        <w:t>RoG</w:t>
      </w:r>
      <w:r>
        <w:t>, Thomas Jones wrote of ‘the vision given to us [the Apostolic Church]’ (</w:t>
      </w:r>
      <w:r w:rsidRPr="007534CD">
        <w:rPr>
          <w:i/>
        </w:rPr>
        <w:t>weledigaeth a roddwyd i ni</w:t>
      </w:r>
      <w:r>
        <w:t>).</w:t>
      </w:r>
      <w:r>
        <w:rPr>
          <w:rStyle w:val="FootnoteReference"/>
        </w:rPr>
        <w:footnoteReference w:id="820"/>
      </w:r>
      <w:r>
        <w:t xml:space="preserve"> Thus, by the time Rowe was writing, this was a well-established principle of Apostolic thought, which appears to stretch back to the commencement of the Apostolic Church in Wales.</w:t>
      </w:r>
    </w:p>
    <w:p w:rsidR="00062AED" w:rsidRDefault="00062AED" w:rsidP="009370EA">
      <w:pPr>
        <w:spacing w:line="360" w:lineRule="auto"/>
        <w:jc w:val="both"/>
      </w:pPr>
      <w:r>
        <w:t xml:space="preserve">Yet, what did the Apostolics mean by the Eternal Purpose? As we have seen, this was the central distinctive feature of their theology, and not merely a background concept. As a result, the Apostolics appear to have assigned a much more specific meaning to the Eternal Purpose than </w:t>
      </w:r>
      <w:r>
        <w:lastRenderedPageBreak/>
        <w:t xml:space="preserve">that found in the </w:t>
      </w:r>
      <w:r w:rsidRPr="00026E06">
        <w:rPr>
          <w:i/>
        </w:rPr>
        <w:t>Westminster Shorter Catechism</w:t>
      </w:r>
      <w:r>
        <w:rPr>
          <w:i/>
        </w:rPr>
        <w:t>.</w:t>
      </w:r>
      <w:r>
        <w:rPr>
          <w:rStyle w:val="FootnoteReference"/>
        </w:rPr>
        <w:footnoteReference w:id="821"/>
      </w:r>
      <w:r>
        <w:rPr>
          <w:i/>
        </w:rPr>
        <w:t xml:space="preserve"> </w:t>
      </w:r>
      <w:r w:rsidRPr="00026E06">
        <w:t>Thus</w:t>
      </w:r>
      <w:r>
        <w:t xml:space="preserve"> the Eternal Purpose is viewed as more than simply another way of speaking of God’s Sovereignty or the divine decrees in a general manner (as is common in Reformed and evangelical theology). While in Reformed and evangelical thought the eternal purpose is ‘whatsoever comes to pass’, for the Apostolics, although ‘whatsoever comes to pass’ contributes to and is part of the working out of God’s Eternal Purpose, the Purpose itself is much more specific. For D.P. Williams, God has one Purpose, yet this includes everything else as means to that end.</w:t>
      </w:r>
      <w:r>
        <w:rPr>
          <w:rStyle w:val="FootnoteReference"/>
        </w:rPr>
        <w:footnoteReference w:id="822"/>
      </w:r>
      <w:r>
        <w:t xml:space="preserve"> However</w:t>
      </w:r>
      <w:r w:rsidR="00944C4E">
        <w:t>,</w:t>
      </w:r>
      <w:r>
        <w:t xml:space="preserve"> the Eternal Purpose itself is specific: ‘it is according to His good pleasure that in the fullness of time He will reunite the Universe under one Headship … when there will be a summing up of all things in Christ.’</w:t>
      </w:r>
      <w:r>
        <w:rPr>
          <w:rStyle w:val="FootnoteReference"/>
        </w:rPr>
        <w:footnoteReference w:id="823"/>
      </w:r>
      <w:r>
        <w:t xml:space="preserve"> For the Apostolics, the Eternal Purpose finds its locus in Christ the Head and His Body, the Church, rather than in ‘creation and providence’ as in the Reformed tradition.</w:t>
      </w:r>
      <w:r>
        <w:rPr>
          <w:rStyle w:val="FootnoteReference"/>
        </w:rPr>
        <w:footnoteReference w:id="824"/>
      </w:r>
    </w:p>
    <w:p w:rsidR="00062AED" w:rsidRDefault="00062AED" w:rsidP="009370EA">
      <w:pPr>
        <w:spacing w:line="360" w:lineRule="auto"/>
        <w:jc w:val="both"/>
      </w:pPr>
      <w:r>
        <w:t>The difference between Apostolic and Reformed/evangelical thought concerning the Eternal Purpose may also explain a certain lexical ambiguity/ambivalence. As the concept of which the Apostolics were writing was not a firmly fixed theological concept in Reformed and evangelical theology, they did not inherit an already fixed terminology. Thus a variety of Welsh terms would be used for the concept of the Eternal Purpose or Apostolic Vision.</w:t>
      </w:r>
      <w:r>
        <w:rPr>
          <w:rStyle w:val="FootnoteReference"/>
        </w:rPr>
        <w:footnoteReference w:id="825"/>
      </w:r>
      <w:r>
        <w:t xml:space="preserve"> This would later be reflected in a variety of English terms (such as </w:t>
      </w:r>
      <w:r w:rsidRPr="00AB3279">
        <w:rPr>
          <w:i/>
        </w:rPr>
        <w:t>Purpose</w:t>
      </w:r>
      <w:r>
        <w:t xml:space="preserve">, </w:t>
      </w:r>
      <w:r w:rsidRPr="00AB3279">
        <w:rPr>
          <w:i/>
        </w:rPr>
        <w:t>Plan</w:t>
      </w:r>
      <w:r>
        <w:t xml:space="preserve">, </w:t>
      </w:r>
      <w:r w:rsidRPr="00AB3279">
        <w:rPr>
          <w:i/>
        </w:rPr>
        <w:t>Goal</w:t>
      </w:r>
      <w:r>
        <w:t xml:space="preserve">, </w:t>
      </w:r>
      <w:r w:rsidRPr="00AB3279">
        <w:rPr>
          <w:i/>
        </w:rPr>
        <w:t>Will</w:t>
      </w:r>
      <w:r>
        <w:t xml:space="preserve">, </w:t>
      </w:r>
      <w:r w:rsidRPr="00AB3279">
        <w:rPr>
          <w:i/>
        </w:rPr>
        <w:t>Vision</w:t>
      </w:r>
      <w:r>
        <w:t xml:space="preserve">), some of which could be ambiguous. In both languages, the technical terminology would eventually settle on </w:t>
      </w:r>
      <w:r w:rsidRPr="009F555E">
        <w:rPr>
          <w:i/>
        </w:rPr>
        <w:t>the Eternal Purpose</w:t>
      </w:r>
      <w:r>
        <w:t xml:space="preserve"> (</w:t>
      </w:r>
      <w:r w:rsidRPr="009F555E">
        <w:rPr>
          <w:i/>
        </w:rPr>
        <w:t>yr Arfaeth Dragwyddol</w:t>
      </w:r>
      <w:r>
        <w:t>) based on the respe</w:t>
      </w:r>
      <w:r w:rsidR="0048194C">
        <w:t>ctive translations of Eph. 3:11;</w:t>
      </w:r>
      <w:r>
        <w:t xml:space="preserve"> however</w:t>
      </w:r>
      <w:r w:rsidR="0048194C">
        <w:t>,</w:t>
      </w:r>
      <w:r>
        <w:t xml:space="preserve"> in popular preaching the earlier terminological ambivalence, with its associated ambiguities, remains.</w:t>
      </w:r>
    </w:p>
    <w:p w:rsidR="00062AED" w:rsidRDefault="00062AED" w:rsidP="009370EA">
      <w:pPr>
        <w:spacing w:line="360" w:lineRule="auto"/>
        <w:jc w:val="both"/>
      </w:pPr>
      <w:r>
        <w:t>Although all Apostolic theology is centred in the Eternal Purpose, this is particularly the case for ecclesiology. As Jacob Purnell expresses it, ‘the Church is called the Eternal Purpose of God (Eph. i.22-23; iii.1-6).’</w:t>
      </w:r>
      <w:r>
        <w:rPr>
          <w:rStyle w:val="FootnoteReference"/>
        </w:rPr>
        <w:footnoteReference w:id="826"/>
      </w:r>
      <w:r>
        <w:t xml:space="preserve"> </w:t>
      </w:r>
      <w:r w:rsidR="002266BC">
        <w:t>Yet</w:t>
      </w:r>
      <w:r>
        <w:t xml:space="preserve">, such statements which appear to equate the Eternal Purpose with the church can only be understood properly in light of the union of the Body and Head as </w:t>
      </w:r>
      <w:r w:rsidRPr="00153B20">
        <w:rPr>
          <w:i/>
        </w:rPr>
        <w:t>Totus Christus</w:t>
      </w:r>
      <w:r>
        <w:t>. Here we will proceed to explore this ecclesiology of the Eternal Purpose first through the writings of D.P. Williams, and then in the thought of other key Apostolic writers.</w:t>
      </w:r>
    </w:p>
    <w:p w:rsidR="00062AED" w:rsidRDefault="00062AED" w:rsidP="009370EA">
      <w:pPr>
        <w:spacing w:line="360" w:lineRule="auto"/>
        <w:jc w:val="both"/>
      </w:pPr>
    </w:p>
    <w:p w:rsidR="00062AED" w:rsidRPr="00071182" w:rsidRDefault="00062AED" w:rsidP="009370EA">
      <w:pPr>
        <w:pStyle w:val="PhDSubheading"/>
        <w:spacing w:line="360" w:lineRule="auto"/>
      </w:pPr>
      <w:r>
        <w:lastRenderedPageBreak/>
        <w:t>5.1 D.P. Williams and the Eternal Purpose</w:t>
      </w:r>
    </w:p>
    <w:p w:rsidR="00062AED" w:rsidRDefault="00062AED" w:rsidP="009370EA">
      <w:pPr>
        <w:spacing w:line="360" w:lineRule="auto"/>
        <w:jc w:val="both"/>
      </w:pPr>
      <w:r>
        <w:t xml:space="preserve">Williams wrote consistently on the theme of the </w:t>
      </w:r>
      <w:r w:rsidRPr="00D23F3E">
        <w:rPr>
          <w:i/>
        </w:rPr>
        <w:t>Eternal Purpose</w:t>
      </w:r>
      <w:r>
        <w:t xml:space="preserve"> or </w:t>
      </w:r>
      <w:r w:rsidRPr="00D23F3E">
        <w:rPr>
          <w:i/>
        </w:rPr>
        <w:t>Apostolic Vision</w:t>
      </w:r>
      <w:r>
        <w:t xml:space="preserve"> from 1914 to the end of his life in 1947. Already in the </w:t>
      </w:r>
      <w:r w:rsidRPr="00643054">
        <w:rPr>
          <w:i/>
        </w:rPr>
        <w:t>Athrawiaethau Sylfeinol</w:t>
      </w:r>
      <w:r>
        <w:t xml:space="preserve"> of 1914 several of the building blocks of the d</w:t>
      </w:r>
      <w:r w:rsidR="00DA4474">
        <w:t xml:space="preserve">octrine are already present in </w:t>
      </w:r>
      <w:r>
        <w:t>his thought, although he does not elaborate at length on the theme. He writes of ‘the heavenly vision’ and the purpose of the Father, connecting this with the Trinitarian nature of salvation.</w:t>
      </w:r>
      <w:r>
        <w:rPr>
          <w:rStyle w:val="FootnoteReference"/>
        </w:rPr>
        <w:footnoteReference w:id="827"/>
      </w:r>
      <w:r>
        <w:t xml:space="preserve"> As we have seen </w:t>
      </w:r>
      <w:r w:rsidR="00C83265">
        <w:t>previously</w:t>
      </w:r>
      <w:r>
        <w:t xml:space="preserve">, the </w:t>
      </w:r>
      <w:r w:rsidRPr="009347F7">
        <w:rPr>
          <w:i/>
        </w:rPr>
        <w:t>Athrawiaethau Sylfeinol</w:t>
      </w:r>
      <w:r>
        <w:t xml:space="preserve"> also speaks of a substantial participation in Christ through the Lord’s Supper and connects the baptism of the Spirit with love and sonship, all of which will later emerge as significant components of the Apostolic understanding of the Eternal Purpose.</w:t>
      </w:r>
    </w:p>
    <w:p w:rsidR="00062AED" w:rsidRDefault="00062AED" w:rsidP="009370EA">
      <w:pPr>
        <w:spacing w:line="360" w:lineRule="auto"/>
        <w:jc w:val="both"/>
      </w:pPr>
    </w:p>
    <w:p w:rsidR="00062AED" w:rsidRDefault="00062AED" w:rsidP="009370EA">
      <w:pPr>
        <w:pStyle w:val="PhDSubheading"/>
        <w:spacing w:line="360" w:lineRule="auto"/>
      </w:pPr>
      <w:r>
        <w:t>5.1.1 The Purpose of the Father: The Trinitarian Origin and Basis of the Eternal Purpose</w:t>
      </w:r>
    </w:p>
    <w:p w:rsidR="00062AED" w:rsidRDefault="00062AED" w:rsidP="009370EA">
      <w:pPr>
        <w:spacing w:line="360" w:lineRule="auto"/>
        <w:jc w:val="both"/>
      </w:pPr>
      <w:r w:rsidRPr="006A297C">
        <w:t xml:space="preserve">Williams </w:t>
      </w:r>
      <w:r>
        <w:t>continually grounds</w:t>
      </w:r>
      <w:r w:rsidRPr="006A297C">
        <w:t xml:space="preserve"> the Eternal Purpose in a Trinitarian context</w:t>
      </w:r>
      <w:r>
        <w:t xml:space="preserve"> and writes that it is the ‘programme of the Trinity.’</w:t>
      </w:r>
      <w:r>
        <w:rPr>
          <w:rStyle w:val="FootnoteReference"/>
        </w:rPr>
        <w:footnoteReference w:id="828"/>
      </w:r>
      <w:r>
        <w:t xml:space="preserve"> He refers to</w:t>
      </w:r>
      <w:r w:rsidRPr="006A297C">
        <w:t xml:space="preserve"> it </w:t>
      </w:r>
      <w:r>
        <w:t xml:space="preserve">as </w:t>
      </w:r>
      <w:r w:rsidRPr="006A297C">
        <w:t>the Father’s Purpose (</w:t>
      </w:r>
      <w:r w:rsidRPr="006A297C">
        <w:rPr>
          <w:i/>
        </w:rPr>
        <w:t>Arfaeth y Tad</w:t>
      </w:r>
      <w:r w:rsidRPr="006A297C">
        <w:t>)</w:t>
      </w:r>
      <w:r>
        <w:t>,</w:t>
      </w:r>
      <w:r>
        <w:rPr>
          <w:rStyle w:val="FootnoteReference"/>
        </w:rPr>
        <w:footnoteReference w:id="829"/>
      </w:r>
      <w:r w:rsidRPr="006A297C">
        <w:t xml:space="preserve"> </w:t>
      </w:r>
      <w:r>
        <w:t>yet this Purpose</w:t>
      </w:r>
      <w:r w:rsidRPr="006A297C">
        <w:t xml:space="preserve"> is accomplished in the Son and the Elect are brought </w:t>
      </w:r>
      <w:r>
        <w:t xml:space="preserve">into the Father’s Purpose </w:t>
      </w:r>
      <w:r w:rsidRPr="006A297C">
        <w:t>by the Spirit</w:t>
      </w:r>
      <w:r>
        <w:t>.</w:t>
      </w:r>
      <w:r>
        <w:rPr>
          <w:rStyle w:val="FootnoteReference"/>
        </w:rPr>
        <w:footnoteReference w:id="830"/>
      </w:r>
      <w:r w:rsidRPr="006A297C">
        <w:t xml:space="preserve"> </w:t>
      </w:r>
      <w:r>
        <w:t>Thus Williams is equally happy to refer to the Eternal Purpose</w:t>
      </w:r>
      <w:r w:rsidRPr="006A297C">
        <w:t xml:space="preserve"> as the eternal counsel of the Trinity.</w:t>
      </w:r>
      <w:r w:rsidRPr="006A297C">
        <w:rPr>
          <w:vertAlign w:val="superscript"/>
        </w:rPr>
        <w:footnoteReference w:id="831"/>
      </w:r>
      <w:r w:rsidRPr="006A297C">
        <w:t xml:space="preserve"> </w:t>
      </w:r>
    </w:p>
    <w:p w:rsidR="00062AED" w:rsidRDefault="00062AED" w:rsidP="009370EA">
      <w:pPr>
        <w:spacing w:line="360" w:lineRule="auto"/>
        <w:jc w:val="both"/>
      </w:pPr>
      <w:r w:rsidRPr="006A297C">
        <w:t>Election</w:t>
      </w:r>
      <w:r>
        <w:t>, for Williams (and other early Apostolics) is</w:t>
      </w:r>
      <w:r w:rsidRPr="006A297C">
        <w:t xml:space="preserve"> very closely </w:t>
      </w:r>
      <w:r>
        <w:t xml:space="preserve">connected </w:t>
      </w:r>
      <w:r w:rsidRPr="006A297C">
        <w:t>to the outworking of the Eternal Purpose.</w:t>
      </w:r>
      <w:r>
        <w:t xml:space="preserve"> The entire </w:t>
      </w:r>
      <w:r w:rsidRPr="00AD0723">
        <w:rPr>
          <w:i/>
        </w:rPr>
        <w:t>historia salutis</w:t>
      </w:r>
      <w:r>
        <w:t xml:space="preserve"> and the application of the Son’s work of redemption by the Spirit is viewed as the outworking of election and the eternal intra-trinitarian counsel.</w:t>
      </w:r>
      <w:r>
        <w:rPr>
          <w:rStyle w:val="FootnoteReference"/>
        </w:rPr>
        <w:footnoteReference w:id="832"/>
      </w:r>
      <w:r>
        <w:t xml:space="preserve"> That God’s Purpose is eternal roots the doctrine in the life of the Triune God. For Williams, the Eternal Purpose, and hence election and the church, have been ‘in’ the Trinity from all eternity.</w:t>
      </w:r>
      <w:r>
        <w:rPr>
          <w:rStyle w:val="FootnoteReference"/>
        </w:rPr>
        <w:footnoteReference w:id="833"/>
      </w:r>
      <w:r>
        <w:t xml:space="preserve"> ‘The Church was concealed in Him from eternity.’</w:t>
      </w:r>
      <w:r>
        <w:rPr>
          <w:rStyle w:val="FootnoteReference"/>
        </w:rPr>
        <w:footnoteReference w:id="834"/>
      </w:r>
      <w:r>
        <w:t xml:space="preserve"> Yet the Eternal Purpose, God’s election, and the church are realised in time ‘in the Incarnation, and in the Crucifixion, and in the </w:t>
      </w:r>
      <w:r>
        <w:lastRenderedPageBreak/>
        <w:t>Resurrection, and in the Glorification’ of Christ.</w:t>
      </w:r>
      <w:r>
        <w:rPr>
          <w:rStyle w:val="FootnoteReference"/>
        </w:rPr>
        <w:footnoteReference w:id="835"/>
      </w:r>
      <w:r>
        <w:t xml:space="preserve"> Thus the Eternal Purpose is rooted in the Person and Work of Christ and cannot be abstracted from either His Person or the </w:t>
      </w:r>
      <w:r w:rsidRPr="00AA0437">
        <w:rPr>
          <w:i/>
        </w:rPr>
        <w:t>historia salutis</w:t>
      </w:r>
      <w:r>
        <w:t>.</w:t>
      </w:r>
      <w:r w:rsidRPr="001D5F58">
        <w:t xml:space="preserve"> </w:t>
      </w:r>
      <w:r>
        <w:t>Therefore the Eternal Purpose is, for Williams, the link between the internal life of the immanent Trinity and the outward acts of the economic Trinity.</w:t>
      </w:r>
      <w:r>
        <w:rPr>
          <w:rStyle w:val="FootnoteReference"/>
        </w:rPr>
        <w:footnoteReference w:id="836"/>
      </w:r>
    </w:p>
    <w:p w:rsidR="00062AED" w:rsidRDefault="00062AED" w:rsidP="009370EA">
      <w:pPr>
        <w:spacing w:line="360" w:lineRule="auto"/>
        <w:jc w:val="both"/>
      </w:pPr>
      <w:r>
        <w:t>Election is of such central importance to Williams’ conception of the Eternal Purpose that he can at times speak of the two interchangeably. Thus the outworking of election is ‘the accomplishment of His purpose.’</w:t>
      </w:r>
      <w:r>
        <w:rPr>
          <w:rStyle w:val="FootnoteReference"/>
        </w:rPr>
        <w:footnoteReference w:id="837"/>
      </w:r>
      <w:r>
        <w:t xml:space="preserve"> God’s Purpose is ‘the gathering in of His Elect.’</w:t>
      </w:r>
      <w:r>
        <w:rPr>
          <w:rStyle w:val="FootnoteReference"/>
        </w:rPr>
        <w:footnoteReference w:id="838"/>
      </w:r>
      <w:r>
        <w:t xml:space="preserve"> </w:t>
      </w:r>
      <w:r w:rsidRPr="00B85C72">
        <w:rPr>
          <w:iCs/>
        </w:rPr>
        <w:t>‘The Election of believers in Christ, who are made one with Him, sitting by faith in the Heavenlies, to be His companions for Eternal ages … [is] the Sovereign will of God from Past Eternity to the Future Eternity’</w:t>
      </w:r>
      <w:r w:rsidRPr="00B85C72">
        <w:rPr>
          <w:rStyle w:val="FootnoteReference"/>
          <w:iCs/>
        </w:rPr>
        <w:footnoteReference w:id="839"/>
      </w:r>
      <w:r>
        <w:t xml:space="preserve"> Election and the Eternal Purpose go together in such a way that it is called God’s ‘predestined purpose and plan.’</w:t>
      </w:r>
      <w:r>
        <w:rPr>
          <w:rStyle w:val="FootnoteReference"/>
        </w:rPr>
        <w:footnoteReference w:id="840"/>
      </w:r>
      <w:r>
        <w:t xml:space="preserve"> </w:t>
      </w:r>
    </w:p>
    <w:p w:rsidR="00062AED" w:rsidRDefault="00062AED" w:rsidP="009370EA">
      <w:pPr>
        <w:spacing w:line="360" w:lineRule="auto"/>
        <w:jc w:val="both"/>
      </w:pPr>
      <w:r>
        <w:t>Although election plays a significant role in Williams’ theology, its focus is not upon the divine decrees (as is more typical of Reformed theology). Predestination and election, for Williams, look not only back to eternity past, but also forward to the eschatological future, being strongly linked with the goal of the church’s conformity to the image of Christ.</w:t>
      </w:r>
      <w:r>
        <w:rPr>
          <w:rStyle w:val="FootnoteReference"/>
        </w:rPr>
        <w:footnoteReference w:id="841"/>
      </w:r>
      <w:r>
        <w:t xml:space="preserve"> Eph. 1:4 bears significantly on Williams’ thought here, pointing to the goal of election ‘</w:t>
      </w:r>
      <w:r w:rsidRPr="003E3F48">
        <w:t>that we should be holy and without blame before Him in love</w:t>
      </w:r>
      <w:r>
        <w:t>.’</w:t>
      </w:r>
      <w:r>
        <w:rPr>
          <w:rStyle w:val="FootnoteReference"/>
        </w:rPr>
        <w:footnoteReference w:id="842"/>
      </w:r>
      <w:r>
        <w:t xml:space="preserve"> Thus election is to be seen with its goal in the church’s final inheritance as it is glorified in conformity to Christ.</w:t>
      </w:r>
      <w:r>
        <w:rPr>
          <w:rStyle w:val="FootnoteReference"/>
        </w:rPr>
        <w:footnoteReference w:id="843"/>
      </w:r>
      <w:r>
        <w:t xml:space="preserve"> </w:t>
      </w:r>
    </w:p>
    <w:p w:rsidR="00062AED" w:rsidRDefault="00062AED" w:rsidP="009370EA">
      <w:pPr>
        <w:spacing w:line="360" w:lineRule="auto"/>
        <w:jc w:val="both"/>
      </w:pPr>
      <w:r>
        <w:t xml:space="preserve">Hence, the doctrine of election, for Williams, although grounded in the eternal counsel of the Trinity, should not lead first and foremost to an attempt to read the (unrevealed and thus inscrutable) divine decrees, but rather should point us forward to the certainty of the church’s eschatological hope and backward to the cross. This is where Williams sees the biggest difference between the Apostolic approach to the doctrine of election and that of the Calvinists. His concern is that (at least certain expressions of) popular Calvinism could have a tendency to introspection, causing people to focus on the question of their own election, and thus putting ‘predestination between the sinner and the cross, so that many said, if I am not predestinated, chosen and </w:t>
      </w:r>
      <w:r>
        <w:lastRenderedPageBreak/>
        <w:t>elected, why should I bother about my salvation, and if I am elected I will be alright whatever happens.’</w:t>
      </w:r>
      <w:r>
        <w:rPr>
          <w:rStyle w:val="FootnoteReference"/>
        </w:rPr>
        <w:footnoteReference w:id="844"/>
      </w:r>
      <w:r>
        <w:t xml:space="preserve"> Furthermore, such an approach can allow election to be abstracted from Christ. Yet Williams’ solution to these dangers is not to abandon or downplay the doctrine of election, but rather to insist that its proper locus is to be found in the cross rather than in the reading of an inscrutable divine decree. For Williams, election and predestination can only be preached and understood when seen through the cross of Christ, and when seen through the cross, election and predestination cannot be abstracted from Christ (it is never merely election, but always election ‘in Christ’) or from its goal of conformity to him.</w:t>
      </w:r>
      <w:r>
        <w:rPr>
          <w:rStyle w:val="FootnoteReference"/>
        </w:rPr>
        <w:footnoteReference w:id="845"/>
      </w:r>
    </w:p>
    <w:p w:rsidR="00062AED" w:rsidRDefault="006209BE" w:rsidP="009370EA">
      <w:pPr>
        <w:spacing w:line="360" w:lineRule="auto"/>
        <w:jc w:val="both"/>
      </w:pPr>
      <w:r>
        <w:t>William</w:t>
      </w:r>
      <w:r w:rsidR="00062AED">
        <w:t>s</w:t>
      </w:r>
      <w:r>
        <w:t>’</w:t>
      </w:r>
      <w:r w:rsidR="00062AED">
        <w:t xml:space="preserve"> expressed disagreement with certain Calvinist tendencies, along with the prevailing idea that Pentecostalism finds its roots in Wesleyan Holiness thought, may tempt one to suspect that Williams takes an Arminian approach to soteriology, and to the doctrine of election in particular, but that is manifestly not the case.</w:t>
      </w:r>
      <w:r w:rsidR="00062AED">
        <w:rPr>
          <w:rStyle w:val="FootnoteReference"/>
        </w:rPr>
        <w:footnoteReference w:id="846"/>
      </w:r>
      <w:r w:rsidR="00062AED">
        <w:t xml:space="preserve"> For Williams, it is an unconditional (Welsh: </w:t>
      </w:r>
      <w:r w:rsidR="00062AED" w:rsidRPr="003F168C">
        <w:rPr>
          <w:i/>
        </w:rPr>
        <w:t>diamodol</w:t>
      </w:r>
      <w:r w:rsidR="00062AED">
        <w:t>) election</w:t>
      </w:r>
      <w:r w:rsidR="00EB1039">
        <w:t xml:space="preserve"> which is ‘the very hub of God’s</w:t>
      </w:r>
      <w:r w:rsidR="00062AED">
        <w:t xml:space="preserve"> Eternal Purpose.’</w:t>
      </w:r>
      <w:r w:rsidR="00062AED">
        <w:rPr>
          <w:rStyle w:val="FootnoteReference"/>
        </w:rPr>
        <w:footnoteReference w:id="847"/>
      </w:r>
      <w:r w:rsidR="00062AED">
        <w:t xml:space="preserve"> ‘There are saints elected unconditionally in the heart of God in eternity,’ and this, for Williams, describes ‘Yr Arfaeth’ (</w:t>
      </w:r>
      <w:r w:rsidR="00062AED" w:rsidRPr="00C115A0">
        <w:rPr>
          <w:i/>
        </w:rPr>
        <w:t>The Purpose</w:t>
      </w:r>
      <w:r w:rsidR="00062AED">
        <w:t>).</w:t>
      </w:r>
      <w:r w:rsidR="00062AED">
        <w:rPr>
          <w:rStyle w:val="FootnoteReference"/>
        </w:rPr>
        <w:footnoteReference w:id="848"/>
      </w:r>
      <w:r w:rsidR="00062AED">
        <w:t xml:space="preserve"> </w:t>
      </w:r>
    </w:p>
    <w:p w:rsidR="00062AED" w:rsidRDefault="00062AED" w:rsidP="009370EA">
      <w:pPr>
        <w:spacing w:line="360" w:lineRule="auto"/>
        <w:jc w:val="both"/>
      </w:pPr>
      <w:r>
        <w:t>Williams further explains here that ‘the highest privilege that God can give to man [is] to come into the Holiest of all, to the Presence of Divine Election.’</w:t>
      </w:r>
      <w:r>
        <w:rPr>
          <w:rStyle w:val="FootnoteReference"/>
        </w:rPr>
        <w:footnoteReference w:id="849"/>
      </w:r>
      <w:r>
        <w:t xml:space="preserve"> Drawing on the Old Testament Tabernacle, Williams writes that election brings the church into the place where the High Priest (Christ) stands and where the Shekinah (the Holy Spirit) dwells, and thus to be in ‘the Election of God’ is to be ‘in the very centre of His Presence.’</w:t>
      </w:r>
      <w:r>
        <w:rPr>
          <w:rStyle w:val="FootnoteReference"/>
        </w:rPr>
        <w:footnoteReference w:id="850"/>
      </w:r>
      <w:r>
        <w:t xml:space="preserve"> Here we see not only a Trinitarian origin to election and the Eternal Purpose, but also a Trinitarian outcome: the Church (which, for Williams, is ‘God’s Elect’</w:t>
      </w:r>
      <w:r>
        <w:rPr>
          <w:rStyle w:val="FootnoteReference"/>
        </w:rPr>
        <w:footnoteReference w:id="851"/>
      </w:r>
      <w:r>
        <w:t>) is brought, by the outworking of God’s election, to dwell in the midst of the Trinity: election results in ‘communion in the Holiest of All’, communion in the loving communion of the Father, Son and Holy Spirit.</w:t>
      </w:r>
      <w:r>
        <w:rPr>
          <w:rStyle w:val="FootnoteReference"/>
        </w:rPr>
        <w:footnoteReference w:id="852"/>
      </w:r>
      <w:r>
        <w:t xml:space="preserve"> The church is brought ‘into the realm of God Himself.’</w:t>
      </w:r>
      <w:r>
        <w:rPr>
          <w:rStyle w:val="FootnoteReference"/>
        </w:rPr>
        <w:footnoteReference w:id="853"/>
      </w:r>
    </w:p>
    <w:p w:rsidR="00062AED" w:rsidRDefault="00062AED" w:rsidP="009370EA">
      <w:pPr>
        <w:spacing w:line="360" w:lineRule="auto"/>
        <w:jc w:val="both"/>
      </w:pPr>
      <w:r>
        <w:lastRenderedPageBreak/>
        <w:t>Although the goal of election is in time and in the eschatological future, and election is only rightly viewed through the cross, Williams also highlights the importance that election took place ‘before the foundation of the world.’</w:t>
      </w:r>
      <w:r>
        <w:rPr>
          <w:rStyle w:val="FootnoteReference"/>
        </w:rPr>
        <w:footnoteReference w:id="854"/>
      </w:r>
      <w:r>
        <w:t xml:space="preserve"> In common with other early Apostolic writers, Williams highlights ‘three things in the Scriptures’ that are from ‘before the foundation of the world’: 1) the Father lavishing his love upon his Son (John 17:24), 2) the foreordination of the Son as Redeemer (1 Pet. 1:20), and 3) the election of the church in Christ (Eph. 1:4).</w:t>
      </w:r>
      <w:r>
        <w:rPr>
          <w:rStyle w:val="FootnoteReference"/>
        </w:rPr>
        <w:footnoteReference w:id="855"/>
      </w:r>
      <w:r>
        <w:t xml:space="preserve"> For Williams, the common designation of ‘before the foundation of the world’ ties these three together. Thus, the Son’s appointment as Redeemer and the election of the Church in him are closely connected to the great love of the Father for the Son. Williams argues from this that as ‘there was no commencement to’ the love of the Father for the Son, so ‘there is no commencement to His love towards His Church in the Eternal Plan of God.’</w:t>
      </w:r>
      <w:r>
        <w:rPr>
          <w:rStyle w:val="FootnoteReference"/>
        </w:rPr>
        <w:footnoteReference w:id="856"/>
      </w:r>
      <w:r>
        <w:t xml:space="preserve"> </w:t>
      </w:r>
    </w:p>
    <w:p w:rsidR="00062AED" w:rsidRPr="00253320" w:rsidRDefault="00062AED" w:rsidP="009370EA">
      <w:pPr>
        <w:spacing w:line="360" w:lineRule="auto"/>
        <w:ind w:left="720" w:right="720"/>
        <w:jc w:val="both"/>
        <w:rPr>
          <w:sz w:val="20"/>
        </w:rPr>
      </w:pPr>
      <w:r w:rsidRPr="00253320">
        <w:rPr>
          <w:sz w:val="20"/>
        </w:rPr>
        <w:t>Before the foundation of the world, God loved His Son, and in loving Him in eternity He ordained Him to be our Saviour, and in that Divine Ordination … He found His Church and we are in the bosom of the Triune God, redeemed!</w:t>
      </w:r>
      <w:r w:rsidRPr="00253320">
        <w:rPr>
          <w:rStyle w:val="FootnoteReference"/>
          <w:sz w:val="20"/>
        </w:rPr>
        <w:footnoteReference w:id="857"/>
      </w:r>
    </w:p>
    <w:p w:rsidR="00062AED" w:rsidRDefault="00062AED" w:rsidP="009370EA">
      <w:pPr>
        <w:spacing w:line="360" w:lineRule="auto"/>
        <w:jc w:val="both"/>
      </w:pPr>
      <w:r>
        <w:t>This clarifies Williams’ statement elsewhere that ‘the Eternal Plan and Purpose of God is an intrinsic part of His Own Essence … from Eternity Past … the Cross was in the Heart of the Godhead in Eternity,’</w:t>
      </w:r>
      <w:r>
        <w:rPr>
          <w:rStyle w:val="FootnoteReference"/>
        </w:rPr>
        <w:footnoteReference w:id="858"/>
      </w:r>
      <w:r>
        <w:t xml:space="preserve"> for the Eternal Purpose of God involving Christ as Redeemer and the election of the Church is all part of the Father’s great love for his Son. As we have seen in a previous chapter, for Williams, ‘the essence of the Triune God is love.’</w:t>
      </w:r>
      <w:r>
        <w:rPr>
          <w:rStyle w:val="FootnoteReference"/>
        </w:rPr>
        <w:footnoteReference w:id="859"/>
      </w:r>
      <w:r>
        <w:t xml:space="preserve"> Thus, God’s eternal elective purpose is an outward expression of the loving essence of the Triune God.</w:t>
      </w:r>
    </w:p>
    <w:p w:rsidR="00062AED" w:rsidRDefault="00062AED" w:rsidP="009370EA">
      <w:pPr>
        <w:spacing w:line="360" w:lineRule="auto"/>
        <w:jc w:val="both"/>
      </w:pPr>
      <w:r>
        <w:t xml:space="preserve">Such a view of the Eternal Purpose leads to a form of </w:t>
      </w:r>
      <w:r w:rsidRPr="002B5494">
        <w:rPr>
          <w:i/>
        </w:rPr>
        <w:t>supralapsarianism</w:t>
      </w:r>
      <w:r>
        <w:t>. The Eternal Purpose is ‘not something that came into being since the Fall.’</w:t>
      </w:r>
      <w:r>
        <w:rPr>
          <w:rStyle w:val="FootnoteReference"/>
        </w:rPr>
        <w:footnoteReference w:id="860"/>
      </w:r>
      <w:r>
        <w:t xml:space="preserve"> This plan is not ‘accidental’ (by which Williams in context means not contingent upon the Fall), but rather, as we have seen, is the expression </w:t>
      </w:r>
      <w:r w:rsidRPr="002B5494">
        <w:rPr>
          <w:i/>
        </w:rPr>
        <w:t>ad extra</w:t>
      </w:r>
      <w:r>
        <w:t xml:space="preserve"> of God’s own essence of love.</w:t>
      </w:r>
      <w:r>
        <w:rPr>
          <w:rStyle w:val="FootnoteReference"/>
        </w:rPr>
        <w:footnoteReference w:id="861"/>
      </w:r>
      <w:r>
        <w:t xml:space="preserve"> This means that for Williams, the Cross and the Incarnation are not contingent: they are not God’s response to man’s predicament. Rather, ‘the Cross was in the Heart of the Godhead in Eternity.’</w:t>
      </w:r>
      <w:r>
        <w:rPr>
          <w:rStyle w:val="FootnoteReference"/>
        </w:rPr>
        <w:footnoteReference w:id="862"/>
      </w:r>
      <w:r>
        <w:t xml:space="preserve"> Thus, the Incarnation and Cross of </w:t>
      </w:r>
      <w:r>
        <w:lastRenderedPageBreak/>
        <w:t>Christ do not only bring forgiveness of sin, but beyond that accomplish the pre-Fall purpose. ‘This is the purpose of the whole plan of Redemption, the whole essence of it, that He might have a Body of people as perfect as the Godhead.’</w:t>
      </w:r>
      <w:r>
        <w:rPr>
          <w:rStyle w:val="FootnoteReference"/>
        </w:rPr>
        <w:footnoteReference w:id="863"/>
      </w:r>
      <w:r>
        <w:t xml:space="preserve"> (Later we shall see that this perfection is not the church’s own perfection, but rather the perfection of Christ which the church shares through its participation in him.)</w:t>
      </w:r>
    </w:p>
    <w:p w:rsidR="00062AED" w:rsidRDefault="00062AED" w:rsidP="009370EA">
      <w:pPr>
        <w:spacing w:line="360" w:lineRule="auto"/>
        <w:jc w:val="both"/>
      </w:pPr>
      <w:r>
        <w:t>Other Apostolic writers would elaborate further on this supralapsarian thought. Yet it is clear that it is an important factor in Williams understanding of the Eternal Purpose. Significantly, having already observed Williams’ criticism of Calvinistic discussions of election, it is of note that Williams does not tie his supralapsarian thought to a discussion of the order of the divine decrees. Rather, for Williams, the matter is centred in Christ and his Cross. ‘All the purposes of God are bound up in His Son.’</w:t>
      </w:r>
      <w:r>
        <w:rPr>
          <w:rStyle w:val="FootnoteReference"/>
        </w:rPr>
        <w:footnoteReference w:id="864"/>
      </w:r>
      <w:r>
        <w:t xml:space="preserve"> ‘T</w:t>
      </w:r>
      <w:r w:rsidRPr="00390E61">
        <w:t>he Cross was in the H</w:t>
      </w:r>
      <w:r>
        <w:t>eart of the Godhead in Eternity.</w:t>
      </w:r>
      <w:r w:rsidRPr="00390E61">
        <w:t>’</w:t>
      </w:r>
      <w:r w:rsidRPr="00390E61">
        <w:rPr>
          <w:vertAlign w:val="superscript"/>
        </w:rPr>
        <w:footnoteReference w:id="865"/>
      </w:r>
      <w:r>
        <w:t>An infralapsarian approach would, from Williams’ perspective,</w:t>
      </w:r>
      <w:r w:rsidRPr="00B50187">
        <w:t xml:space="preserve"> downgrade the role of Christ and His Cross to a means of restoring the creation rather than being the centre of God's purpose.</w:t>
      </w:r>
      <w:r>
        <w:rPr>
          <w:rStyle w:val="FootnoteReference"/>
        </w:rPr>
        <w:footnoteReference w:id="866"/>
      </w:r>
      <w:r w:rsidRPr="00B50187">
        <w:t xml:space="preserve"> In </w:t>
      </w:r>
      <w:r>
        <w:t xml:space="preserve">such a </w:t>
      </w:r>
      <w:r w:rsidRPr="00B50187">
        <w:t>scheme the Cross exists because the creation has failed</w:t>
      </w:r>
      <w:r>
        <w:t>, and so</w:t>
      </w:r>
      <w:r w:rsidRPr="00B50187">
        <w:t xml:space="preserve"> Christ’s incarnation and Cross </w:t>
      </w:r>
      <w:r>
        <w:t>appear as</w:t>
      </w:r>
      <w:r w:rsidRPr="00B50187">
        <w:t xml:space="preserve"> an emergency reaction to sin.</w:t>
      </w:r>
      <w:r>
        <w:t xml:space="preserve"> However</w:t>
      </w:r>
      <w:r w:rsidR="00DA47A1">
        <w:t>,</w:t>
      </w:r>
      <w:r w:rsidRPr="00B50187">
        <w:t xml:space="preserve"> if </w:t>
      </w:r>
      <w:r>
        <w:t>God’s Eternal Purpose</w:t>
      </w:r>
      <w:r w:rsidRPr="00B50187">
        <w:t xml:space="preserve"> in Christ has priority over creation and the fall (i.e. </w:t>
      </w:r>
      <w:r>
        <w:t>a</w:t>
      </w:r>
      <w:r w:rsidRPr="00B50187">
        <w:t xml:space="preserve"> form of supralapsarianism), then that means that creation exists </w:t>
      </w:r>
      <w:r w:rsidRPr="00B50187">
        <w:rPr>
          <w:bCs/>
          <w:iCs/>
        </w:rPr>
        <w:t>for</w:t>
      </w:r>
      <w:r w:rsidRPr="00B50187">
        <w:t> Christ and His Cross.</w:t>
      </w:r>
      <w:r>
        <w:rPr>
          <w:rStyle w:val="FootnoteReference"/>
        </w:rPr>
        <w:footnoteReference w:id="867"/>
      </w:r>
      <w:r w:rsidRPr="00B50187">
        <w:t xml:space="preserve"> </w:t>
      </w:r>
      <w:r>
        <w:t>Williams would agree with</w:t>
      </w:r>
      <w:r w:rsidRPr="00B50187">
        <w:t xml:space="preserve"> Duns Scotus</w:t>
      </w:r>
      <w:r>
        <w:t>’</w:t>
      </w:r>
      <w:r w:rsidRPr="00B50187">
        <w:t xml:space="preserve"> </w:t>
      </w:r>
      <w:r>
        <w:t>argument that</w:t>
      </w:r>
      <w:r w:rsidRPr="00B50187">
        <w:t xml:space="preserve"> the world was cr</w:t>
      </w:r>
      <w:r>
        <w:t>eated for Christ’s incarnation. As W.R. Thomas would later express it:</w:t>
      </w:r>
    </w:p>
    <w:p w:rsidR="00062AED" w:rsidRPr="00C71554" w:rsidRDefault="00062AED" w:rsidP="009370EA">
      <w:pPr>
        <w:spacing w:line="360" w:lineRule="auto"/>
        <w:ind w:left="720" w:right="720"/>
        <w:jc w:val="both"/>
        <w:rPr>
          <w:iCs/>
          <w:sz w:val="20"/>
        </w:rPr>
      </w:pPr>
      <w:r w:rsidRPr="00C71554">
        <w:rPr>
          <w:iCs/>
          <w:sz w:val="20"/>
        </w:rPr>
        <w:t>Well before sin entered into creation, before the rebellion of Satan, and before the fall of man, there in the bosom of the Father, in the mystery of His will, in the womb of eternity - there was the Cross. The Death of our Lord on the Cross of Calvary was not an afterthought, but an essential part of that original plan and resolve of the Trinity.</w:t>
      </w:r>
      <w:r w:rsidRPr="00C71554">
        <w:rPr>
          <w:rStyle w:val="FootnoteReference"/>
          <w:iCs/>
          <w:sz w:val="20"/>
        </w:rPr>
        <w:footnoteReference w:id="868"/>
      </w:r>
    </w:p>
    <w:p w:rsidR="00062AED" w:rsidRPr="009D0DA1" w:rsidRDefault="00062AED" w:rsidP="009370EA">
      <w:pPr>
        <w:spacing w:line="360" w:lineRule="auto"/>
        <w:jc w:val="both"/>
        <w:rPr>
          <w:iCs/>
        </w:rPr>
      </w:pPr>
      <w:r>
        <w:rPr>
          <w:iCs/>
        </w:rPr>
        <w:t>Such Apostolic</w:t>
      </w:r>
      <w:r w:rsidRPr="00C71554">
        <w:rPr>
          <w:iCs/>
        </w:rPr>
        <w:t xml:space="preserve"> supralapsarianism </w:t>
      </w:r>
      <w:r>
        <w:rPr>
          <w:iCs/>
        </w:rPr>
        <w:t>does not rest on</w:t>
      </w:r>
      <w:r w:rsidRPr="00C71554">
        <w:rPr>
          <w:iCs/>
        </w:rPr>
        <w:t xml:space="preserve"> </w:t>
      </w:r>
      <w:r>
        <w:rPr>
          <w:iCs/>
        </w:rPr>
        <w:t>a speculative approach to the number and order of the divine decrees</w:t>
      </w:r>
      <w:r w:rsidRPr="00C71554">
        <w:rPr>
          <w:iCs/>
        </w:rPr>
        <w:t xml:space="preserve">. </w:t>
      </w:r>
      <w:r>
        <w:rPr>
          <w:iCs/>
        </w:rPr>
        <w:t>Rather</w:t>
      </w:r>
      <w:r w:rsidRPr="00C71554">
        <w:rPr>
          <w:iCs/>
        </w:rPr>
        <w:t xml:space="preserve"> it comes down to the question of was the world created for Christ and His Cross? As Thomas put it, </w:t>
      </w:r>
      <w:r w:rsidRPr="00C71554">
        <w:rPr>
          <w:i/>
          <w:iCs/>
        </w:rPr>
        <w:t xml:space="preserve">‘The Body of Christ is the reason for the creation of the universe … In Creation we have the platform erected by God for the realization of the Eternal </w:t>
      </w:r>
      <w:r w:rsidRPr="00C71554">
        <w:rPr>
          <w:i/>
          <w:iCs/>
        </w:rPr>
        <w:lastRenderedPageBreak/>
        <w:t>plan.’</w:t>
      </w:r>
      <w:r w:rsidRPr="00C71554">
        <w:rPr>
          <w:iCs/>
        </w:rPr>
        <w:t> </w:t>
      </w:r>
      <w:r>
        <w:rPr>
          <w:rStyle w:val="FootnoteReference"/>
          <w:iCs/>
        </w:rPr>
        <w:footnoteReference w:id="869"/>
      </w:r>
      <w:r>
        <w:rPr>
          <w:iCs/>
        </w:rPr>
        <w:t xml:space="preserve"> </w:t>
      </w:r>
      <w:r w:rsidRPr="00C71554">
        <w:rPr>
          <w:iCs/>
        </w:rPr>
        <w:t xml:space="preserve">If the Body of Christ is the reason for creation, then </w:t>
      </w:r>
      <w:r>
        <w:rPr>
          <w:iCs/>
        </w:rPr>
        <w:t>Christ’s Incarnation and Cross must have priority over creation and the Fall, resulting in a supralapsarian approach.</w:t>
      </w:r>
    </w:p>
    <w:p w:rsidR="00062AED" w:rsidRDefault="00062AED" w:rsidP="009370EA">
      <w:pPr>
        <w:spacing w:line="360" w:lineRule="auto"/>
        <w:jc w:val="both"/>
        <w:rPr>
          <w:i/>
        </w:rPr>
      </w:pPr>
    </w:p>
    <w:p w:rsidR="00062AED" w:rsidRDefault="00062AED" w:rsidP="009370EA">
      <w:pPr>
        <w:pStyle w:val="PhDSubheading"/>
        <w:spacing w:line="360" w:lineRule="auto"/>
      </w:pPr>
      <w:r>
        <w:t>5.1.2 Sons in the Son: The Church’s Participation in the Trinity</w:t>
      </w:r>
    </w:p>
    <w:p w:rsidR="00062AED" w:rsidRDefault="00062AED" w:rsidP="009370EA">
      <w:pPr>
        <w:spacing w:line="360" w:lineRule="auto"/>
        <w:jc w:val="both"/>
        <w:rPr>
          <w:i/>
        </w:rPr>
      </w:pPr>
      <w:r>
        <w:t>According to Williams, the outworking of the Eternal Purpose is an expression of the mutual exaltation and honour within the Trinity. This then results in a Church which is formed in that image, so that every member of the Body will be concerned for the other members. This is not a likeness of imitation of the Trinity, but rather a likeness which is found to ‘permeate’ the Body and is ‘engraft[ed]’ into every member.</w:t>
      </w:r>
      <w:r>
        <w:rPr>
          <w:rStyle w:val="FootnoteReference"/>
        </w:rPr>
        <w:footnoteReference w:id="870"/>
      </w:r>
      <w:r>
        <w:t xml:space="preserve"> This can only be so through the Church’s participation in Christ: ‘we are participating now in the nature of Christ Himself; we are assimilating Him.’</w:t>
      </w:r>
      <w:r>
        <w:rPr>
          <w:rStyle w:val="FootnoteReference"/>
        </w:rPr>
        <w:footnoteReference w:id="871"/>
      </w:r>
    </w:p>
    <w:p w:rsidR="00062AED" w:rsidRDefault="00062AED" w:rsidP="009370EA">
      <w:pPr>
        <w:spacing w:line="360" w:lineRule="auto"/>
        <w:jc w:val="both"/>
      </w:pPr>
      <w:r>
        <w:t>In 1923 Williams wrote of the importance of the Eternal Purpose to the Apostolic Church.</w:t>
      </w:r>
      <w:r>
        <w:rPr>
          <w:rStyle w:val="FootnoteReference"/>
        </w:rPr>
        <w:footnoteReference w:id="872"/>
      </w:r>
      <w:r>
        <w:t xml:space="preserve"> Here he writes of how the Eternal Purpose concerns the Body of Christ in union with Christ the Head. In this Eternal Purpose, incorruptible and unchangeable life flows from the Head to the Body, as the members of the Body participate in the life of Christ. This is grounded in God’s election, as it is God’s Purpose to bind the Elect to Christ’s own person, and thus, through the one person of Christ, to the divine essence of the Trinity.</w:t>
      </w:r>
      <w:r>
        <w:rPr>
          <w:rStyle w:val="FootnoteReference"/>
        </w:rPr>
        <w:footnoteReference w:id="873"/>
      </w:r>
      <w:r>
        <w:t xml:space="preserve"> Clearly, here then, we see a form of </w:t>
      </w:r>
      <w:r w:rsidRPr="007958F9">
        <w:t>theosis</w:t>
      </w:r>
      <w:r>
        <w:t xml:space="preserve"> in Williams’ thought on the Eternal Purpose. The union with Christ of which he writes is not the mere federal union of (Westminster) Reformed theology, but rather a participation in Christ which brings a change to the believer (incorruptible and unchangeable life)</w:t>
      </w:r>
      <w:r w:rsidRPr="00A22CD3">
        <w:t>.</w:t>
      </w:r>
      <w:r w:rsidRPr="00A22CD3">
        <w:rPr>
          <w:vertAlign w:val="superscript"/>
        </w:rPr>
        <w:footnoteReference w:id="874"/>
      </w:r>
      <w:r>
        <w:t xml:space="preserve"> </w:t>
      </w:r>
    </w:p>
    <w:p w:rsidR="00062AED" w:rsidRDefault="00062AED" w:rsidP="009370EA">
      <w:pPr>
        <w:spacing w:line="360" w:lineRule="auto"/>
        <w:jc w:val="both"/>
      </w:pPr>
      <w:r>
        <w:t xml:space="preserve">Yet an inwardly focused </w:t>
      </w:r>
      <w:r w:rsidRPr="007958F9">
        <w:t>theosis</w:t>
      </w:r>
      <w:r>
        <w:t xml:space="preserve"> of the church is not sufficient for Williams’ understanding of the Eternal Purpose; there must also be an outward focus as the work of the Word in the church results in ‘the manifold wisdom of God [being] revealed to the principalities and powers.’</w:t>
      </w:r>
      <w:r>
        <w:rPr>
          <w:rStyle w:val="FootnoteReference"/>
        </w:rPr>
        <w:footnoteReference w:id="875"/>
      </w:r>
      <w:r>
        <w:t xml:space="preserve"> Williams concludes that the Apostolic Church has only one object, which he describes in three ways (‘the establishing of the truth, the building up of the Church, and the glory of God’), each of which speaks of this Eternal Purpose.</w:t>
      </w:r>
      <w:r>
        <w:rPr>
          <w:rStyle w:val="FootnoteReference"/>
        </w:rPr>
        <w:footnoteReference w:id="876"/>
      </w:r>
    </w:p>
    <w:p w:rsidR="00062AED" w:rsidRPr="00F82DBB" w:rsidRDefault="00062AED" w:rsidP="009370EA">
      <w:pPr>
        <w:spacing w:line="360" w:lineRule="auto"/>
        <w:jc w:val="both"/>
      </w:pPr>
      <w:r>
        <w:lastRenderedPageBreak/>
        <w:t xml:space="preserve">In a Welsh article published the same month, Williams would again highlight aspects of </w:t>
      </w:r>
      <w:r w:rsidRPr="007958F9">
        <w:t>theosis</w:t>
      </w:r>
      <w:r>
        <w:t xml:space="preserve"> in his consideration of the Eternal Purpose. The Church is called to be conformed to the image of Christ, but this is only possible through participation in Christ.</w:t>
      </w:r>
      <w:r>
        <w:rPr>
          <w:rStyle w:val="FootnoteReference"/>
        </w:rPr>
        <w:footnoteReference w:id="877"/>
      </w:r>
      <w:r>
        <w:t xml:space="preserve"> Thus the perfection of the Church (and its members) comes only through union and communion with Christ. The Church must feed upon the divine substance in Christ and participate in His perfection (and thus his communicable attributes).</w:t>
      </w:r>
      <w:r>
        <w:rPr>
          <w:rStyle w:val="FootnoteReference"/>
        </w:rPr>
        <w:footnoteReference w:id="878"/>
      </w:r>
      <w:r>
        <w:t xml:space="preserve"> Such a growing up into perfection in Christ is necessary to the fulfilment of the Eternal Purpose: that Christ will be all in all in the end.</w:t>
      </w:r>
      <w:r>
        <w:rPr>
          <w:rStyle w:val="FootnoteReference"/>
        </w:rPr>
        <w:footnoteReference w:id="879"/>
      </w:r>
      <w:r>
        <w:t xml:space="preserve"> (</w:t>
      </w:r>
      <w:r w:rsidRPr="00F82DBB">
        <w:t xml:space="preserve">Interestingly, Williams also here draws a connection between the Eternal Purpose and suffering, highlighting and strengthening the importance of his </w:t>
      </w:r>
      <w:r w:rsidRPr="00F82DBB">
        <w:rPr>
          <w:i/>
        </w:rPr>
        <w:t>theologia crucis</w:t>
      </w:r>
      <w:r w:rsidRPr="00F82DBB">
        <w:t>.</w:t>
      </w:r>
      <w:r w:rsidRPr="00F82DBB">
        <w:rPr>
          <w:rStyle w:val="FootnoteReference"/>
        </w:rPr>
        <w:footnoteReference w:id="880"/>
      </w:r>
      <w:r>
        <w:t>)</w:t>
      </w:r>
    </w:p>
    <w:p w:rsidR="00062AED" w:rsidRDefault="00062AED" w:rsidP="009370EA">
      <w:pPr>
        <w:spacing w:line="360" w:lineRule="auto"/>
        <w:jc w:val="both"/>
      </w:pPr>
      <w:r>
        <w:t>Williams later clarifies what he means by this participation ‘in the nature of Christ.’ By partaking of Christ (here the emphasis is particularly in the Word, but elsewhere he makes clear that this would also be in sacrament), and through the ministry of the Holy Spirit, ‘we are taking in substance from the Divine Nature … participating in the nature of God as He is giving of Himself by the ministry of the Word and of the Holy Spirit.’</w:t>
      </w:r>
      <w:r>
        <w:rPr>
          <w:rStyle w:val="FootnoteReference"/>
        </w:rPr>
        <w:footnoteReference w:id="881"/>
      </w:r>
      <w:r>
        <w:t xml:space="preserve"> God’s purpose in creation was to conform humanity to his throne and to his heart.</w:t>
      </w:r>
      <w:r>
        <w:rPr>
          <w:rStyle w:val="FootnoteReference"/>
        </w:rPr>
        <w:footnoteReference w:id="882"/>
      </w:r>
      <w:r>
        <w:t xml:space="preserve"> This is achieved as the Church feeds on divine substance in Christ.</w:t>
      </w:r>
      <w:r>
        <w:rPr>
          <w:rStyle w:val="FootnoteReference"/>
        </w:rPr>
        <w:footnoteReference w:id="883"/>
      </w:r>
      <w:r>
        <w:t xml:space="preserve"> It is Christ the Head who is the Source,</w:t>
      </w:r>
      <w:r>
        <w:rPr>
          <w:rStyle w:val="FootnoteReference"/>
        </w:rPr>
        <w:footnoteReference w:id="884"/>
      </w:r>
      <w:r>
        <w:t xml:space="preserve"> </w:t>
      </w:r>
      <w:r w:rsidRPr="00814279">
        <w:t xml:space="preserve">but united to Him (remembering Williams’ strongly Cyrilline Christology) the Church is united not only to his humanity, but to </w:t>
      </w:r>
      <w:r>
        <w:t>the one person of the Son</w:t>
      </w:r>
      <w:r w:rsidRPr="00814279">
        <w:t>. Thus, by partaking of the one person of Christ, the Church partakes of the divine nature. Furthermore, in union with Christ the Church is filled with his Spirit, and thus partakes of the divine nature in the Spirit also.</w:t>
      </w:r>
      <w:r>
        <w:t xml:space="preserve"> Thus, through union with Christ the Head and filled with his Spirit, ‘His Divine Nature is within us.’</w:t>
      </w:r>
      <w:r>
        <w:rPr>
          <w:rStyle w:val="FootnoteReference"/>
        </w:rPr>
        <w:footnoteReference w:id="885"/>
      </w:r>
      <w:r>
        <w:t xml:space="preserve"> This is the predestination of the Trinity.</w:t>
      </w:r>
      <w:r>
        <w:rPr>
          <w:rStyle w:val="FootnoteReference"/>
        </w:rPr>
        <w:footnoteReference w:id="886"/>
      </w:r>
      <w:r>
        <w:t xml:space="preserve"> The Eternal Purpose of the Church as ‘one man in Christ’ is only possible ‘as the Divinity of our Head will possess us.’</w:t>
      </w:r>
      <w:r>
        <w:rPr>
          <w:rStyle w:val="FootnoteReference"/>
        </w:rPr>
        <w:footnoteReference w:id="887"/>
      </w:r>
    </w:p>
    <w:p w:rsidR="00062AED" w:rsidRDefault="00062AED" w:rsidP="009370EA">
      <w:pPr>
        <w:spacing w:line="360" w:lineRule="auto"/>
        <w:jc w:val="both"/>
      </w:pPr>
      <w:r>
        <w:t>This ‘participation’ in the divine nature comes about through union with Christ through faith:</w:t>
      </w:r>
    </w:p>
    <w:p w:rsidR="00062AED" w:rsidRPr="009E2419" w:rsidRDefault="00062AED" w:rsidP="009370EA">
      <w:pPr>
        <w:spacing w:line="360" w:lineRule="auto"/>
        <w:ind w:left="720" w:right="720"/>
        <w:jc w:val="both"/>
        <w:rPr>
          <w:sz w:val="20"/>
        </w:rPr>
      </w:pPr>
      <w:r w:rsidRPr="009E2419">
        <w:rPr>
          <w:sz w:val="20"/>
        </w:rPr>
        <w:t>This new order of life can only be participated in through faith and vital union with the living Christ. The Incarnation brought our Human Nature into oneness with God, and</w:t>
      </w:r>
      <w:r>
        <w:rPr>
          <w:sz w:val="20"/>
        </w:rPr>
        <w:t xml:space="preserve"> the </w:t>
      </w:r>
      <w:r>
        <w:rPr>
          <w:sz w:val="20"/>
        </w:rPr>
        <w:lastRenderedPageBreak/>
        <w:t xml:space="preserve">Redemption through Christ </w:t>
      </w:r>
      <w:r w:rsidRPr="009E2419">
        <w:rPr>
          <w:sz w:val="20"/>
        </w:rPr>
        <w:t>by His Death and Resurrection has made a way for our personalities to be implanted with the seed of Life Eternal that can only be found and possessed in the Death and Resurrection of Christ our Lord. This is the plan and plane of the New Race, the New Humanity in Christ. It is by Divine Conception and birth, and that birth operates in and through the Death and Resurrecting Power of our Lord, whereby the power of His Endless Life manifests itself in the gift to the contrite soul of the same Endless Life. That Life within the soul proceeds onward to an ultimate goal of perfection to bring forth fruit unto righteousness and holiness.</w:t>
      </w:r>
      <w:r w:rsidRPr="009E2419">
        <w:rPr>
          <w:rStyle w:val="FootnoteReference"/>
          <w:sz w:val="20"/>
        </w:rPr>
        <w:footnoteReference w:id="888"/>
      </w:r>
    </w:p>
    <w:p w:rsidR="00062AED" w:rsidRDefault="00062AED" w:rsidP="009370EA">
      <w:pPr>
        <w:spacing w:line="360" w:lineRule="auto"/>
        <w:jc w:val="both"/>
      </w:pPr>
      <w:r>
        <w:t>Through the work of the Holy Spirit, believers are united to Christ and thus experience this participation.</w:t>
      </w:r>
      <w:r>
        <w:rPr>
          <w:rStyle w:val="FootnoteReference"/>
        </w:rPr>
        <w:footnoteReference w:id="889"/>
      </w:r>
      <w:r>
        <w:t xml:space="preserve"> Thus this participation finds its basis in fellowship/communion with Christ through the Holy Spirit. Each believer is ‘constantly deriving’ the benefits of this participation ‘as he depends upon his vital fellowship with Christ.’</w:t>
      </w:r>
      <w:r>
        <w:rPr>
          <w:rStyle w:val="FootnoteReference"/>
        </w:rPr>
        <w:footnoteReference w:id="890"/>
      </w:r>
    </w:p>
    <w:p w:rsidR="00062AED" w:rsidRDefault="00062AED" w:rsidP="009370EA">
      <w:pPr>
        <w:spacing w:line="360" w:lineRule="auto"/>
        <w:jc w:val="both"/>
      </w:pPr>
      <w:r>
        <w:t>Elsewhere, Williams further explains what he means by the Church participating in the divine nature through Christ:</w:t>
      </w:r>
    </w:p>
    <w:p w:rsidR="00062AED" w:rsidRPr="004E2825" w:rsidRDefault="00062AED" w:rsidP="009370EA">
      <w:pPr>
        <w:spacing w:line="360" w:lineRule="auto"/>
        <w:ind w:left="720" w:right="720"/>
        <w:jc w:val="both"/>
        <w:rPr>
          <w:sz w:val="20"/>
        </w:rPr>
      </w:pPr>
      <w:r w:rsidRPr="004E2825">
        <w:rPr>
          <w:sz w:val="20"/>
        </w:rPr>
        <w:t>The Church of God is established on the Nature of God. The Nature of God comprises His Character, His Attributes of Love, Goodness, etc. The Divine Essence and Character of God form the foundation of the Church … The Church is built within the circle of the Eternal Attributes of God … Here is the nature and constitution of the Godhead in the very centre … we become one with the Godhead, and with the Trinity. ‘They in Me, and I in them, that we may all be One.’</w:t>
      </w:r>
      <w:r w:rsidRPr="004E2825">
        <w:rPr>
          <w:rStyle w:val="FootnoteReference"/>
          <w:sz w:val="20"/>
        </w:rPr>
        <w:footnoteReference w:id="891"/>
      </w:r>
    </w:p>
    <w:p w:rsidR="00062AED" w:rsidRDefault="00062AED" w:rsidP="009370EA">
      <w:pPr>
        <w:spacing w:line="360" w:lineRule="auto"/>
        <w:jc w:val="both"/>
      </w:pPr>
      <w:r>
        <w:t xml:space="preserve">For the Church to participate in the divine nature means to be united to the Trinity, and thus to be brought ‘within the circle’ of the divine attributes (particularly of love and goodness) by being brought into the loving fellowship of the Trinity (which is the divine nature). This echoes the Trinitarian and </w:t>
      </w:r>
      <w:r w:rsidRPr="00446608">
        <w:rPr>
          <w:i/>
        </w:rPr>
        <w:t>cymdeithasol</w:t>
      </w:r>
      <w:r>
        <w:t xml:space="preserve"> nature of salvation seen right from Williams’ earliest work of 1914.</w:t>
      </w:r>
      <w:r>
        <w:rPr>
          <w:rStyle w:val="FootnoteReference"/>
        </w:rPr>
        <w:footnoteReference w:id="892"/>
      </w:r>
      <w:r>
        <w:t xml:space="preserve"> Now in his more mature thought however, this is all rooted in an ecclesial context. The Eternal Purpose of the Triune God concerns the Church, and thus, ultimately, salvation is ecclesial. Therefore Williams is adamant that, ‘</w:t>
      </w:r>
      <w:r w:rsidRPr="00916581">
        <w:t>there is nothing higher</w:t>
      </w:r>
      <w:r>
        <w:t xml:space="preserve"> nor nearer the Heart of our Glorified Lord than His Church.’</w:t>
      </w:r>
      <w:r>
        <w:rPr>
          <w:rStyle w:val="FootnoteReference"/>
        </w:rPr>
        <w:footnoteReference w:id="893"/>
      </w:r>
    </w:p>
    <w:p w:rsidR="00062AED" w:rsidRDefault="00062AED" w:rsidP="009370EA">
      <w:pPr>
        <w:spacing w:line="360" w:lineRule="auto"/>
        <w:jc w:val="both"/>
      </w:pPr>
      <w:r>
        <w:lastRenderedPageBreak/>
        <w:t>In the Eternal Purpose then, the Church is ‘a Body of people wonderfully united to the Trinity’ to ‘reveal the oneness of the Trinity.’</w:t>
      </w:r>
      <w:r>
        <w:rPr>
          <w:rStyle w:val="FootnoteReference"/>
        </w:rPr>
        <w:footnoteReference w:id="894"/>
      </w:r>
      <w:r>
        <w:t xml:space="preserve"> In Christ, the Church participates in ‘the Life of God,’</w:t>
      </w:r>
      <w:r>
        <w:rPr>
          <w:rStyle w:val="FootnoteReference"/>
        </w:rPr>
        <w:footnoteReference w:id="895"/>
      </w:r>
      <w:r>
        <w:t xml:space="preserve"> ‘possessing the Life that is in the Godhead.’</w:t>
      </w:r>
      <w:r>
        <w:rPr>
          <w:rStyle w:val="FootnoteReference"/>
        </w:rPr>
        <w:footnoteReference w:id="896"/>
      </w:r>
      <w:r>
        <w:t xml:space="preserve"> This is ‘another nature’ in which the Church can participate as a result of the Incarnation and Atonement.</w:t>
      </w:r>
      <w:r w:rsidRPr="00AC75A5">
        <w:rPr>
          <w:rStyle w:val="FootnoteReference"/>
        </w:rPr>
        <w:t xml:space="preserve"> </w:t>
      </w:r>
      <w:r>
        <w:rPr>
          <w:rStyle w:val="FootnoteReference"/>
        </w:rPr>
        <w:footnoteReference w:id="897"/>
      </w:r>
      <w:r>
        <w:t xml:space="preserve"> ‘The essence of the Incarnation and of Calvary is that Christ incarnated and suffered death in order to bring another kind of Life into us.’</w:t>
      </w:r>
      <w:r>
        <w:rPr>
          <w:rStyle w:val="FootnoteReference"/>
        </w:rPr>
        <w:footnoteReference w:id="898"/>
      </w:r>
      <w:r>
        <w:t xml:space="preserve"> Drawing particularly on John 17:21, Williams describes this new kind of life as ‘the harmony of Heaven’, ‘the love of God in us’, ‘the living thoughts of the Trinity’ and ‘the life of God.’</w:t>
      </w:r>
      <w:r>
        <w:rPr>
          <w:rStyle w:val="FootnoteReference"/>
        </w:rPr>
        <w:footnoteReference w:id="899"/>
      </w:r>
      <w:r>
        <w:t xml:space="preserve"> So, as a people united to the Trinity, the Church participates in the life of the Trinity, living in the fellowship of love between the Father, Son and Holy Spirit. Thus, the Church lives ‘in the bosom of the Triune God.’</w:t>
      </w:r>
      <w:r>
        <w:rPr>
          <w:rStyle w:val="FootnoteReference"/>
        </w:rPr>
        <w:footnoteReference w:id="900"/>
      </w:r>
      <w:r>
        <w:t xml:space="preserve"> The Church exists in the love between the Father and the Son in the Spirit.</w:t>
      </w:r>
      <w:r>
        <w:rPr>
          <w:rStyle w:val="FootnoteReference"/>
        </w:rPr>
        <w:footnoteReference w:id="901"/>
      </w:r>
    </w:p>
    <w:p w:rsidR="00062AED" w:rsidRDefault="00062AED" w:rsidP="009370EA">
      <w:pPr>
        <w:spacing w:line="360" w:lineRule="auto"/>
        <w:jc w:val="both"/>
      </w:pPr>
      <w:r>
        <w:t>This is what it means to be adopted as sons of God by grace. Believers are restored ‘to the position of true sonship in His Family’ as they are made partakers of the life of the Trinity.</w:t>
      </w:r>
      <w:r>
        <w:rPr>
          <w:rStyle w:val="FootnoteReference"/>
        </w:rPr>
        <w:footnoteReference w:id="902"/>
      </w:r>
      <w:r>
        <w:t xml:space="preserve"> This partaking of the divine life occurs through ‘Christ dwelling in the Body’, and thus sonship has an ecclesial locus, and leads to the formation of Christ-character within, so that the Church is conformed to Christ’s image.</w:t>
      </w:r>
      <w:r>
        <w:rPr>
          <w:rStyle w:val="FootnoteReference"/>
        </w:rPr>
        <w:footnoteReference w:id="903"/>
      </w:r>
      <w:r>
        <w:t xml:space="preserve"> Sonship is not merely a legal status, but rather cannot be separated from the Father’s great love.</w:t>
      </w:r>
      <w:r>
        <w:rPr>
          <w:rStyle w:val="FootnoteReference"/>
        </w:rPr>
        <w:footnoteReference w:id="904"/>
      </w:r>
      <w:r>
        <w:t xml:space="preserve"> The Son is ‘the Father’s love’ and so, in adoption to Sonship, the Father pours out His love in the Son upon believers. ‘The God of love dwelling in the souls of His sons is the highest evidence of sonship.’</w:t>
      </w:r>
      <w:r>
        <w:rPr>
          <w:rStyle w:val="FootnoteReference"/>
        </w:rPr>
        <w:footnoteReference w:id="905"/>
      </w:r>
      <w:r>
        <w:t xml:space="preserve"> The sonship of believers is grounded in their union with Christ, and so the church is a body of sons in the Son, sharing in the love between the Father and the Son.</w:t>
      </w:r>
      <w:r>
        <w:rPr>
          <w:rStyle w:val="FootnoteReference"/>
        </w:rPr>
        <w:footnoteReference w:id="906"/>
      </w:r>
    </w:p>
    <w:p w:rsidR="00062AED" w:rsidRDefault="00062AED" w:rsidP="009370EA">
      <w:pPr>
        <w:spacing w:line="360" w:lineRule="auto"/>
        <w:jc w:val="both"/>
      </w:pPr>
      <w:r>
        <w:t>In Williams’ understanding of the Eternal Purpose then, the church has ‘oneness with the Trinity’, through the Headship of Christ, union in the Spirit, and in communion with the Father.</w:t>
      </w:r>
      <w:r>
        <w:rPr>
          <w:rStyle w:val="FootnoteReference"/>
        </w:rPr>
        <w:footnoteReference w:id="907"/>
      </w:r>
      <w:r>
        <w:t xml:space="preserve"> This </w:t>
      </w:r>
      <w:r>
        <w:lastRenderedPageBreak/>
        <w:t>union with the Trinity is ‘the ultimate purpose of the work of the Trinity in the Redemptive Plan … through the Blood.’</w:t>
      </w:r>
      <w:r>
        <w:rPr>
          <w:rStyle w:val="FootnoteReference"/>
        </w:rPr>
        <w:footnoteReference w:id="908"/>
      </w:r>
      <w:r>
        <w:t xml:space="preserve"> The church is ‘continually participating [in the] glorious nature [of the Triune God]’ through ‘perpetual, unbroken fellowship with Him.’</w:t>
      </w:r>
      <w:r>
        <w:rPr>
          <w:rStyle w:val="FootnoteReference"/>
        </w:rPr>
        <w:footnoteReference w:id="909"/>
      </w:r>
    </w:p>
    <w:p w:rsidR="00062AED" w:rsidRDefault="00062AED" w:rsidP="009370EA">
      <w:pPr>
        <w:spacing w:line="360" w:lineRule="auto"/>
        <w:jc w:val="both"/>
      </w:pPr>
      <w:r>
        <w:t xml:space="preserve">Williams’ vision of </w:t>
      </w:r>
      <w:r w:rsidRPr="007958F9">
        <w:t>theosis</w:t>
      </w:r>
      <w:r>
        <w:t xml:space="preserve"> as life in the Trinity finds marked parallels in the thought of Cyril of Alexandria who ‘tirelessly promotes a personal concept of participation in which we share in the very love between the Father and the Son.’</w:t>
      </w:r>
      <w:r>
        <w:rPr>
          <w:rStyle w:val="FootnoteReference"/>
        </w:rPr>
        <w:footnoteReference w:id="910"/>
      </w:r>
      <w:r>
        <w:t xml:space="preserve"> ‘God makes [the believer] a partaker of his own nature.’</w:t>
      </w:r>
      <w:r>
        <w:rPr>
          <w:rStyle w:val="FootnoteReference"/>
        </w:rPr>
        <w:footnoteReference w:id="911"/>
      </w:r>
      <w:r>
        <w:t xml:space="preserve"> This is Cyril’s concept of salvation. ‘There was no other way for humanity, being of a perishable nature, to escape death except to be returned to that original grace and to participate once again in God, who holds all things in existence and who gives life through the Son in the Spirit.’</w:t>
      </w:r>
      <w:r>
        <w:rPr>
          <w:rStyle w:val="FootnoteReference"/>
        </w:rPr>
        <w:footnoteReference w:id="912"/>
      </w:r>
      <w:r>
        <w:t xml:space="preserve"> As in Williams’ thought, Cyril argues that this participation in the life of the Trinity comes about through Christ’s Incarnation and atonement, and is applied to believers through union with Christ by the Spirit, resulting in sonship.</w:t>
      </w:r>
    </w:p>
    <w:p w:rsidR="00062AED" w:rsidRPr="00056C88" w:rsidRDefault="00062AED" w:rsidP="009370EA">
      <w:pPr>
        <w:spacing w:line="360" w:lineRule="auto"/>
        <w:ind w:left="720" w:right="720"/>
        <w:jc w:val="both"/>
        <w:rPr>
          <w:sz w:val="20"/>
        </w:rPr>
      </w:pPr>
      <w:r w:rsidRPr="00056C88">
        <w:rPr>
          <w:sz w:val="20"/>
        </w:rPr>
        <w:t>So he came to share in flesh and blood … that by ineffably and indescribably uniting himself to the flesh that was perishing … he might raise it to his own life and make it a partaker of God the Father through himself. He is the ‘mediator between God and humanity,’ as it is written. As God and from God, he is naturally joined to God the Father. And as a human being, he is joined to humanity, having the Father in himself and himself being in the Father … And he likewise has us in himself … and he himself is in us, since we have all become partakers in him, and we have him in ourselves through the Spirit. Therefore we have become partakers in the divine nature and we are called children, since we have the Father himself in us through the Son.</w:t>
      </w:r>
      <w:r w:rsidRPr="00056C88">
        <w:rPr>
          <w:rStyle w:val="FootnoteReference"/>
          <w:sz w:val="20"/>
        </w:rPr>
        <w:footnoteReference w:id="913"/>
      </w:r>
    </w:p>
    <w:p w:rsidR="00062AED" w:rsidRDefault="00062AED" w:rsidP="009370EA">
      <w:pPr>
        <w:spacing w:line="360" w:lineRule="auto"/>
        <w:jc w:val="both"/>
      </w:pPr>
      <w:r>
        <w:t>This participation in the triune communion involves, for Cyril as for Williams, a sharing in the love between the Father and the Son in the Spirit. Cyril paraphrases Christ (based on John 15:9-10) saying, ‘you will surely “abide in my love” in the same way … I will openly grant such love to you as I myself have from the Father.’</w:t>
      </w:r>
      <w:r>
        <w:rPr>
          <w:rStyle w:val="FootnoteReference"/>
        </w:rPr>
        <w:footnoteReference w:id="914"/>
      </w:r>
      <w:r>
        <w:t xml:space="preserve"> As Donald Fairbairn concludes regarding Cyril’s understanding of theosis:</w:t>
      </w:r>
    </w:p>
    <w:p w:rsidR="00062AED" w:rsidRDefault="00062AED" w:rsidP="009370EA">
      <w:pPr>
        <w:spacing w:line="360" w:lineRule="auto"/>
        <w:ind w:left="720" w:right="720"/>
        <w:jc w:val="both"/>
      </w:pPr>
      <w:r w:rsidRPr="00F82150">
        <w:rPr>
          <w:sz w:val="20"/>
        </w:rPr>
        <w:t xml:space="preserve">Although we were foreign to God, his warm love for us has led him to raise us up to the intimacy of communion which characterizes his own inter-trinitarian relationships, and </w:t>
      </w:r>
      <w:r w:rsidRPr="00F82150">
        <w:rPr>
          <w:sz w:val="20"/>
        </w:rPr>
        <w:lastRenderedPageBreak/>
        <w:t>the only difference is that we possess that fellowship by grace, whereas the Son has it naturally … Christians can possess by grace the natural communion of the Trinity … this arresting language shows the depth of God’s self-giving as he graciously shares his own fellowship with us.</w:t>
      </w:r>
      <w:r w:rsidRPr="00F82150">
        <w:rPr>
          <w:rStyle w:val="FootnoteReference"/>
          <w:sz w:val="20"/>
        </w:rPr>
        <w:footnoteReference w:id="915"/>
      </w:r>
    </w:p>
    <w:p w:rsidR="00062AED" w:rsidRDefault="00062AED" w:rsidP="009370EA">
      <w:pPr>
        <w:spacing w:line="360" w:lineRule="auto"/>
        <w:jc w:val="both"/>
      </w:pPr>
      <w:r>
        <w:t>This summary of Cyril’s thought is equally true of Williams’ concept of theosis. Such intimate communion in the Triune love is also a frequent theme in Williams’ Welsh hymns. In the eschatological future, when the whole earth is filled with the knowledge of the Lord as it is flooded with Christ’s peace and righteousness, the fullness of the grace of heaven will descend to fill the earth and it is divine love which will reign throughout the new heavens and the new earth.</w:t>
      </w:r>
      <w:r>
        <w:rPr>
          <w:rStyle w:val="FootnoteReference"/>
        </w:rPr>
        <w:footnoteReference w:id="916"/>
      </w:r>
      <w:r>
        <w:t xml:space="preserve"> Even now peace with Christ results in communion in the love of God, in which the church enjoys God,</w:t>
      </w:r>
      <w:r>
        <w:rPr>
          <w:rStyle w:val="FootnoteReference"/>
        </w:rPr>
        <w:footnoteReference w:id="917"/>
      </w:r>
      <w:r>
        <w:t xml:space="preserve"> and believers find refuge in the loving breast of the Triune God of the Eternal Purpose.</w:t>
      </w:r>
      <w:r>
        <w:rPr>
          <w:rStyle w:val="FootnoteReference"/>
        </w:rPr>
        <w:footnoteReference w:id="918"/>
      </w:r>
      <w:r>
        <w:t xml:space="preserve"> In fact, such communion with Christ is where the fullness of heavenly peace is found and is the rich feast upon which the saints feast,</w:t>
      </w:r>
      <w:r>
        <w:rPr>
          <w:rStyle w:val="FootnoteReference"/>
        </w:rPr>
        <w:footnoteReference w:id="919"/>
      </w:r>
      <w:r>
        <w:t xml:space="preserve"> and is ‘better than the whole world.’</w:t>
      </w:r>
      <w:r>
        <w:rPr>
          <w:rStyle w:val="FootnoteReference"/>
        </w:rPr>
        <w:footnoteReference w:id="920"/>
      </w:r>
      <w:r>
        <w:t xml:space="preserve"> This intimate fellowship in the love of God strengthens and grows the faith of the saints and leads to their conformity to the image of Christ.</w:t>
      </w:r>
      <w:r>
        <w:rPr>
          <w:rStyle w:val="FootnoteReference"/>
        </w:rPr>
        <w:footnoteReference w:id="921"/>
      </w:r>
    </w:p>
    <w:p w:rsidR="00062AED" w:rsidRDefault="00062AED" w:rsidP="009370EA">
      <w:pPr>
        <w:spacing w:line="360" w:lineRule="auto"/>
        <w:jc w:val="both"/>
      </w:pPr>
      <w:r>
        <w:t>Union and communion with the Father and the Son is described by Williams as ‘paradise’ and to experience such communion is to experience the heavenly dwelling place.</w:t>
      </w:r>
      <w:r>
        <w:rPr>
          <w:rStyle w:val="FootnoteReference"/>
        </w:rPr>
        <w:footnoteReference w:id="922"/>
      </w:r>
      <w:r>
        <w:t xml:space="preserve"> The church experiences heaven now at the feet of Jesus.</w:t>
      </w:r>
      <w:r>
        <w:rPr>
          <w:rStyle w:val="FootnoteReference"/>
        </w:rPr>
        <w:footnoteReference w:id="923"/>
      </w:r>
      <w:r>
        <w:t xml:space="preserve"> The Father, through Christ, welcomes us in his love to feast in his house which is portrayed as the New Eden where through the grace of the Cross we experience the ‘kiss’ (</w:t>
      </w:r>
      <w:r w:rsidRPr="00596DDD">
        <w:rPr>
          <w:i/>
        </w:rPr>
        <w:t>cusan</w:t>
      </w:r>
      <w:r>
        <w:t>) of the Father.</w:t>
      </w:r>
      <w:r>
        <w:rPr>
          <w:rStyle w:val="FootnoteReference"/>
        </w:rPr>
        <w:footnoteReference w:id="924"/>
      </w:r>
      <w:r>
        <w:t xml:space="preserve"> The Spirit leads us now into this uninterrupted communion as he reveals Christ in the Word,</w:t>
      </w:r>
      <w:r>
        <w:rPr>
          <w:rStyle w:val="FootnoteReference"/>
        </w:rPr>
        <w:footnoteReference w:id="925"/>
      </w:r>
      <w:r>
        <w:t xml:space="preserve"> and through the outpouring of the Spirit the church enjoys God’s smile and the experience of his peace.</w:t>
      </w:r>
      <w:r>
        <w:rPr>
          <w:rStyle w:val="FootnoteReference"/>
        </w:rPr>
        <w:footnoteReference w:id="926"/>
      </w:r>
      <w:r>
        <w:t xml:space="preserve"> Oceans of mercy and peace flow to us from Calvary sweeping us into the Will of God where the heavenly shekinah glory dwells in the camps of God, which we enter by being clothed with ‘the Truth’ (in other </w:t>
      </w:r>
      <w:r>
        <w:lastRenderedPageBreak/>
        <w:t>words, the imputation of Christ’s righteousness does not only result in a change of status, but brings believers into the very dwelling place of God in his glory).</w:t>
      </w:r>
      <w:r>
        <w:rPr>
          <w:rStyle w:val="FootnoteReference"/>
        </w:rPr>
        <w:footnoteReference w:id="927"/>
      </w:r>
    </w:p>
    <w:p w:rsidR="00062AED" w:rsidRDefault="00062AED" w:rsidP="009370EA">
      <w:pPr>
        <w:spacing w:line="360" w:lineRule="auto"/>
        <w:jc w:val="both"/>
      </w:pPr>
      <w:r>
        <w:t>This loving fellowship is frequently expressed in terms of Christ as the Good Shepherd.</w:t>
      </w:r>
      <w:r>
        <w:rPr>
          <w:rStyle w:val="FootnoteReference"/>
        </w:rPr>
        <w:footnoteReference w:id="928"/>
      </w:r>
      <w:r>
        <w:t xml:space="preserve"> Jesus is the tender, loving shepherd, who has poured out his great love to us through the Cross, and who gathers his sheep together into the heavenly sheepfold (</w:t>
      </w:r>
      <w:r w:rsidRPr="004A766C">
        <w:rPr>
          <w:i/>
        </w:rPr>
        <w:t>Gorlan Nefol</w:t>
      </w:r>
      <w:r>
        <w:t>), which is the church.</w:t>
      </w:r>
      <w:r>
        <w:rPr>
          <w:rStyle w:val="FootnoteReference"/>
        </w:rPr>
        <w:footnoteReference w:id="929"/>
      </w:r>
      <w:r>
        <w:t xml:space="preserve">  He takes his sheep to ‘living waters, which spring from under the Throne of God.’</w:t>
      </w:r>
      <w:r>
        <w:rPr>
          <w:rStyle w:val="FootnoteReference"/>
        </w:rPr>
        <w:footnoteReference w:id="930"/>
      </w:r>
      <w:r>
        <w:t xml:space="preserve"> Here we see the Father on the Throne, the Son as loving shepherd and the Spirit as living water together in love refreshing the church. Not only does the Good Shepherd care for, nourish, and protect his sheep, but he also causes them to experience his great love as he presses them to his bosom.</w:t>
      </w:r>
      <w:r>
        <w:rPr>
          <w:rStyle w:val="FootnoteReference"/>
        </w:rPr>
        <w:footnoteReference w:id="931"/>
      </w:r>
      <w:r>
        <w:t xml:space="preserve"> Jesus, the loving shepherd, is himself ‘the great treasure of heaven</w:t>
      </w:r>
      <w:r w:rsidR="00A23A2B">
        <w:t xml:space="preserve"> itself</w:t>
      </w:r>
      <w:r>
        <w:t>’ (</w:t>
      </w:r>
      <w:r w:rsidRPr="00E004DF">
        <w:rPr>
          <w:i/>
        </w:rPr>
        <w:t>trysor penna’r Nef ei hun</w:t>
      </w:r>
      <w:r>
        <w:t xml:space="preserve">) and he shelters his church in his ‘warm, cosy sheepfold’ (which, admittedly, doesn’t sound all that great in English, but is fantastically poetic in its alliteration in Welsh: </w:t>
      </w:r>
      <w:r w:rsidRPr="00E004DF">
        <w:rPr>
          <w:i/>
        </w:rPr>
        <w:t>yn Ei gorlan gynnes glyd</w:t>
      </w:r>
      <w:r>
        <w:t>.)</w:t>
      </w:r>
      <w:r>
        <w:rPr>
          <w:rStyle w:val="FootnoteReference"/>
        </w:rPr>
        <w:footnoteReference w:id="932"/>
      </w:r>
      <w:r>
        <w:t xml:space="preserve"> Throughout </w:t>
      </w:r>
      <w:r w:rsidR="00E23FF0">
        <w:t>Williams’</w:t>
      </w:r>
      <w:r>
        <w:t xml:space="preserve"> Welsh hymns on the Eternal Purpose, this participation in the loving fellowship of the Trinity is the most pervasive theme.</w:t>
      </w:r>
    </w:p>
    <w:p w:rsidR="00062AED" w:rsidRDefault="00062AED" w:rsidP="009370EA">
      <w:pPr>
        <w:spacing w:line="360" w:lineRule="auto"/>
        <w:jc w:val="both"/>
      </w:pPr>
      <w:r>
        <w:t>Such an understanding of participation in the divine nature as being brought into the loving fellowship of the Father, Son and Holy Spirit, does not, however, rule out any transformative language. Drawing on the biblical and patristic imagery of sin as corruption, Williams writes:</w:t>
      </w:r>
    </w:p>
    <w:p w:rsidR="00062AED" w:rsidRDefault="00062AED" w:rsidP="009370EA">
      <w:pPr>
        <w:spacing w:line="360" w:lineRule="auto"/>
        <w:ind w:left="720" w:right="720"/>
        <w:jc w:val="both"/>
      </w:pPr>
      <w:r w:rsidRPr="003D7EE6">
        <w:rPr>
          <w:sz w:val="20"/>
        </w:rPr>
        <w:t>The whole [of humanity] is deplorably sick; – Christ alone possesses the cure for its corruption and disease, and this is obtainable by His sacrificial Death and the shedding of His Blood. Thus we shall be liberated from sin and death, actually partaking of a new, sinless nature unto a new, deathless life.</w:t>
      </w:r>
      <w:r w:rsidRPr="003D7EE6">
        <w:rPr>
          <w:rStyle w:val="FootnoteReference"/>
          <w:sz w:val="20"/>
        </w:rPr>
        <w:footnoteReference w:id="933"/>
      </w:r>
    </w:p>
    <w:p w:rsidR="00062AED" w:rsidRDefault="00062AED" w:rsidP="009370EA">
      <w:pPr>
        <w:spacing w:line="360" w:lineRule="auto"/>
        <w:jc w:val="both"/>
      </w:pPr>
      <w:r>
        <w:t xml:space="preserve">Here Williams connects participation in the divine nature with liberation from the corruption of sin and death. </w:t>
      </w:r>
      <w:r w:rsidRPr="00432FC7">
        <w:t xml:space="preserve">Elsewhere, Williams connects participation in Christ with the communication of his divine attributes.  ‘The attributes of His Person [are] so communicated to us … that we are </w:t>
      </w:r>
      <w:r w:rsidRPr="00432FC7">
        <w:lastRenderedPageBreak/>
        <w:t>transformed by them.’</w:t>
      </w:r>
      <w:r w:rsidRPr="00432FC7">
        <w:rPr>
          <w:rStyle w:val="FootnoteReference"/>
        </w:rPr>
        <w:footnoteReference w:id="934"/>
      </w:r>
      <w:r>
        <w:t xml:space="preserve"> Again, such concepts are </w:t>
      </w:r>
      <w:r w:rsidRPr="00432FC7">
        <w:t>reminiscent of Cyril of Alexandria’s understanding of theosis.</w:t>
      </w:r>
      <w:r>
        <w:t xml:space="preserve"> </w:t>
      </w:r>
    </w:p>
    <w:p w:rsidR="00062AED" w:rsidRDefault="00062AED" w:rsidP="009370EA">
      <w:pPr>
        <w:spacing w:line="360" w:lineRule="auto"/>
        <w:jc w:val="both"/>
      </w:pPr>
      <w:r>
        <w:t>Yet how does such a transformative approach fit together with what we have just seen of participation in the divine nature as sharing in the loving fellowship between the Father, Son and Holy Spirit? Williams, argues that this incorruptible life ‘depends upon … fellowship with Christ.’</w:t>
      </w:r>
      <w:r>
        <w:rPr>
          <w:rStyle w:val="FootnoteReference"/>
        </w:rPr>
        <w:footnoteReference w:id="935"/>
      </w:r>
      <w:r>
        <w:t xml:space="preserve"> Thus the theosis described by Williams consists primarily in participation in the intimate loving communion of the Father, Son and Holy Spirit, yet this results in a participation in incorruption as the church participates in Christ himself. A similar perspective is found in </w:t>
      </w:r>
      <w:r w:rsidRPr="00FC0CC8">
        <w:t>Irenaeus</w:t>
      </w:r>
      <w:r>
        <w:t xml:space="preserve">, who argues </w:t>
      </w:r>
      <w:r w:rsidRPr="00FC0CC8">
        <w:t>‘that by communion with Him we may receive participation in incorruptibility.’</w:t>
      </w:r>
      <w:r w:rsidRPr="00FC0CC8">
        <w:rPr>
          <w:rStyle w:val="FootnoteReference"/>
        </w:rPr>
        <w:footnoteReference w:id="936"/>
      </w:r>
    </w:p>
    <w:p w:rsidR="00062AED" w:rsidRPr="00FC0CC8" w:rsidRDefault="00062AED" w:rsidP="009370EA">
      <w:pPr>
        <w:spacing w:line="360" w:lineRule="auto"/>
        <w:ind w:left="720" w:right="720"/>
        <w:jc w:val="both"/>
        <w:rPr>
          <w:sz w:val="20"/>
        </w:rPr>
      </w:pPr>
      <w:r w:rsidRPr="00FC0CC8">
        <w:rPr>
          <w:sz w:val="20"/>
        </w:rPr>
        <w:t>Unless the human race had been united with God, it would not be a partaker of imperishability [</w:t>
      </w:r>
      <w:r w:rsidRPr="00FC0CC8">
        <w:rPr>
          <w:i/>
          <w:sz w:val="20"/>
        </w:rPr>
        <w:t>particeps incorruptibilitatis</w:t>
      </w:r>
      <w:r w:rsidRPr="00FC0CC8">
        <w:rPr>
          <w:sz w:val="20"/>
        </w:rPr>
        <w:t>]. For it behooved [sic.] the Mediator of God and humanity, by His kinship to both, to lead them back to friendship and concord, and to bring it about that God would take humankind to himself, and that humankind would give itself to God. Really, in what way could we be partakers of filial adoption, unless we had received through the Son participation in Himself; unless His Word, having become flesh, had granted us communion in God? For that reason He also came [that is, lived] through every age, restoring to all the participation in God.</w:t>
      </w:r>
      <w:r w:rsidRPr="00FC0CC8">
        <w:rPr>
          <w:rStyle w:val="FootnoteReference"/>
          <w:sz w:val="20"/>
        </w:rPr>
        <w:footnoteReference w:id="937"/>
      </w:r>
    </w:p>
    <w:p w:rsidR="00062AED" w:rsidRDefault="00062AED" w:rsidP="009370EA">
      <w:pPr>
        <w:spacing w:line="360" w:lineRule="auto"/>
        <w:jc w:val="both"/>
      </w:pPr>
      <w:r>
        <w:t>For Irenaeus, the ‘antidote’ to mortality and corruption is found in sonship through union with Christ.</w:t>
      </w:r>
    </w:p>
    <w:p w:rsidR="00062AED" w:rsidRPr="002D5E26" w:rsidRDefault="00062AED" w:rsidP="009370EA">
      <w:pPr>
        <w:spacing w:line="360" w:lineRule="auto"/>
        <w:ind w:left="720" w:right="720"/>
        <w:jc w:val="both"/>
        <w:rPr>
          <w:sz w:val="20"/>
        </w:rPr>
      </w:pPr>
      <w:r w:rsidRPr="002D5E26">
        <w:rPr>
          <w:sz w:val="20"/>
        </w:rPr>
        <w:t>For the Word of God became man, and He who is God’s Son became the Son of man to this end, [that man,] having been united with the Word of God and receiving adoption, might become a son of God. Certainly, in no other way could we have received imperishability and immortality unless we had been united with imperishability and immortality. But how could we be united with imperishability and immortality unless imperishability and immortality had first become what we are, in order that the perishable might be swallowed up by imperishability, and the mortal by immortality, that we might receive the adoption as sons?</w:t>
      </w:r>
      <w:r w:rsidRPr="002D5E26">
        <w:rPr>
          <w:rStyle w:val="FootnoteReference"/>
          <w:sz w:val="20"/>
        </w:rPr>
        <w:footnoteReference w:id="938"/>
      </w:r>
    </w:p>
    <w:p w:rsidR="00062AED" w:rsidRPr="002F7259" w:rsidRDefault="00062AED" w:rsidP="009370EA">
      <w:pPr>
        <w:spacing w:line="360" w:lineRule="auto"/>
        <w:jc w:val="both"/>
      </w:pPr>
      <w:r w:rsidRPr="002F7259">
        <w:lastRenderedPageBreak/>
        <w:t xml:space="preserve">As Fairbairn summarises Irenaeus’ position, </w:t>
      </w:r>
      <w:r>
        <w:t>‘to participate in God or be joined to God is to participate in adoption as sons, and incorruption is tied to this adoption.’</w:t>
      </w:r>
      <w:r>
        <w:rPr>
          <w:rStyle w:val="FootnoteReference"/>
        </w:rPr>
        <w:footnoteReference w:id="939"/>
      </w:r>
      <w:r>
        <w:t xml:space="preserve"> </w:t>
      </w:r>
      <w:r w:rsidRPr="00432FC7">
        <w:t>The logical priority of sonship over incorruption is significant for Williams and the Apostolics as such an understanding of theosis sits comfortably with a Reformational (Lutheran/Reformed) doctrine of justification.</w:t>
      </w:r>
    </w:p>
    <w:p w:rsidR="00062AED" w:rsidRDefault="00062AED" w:rsidP="009370EA">
      <w:pPr>
        <w:spacing w:line="360" w:lineRule="auto"/>
        <w:jc w:val="both"/>
      </w:pPr>
      <w:r>
        <w:t xml:space="preserve">Williams also draws a connection between this incorruption and the Lord’s Supper. As we have seen, Williams argues that </w:t>
      </w:r>
      <w:r w:rsidRPr="00892FF4">
        <w:t>‘as we commune with Him, we derive the properties of God; we drink His Blood; we eat His Flesh, and we become unchangeable as God Himself, and it is only that fellowship that can keep us steady and unmovable to walk with Him.’</w:t>
      </w:r>
      <w:r w:rsidRPr="00892FF4">
        <w:rPr>
          <w:vertAlign w:val="superscript"/>
        </w:rPr>
        <w:footnoteReference w:id="940"/>
      </w:r>
      <w:r>
        <w:t xml:space="preserve"> The sacrament is a ‘participation of the New Life’ in Christ, and through partaking of the sacrament this life in Christ is ‘expressed’ in the church.</w:t>
      </w:r>
      <w:r>
        <w:rPr>
          <w:rStyle w:val="FootnoteReference"/>
        </w:rPr>
        <w:footnoteReference w:id="941"/>
      </w:r>
      <w:r>
        <w:t>At the Table, communicants grow in their union and communion with Christ as they eat his flesh and drink his blood, and thus through this participation in him, they grow in their conformity to him. Communion leads to incorruption.</w:t>
      </w:r>
      <w:r>
        <w:rPr>
          <w:rStyle w:val="FootnoteReference"/>
        </w:rPr>
        <w:footnoteReference w:id="942"/>
      </w:r>
      <w:r>
        <w:t xml:space="preserve"> </w:t>
      </w:r>
    </w:p>
    <w:p w:rsidR="00062AED" w:rsidRPr="002F7259" w:rsidRDefault="00062AED" w:rsidP="009370EA">
      <w:pPr>
        <w:spacing w:line="360" w:lineRule="auto"/>
        <w:jc w:val="both"/>
      </w:pPr>
      <w:r>
        <w:t>In fact, Williams insists that the Lord’s Table does not only point to a rescue from sin, but rather points us ‘back to the ordination of the Lamb, before the foundation of the World, to be slain for sinful man; before any angelic beings sang in the Divine presence.’</w:t>
      </w:r>
      <w:r>
        <w:rPr>
          <w:rStyle w:val="FootnoteReference"/>
        </w:rPr>
        <w:footnoteReference w:id="943"/>
      </w:r>
      <w:r>
        <w:t xml:space="preserve"> Thus the Breaking of Bread points us to the eternal counsel of the Triune God and His Eternal Purpose. ‘Eternity [is] found at the Table.’</w:t>
      </w:r>
      <w:r>
        <w:rPr>
          <w:rStyle w:val="FootnoteReference"/>
        </w:rPr>
        <w:footnoteReference w:id="944"/>
      </w:r>
    </w:p>
    <w:p w:rsidR="00062AED" w:rsidRDefault="00062AED" w:rsidP="009370EA">
      <w:pPr>
        <w:spacing w:line="360" w:lineRule="auto"/>
        <w:jc w:val="both"/>
      </w:pPr>
      <w:r>
        <w:t>This transformative aspect of theosis is seen in the indwelling of Christ the Head in his Body, the Church. As Christ indwells the Church, it partakes of him for ‘force, life and sustenance’, and the whole Body ‘is filled with God.’</w:t>
      </w:r>
      <w:r>
        <w:rPr>
          <w:rStyle w:val="FootnoteReference"/>
        </w:rPr>
        <w:footnoteReference w:id="945"/>
      </w:r>
      <w:r>
        <w:t xml:space="preserve"> ‘Whoever receives Him become recipients of His fulness,’</w:t>
      </w:r>
      <w:r>
        <w:rPr>
          <w:rStyle w:val="FootnoteReference"/>
        </w:rPr>
        <w:footnoteReference w:id="946"/>
      </w:r>
      <w:r>
        <w:t xml:space="preserve"> and this fulness is displayed in the character of sonship. In the ‘divine life and union’ in which the church participates through Christ, there will be ‘the manifestation of sonship – full of grace and truth.’</w:t>
      </w:r>
      <w:r>
        <w:rPr>
          <w:rStyle w:val="FootnoteReference"/>
        </w:rPr>
        <w:footnoteReference w:id="947"/>
      </w:r>
    </w:p>
    <w:p w:rsidR="00062AED" w:rsidRDefault="00062AED" w:rsidP="009370EA">
      <w:pPr>
        <w:spacing w:line="360" w:lineRule="auto"/>
        <w:jc w:val="both"/>
      </w:pPr>
      <w:r>
        <w:t xml:space="preserve">Thus Sonship, participation, theosis and the Eternal Purpose are concerned not only with status, but with character: not only with </w:t>
      </w:r>
      <w:r w:rsidRPr="00432FC7">
        <w:t>justification in Christ</w:t>
      </w:r>
      <w:r>
        <w:t xml:space="preserve">, but also with conformity to the image of Christ. To be ‘on the image of Christ, conformed to His image … is the goal … that is the </w:t>
      </w:r>
      <w:r>
        <w:lastRenderedPageBreak/>
        <w:t>purpose.’</w:t>
      </w:r>
      <w:r>
        <w:rPr>
          <w:rStyle w:val="FootnoteReference"/>
        </w:rPr>
        <w:footnoteReference w:id="948"/>
      </w:r>
      <w:r>
        <w:t xml:space="preserve"> The Holy Spirit has been sent to communicate the life of Christ to the church, and this life includes the character of Christ. The Spirit ‘forms Christ within [the believer] … He glorifies Christ … and subdues the will and personality to Christ, so that [the believer] becomes the image of Christ, changing him from glory to glory as he abides in Christ.’</w:t>
      </w:r>
      <w:r>
        <w:rPr>
          <w:rStyle w:val="FootnoteReference"/>
        </w:rPr>
        <w:footnoteReference w:id="949"/>
      </w:r>
      <w:r>
        <w:t xml:space="preserve"> In his Eternal Purpose, God:</w:t>
      </w:r>
    </w:p>
    <w:p w:rsidR="00062AED" w:rsidRDefault="00062AED" w:rsidP="009370EA">
      <w:pPr>
        <w:spacing w:line="360" w:lineRule="auto"/>
        <w:ind w:left="720" w:right="720"/>
        <w:jc w:val="both"/>
      </w:pPr>
      <w:r w:rsidRPr="00F1756A">
        <w:rPr>
          <w:sz w:val="20"/>
        </w:rPr>
        <w:t>has predestinated us to be conformed to the image of His Son (Rom. viii.29). He also desires the perfection of His Body. ‘That they may be made perfect in one’ (John xvii.23; Eph. iv. 13-16). And He desires that His will be revealed and carried out in His Body through the operation of the Indwelling Holy Spirit.</w:t>
      </w:r>
      <w:r>
        <w:rPr>
          <w:rStyle w:val="FootnoteReference"/>
          <w:sz w:val="20"/>
        </w:rPr>
        <w:footnoteReference w:id="950"/>
      </w:r>
    </w:p>
    <w:p w:rsidR="00062AED" w:rsidRDefault="00062AED" w:rsidP="009370EA">
      <w:pPr>
        <w:spacing w:line="360" w:lineRule="auto"/>
        <w:jc w:val="both"/>
      </w:pPr>
      <w:r>
        <w:t>Thus the Eternal Purpose includes a transformational element, as the Church is conformed to the image of her heavenly Head by the Spirit. As the church participates in Christ, ‘He is formed within, resulting in ripeness of full character on His image’ as the ‘sons and daughters of God.’</w:t>
      </w:r>
      <w:r>
        <w:rPr>
          <w:rStyle w:val="FootnoteReference"/>
        </w:rPr>
        <w:footnoteReference w:id="951"/>
      </w:r>
      <w:r>
        <w:t xml:space="preserve"> ‘It is to this end that the Holy Spirit has been sent, in order to qualify many sons for the Glory, and to restore the fallen sons of Adam to be the sons of the Living God on the image of the Son of His Love.’</w:t>
      </w:r>
      <w:r>
        <w:rPr>
          <w:rStyle w:val="FootnoteReference"/>
        </w:rPr>
        <w:footnoteReference w:id="952"/>
      </w:r>
      <w:r>
        <w:t xml:space="preserve"> The Holy Spirit accomplishes this as he brings the church into participation in Christ and so communicates the attributes of Christ, for ‘it is only Christ that changes people’ and he does so as people participate in ‘the nature of God’ through him.</w:t>
      </w:r>
      <w:r>
        <w:rPr>
          <w:rStyle w:val="FootnoteReference"/>
        </w:rPr>
        <w:footnoteReference w:id="953"/>
      </w:r>
      <w:r>
        <w:t xml:space="preserve"> This conformity to the image of Christ, then, is a Trinitarian work, and so Williams can equally refer to the </w:t>
      </w:r>
      <w:r w:rsidRPr="001F1A36">
        <w:t>predestination and Purpose of God as the Church being conformed to the image of the Trinity.</w:t>
      </w:r>
      <w:r w:rsidRPr="001F1A36">
        <w:rPr>
          <w:rStyle w:val="FootnoteReference"/>
        </w:rPr>
        <w:footnoteReference w:id="954"/>
      </w:r>
      <w:r w:rsidRPr="001F1A36">
        <w:t xml:space="preserve"> </w:t>
      </w:r>
    </w:p>
    <w:p w:rsidR="00062AED" w:rsidRDefault="00062AED" w:rsidP="009370EA">
      <w:pPr>
        <w:spacing w:line="360" w:lineRule="auto"/>
        <w:jc w:val="both"/>
      </w:pPr>
      <w:r>
        <w:t>This conformity of the Body to Christ’s image is also connected with God’s love filling the Body. ‘Love is the final goal of [the church’s] oneness through “grace and gifts.”’</w:t>
      </w:r>
      <w:r>
        <w:rPr>
          <w:rStyle w:val="FootnoteReference"/>
        </w:rPr>
        <w:footnoteReference w:id="955"/>
      </w:r>
      <w:r>
        <w:t xml:space="preserve"> In fact, this love of the Triune God in the church undergirds everything in the church. ‘The unity of this Body is Divine Love. Love is the foundation. Love is the principle of its structure.’</w:t>
      </w:r>
      <w:r>
        <w:rPr>
          <w:rStyle w:val="FootnoteReference"/>
        </w:rPr>
        <w:footnoteReference w:id="956"/>
      </w:r>
      <w:r>
        <w:t xml:space="preserve"> This love is not the human love of the members of the church, but rather divine love, the love of the Triune God himself, which is the basis and purpose of the church’s existence. This love is rooted in ‘vital fellowship’ and in the life of the Triune God.</w:t>
      </w:r>
      <w:r>
        <w:rPr>
          <w:rStyle w:val="FootnoteReference"/>
        </w:rPr>
        <w:footnoteReference w:id="957"/>
      </w:r>
    </w:p>
    <w:p w:rsidR="00062AED" w:rsidRPr="00542420" w:rsidRDefault="00062AED" w:rsidP="009370EA">
      <w:pPr>
        <w:spacing w:line="360" w:lineRule="auto"/>
        <w:ind w:left="720" w:right="720"/>
        <w:jc w:val="both"/>
        <w:rPr>
          <w:sz w:val="20"/>
        </w:rPr>
      </w:pPr>
      <w:r w:rsidRPr="00542420">
        <w:rPr>
          <w:sz w:val="20"/>
        </w:rPr>
        <w:lastRenderedPageBreak/>
        <w:t>God’s love flowed toward us through His own Son. We must not think that the Father loves us because the Son died for us. He died for us because the Father loved us. That is, the love of God was not caused by the death of Jesus, but caused it. Though God’s love was not caused by the Beloved, it comes to us in Him. The Ocean-fulness pours itself through the channel of the Man, Christ Jesus. Therefore, in proportion as we abide in Him we shall receive that fulness, and be possessed of the same passion toward others. As the Father expressed His love to us through Christ, we must not forget that we are made the recipients of that love in order that God may love others through us.</w:t>
      </w:r>
      <w:r w:rsidRPr="00542420">
        <w:rPr>
          <w:rStyle w:val="FootnoteReference"/>
          <w:sz w:val="20"/>
        </w:rPr>
        <w:footnoteReference w:id="958"/>
      </w:r>
    </w:p>
    <w:p w:rsidR="00062AED" w:rsidRDefault="00062AED" w:rsidP="009370EA">
      <w:pPr>
        <w:spacing w:line="360" w:lineRule="auto"/>
        <w:jc w:val="both"/>
      </w:pPr>
      <w:r>
        <w:t>Here we see that the great love of the Triune God comes to the church in the Beloved. In other words, as the church participates in Christ, it lives in the love of the Triune God. For Williams, ‘a loving Church will result, – a Church apprehended, rooted, grounded in love, – the abode of Christ.’</w:t>
      </w:r>
      <w:r>
        <w:rPr>
          <w:rStyle w:val="FootnoteReference"/>
        </w:rPr>
        <w:footnoteReference w:id="959"/>
      </w:r>
      <w:r>
        <w:t xml:space="preserve"> ‘The Church is to be the embodiment … of the love of God.’</w:t>
      </w:r>
      <w:r>
        <w:rPr>
          <w:rStyle w:val="FootnoteReference"/>
        </w:rPr>
        <w:footnoteReference w:id="960"/>
      </w:r>
    </w:p>
    <w:p w:rsidR="00062AED" w:rsidRDefault="00062AED" w:rsidP="009370EA">
      <w:pPr>
        <w:spacing w:line="360" w:lineRule="auto"/>
        <w:jc w:val="both"/>
      </w:pPr>
      <w:r>
        <w:t>The final outcome of the Eternal Purpose, achieved through the church’s participation in Christ, conformity to Christ, and life in the love of God, is the summing up of all things in Christ, or the gathering together of all things under Christ’s Headship. Williams writes:</w:t>
      </w:r>
    </w:p>
    <w:p w:rsidR="00062AED" w:rsidRPr="00191288" w:rsidRDefault="00062AED" w:rsidP="009370EA">
      <w:pPr>
        <w:spacing w:line="360" w:lineRule="auto"/>
        <w:ind w:left="720" w:right="720"/>
        <w:jc w:val="both"/>
        <w:rPr>
          <w:sz w:val="20"/>
        </w:rPr>
      </w:pPr>
      <w:r w:rsidRPr="00191288">
        <w:rPr>
          <w:sz w:val="20"/>
        </w:rPr>
        <w:t>Paul was absorbed in this comprehensive vision in all his letters… He stretches forth in his conception of this glorious unification far beyond that of the Church as a Body. Redemption to him was a principle of reconciliation of things in Heaven and things in earth, a ‘gathering’ of all things together in Christ Jesus, under one Central Head, in one harmonious whole (Eph. 1:10; Col.1), of which the organism of the Church is only the commencement, to compare with the consummation of re</w:t>
      </w:r>
      <w:r>
        <w:rPr>
          <w:sz w:val="20"/>
        </w:rPr>
        <w:t>demption.</w:t>
      </w:r>
      <w:r w:rsidRPr="00191288">
        <w:rPr>
          <w:rStyle w:val="FootnoteReference"/>
          <w:sz w:val="20"/>
        </w:rPr>
        <w:footnoteReference w:id="961"/>
      </w:r>
    </w:p>
    <w:p w:rsidR="00062AED" w:rsidRDefault="00062AED" w:rsidP="009370EA">
      <w:pPr>
        <w:spacing w:line="360" w:lineRule="auto"/>
        <w:jc w:val="both"/>
      </w:pPr>
      <w:r>
        <w:t>The ‘crowning end [is] a glorious state whereby Christ in and through His redemptive excellencies will express Himself through an infinite variety in Heaven and earth.’</w:t>
      </w:r>
      <w:r>
        <w:rPr>
          <w:rStyle w:val="FootnoteReference"/>
        </w:rPr>
        <w:footnoteReference w:id="962"/>
      </w:r>
      <w:r>
        <w:t xml:space="preserve"> This is the ‘one purpose’ of the Triune God:</w:t>
      </w:r>
    </w:p>
    <w:p w:rsidR="00062AED" w:rsidRDefault="00062AED" w:rsidP="009370EA">
      <w:pPr>
        <w:spacing w:line="360" w:lineRule="auto"/>
        <w:ind w:left="720" w:right="720"/>
        <w:jc w:val="both"/>
      </w:pPr>
      <w:r w:rsidRPr="00307E94">
        <w:rPr>
          <w:sz w:val="20"/>
        </w:rPr>
        <w:t xml:space="preserve">according to His good pleasure that in the fulness of time He will reunite the Universe under one Headship, and the manifestation of this will surpass all the wisdom of former ages. This mysterious design He has in view above all… The decisive epoch of the Incarnate Son and His sacrificial death and triumphant Resurrection has secured it, and </w:t>
      </w:r>
      <w:r w:rsidRPr="00307E94">
        <w:rPr>
          <w:sz w:val="20"/>
        </w:rPr>
        <w:lastRenderedPageBreak/>
        <w:t>with one glorious sweep He will bring all unto subjection, when there will be a s</w:t>
      </w:r>
      <w:r>
        <w:rPr>
          <w:sz w:val="20"/>
        </w:rPr>
        <w:t>umming up of all things in Christ.</w:t>
      </w:r>
      <w:r w:rsidRPr="00307E94">
        <w:rPr>
          <w:rStyle w:val="FootnoteReference"/>
          <w:sz w:val="20"/>
        </w:rPr>
        <w:footnoteReference w:id="963"/>
      </w:r>
      <w:r>
        <w:t xml:space="preserve"> </w:t>
      </w:r>
    </w:p>
    <w:p w:rsidR="00062AED" w:rsidRDefault="00062AED" w:rsidP="009370EA">
      <w:pPr>
        <w:spacing w:line="360" w:lineRule="auto"/>
        <w:jc w:val="both"/>
      </w:pPr>
      <w:r>
        <w:t>This summing up under Christ’s Headship will ‘rectify and adjust all things unto harmony.’</w:t>
      </w:r>
      <w:r>
        <w:rPr>
          <w:rStyle w:val="FootnoteReference"/>
        </w:rPr>
        <w:footnoteReference w:id="964"/>
      </w:r>
      <w:r>
        <w:t xml:space="preserve"> Moreover, this will be the perfect reign of love. ‘Love will rule in Universal Law when the Father will gather all things in Christ.’</w:t>
      </w:r>
      <w:r>
        <w:rPr>
          <w:rStyle w:val="FootnoteReference"/>
        </w:rPr>
        <w:footnoteReference w:id="965"/>
      </w:r>
      <w:r>
        <w:t xml:space="preserve"> In the final consummation, the Eternal Purpose will see ‘all things gathered together in Christ, the Head over all things; Heaven and Earth and things under the Earth (every domain) confessing Him Lord; the work of redemption complete.’</w:t>
      </w:r>
      <w:r>
        <w:rPr>
          <w:rStyle w:val="FootnoteReference"/>
        </w:rPr>
        <w:footnoteReference w:id="966"/>
      </w:r>
      <w:r>
        <w:t xml:space="preserve"> Already now there is a foretaste of this in the church, as the saints participate in Christ, abiding in communion with him through the Spirit.</w:t>
      </w:r>
      <w:r>
        <w:rPr>
          <w:rStyle w:val="FootnoteReference"/>
        </w:rPr>
        <w:footnoteReference w:id="967"/>
      </w:r>
    </w:p>
    <w:p w:rsidR="00062AED" w:rsidRDefault="00062AED" w:rsidP="009370EA">
      <w:pPr>
        <w:spacing w:line="360" w:lineRule="auto"/>
        <w:jc w:val="both"/>
      </w:pPr>
      <w:r>
        <w:t>God’s purpose is ‘an Eternal Purpose of all things in His Son and for His Son.’</w:t>
      </w:r>
      <w:r>
        <w:rPr>
          <w:rStyle w:val="FootnoteReference"/>
        </w:rPr>
        <w:footnoteReference w:id="968"/>
      </w:r>
      <w:r>
        <w:t xml:space="preserve"> In the outworking of this Eternal Purpose, he has predestined his elect to sonship, and is thus bringing about ‘the perfection of the individual [which] brings about the perfection of the Church which will bring about the perfection of the universe’ through the gathering together of all things in Christ the Head of the Church.</w:t>
      </w:r>
      <w:r>
        <w:rPr>
          <w:rStyle w:val="FootnoteReference"/>
        </w:rPr>
        <w:footnoteReference w:id="969"/>
      </w:r>
      <w:r>
        <w:t xml:space="preserve"> This Eternal Purpose is the ‘great joy, pleasure and delight in [the] heart [of the Triune God].’</w:t>
      </w:r>
      <w:r>
        <w:rPr>
          <w:rStyle w:val="FootnoteReference"/>
        </w:rPr>
        <w:footnoteReference w:id="970"/>
      </w:r>
      <w:r>
        <w:t xml:space="preserve"> He has established this purpose and now brings it to fruition ‘by His heart of love.’</w:t>
      </w:r>
      <w:r>
        <w:rPr>
          <w:rStyle w:val="FootnoteReference"/>
        </w:rPr>
        <w:footnoteReference w:id="971"/>
      </w:r>
      <w:r>
        <w:t xml:space="preserve"> This is ‘God’s inheritance for us’ and includes ‘position, election, predestination [and] character,’ all of which are aspects of His Purpose.</w:t>
      </w:r>
      <w:r>
        <w:rPr>
          <w:rStyle w:val="FootnoteReference"/>
        </w:rPr>
        <w:footnoteReference w:id="972"/>
      </w:r>
      <w:r>
        <w:t xml:space="preserve"> </w:t>
      </w:r>
    </w:p>
    <w:p w:rsidR="00062AED" w:rsidRPr="00581599" w:rsidRDefault="00062AED" w:rsidP="009370EA">
      <w:pPr>
        <w:spacing w:line="360" w:lineRule="auto"/>
        <w:ind w:left="720" w:right="720"/>
        <w:jc w:val="both"/>
        <w:rPr>
          <w:sz w:val="20"/>
        </w:rPr>
      </w:pPr>
      <w:r w:rsidRPr="00581599">
        <w:rPr>
          <w:sz w:val="20"/>
        </w:rPr>
        <w:t>This is the wealth of Christ’s inheritance, the riches of His glory, forgiveness through the blood of His Cross, justification, sanctification and all spiritual blessings … baptism, gifts, patience, grace, love, joy and peace, these are the wealth of the blessings in heavenly places … [for] the honourable position that is awaiting us.</w:t>
      </w:r>
      <w:r w:rsidRPr="00581599">
        <w:rPr>
          <w:rStyle w:val="FootnoteReference"/>
          <w:sz w:val="20"/>
        </w:rPr>
        <w:footnoteReference w:id="973"/>
      </w:r>
    </w:p>
    <w:p w:rsidR="00062AED" w:rsidRDefault="00062AED" w:rsidP="009370EA">
      <w:pPr>
        <w:spacing w:line="360" w:lineRule="auto"/>
        <w:jc w:val="both"/>
      </w:pPr>
      <w:r>
        <w:t>Christ will ‘show His glory through the Church forever,’ filling the universe, through filling the Church.</w:t>
      </w:r>
      <w:r>
        <w:rPr>
          <w:rStyle w:val="FootnoteReference"/>
        </w:rPr>
        <w:footnoteReference w:id="974"/>
      </w:r>
      <w:r>
        <w:t xml:space="preserve"> ‘He is working perfection in the individual, the Church and eventually in Heaven and in Earth in the dispensation of the fullness of time, so that all the Universe will be of Christ.’</w:t>
      </w:r>
      <w:r>
        <w:rPr>
          <w:rStyle w:val="FootnoteReference"/>
        </w:rPr>
        <w:footnoteReference w:id="975"/>
      </w:r>
    </w:p>
    <w:p w:rsidR="00062AED" w:rsidRDefault="00062AED" w:rsidP="009370EA">
      <w:pPr>
        <w:spacing w:line="360" w:lineRule="auto"/>
        <w:jc w:val="both"/>
      </w:pPr>
      <w:r>
        <w:lastRenderedPageBreak/>
        <w:t xml:space="preserve">However, it is important to realise that, for Williams, this gathering together of all things in Christ is not an absorption into the divine by which the members of the church lose their identity. As we have already seen, Williams’ understanding of participation in the divine nature is life within the loving fellowship of the Father, Son and Holy Spirit. The church participates in the Father’s love for his Son in the Spirit as a body of sons in the Son. The oneness which Williams sees for the church, and between the church and Christ, always finds its definition in John 17:21 and the oneness of the three Trinitarian persons. Thus it is not a mystical oneness in which personhood is lost through absorption into the divine. Rather it is a oneness of loving inter-communion. A </w:t>
      </w:r>
      <w:r w:rsidRPr="004D4158">
        <w:t>perichoretic</w:t>
      </w:r>
      <w:r>
        <w:t xml:space="preserve"> oneness, whereby the church participates in Christ, and through Christ in the Father and the Spirit. </w:t>
      </w:r>
    </w:p>
    <w:p w:rsidR="00062AED" w:rsidRDefault="00062AED" w:rsidP="009370EA">
      <w:pPr>
        <w:spacing w:line="360" w:lineRule="auto"/>
        <w:jc w:val="both"/>
      </w:pPr>
      <w:r>
        <w:t>This can perhaps best be seen in the portrayal of the eschatological future in Williams’ hymns. There no individuality is lost, but rather we see portrayal of individuals united in love and fellowship and in the glorification of God, and conformed to the image of Christ.</w:t>
      </w:r>
      <w:r>
        <w:rPr>
          <w:rStyle w:val="FootnoteReference"/>
        </w:rPr>
        <w:footnoteReference w:id="976"/>
      </w:r>
      <w:r>
        <w:t xml:space="preserve"> Similarly, in his last book, written as his death approached and published posthumously, Williams writes of the life of the eternal state as a life of perfect fellowship in the love of God. This communion in the love of the Triune God will constitute our oneness in that ‘final marriage unity, when all things will be gathered in Him, in one great and complete harmony, when Faith, Hope and Love only remain, and the greatest of these is Love.’</w:t>
      </w:r>
      <w:r>
        <w:rPr>
          <w:rStyle w:val="FootnoteReference"/>
        </w:rPr>
        <w:footnoteReference w:id="977"/>
      </w:r>
    </w:p>
    <w:p w:rsidR="00062AED" w:rsidRDefault="00062AED" w:rsidP="009370EA">
      <w:pPr>
        <w:spacing w:line="360" w:lineRule="auto"/>
        <w:jc w:val="both"/>
      </w:pPr>
      <w:r>
        <w:t>Ultimately then, the Eternal Purpose will reveal the glory of the Triune God. Christ’s desire is for His church to share in his glory.</w:t>
      </w:r>
      <w:r>
        <w:rPr>
          <w:rStyle w:val="FootnoteReference"/>
        </w:rPr>
        <w:footnoteReference w:id="978"/>
      </w:r>
      <w:r>
        <w:t xml:space="preserve"> This is what has been prepared for the church ‘in the great inheritance of Redemption.’</w:t>
      </w:r>
      <w:r>
        <w:rPr>
          <w:rStyle w:val="FootnoteReference"/>
        </w:rPr>
        <w:footnoteReference w:id="979"/>
      </w:r>
      <w:r>
        <w:t xml:space="preserve"> The church is being tempered to the divine glories of the Godhead through participation in Christ, in order to sit with Christ on the throne of his glory.</w:t>
      </w:r>
      <w:r>
        <w:rPr>
          <w:rStyle w:val="FootnoteReference"/>
        </w:rPr>
        <w:footnoteReference w:id="980"/>
      </w:r>
      <w:r>
        <w:t xml:space="preserve"> The glory of the Triune God will envelop and encompass the church and permeate through the church to the whole of creation.</w:t>
      </w:r>
      <w:r>
        <w:rPr>
          <w:rStyle w:val="FootnoteReference"/>
        </w:rPr>
        <w:footnoteReference w:id="981"/>
      </w:r>
    </w:p>
    <w:p w:rsidR="00062AED" w:rsidRDefault="00062AED" w:rsidP="009370EA">
      <w:pPr>
        <w:spacing w:line="360" w:lineRule="auto"/>
        <w:jc w:val="both"/>
      </w:pPr>
      <w:r>
        <w:t>Yet Williams is clear that ‘there is a glory in the essence of the Trinity that we will never participate in; a glory belonging to the Infinite in the essence of the Trinity.’</w:t>
      </w:r>
      <w:r>
        <w:rPr>
          <w:rStyle w:val="FootnoteReference"/>
        </w:rPr>
        <w:footnoteReference w:id="982"/>
      </w:r>
      <w:r>
        <w:t xml:space="preserve"> At all times the Creator/creature distinction is to be maintained. For Williams, the church’s participation in the glory of God comes through her union with the Trinity and her revelation of the Trinity:</w:t>
      </w:r>
    </w:p>
    <w:p w:rsidR="00062AED" w:rsidRDefault="00062AED" w:rsidP="009370EA">
      <w:pPr>
        <w:spacing w:line="360" w:lineRule="auto"/>
        <w:ind w:left="720" w:right="720"/>
        <w:jc w:val="both"/>
      </w:pPr>
      <w:r w:rsidRPr="00980266">
        <w:rPr>
          <w:sz w:val="20"/>
        </w:rPr>
        <w:lastRenderedPageBreak/>
        <w:t>When Christ descended from the heavens, the Father gave Him the Glory of the Plan of Redemption … that God, through the Body of the Redeemed should reveal the Oneness of the Trinity … that He may have upon the earth a Body of people wonderfully united to the Trinity, that the Oneness of the Godhead should be manifested through them, that all the world may see that we are One.</w:t>
      </w:r>
      <w:r w:rsidRPr="00980266">
        <w:rPr>
          <w:rStyle w:val="FootnoteReference"/>
          <w:sz w:val="20"/>
        </w:rPr>
        <w:footnoteReference w:id="983"/>
      </w:r>
    </w:p>
    <w:p w:rsidR="00062AED" w:rsidRPr="00C341DE" w:rsidRDefault="00062AED" w:rsidP="009370EA">
      <w:pPr>
        <w:spacing w:line="360" w:lineRule="auto"/>
        <w:jc w:val="both"/>
      </w:pPr>
      <w:r>
        <w:t>Williams writes that this is the Apostolic Vision, ‘a boundless revelation of God’s eternal purpose for the Body … which will be the exhibition of the Glory of God, ages without end.’</w:t>
      </w:r>
      <w:r>
        <w:rPr>
          <w:rStyle w:val="FootnoteReference"/>
        </w:rPr>
        <w:footnoteReference w:id="984"/>
      </w:r>
      <w:r>
        <w:t xml:space="preserve"> Christ shares with his Body the glory which he has received from the Father.</w:t>
      </w:r>
      <w:r>
        <w:rPr>
          <w:rStyle w:val="FootnoteReference"/>
        </w:rPr>
        <w:footnoteReference w:id="985"/>
      </w:r>
      <w:r>
        <w:t xml:space="preserve"> Thus the church is a glorious church, bringing glory to God the Father through Christ in the Spirit.</w:t>
      </w:r>
      <w:r>
        <w:rPr>
          <w:rStyle w:val="FootnoteReference"/>
        </w:rPr>
        <w:footnoteReference w:id="986"/>
      </w:r>
      <w:r>
        <w:t xml:space="preserve"> The church ‘cannot add anything to His essential Glory,’</w:t>
      </w:r>
      <w:r>
        <w:rPr>
          <w:rStyle w:val="FootnoteReference"/>
        </w:rPr>
        <w:footnoteReference w:id="987"/>
      </w:r>
      <w:r>
        <w:t xml:space="preserve"> yet throughout the ages the glory of God will be seen through the church.</w:t>
      </w:r>
      <w:r>
        <w:rPr>
          <w:rStyle w:val="FootnoteReference"/>
        </w:rPr>
        <w:footnoteReference w:id="988"/>
      </w:r>
    </w:p>
    <w:p w:rsidR="00062AED" w:rsidRDefault="00062AED" w:rsidP="009370EA">
      <w:pPr>
        <w:spacing w:line="360" w:lineRule="auto"/>
        <w:jc w:val="both"/>
        <w:rPr>
          <w:i/>
        </w:rPr>
      </w:pPr>
    </w:p>
    <w:p w:rsidR="00062AED" w:rsidRDefault="00062AED" w:rsidP="009370EA">
      <w:pPr>
        <w:pStyle w:val="PhDSubheading"/>
        <w:spacing w:line="360" w:lineRule="auto"/>
      </w:pPr>
      <w:r>
        <w:t>5.1.3 Now Through the Spirit: The Holy Spirit’s Role in the Outworking of the Eternal Purpose and the Experience of Theosis</w:t>
      </w:r>
    </w:p>
    <w:p w:rsidR="00062AED" w:rsidRDefault="00062AED" w:rsidP="009370EA">
      <w:pPr>
        <w:spacing w:line="360" w:lineRule="auto"/>
        <w:jc w:val="both"/>
      </w:pPr>
      <w:r>
        <w:t>In the Eternal Purpose of the Triune God, it is the role of the Holy Spirit to gather the Church and unite it to Christ the Head. The Spirit ‘carr[ies] out the Divine Purpose and the Eternal Predestinations of God, in gathering the saints together.’</w:t>
      </w:r>
      <w:r>
        <w:rPr>
          <w:rStyle w:val="FootnoteReference"/>
        </w:rPr>
        <w:footnoteReference w:id="989"/>
      </w:r>
      <w:r>
        <w:t xml:space="preserve"> This gathering work of the Spirit is not independent of the work of Christ, but flows from and puts into operation the achievement of the Cross.</w:t>
      </w:r>
      <w:r>
        <w:rPr>
          <w:rStyle w:val="FootnoteReference"/>
        </w:rPr>
        <w:footnoteReference w:id="990"/>
      </w:r>
      <w:r>
        <w:t xml:space="preserve"> The Spirit now imparts the life of Christ the Head to the Body in order to ‘work out the fulness of His purpose in the Ch</w:t>
      </w:r>
      <w:r w:rsidR="00995091">
        <w:t>ur</w:t>
      </w:r>
      <w:r>
        <w:t>ch.’</w:t>
      </w:r>
      <w:r>
        <w:rPr>
          <w:rStyle w:val="FootnoteReference"/>
        </w:rPr>
        <w:footnoteReference w:id="991"/>
      </w:r>
      <w:r>
        <w:t xml:space="preserve"> The Holy Spirit pours out the love of God in the souls of his sons by adoption and grace, thus bringing the church to a participation in the loving fellowship within the Trinity.</w:t>
      </w:r>
      <w:r>
        <w:rPr>
          <w:rStyle w:val="FootnoteReference"/>
        </w:rPr>
        <w:footnoteReference w:id="992"/>
      </w:r>
    </w:p>
    <w:p w:rsidR="00062AED" w:rsidRDefault="00062AED" w:rsidP="009370EA">
      <w:pPr>
        <w:spacing w:line="360" w:lineRule="auto"/>
        <w:jc w:val="both"/>
      </w:pPr>
      <w:r>
        <w:t>Thus it is the Holy Spirit who enables t</w:t>
      </w:r>
      <w:r w:rsidR="004D4158">
        <w:t>he</w:t>
      </w:r>
      <w:r>
        <w:t xml:space="preserve"> church to experience the theosis in which she is participating through the Son. (Here I am distinguishing between the fact of theosis and the experience of it.) The Spirit will ‘draw the heavens down among us’ in the fellowship of the </w:t>
      </w:r>
      <w:r>
        <w:lastRenderedPageBreak/>
        <w:t>church.</w:t>
      </w:r>
      <w:r>
        <w:rPr>
          <w:rStyle w:val="FootnoteReference"/>
        </w:rPr>
        <w:footnoteReference w:id="993"/>
      </w:r>
      <w:r>
        <w:t xml:space="preserve"> Through the Holy Spirit filling the church, the church does ‘not belong to this Age, but to the Age to come,’ and ‘Heaven will come down with such a renewing of the Spirit of Christ … that we will see that we do not belong to this Age.’</w:t>
      </w:r>
      <w:r>
        <w:rPr>
          <w:rStyle w:val="FootnoteReference"/>
        </w:rPr>
        <w:footnoteReference w:id="994"/>
      </w:r>
      <w:r>
        <w:t xml:space="preserve"> The Holy Spirit in the church now is the presence of heaven on earth,</w:t>
      </w:r>
      <w:r>
        <w:rPr>
          <w:rStyle w:val="FootnoteReference"/>
        </w:rPr>
        <w:footnoteReference w:id="995"/>
      </w:r>
      <w:r>
        <w:t xml:space="preserve"> and as the church experiences heaven now on earth, what she experiences is peace in the love and fellowship of the Triune God, through the Spirit.</w:t>
      </w:r>
      <w:r>
        <w:rPr>
          <w:rStyle w:val="FootnoteReference"/>
        </w:rPr>
        <w:footnoteReference w:id="996"/>
      </w:r>
      <w:r>
        <w:t xml:space="preserve"> The Spirit makes:</w:t>
      </w:r>
    </w:p>
    <w:p w:rsidR="00062AED" w:rsidRPr="00551CEE" w:rsidRDefault="00062AED" w:rsidP="009370EA">
      <w:pPr>
        <w:spacing w:line="360" w:lineRule="auto"/>
        <w:ind w:left="720" w:right="720"/>
        <w:jc w:val="both"/>
        <w:rPr>
          <w:sz w:val="20"/>
        </w:rPr>
      </w:pPr>
      <w:r w:rsidRPr="00551CEE">
        <w:rPr>
          <w:sz w:val="20"/>
        </w:rPr>
        <w:t>Christ as real to us as though he walked in the flesh by our side, and … so continue[s] His presence to us that the gap of His visible presence might be filled, between the open gra</w:t>
      </w:r>
      <w:r w:rsidR="006F4603">
        <w:rPr>
          <w:sz w:val="20"/>
        </w:rPr>
        <w:t>v</w:t>
      </w:r>
      <w:r w:rsidRPr="00551CEE">
        <w:rPr>
          <w:sz w:val="20"/>
        </w:rPr>
        <w:t>e and the exalted Throne; between the Risen Lord and the Man in Glory’; to so continue that presence that Christ Himself shall minister to our need, as though we looked Him in His face, felt His sympathy with us … God the Holy Spirit will keep the communication so unbroken with Christ, as though He Himself had come down visibly and walked with us the weary path of life … The Holy Spirit here to continue the presence of Christ, to make us conscious of Him, to fill us with Him, so that our hearts should be like the Holy of Holies, knowing the secret of His Holy Presence, and knowing also the gladness of His victorious Throne in our lives.</w:t>
      </w:r>
      <w:r w:rsidRPr="00551CEE">
        <w:rPr>
          <w:rStyle w:val="FootnoteReference"/>
          <w:sz w:val="20"/>
        </w:rPr>
        <w:footnoteReference w:id="997"/>
      </w:r>
    </w:p>
    <w:p w:rsidR="00062AED" w:rsidRDefault="00062AED" w:rsidP="009370EA">
      <w:pPr>
        <w:spacing w:line="360" w:lineRule="auto"/>
        <w:jc w:val="both"/>
      </w:pPr>
      <w:r>
        <w:t>Through the presence of ‘the Comforter Divine’ we experience the life and love of Christ.</w:t>
      </w:r>
      <w:r>
        <w:rPr>
          <w:rStyle w:val="FootnoteReference"/>
        </w:rPr>
        <w:footnoteReference w:id="998"/>
      </w:r>
      <w:r>
        <w:t xml:space="preserve"> When the Holy Spirit is poured out, he:</w:t>
      </w:r>
    </w:p>
    <w:p w:rsidR="00062AED" w:rsidRPr="00476722" w:rsidRDefault="00062AED" w:rsidP="009370EA">
      <w:pPr>
        <w:spacing w:line="360" w:lineRule="auto"/>
        <w:ind w:left="720" w:right="720"/>
        <w:jc w:val="both"/>
        <w:rPr>
          <w:sz w:val="20"/>
        </w:rPr>
      </w:pPr>
      <w:r w:rsidRPr="00476722">
        <w:rPr>
          <w:sz w:val="20"/>
        </w:rPr>
        <w:t>zealously affects the affections with a passion of love for Jesus, for the souls of men, and for the Word of God. Reverential fear and worship is the delight of the whole being, and the soul is enraptured in fellowship with the Father and the Son, and with the Saints who have entered ‘the Life abundant.’</w:t>
      </w:r>
      <w:r w:rsidRPr="00476722">
        <w:rPr>
          <w:rStyle w:val="FootnoteReference"/>
          <w:sz w:val="20"/>
        </w:rPr>
        <w:footnoteReference w:id="999"/>
      </w:r>
    </w:p>
    <w:p w:rsidR="00062AED" w:rsidRPr="00725CBB" w:rsidRDefault="00062AED" w:rsidP="009370EA">
      <w:pPr>
        <w:spacing w:line="360" w:lineRule="auto"/>
        <w:jc w:val="both"/>
      </w:pPr>
      <w:r>
        <w:t>Here Williams is arguing that BHS brings an experience of theosis. Thus the central Pentecostal distinctive brings the church into the experience of the Eternal Purpose of the Triune God.</w:t>
      </w:r>
    </w:p>
    <w:p w:rsidR="00062AED" w:rsidRDefault="00062AED" w:rsidP="009370EA">
      <w:pPr>
        <w:spacing w:line="360" w:lineRule="auto"/>
        <w:jc w:val="both"/>
        <w:rPr>
          <w:i/>
        </w:rPr>
      </w:pPr>
    </w:p>
    <w:p w:rsidR="00965AC8" w:rsidRDefault="00965AC8" w:rsidP="009370EA">
      <w:pPr>
        <w:spacing w:line="360" w:lineRule="auto"/>
        <w:jc w:val="both"/>
        <w:rPr>
          <w:i/>
        </w:rPr>
      </w:pPr>
    </w:p>
    <w:p w:rsidR="00965AC8" w:rsidRPr="00A86675" w:rsidRDefault="00965AC8" w:rsidP="009370EA">
      <w:pPr>
        <w:spacing w:line="360" w:lineRule="auto"/>
        <w:jc w:val="both"/>
        <w:rPr>
          <w:i/>
        </w:rPr>
      </w:pPr>
    </w:p>
    <w:p w:rsidR="00062AED" w:rsidRPr="00650467" w:rsidRDefault="00062AED" w:rsidP="009370EA">
      <w:pPr>
        <w:pStyle w:val="PhDSubheading"/>
        <w:spacing w:line="360" w:lineRule="auto"/>
      </w:pPr>
      <w:r>
        <w:lastRenderedPageBreak/>
        <w:t>5.2 The Eternal Purpose in the thought of other key early Apostolic writers</w:t>
      </w:r>
    </w:p>
    <w:p w:rsidR="00062AED" w:rsidRDefault="00062AED" w:rsidP="009370EA">
      <w:pPr>
        <w:spacing w:line="360" w:lineRule="auto"/>
        <w:jc w:val="both"/>
      </w:pPr>
      <w:r>
        <w:t xml:space="preserve">D.P. Williams was not alone in giving attention to God’s Eternal Purpose for Christ and His Church. Already in the very first issue of </w:t>
      </w:r>
      <w:r w:rsidR="001D3DCF" w:rsidRPr="001D3DCF">
        <w:rPr>
          <w:i/>
        </w:rPr>
        <w:t>Riches of Grace</w:t>
      </w:r>
      <w:r>
        <w:t xml:space="preserve"> Thomas Jones was writing about the Apostolic Vision which included Christ’s Headship of the Church, union with Christ, and the building up of the members of the Body in Him.</w:t>
      </w:r>
      <w:r>
        <w:rPr>
          <w:rStyle w:val="FootnoteReference"/>
        </w:rPr>
        <w:footnoteReference w:id="1000"/>
      </w:r>
      <w:r>
        <w:t xml:space="preserve"> For Jones, ‘the Church of Jesus Christ is made up of people who share in the life of God.’</w:t>
      </w:r>
      <w:r>
        <w:rPr>
          <w:rStyle w:val="FootnoteReference"/>
        </w:rPr>
        <w:footnoteReference w:id="1001"/>
      </w:r>
      <w:r>
        <w:t xml:space="preserve"> Thus, it is the members of the Body of Christ who are the ‘partakers of the divine nature,’</w:t>
      </w:r>
      <w:r>
        <w:rPr>
          <w:rStyle w:val="FootnoteReference"/>
        </w:rPr>
        <w:footnoteReference w:id="1002"/>
      </w:r>
      <w:r>
        <w:t xml:space="preserve"> and they share in his fellowship (</w:t>
      </w:r>
      <w:r w:rsidRPr="007C71A9">
        <w:rPr>
          <w:i/>
        </w:rPr>
        <w:t>cymdeithas</w:t>
      </w:r>
      <w:r>
        <w:t>). As a result, the nature of the church is different from that of the life of unbelievers; having been separated from that life into the loving fellowship of the Triune God, the church now partakes of a ‘supernatural</w:t>
      </w:r>
      <w:r w:rsidR="000F1183">
        <w:t>ly</w:t>
      </w:r>
      <w:r>
        <w:t xml:space="preserve"> mystic</w:t>
      </w:r>
      <w:r w:rsidR="000F1183">
        <w:t>al</w:t>
      </w:r>
      <w:r>
        <w:t>’ nature (</w:t>
      </w:r>
      <w:r w:rsidRPr="002549B2">
        <w:rPr>
          <w:i/>
        </w:rPr>
        <w:t>yn oruchnaturiol</w:t>
      </w:r>
      <w:r>
        <w:rPr>
          <w:i/>
        </w:rPr>
        <w:t xml:space="preserve"> gyfrinol yn ei natur</w:t>
      </w:r>
      <w:r>
        <w:t>).</w:t>
      </w:r>
      <w:r>
        <w:rPr>
          <w:rStyle w:val="FootnoteReference"/>
        </w:rPr>
        <w:footnoteReference w:id="1003"/>
      </w:r>
      <w:r>
        <w:t xml:space="preserve"> Like Williams then, Jones would appear to view the Eternal Purpose in terms of an ecclesial theosis.</w:t>
      </w:r>
    </w:p>
    <w:p w:rsidR="00062AED" w:rsidRDefault="00062AED" w:rsidP="009370EA">
      <w:pPr>
        <w:spacing w:line="360" w:lineRule="auto"/>
        <w:jc w:val="both"/>
      </w:pPr>
    </w:p>
    <w:p w:rsidR="00062AED" w:rsidRDefault="00062AED" w:rsidP="009370EA">
      <w:pPr>
        <w:pStyle w:val="PhDSubheading"/>
        <w:spacing w:line="360" w:lineRule="auto"/>
      </w:pPr>
      <w:r>
        <w:t>5.2.1 The Prophetic Theology of William Jones Williams: The Election of sons to be found in God’s Essence</w:t>
      </w:r>
    </w:p>
    <w:p w:rsidR="00062AED" w:rsidRDefault="00062AED" w:rsidP="009370EA">
      <w:pPr>
        <w:spacing w:line="360" w:lineRule="auto"/>
        <w:jc w:val="both"/>
      </w:pPr>
      <w:r>
        <w:t>D.P. Williams’ brother W.J. Williams (Jones Williams) was also a significant figure in the early years of the Apostolic Church. Although he would later be called to the apostleship, throughout the early years of the movement, Jones Williams’ most significant contributions were in his role as prophet. Thus, a significant amount of Jones Williams’ theological contribution comes not through traditional written forms, but in the form of prophecy. Undoubtedly his prophetical ministry would have influenced his non-prophetical writings, and thus I suggest viewing the whole of Jones Williams’ contribution as a prophetic theology.</w:t>
      </w:r>
    </w:p>
    <w:p w:rsidR="00062AED" w:rsidRDefault="00062AED" w:rsidP="009370EA">
      <w:pPr>
        <w:spacing w:line="360" w:lineRule="auto"/>
        <w:jc w:val="both"/>
      </w:pPr>
      <w:r>
        <w:t>A definition of the Eternal Purpose was given in a prophecy through Jones Williams at the 1934 Penygroes Convention: ‘Mine Eternal Purpose [is] that you are found in Mine Essence.’</w:t>
      </w:r>
      <w:r>
        <w:rPr>
          <w:rStyle w:val="FootnoteReference"/>
        </w:rPr>
        <w:footnoteReference w:id="1004"/>
      </w:r>
      <w:r>
        <w:t xml:space="preserve"> Just as in his brother’s understanding of the divine essence, for Jones Williams this is strongly associated with the love of God.</w:t>
      </w:r>
      <w:r>
        <w:rPr>
          <w:rStyle w:val="FootnoteReference"/>
        </w:rPr>
        <w:footnoteReference w:id="1005"/>
      </w:r>
      <w:r>
        <w:t xml:space="preserve"> The Lord dwells in the midst of his people, loving them freely and so </w:t>
      </w:r>
      <w:r>
        <w:lastRenderedPageBreak/>
        <w:t>they know his presence, his fullness, and his glory.</w:t>
      </w:r>
      <w:r>
        <w:rPr>
          <w:rStyle w:val="FootnoteReference"/>
        </w:rPr>
        <w:footnoteReference w:id="1006"/>
      </w:r>
      <w:r>
        <w:t xml:space="preserve"> Thus the church is ‘to rejoice in the manifestation of [God’s] love.’</w:t>
      </w:r>
      <w:r>
        <w:rPr>
          <w:rStyle w:val="FootnoteReference"/>
        </w:rPr>
        <w:footnoteReference w:id="1007"/>
      </w:r>
      <w:r>
        <w:t xml:space="preserve"> The Triune God is giving himself to the church:</w:t>
      </w:r>
    </w:p>
    <w:p w:rsidR="00062AED" w:rsidRDefault="00062AED" w:rsidP="009370EA">
      <w:pPr>
        <w:spacing w:line="360" w:lineRule="auto"/>
        <w:ind w:left="720" w:right="720"/>
        <w:jc w:val="both"/>
      </w:pPr>
      <w:r w:rsidRPr="00494D83">
        <w:rPr>
          <w:sz w:val="20"/>
        </w:rPr>
        <w:t>I am offering Myself, not for Time, but I am offering Myself for Eternity to you … In the stead of your plans and designs, revelation and unbelief, I am giving you Myself. That is what Eternity is in reality, ‘the Redeemed possessing the Eternal, and the Eternal possessing the Redeemed. I am yours and you are Mine.</w:t>
      </w:r>
      <w:r w:rsidRPr="00494D83">
        <w:rPr>
          <w:rStyle w:val="FootnoteReference"/>
          <w:sz w:val="20"/>
        </w:rPr>
        <w:footnoteReference w:id="1008"/>
      </w:r>
    </w:p>
    <w:p w:rsidR="00062AED" w:rsidRDefault="00062AED" w:rsidP="009370EA">
      <w:pPr>
        <w:spacing w:line="360" w:lineRule="auto"/>
        <w:jc w:val="both"/>
      </w:pPr>
      <w:r>
        <w:t>This mutual possession takes place in and through the love of God, by the Word, so that ‘your life will be in My Love.’</w:t>
      </w:r>
      <w:r>
        <w:rPr>
          <w:rStyle w:val="FootnoteReference"/>
        </w:rPr>
        <w:footnoteReference w:id="1009"/>
      </w:r>
      <w:r>
        <w:t xml:space="preserve"> The Eternal Purpose is the life of the Church in the love with which the Father loves the Son in the Spirit, which is the ‘essence’ of the Triune God.</w:t>
      </w:r>
    </w:p>
    <w:p w:rsidR="00062AED" w:rsidRDefault="00062AED" w:rsidP="009370EA">
      <w:pPr>
        <w:spacing w:line="360" w:lineRule="auto"/>
        <w:jc w:val="both"/>
      </w:pPr>
      <w:r>
        <w:t>A particularly significant theme in Jones Williams’ prophetic theology is the doctrine of unconditional election. Both in preaching and in prophecy, Jones Williams is insistent that God does not act ‘according to the will of man but by the will of God [in] Divine Election.’</w:t>
      </w:r>
      <w:r>
        <w:rPr>
          <w:rStyle w:val="FootnoteReference"/>
        </w:rPr>
        <w:footnoteReference w:id="1010"/>
      </w:r>
      <w:r>
        <w:t xml:space="preserve"> The sovereign election of God demonstrates that it is God who is responsible for his people’s future.</w:t>
      </w:r>
      <w:r>
        <w:rPr>
          <w:rStyle w:val="FootnoteReference"/>
        </w:rPr>
        <w:footnoteReference w:id="1011"/>
      </w:r>
    </w:p>
    <w:p w:rsidR="00062AED" w:rsidRPr="001449F2" w:rsidRDefault="00062AED" w:rsidP="009370EA">
      <w:pPr>
        <w:spacing w:line="360" w:lineRule="auto"/>
        <w:ind w:left="720" w:right="720"/>
        <w:jc w:val="both"/>
        <w:rPr>
          <w:iCs/>
          <w:sz w:val="20"/>
        </w:rPr>
      </w:pPr>
      <w:r w:rsidRPr="001449F2">
        <w:rPr>
          <w:iCs/>
          <w:sz w:val="20"/>
        </w:rPr>
        <w:t>Chosen and predestined are some, according to mine eternal purposes, unconditionally, according to the Divine decree that has found its essence in the Eternal One… For I definitely tell you that anyone that declares that I have not the right, according to mine own will and purposes, to choose unconditionally, I say unto you that you will find that I am Sovereign, that I have the authority thus to do and have done from the beginning, and it shall be done even to the end… And in the mystery of this declaration, I forbid the right even of my creation to ask me, “Why is it so?” for it has pleased the Lord your God thus to choose, to purpose, to pre-ordain, and it shall be done according to the purposes of that which has been woven in the garment of the Eternal purposes throu</w:t>
      </w:r>
      <w:r>
        <w:rPr>
          <w:iCs/>
          <w:sz w:val="20"/>
        </w:rPr>
        <w:t>ghout the ages, saith the Lord.</w:t>
      </w:r>
      <w:r>
        <w:rPr>
          <w:rStyle w:val="FootnoteReference"/>
          <w:iCs/>
          <w:sz w:val="20"/>
        </w:rPr>
        <w:footnoteReference w:id="1012"/>
      </w:r>
    </w:p>
    <w:p w:rsidR="00062AED" w:rsidRDefault="00062AED" w:rsidP="009370EA">
      <w:pPr>
        <w:spacing w:line="360" w:lineRule="auto"/>
        <w:jc w:val="both"/>
        <w:rPr>
          <w:iCs/>
        </w:rPr>
      </w:pPr>
      <w:r>
        <w:rPr>
          <w:iCs/>
        </w:rPr>
        <w:t>The Elect are being brought through a process of unity to know unity ‘in the Trinity, eternally, in their predestined plan.’</w:t>
      </w:r>
      <w:r>
        <w:rPr>
          <w:rStyle w:val="FootnoteReference"/>
          <w:iCs/>
        </w:rPr>
        <w:footnoteReference w:id="1013"/>
      </w:r>
      <w:r>
        <w:rPr>
          <w:iCs/>
        </w:rPr>
        <w:t xml:space="preserve"> The Eternal Purpose depends upon God’s election and </w:t>
      </w:r>
      <w:r>
        <w:rPr>
          <w:iCs/>
        </w:rPr>
        <w:lastRenderedPageBreak/>
        <w:t>predestination.</w:t>
      </w:r>
      <w:r>
        <w:rPr>
          <w:rStyle w:val="FootnoteReference"/>
          <w:iCs/>
        </w:rPr>
        <w:footnoteReference w:id="1014"/>
      </w:r>
      <w:r>
        <w:rPr>
          <w:iCs/>
        </w:rPr>
        <w:t xml:space="preserve"> In fact, the Eternal Purpose is found in God in such a way, that to destroy God’s Purpose would entail destroying God himself (and so his Eternal Purpose is indestructible).</w:t>
      </w:r>
      <w:r>
        <w:rPr>
          <w:rStyle w:val="FootnoteReference"/>
          <w:iCs/>
        </w:rPr>
        <w:footnoteReference w:id="1015"/>
      </w:r>
      <w:r>
        <w:rPr>
          <w:iCs/>
        </w:rPr>
        <w:t xml:space="preserve"> The Triune God ‘will bring [his] Eternal Purposes to pass through … [his] own Eternal Essence.’</w:t>
      </w:r>
      <w:r>
        <w:rPr>
          <w:rStyle w:val="FootnoteReference"/>
          <w:iCs/>
        </w:rPr>
        <w:footnoteReference w:id="1016"/>
      </w:r>
      <w:r>
        <w:rPr>
          <w:iCs/>
        </w:rPr>
        <w:t xml:space="preserve"> As this Purpose is ‘unravelled and revealed unto’ the redeemed, they ‘shall rejoice with the Lord, even with the Triune God’ throughout eternity.</w:t>
      </w:r>
      <w:r>
        <w:rPr>
          <w:rStyle w:val="FootnoteReference"/>
          <w:iCs/>
        </w:rPr>
        <w:footnoteReference w:id="1017"/>
      </w:r>
      <w:r>
        <w:rPr>
          <w:iCs/>
        </w:rPr>
        <w:t xml:space="preserve"> This is God’s predestination and the outcome of his election.</w:t>
      </w:r>
      <w:r>
        <w:rPr>
          <w:rStyle w:val="FootnoteReference"/>
          <w:iCs/>
        </w:rPr>
        <w:footnoteReference w:id="1018"/>
      </w:r>
    </w:p>
    <w:p w:rsidR="00062AED" w:rsidRDefault="00062AED" w:rsidP="009370EA">
      <w:pPr>
        <w:spacing w:line="360" w:lineRule="auto"/>
        <w:jc w:val="both"/>
        <w:rPr>
          <w:iCs/>
        </w:rPr>
      </w:pPr>
      <w:r>
        <w:rPr>
          <w:iCs/>
        </w:rPr>
        <w:t>God’s election is worked out in sonship for the church:</w:t>
      </w:r>
    </w:p>
    <w:p w:rsidR="00062AED" w:rsidRDefault="00062AED" w:rsidP="009370EA">
      <w:pPr>
        <w:spacing w:line="360" w:lineRule="auto"/>
        <w:ind w:left="720" w:right="720"/>
        <w:jc w:val="both"/>
        <w:rPr>
          <w:iCs/>
        </w:rPr>
      </w:pPr>
      <w:r w:rsidRPr="00B517C6">
        <w:rPr>
          <w:iCs/>
          <w:sz w:val="20"/>
        </w:rPr>
        <w:t>This Divine Sonship must be seen in the Church. We have lost our relationship with God as sons through sin, but in Christ (the Incarnate Son of His bosom) we are brought back and born again into the family of God. We can never be of any value to God until we have this sonship, this filial nature in us, for it signifies a very intimate relationship and fellowship with God that will mould our characters to be true sons.</w:t>
      </w:r>
      <w:r w:rsidRPr="00B517C6">
        <w:rPr>
          <w:rStyle w:val="FootnoteReference"/>
          <w:iCs/>
          <w:sz w:val="20"/>
        </w:rPr>
        <w:footnoteReference w:id="1019"/>
      </w:r>
    </w:p>
    <w:p w:rsidR="00062AED" w:rsidRDefault="00062AED" w:rsidP="009370EA">
      <w:pPr>
        <w:spacing w:line="360" w:lineRule="auto"/>
        <w:jc w:val="both"/>
        <w:rPr>
          <w:iCs/>
        </w:rPr>
      </w:pPr>
      <w:r>
        <w:rPr>
          <w:iCs/>
        </w:rPr>
        <w:t xml:space="preserve">Clearly here for Jones Williams, sonship is not merely a legal standing, but is concerned primarily with ‘a very intimate relationship and fellowship.’ Sonship with God is life in the love of the Father for Jesus his Son (through union with Christ) and this love is a transforming love </w:t>
      </w:r>
      <w:r w:rsidR="00FA773E">
        <w:rPr>
          <w:iCs/>
        </w:rPr>
        <w:t>which</w:t>
      </w:r>
      <w:r>
        <w:rPr>
          <w:iCs/>
        </w:rPr>
        <w:t xml:space="preserve"> conforms the church to the image of Christ the Son. This was the purpose and achievement of Christ’s Cross: ‘The purpose of Calvary was to obtain a fit companion for the Christ, and His riches would be expended in preparing the Church to become so.’</w:t>
      </w:r>
      <w:r>
        <w:rPr>
          <w:rStyle w:val="FootnoteReference"/>
          <w:iCs/>
        </w:rPr>
        <w:footnoteReference w:id="1020"/>
      </w:r>
      <w:r>
        <w:rPr>
          <w:iCs/>
        </w:rPr>
        <w:t xml:space="preserve"> Thus, ‘the glory of [God’s] power and the Greatness of [his] Purpose and the Greatness of [his] Will are going to be displayed’ in the Church.</w:t>
      </w:r>
      <w:r>
        <w:rPr>
          <w:rStyle w:val="FootnoteReference"/>
          <w:iCs/>
        </w:rPr>
        <w:footnoteReference w:id="1021"/>
      </w:r>
      <w:r>
        <w:rPr>
          <w:iCs/>
        </w:rPr>
        <w:t xml:space="preserve"> This is the purpose of the Triune God which ‘commenced before the foundation of the world.’</w:t>
      </w:r>
      <w:r>
        <w:rPr>
          <w:rStyle w:val="FootnoteReference"/>
          <w:iCs/>
        </w:rPr>
        <w:footnoteReference w:id="1022"/>
      </w:r>
    </w:p>
    <w:p w:rsidR="00062AED" w:rsidRPr="001B7E02" w:rsidRDefault="00CB613D" w:rsidP="009370EA">
      <w:pPr>
        <w:spacing w:line="360" w:lineRule="auto"/>
        <w:jc w:val="both"/>
        <w:rPr>
          <w:iCs/>
        </w:rPr>
      </w:pPr>
      <w:r>
        <w:rPr>
          <w:iCs/>
        </w:rPr>
        <w:t>Jones Williams prophesied</w:t>
      </w:r>
      <w:r w:rsidR="00062AED" w:rsidRPr="001B7E02">
        <w:rPr>
          <w:iCs/>
        </w:rPr>
        <w:t xml:space="preserve"> of the Eternal Purpose as a transfiguration of the church: ‘Transfiguration is the experience, in the Mystery of My Will … My Unity, “one” in Me; One that shall rest on My Breast, that shall lay her head on My Heart. Love eternally shall be her portion.’</w:t>
      </w:r>
      <w:r w:rsidR="00062AED" w:rsidRPr="001B7E02">
        <w:rPr>
          <w:rStyle w:val="FootnoteReference"/>
          <w:iCs/>
        </w:rPr>
        <w:footnoteReference w:id="1023"/>
      </w:r>
      <w:r w:rsidR="00062AED">
        <w:rPr>
          <w:iCs/>
        </w:rPr>
        <w:t xml:space="preserve"> This transfiguration of the church in the glory of Christ is here associated with the </w:t>
      </w:r>
      <w:r w:rsidR="00062AED">
        <w:rPr>
          <w:iCs/>
        </w:rPr>
        <w:lastRenderedPageBreak/>
        <w:t xml:space="preserve">church’s oneness in union with the Triune God, sharing in his love, which takes us back full circle to Jones Williams’ prophetic definition of the Eternal Purpose: </w:t>
      </w:r>
      <w:r w:rsidR="00062AED">
        <w:t>‘Mine Eternal Purpose [is] that you are found in Mine Essence.’</w:t>
      </w:r>
      <w:r w:rsidR="00062AED">
        <w:rPr>
          <w:rStyle w:val="FootnoteReference"/>
        </w:rPr>
        <w:footnoteReference w:id="1024"/>
      </w:r>
    </w:p>
    <w:p w:rsidR="00062AED" w:rsidRDefault="00062AED" w:rsidP="009370EA">
      <w:pPr>
        <w:spacing w:line="360" w:lineRule="auto"/>
        <w:jc w:val="both"/>
      </w:pPr>
    </w:p>
    <w:p w:rsidR="00062AED" w:rsidRDefault="00062AED" w:rsidP="009370EA">
      <w:pPr>
        <w:pStyle w:val="PhDSubheading"/>
        <w:spacing w:line="360" w:lineRule="auto"/>
      </w:pPr>
      <w:r>
        <w:t>5.2.2 William Cathcart: Inheriting the Son’s relationship to His Father</w:t>
      </w:r>
    </w:p>
    <w:p w:rsidR="00062AED" w:rsidRDefault="00062AED" w:rsidP="009370EA">
      <w:pPr>
        <w:spacing w:line="360" w:lineRule="auto"/>
        <w:jc w:val="both"/>
      </w:pPr>
      <w:r>
        <w:t>For William Cathcart (as for D.P. Williams</w:t>
      </w:r>
      <w:r>
        <w:rPr>
          <w:rStyle w:val="FootnoteReference"/>
        </w:rPr>
        <w:footnoteReference w:id="1025"/>
      </w:r>
      <w:r>
        <w:t>), the relationship between Christ the Son and his Father stands at the centre of everything.</w:t>
      </w:r>
      <w:r>
        <w:rPr>
          <w:rStyle w:val="FootnoteReference"/>
        </w:rPr>
        <w:footnoteReference w:id="1026"/>
      </w:r>
      <w:r>
        <w:t xml:space="preserve"> It is this relationship between the Father and the Son which is ‘the basis of our inclusion in the Church.’</w:t>
      </w:r>
      <w:r>
        <w:rPr>
          <w:rStyle w:val="FootnoteReference"/>
        </w:rPr>
        <w:footnoteReference w:id="1027"/>
      </w:r>
      <w:r>
        <w:t xml:space="preserve"> Therefore, ‘true Christianity is primarily a matter, then, of our relationship to God, which was lost in Adam and restored in Christ.’</w:t>
      </w:r>
      <w:r>
        <w:rPr>
          <w:rStyle w:val="FootnoteReference"/>
        </w:rPr>
        <w:footnoteReference w:id="1028"/>
      </w:r>
      <w:r>
        <w:t xml:space="preserve"> Man was created for communion, ‘to dwell in the God-life, as also the God-life [was] to dwell in him.’</w:t>
      </w:r>
      <w:r>
        <w:rPr>
          <w:rStyle w:val="FootnoteReference"/>
        </w:rPr>
        <w:footnoteReference w:id="1029"/>
      </w:r>
      <w:r>
        <w:t xml:space="preserve"> This ‘inter-communion’ between man and God ‘was the crown of creation.’</w:t>
      </w:r>
      <w:r>
        <w:rPr>
          <w:rStyle w:val="FootnoteReference"/>
        </w:rPr>
        <w:footnoteReference w:id="1030"/>
      </w:r>
      <w:r>
        <w:t xml:space="preserve"> Yet Cathcart insists that this was not a Christless communion; it was through the Son that humanity ‘was receiving this access to the very life or nature of the Godhead.’</w:t>
      </w:r>
      <w:r>
        <w:rPr>
          <w:rStyle w:val="FootnoteReference"/>
        </w:rPr>
        <w:footnoteReference w:id="1031"/>
      </w:r>
    </w:p>
    <w:p w:rsidR="00062AED" w:rsidRDefault="00062AED" w:rsidP="009370EA">
      <w:pPr>
        <w:spacing w:line="360" w:lineRule="auto"/>
        <w:jc w:val="both"/>
      </w:pPr>
      <w:r>
        <w:t>Communion with God and expression of God cannot be separated.</w:t>
      </w:r>
      <w:r>
        <w:rPr>
          <w:rStyle w:val="FootnoteReference"/>
        </w:rPr>
        <w:footnoteReference w:id="1032"/>
      </w:r>
      <w:r>
        <w:t xml:space="preserve"> Therefore, through her communion with God, the church reveals God to the creation. Such access to God in communion is the privilege of sonship. ‘Our access to God is a matter of relationship.’</w:t>
      </w:r>
      <w:r>
        <w:rPr>
          <w:rStyle w:val="FootnoteReference"/>
        </w:rPr>
        <w:footnoteReference w:id="1033"/>
      </w:r>
      <w:r>
        <w:t xml:space="preserve"> Thus it is as Christ restores the church to sonship through grace, as sons in the Son, that the church lives in the loving communion of the Triune God and manifests the glory of God to the principalities and powers.</w:t>
      </w:r>
    </w:p>
    <w:p w:rsidR="00062AED" w:rsidRDefault="00062AED" w:rsidP="009370EA">
      <w:pPr>
        <w:spacing w:line="360" w:lineRule="auto"/>
        <w:jc w:val="both"/>
      </w:pPr>
      <w:r>
        <w:t>Salvation, then, is sonship, which is ‘the greatest thing possible [for God] to give.’</w:t>
      </w:r>
      <w:r>
        <w:rPr>
          <w:rStyle w:val="FootnoteReference"/>
        </w:rPr>
        <w:footnoteReference w:id="1034"/>
      </w:r>
      <w:r>
        <w:t xml:space="preserve"> As sons, the church ‘inherit[s] that unique relationship that the Son ha[s] with the Father.’</w:t>
      </w:r>
      <w:r>
        <w:rPr>
          <w:rStyle w:val="FootnoteReference"/>
        </w:rPr>
        <w:footnoteReference w:id="1035"/>
      </w:r>
      <w:r>
        <w:t xml:space="preserve"> Thus Christ’s ‘ministry to us becomes so nourishing in the matter of conscious relationship being nourished in </w:t>
      </w:r>
      <w:r>
        <w:lastRenderedPageBreak/>
        <w:t>us, that we crave to inherit more and more His fellowship.’</w:t>
      </w:r>
      <w:r>
        <w:rPr>
          <w:rStyle w:val="FootnoteReference"/>
        </w:rPr>
        <w:footnoteReference w:id="1036"/>
      </w:r>
      <w:r>
        <w:t xml:space="preserve"> Thus the inheritance of the church is the love of the Father for Jesus his Son. The church is brought into the intimate loving fellowship among the three persons of the Trinity.</w:t>
      </w:r>
    </w:p>
    <w:p w:rsidR="00062AED" w:rsidRDefault="00062AED" w:rsidP="009370EA">
      <w:pPr>
        <w:spacing w:line="360" w:lineRule="auto"/>
        <w:jc w:val="both"/>
      </w:pPr>
      <w:r>
        <w:t>As the church in sonship inherits the Son’s relationship with the Father, this includes not only his loving fellowship, but also the uncreated life of Christ and his character.</w:t>
      </w:r>
      <w:r>
        <w:rPr>
          <w:rStyle w:val="FootnoteReference"/>
        </w:rPr>
        <w:footnoteReference w:id="1037"/>
      </w:r>
      <w:r>
        <w:t xml:space="preserve"> Thus the church shares in the loving fellowship of the Trinity through participation in Christ, from whom the church receives life and to whose image the church is conformed. </w:t>
      </w:r>
    </w:p>
    <w:p w:rsidR="00062AED" w:rsidRDefault="00062AED" w:rsidP="009370EA">
      <w:pPr>
        <w:spacing w:line="360" w:lineRule="auto"/>
        <w:jc w:val="both"/>
      </w:pPr>
      <w:r>
        <w:t>Through being ‘related to the Father through the Son’, the church has ‘complete access to the nature of God,’ which is ‘the climax of the Work of the Son in His life and His honouring of the Father.’</w:t>
      </w:r>
      <w:r>
        <w:rPr>
          <w:rStyle w:val="FootnoteReference"/>
        </w:rPr>
        <w:footnoteReference w:id="1038"/>
      </w:r>
      <w:r>
        <w:t xml:space="preserve"> Cathcart explains this in that through the Incarnation, ‘Jesus Christ, alone in Himself, joined Divine Nature with Human nature, and forever sanctified Human nature in Himself.’</w:t>
      </w:r>
      <w:r>
        <w:rPr>
          <w:rStyle w:val="FootnoteReference"/>
        </w:rPr>
        <w:footnoteReference w:id="1039"/>
      </w:r>
      <w:r>
        <w:t xml:space="preserve"> Then, at the Cross, Christ ‘separated the Human Nature from Sin and Satan, and forever joined to His own nature what He had sanctified.’</w:t>
      </w:r>
      <w:r>
        <w:rPr>
          <w:rStyle w:val="FootnoteReference"/>
        </w:rPr>
        <w:footnoteReference w:id="1040"/>
      </w:r>
      <w:r>
        <w:t xml:space="preserve"> This would then lead to the glorification of human nature in Christ.</w:t>
      </w:r>
      <w:r>
        <w:rPr>
          <w:rStyle w:val="FootnoteReference"/>
        </w:rPr>
        <w:footnoteReference w:id="1041"/>
      </w:r>
      <w:r>
        <w:t xml:space="preserve"> This is how the Triune God:</w:t>
      </w:r>
    </w:p>
    <w:p w:rsidR="00062AED" w:rsidRPr="00DC068F" w:rsidRDefault="00062AED" w:rsidP="009370EA">
      <w:pPr>
        <w:spacing w:line="360" w:lineRule="auto"/>
        <w:ind w:left="720" w:right="720"/>
        <w:jc w:val="both"/>
        <w:rPr>
          <w:sz w:val="20"/>
        </w:rPr>
      </w:pPr>
      <w:r w:rsidRPr="00DC068F">
        <w:rPr>
          <w:sz w:val="20"/>
        </w:rPr>
        <w:t>brings His intended Design to pass, namely complete access of the human to the Divine. The whole creation groans for the Age when this work will be manifested at the First Resurrection (Rom. 8:23). Today, our life is hid with Christ in God. Tomorrow (at the Resurrection) God’s Life is manifested in us with Christ.</w:t>
      </w:r>
      <w:r w:rsidRPr="00DC068F">
        <w:rPr>
          <w:rStyle w:val="FootnoteReference"/>
          <w:sz w:val="20"/>
        </w:rPr>
        <w:footnoteReference w:id="1042"/>
      </w:r>
    </w:p>
    <w:p w:rsidR="00062AED" w:rsidRDefault="00062AED" w:rsidP="009370EA">
      <w:pPr>
        <w:spacing w:line="360" w:lineRule="auto"/>
        <w:jc w:val="both"/>
      </w:pPr>
      <w:r>
        <w:t>Thus, the Eternal Purpose is accomplished through the Incarnation and Atonement of Christ, and will be fully manifested at the resurrection of the dead at Christ’s return.</w:t>
      </w:r>
    </w:p>
    <w:p w:rsidR="00062AED" w:rsidRDefault="00062AED" w:rsidP="009370EA">
      <w:pPr>
        <w:spacing w:line="360" w:lineRule="auto"/>
        <w:jc w:val="both"/>
      </w:pPr>
      <w:r>
        <w:t>The Church looks back to Christ’s accomplishment of the Eternal Purpose through his death on the Cross, and looks forward to the full manifestation of the sons of God at Christ’s return, yet in the meantime, the church knows God through access to the divine nature in Christ.</w:t>
      </w:r>
      <w:r>
        <w:rPr>
          <w:rStyle w:val="FootnoteReference"/>
        </w:rPr>
        <w:footnoteReference w:id="1043"/>
      </w:r>
      <w:r>
        <w:t xml:space="preserve"> Christ the Head imparts his own divine, uncreated nature to the Body, and so ‘it is through Jesus Christ </w:t>
      </w:r>
      <w:r>
        <w:lastRenderedPageBreak/>
        <w:t>alone that we have this access to the Nature of God, and who, as man, possesses that Nature as underived.’</w:t>
      </w:r>
      <w:r>
        <w:rPr>
          <w:rStyle w:val="FootnoteReference"/>
        </w:rPr>
        <w:footnoteReference w:id="1044"/>
      </w:r>
    </w:p>
    <w:p w:rsidR="00062AED" w:rsidRDefault="00062AED" w:rsidP="009370EA">
      <w:pPr>
        <w:spacing w:line="360" w:lineRule="auto"/>
        <w:jc w:val="both"/>
      </w:pPr>
      <w:r>
        <w:t>Thus, in and through Jesus:</w:t>
      </w:r>
    </w:p>
    <w:p w:rsidR="00062AED" w:rsidRPr="00C94844" w:rsidRDefault="00062AED" w:rsidP="009370EA">
      <w:pPr>
        <w:spacing w:line="360" w:lineRule="auto"/>
        <w:ind w:left="720" w:right="720"/>
        <w:jc w:val="both"/>
        <w:rPr>
          <w:sz w:val="20"/>
        </w:rPr>
      </w:pPr>
      <w:r w:rsidRPr="00C94844">
        <w:rPr>
          <w:sz w:val="20"/>
        </w:rPr>
        <w:t>That which was furthest apart is now that which is most closely united, the life of God to the life of man. ‘I in them and Thou in Me, that they may be made perfect in one; and that the world may know that Thou hast sent Me, and hast loved them, as Thou hast loved Me.’ (John 17:23). The world knows that our life is not our own when they see His life being lived through us.</w:t>
      </w:r>
      <w:r w:rsidRPr="00C94844">
        <w:rPr>
          <w:rStyle w:val="FootnoteReference"/>
          <w:sz w:val="20"/>
        </w:rPr>
        <w:footnoteReference w:id="1045"/>
      </w:r>
    </w:p>
    <w:p w:rsidR="00062AED" w:rsidRDefault="00062AED" w:rsidP="009370EA">
      <w:pPr>
        <w:spacing w:line="360" w:lineRule="auto"/>
        <w:jc w:val="both"/>
      </w:pPr>
      <w:r>
        <w:t>The church’s, sonship, union with God, partaking of the divine nature and life, and conformity to the image of Christ, are all found in and through Jesus. ‘Jesus Christ, then, is our Salvation.’</w:t>
      </w:r>
      <w:r>
        <w:rPr>
          <w:rStyle w:val="FootnoteReference"/>
        </w:rPr>
        <w:footnoteReference w:id="1046"/>
      </w:r>
      <w:r>
        <w:t xml:space="preserve"> </w:t>
      </w:r>
    </w:p>
    <w:p w:rsidR="00062AED" w:rsidRDefault="00062AED" w:rsidP="009370EA">
      <w:pPr>
        <w:spacing w:line="360" w:lineRule="auto"/>
        <w:jc w:val="both"/>
      </w:pPr>
      <w:r>
        <w:t>Elsewhere Cathcart describes this as the Father sharing his love with us through the Son.</w:t>
      </w:r>
      <w:r>
        <w:rPr>
          <w:rStyle w:val="FootnoteReference"/>
        </w:rPr>
        <w:footnoteReference w:id="1047"/>
      </w:r>
      <w:r>
        <w:t xml:space="preserve"> Here he makes use of a form of the exchange formula,</w:t>
      </w:r>
      <w:r>
        <w:rPr>
          <w:rStyle w:val="FootnoteReference"/>
        </w:rPr>
        <w:footnoteReference w:id="1048"/>
      </w:r>
      <w:r>
        <w:t xml:space="preserve"> which he describes as ‘the very crux of Christian doctrine’, to summarise this salvation: ‘the Son of God is Son of Man, and the sons of men are now sons of God.’</w:t>
      </w:r>
      <w:r>
        <w:rPr>
          <w:rStyle w:val="FootnoteReference"/>
        </w:rPr>
        <w:footnoteReference w:id="1049"/>
      </w:r>
      <w:r>
        <w:t xml:space="preserve"> For Cathcart, this exchange is ‘the fruit of [Christ’s] Mediatorship to God and to men.’</w:t>
      </w:r>
      <w:r>
        <w:rPr>
          <w:rStyle w:val="FootnoteReference"/>
        </w:rPr>
        <w:footnoteReference w:id="1050"/>
      </w:r>
      <w:r>
        <w:t xml:space="preserve"> He expounds his exchange formula further in terms of Christ taking on mortality in order to communicate his immortality to the church (through ‘His Being’). Thus Christ, through his death and resurrection, brings:</w:t>
      </w:r>
    </w:p>
    <w:p w:rsidR="00062AED" w:rsidRPr="00C031A3" w:rsidRDefault="00062AED" w:rsidP="009370EA">
      <w:pPr>
        <w:spacing w:line="360" w:lineRule="auto"/>
        <w:ind w:left="720" w:right="720"/>
        <w:jc w:val="both"/>
        <w:rPr>
          <w:sz w:val="20"/>
        </w:rPr>
      </w:pPr>
      <w:r w:rsidRPr="00C031A3">
        <w:rPr>
          <w:sz w:val="20"/>
        </w:rPr>
        <w:t>the only true end to the mortal Adamic life … and … the only true beginning of the immortal God-life… In his Humanity, He truly gave God, Man’s death, thus paying Man’s death-penalty for sin, but in His Divinity He gave Man God’s Life, which is the infallible proof that His atonement was complete.</w:t>
      </w:r>
      <w:r w:rsidRPr="00C031A3">
        <w:rPr>
          <w:rStyle w:val="FootnoteReference"/>
          <w:sz w:val="20"/>
        </w:rPr>
        <w:t xml:space="preserve"> </w:t>
      </w:r>
      <w:r w:rsidRPr="00C031A3">
        <w:rPr>
          <w:rStyle w:val="FootnoteReference"/>
          <w:sz w:val="20"/>
        </w:rPr>
        <w:footnoteReference w:id="1051"/>
      </w:r>
    </w:p>
    <w:p w:rsidR="00062AED" w:rsidRPr="003B7F2B" w:rsidRDefault="00062AED" w:rsidP="009370EA">
      <w:pPr>
        <w:spacing w:line="360" w:lineRule="auto"/>
        <w:jc w:val="both"/>
      </w:pPr>
      <w:r w:rsidRPr="006B403D">
        <w:t xml:space="preserve">Although his initial statement of the exchange formula is in terms of sonship in the Son, Cathcart’s further expansion on the formula brings in not only the concept of immortality, but also of the ‘God-life.’ As a result, Cathcart’s use of the exchange formula corresponds well to the various forms it takes in the patristic tradition (to which Cathcart makes no reference). While the correspondence between Cathcart’s thought and the theme of theosis as sharing in the Father’s love for the Son in the understanding of the Eternal Purpose in the thought of the Williams </w:t>
      </w:r>
      <w:r w:rsidRPr="006B403D">
        <w:lastRenderedPageBreak/>
        <w:t>brothers and Thomas Jones is already clearly evident, his use of the exchange formula makes his concept of theosis even more explicit.</w:t>
      </w:r>
      <w:r>
        <w:t xml:space="preserve"> While Cathcart’s initial version of the exchange formula is closest to that of Augustine (‘</w:t>
      </w:r>
      <w:r w:rsidRPr="00D5741F">
        <w:t>The Son of God became the Son of Man that he might make the sons of men sons of God</w:t>
      </w:r>
      <w:r>
        <w:t>’</w:t>
      </w:r>
      <w:r>
        <w:rPr>
          <w:rStyle w:val="FootnoteReference"/>
        </w:rPr>
        <w:footnoteReference w:id="1052"/>
      </w:r>
      <w:r>
        <w:t>), his expansion in terms of immortality and the God-life demonstrates the correspondence between his thought and more classical statements of the exchange formula such as those of Athanasius</w:t>
      </w:r>
      <w:r>
        <w:rPr>
          <w:rStyle w:val="FootnoteReference"/>
        </w:rPr>
        <w:footnoteReference w:id="1053"/>
      </w:r>
      <w:r>
        <w:t xml:space="preserve"> or Cyril of Alexandria.</w:t>
      </w:r>
      <w:r>
        <w:rPr>
          <w:rStyle w:val="FootnoteReference"/>
        </w:rPr>
        <w:footnoteReference w:id="1054"/>
      </w:r>
      <w:r>
        <w:t xml:space="preserve"> This is theosis through partaking in the divine nature in sharing as sons in the Son.</w:t>
      </w:r>
    </w:p>
    <w:p w:rsidR="00062AED" w:rsidRDefault="00062AED" w:rsidP="009370EA">
      <w:pPr>
        <w:spacing w:line="360" w:lineRule="auto"/>
        <w:jc w:val="both"/>
        <w:rPr>
          <w:i/>
        </w:rPr>
      </w:pPr>
    </w:p>
    <w:p w:rsidR="00062AED" w:rsidRDefault="00062AED" w:rsidP="009370EA">
      <w:pPr>
        <w:pStyle w:val="PhDSubheading"/>
        <w:spacing w:line="360" w:lineRule="auto"/>
      </w:pPr>
      <w:r>
        <w:t>5.2.3 Thomas Rees: The Masterpiece of Love</w:t>
      </w:r>
    </w:p>
    <w:p w:rsidR="00062AED" w:rsidRDefault="00062AED" w:rsidP="009370EA">
      <w:pPr>
        <w:spacing w:line="360" w:lineRule="auto"/>
        <w:jc w:val="both"/>
      </w:pPr>
      <w:r>
        <w:t>The Church which is the fullness of Christ is, according to Thomas Rees, God’s ‘masterpiece of masterpieces.’</w:t>
      </w:r>
      <w:r>
        <w:rPr>
          <w:rStyle w:val="FootnoteReference"/>
        </w:rPr>
        <w:footnoteReference w:id="1055"/>
      </w:r>
      <w:r>
        <w:t xml:space="preserve"> The Body of Christ is ‘the profoundest mystery of all Ages … the unique achievement of the Divine Will, Predestination and Purpose.’</w:t>
      </w:r>
      <w:r>
        <w:rPr>
          <w:rStyle w:val="FootnoteReference"/>
        </w:rPr>
        <w:footnoteReference w:id="1056"/>
      </w:r>
      <w:r>
        <w:t xml:space="preserve"> This masterpiece cannot be separated from Christ her Head, and the two together are the object of God’s Eternal Purpose. </w:t>
      </w:r>
    </w:p>
    <w:p w:rsidR="00062AED" w:rsidRPr="00C94C9E" w:rsidRDefault="00062AED" w:rsidP="009370EA">
      <w:pPr>
        <w:spacing w:line="360" w:lineRule="auto"/>
        <w:ind w:left="720" w:right="720"/>
        <w:jc w:val="both"/>
        <w:rPr>
          <w:sz w:val="20"/>
        </w:rPr>
      </w:pPr>
      <w:r w:rsidRPr="00C94C9E">
        <w:rPr>
          <w:sz w:val="20"/>
        </w:rPr>
        <w:t>Jesus Christ is the key that unlocks the mysteries of the Church’s future glories. The future outlook and programme of the Church of God is centred in Him … Every future joy, bliss and glory depends absolutely upon Christ. Everything converges into Him. Our hope is bright in Him. Our future is glorious in Him.</w:t>
      </w:r>
      <w:r w:rsidRPr="00C94C9E">
        <w:rPr>
          <w:rStyle w:val="FootnoteReference"/>
          <w:sz w:val="20"/>
        </w:rPr>
        <w:footnoteReference w:id="1057"/>
      </w:r>
    </w:p>
    <w:p w:rsidR="00062AED" w:rsidRDefault="00062AED" w:rsidP="009370EA">
      <w:pPr>
        <w:spacing w:line="360" w:lineRule="auto"/>
        <w:jc w:val="both"/>
      </w:pPr>
      <w:r>
        <w:t>God’s Eternal Purpose is established in his unconditional predestination and election.</w:t>
      </w:r>
      <w:r>
        <w:rPr>
          <w:rStyle w:val="FootnoteReference"/>
        </w:rPr>
        <w:footnoteReference w:id="1058"/>
      </w:r>
      <w:r>
        <w:t xml:space="preserve"> ‘Whatever has to do with the predestinations of God, must of necessity be unconditional.’</w:t>
      </w:r>
      <w:r>
        <w:rPr>
          <w:rStyle w:val="FootnoteReference"/>
        </w:rPr>
        <w:footnoteReference w:id="1059"/>
      </w:r>
      <w:r>
        <w:t xml:space="preserve"> Rees maintains strongly the importance of the Apostolic Church’s belief in unconditional election, which he explains in terms of an election of grace, based solely on ‘the good pleasure of [God’s] will’, and rooted and effectual through the love of God.</w:t>
      </w:r>
      <w:r w:rsidRPr="009A6A13">
        <w:rPr>
          <w:rStyle w:val="FootnoteReference"/>
        </w:rPr>
        <w:t xml:space="preserve"> </w:t>
      </w:r>
      <w:r>
        <w:rPr>
          <w:rStyle w:val="FootnoteReference"/>
        </w:rPr>
        <w:footnoteReference w:id="1060"/>
      </w:r>
      <w:r>
        <w:t xml:space="preserve"> </w:t>
      </w:r>
    </w:p>
    <w:p w:rsidR="00062AED" w:rsidRDefault="00062AED" w:rsidP="009370EA">
      <w:pPr>
        <w:spacing w:line="360" w:lineRule="auto"/>
        <w:ind w:left="720" w:right="720"/>
        <w:jc w:val="both"/>
      </w:pPr>
      <w:r w:rsidRPr="00B35BD6">
        <w:rPr>
          <w:sz w:val="20"/>
        </w:rPr>
        <w:t xml:space="preserve">So in regard to the Church; its origin is in God. It was hidden deep in the fathomless love of God. When the Church was conceived in the womb of the eternal purpose of God, by </w:t>
      </w:r>
      <w:r w:rsidRPr="00B35BD6">
        <w:rPr>
          <w:sz w:val="20"/>
        </w:rPr>
        <w:lastRenderedPageBreak/>
        <w:t>the counsel of the ever-blessed Trinity, Infinite Wisdom, Perfect Knowledge, Sovereign Will and Everlasting Love were the essential attributes brought into operation.</w:t>
      </w:r>
      <w:r w:rsidRPr="00B35BD6">
        <w:rPr>
          <w:rStyle w:val="FootnoteReference"/>
          <w:sz w:val="20"/>
        </w:rPr>
        <w:footnoteReference w:id="1061"/>
      </w:r>
    </w:p>
    <w:p w:rsidR="00062AED" w:rsidRDefault="00062AED" w:rsidP="009370EA">
      <w:pPr>
        <w:spacing w:line="360" w:lineRule="auto"/>
        <w:jc w:val="both"/>
      </w:pPr>
      <w:r>
        <w:t>Thus the church was purposed in the eternal counsel of the Trinity to display the attributes of the Triune God. This is the goal of Redemption.</w:t>
      </w:r>
    </w:p>
    <w:p w:rsidR="00062AED" w:rsidRDefault="00062AED" w:rsidP="009370EA">
      <w:pPr>
        <w:spacing w:line="360" w:lineRule="auto"/>
        <w:ind w:left="720" w:right="720"/>
        <w:jc w:val="both"/>
      </w:pPr>
      <w:r w:rsidRPr="00117AC4">
        <w:rPr>
          <w:sz w:val="20"/>
        </w:rPr>
        <w:t>Redemption with all its manifold blessings, gracious privileges, and unspeakable glories are only a means to an end. And what is that end? It is ‘the Church which is His Body, the fulness of Him that filleth all in all.’ For, after the Redemption and Salvation of the human race will have been completed, and ‘all things which are in heaven and which are on earth will have been gathered under the Headship of Christ’ (Eph. i.10), and also after the final subjection of things under the earth (Phil. ii.10); even after that, ‘the Church which is His Body’ will be functioning and administrating through … the Ages … according to the eternal purpose of God</w:t>
      </w:r>
      <w:r>
        <w:rPr>
          <w:sz w:val="20"/>
        </w:rPr>
        <w:t>… The Body of Christ will continue throughout all Ages to express the virtues, excellencies, and glories of Him who filleth all in all.</w:t>
      </w:r>
      <w:r w:rsidRPr="00117AC4">
        <w:rPr>
          <w:rStyle w:val="FootnoteReference"/>
          <w:sz w:val="20"/>
        </w:rPr>
        <w:footnoteReference w:id="1062"/>
      </w:r>
    </w:p>
    <w:p w:rsidR="00062AED" w:rsidRDefault="00062AED" w:rsidP="009370EA">
      <w:pPr>
        <w:spacing w:line="360" w:lineRule="auto"/>
        <w:jc w:val="both"/>
      </w:pPr>
      <w:r>
        <w:t>For Rees, this necessitates an organic oneness between the Head and the Body.</w:t>
      </w:r>
      <w:r>
        <w:rPr>
          <w:rStyle w:val="FootnoteReference"/>
        </w:rPr>
        <w:footnoteReference w:id="1063"/>
      </w:r>
      <w:r>
        <w:t xml:space="preserve"> Thus he can even go so far as to use the language of ‘incarnation’ for the church (though always maintaining the difference between this and the continuing Incarnation of Christ).</w:t>
      </w:r>
      <w:r>
        <w:rPr>
          <w:rStyle w:val="FootnoteReference"/>
        </w:rPr>
        <w:footnoteReference w:id="1064"/>
      </w:r>
    </w:p>
    <w:p w:rsidR="00062AED" w:rsidRDefault="00062AED" w:rsidP="009370EA">
      <w:pPr>
        <w:spacing w:line="360" w:lineRule="auto"/>
        <w:jc w:val="both"/>
      </w:pPr>
      <w:r>
        <w:t>Love stands at the centre of Rees’ understanding of the Eternal Purpose. The election of the Church in God’s purpose ‘springs from the depths of eternal love … the everlasting love of God,’</w:t>
      </w:r>
      <w:r>
        <w:rPr>
          <w:rStyle w:val="FootnoteReference"/>
        </w:rPr>
        <w:footnoteReference w:id="1065"/>
      </w:r>
      <w:r>
        <w:t xml:space="preserve"> and this love of the Triune God is also the goal for the Church.</w:t>
      </w:r>
    </w:p>
    <w:p w:rsidR="00062AED" w:rsidRPr="00D93DF6" w:rsidRDefault="00062AED" w:rsidP="009370EA">
      <w:pPr>
        <w:spacing w:line="360" w:lineRule="auto"/>
        <w:ind w:left="720" w:right="720"/>
        <w:jc w:val="both"/>
        <w:rPr>
          <w:sz w:val="20"/>
        </w:rPr>
      </w:pPr>
      <w:r w:rsidRPr="00D93DF6">
        <w:rPr>
          <w:sz w:val="20"/>
        </w:rPr>
        <w:t>The Church which is His Body is the Absorption of Divine Affection. It is only as we are occupied with His love that we can be absorbed by His love … To be absorbed by Divine affection does not mean that we shall lose self-consciousness and self-identity and individuality. We shall be ourselves eternally … One of the ultimate purposes of God for the Body of Christ is to absorb it wholly in love.</w:t>
      </w:r>
      <w:r w:rsidRPr="00D93DF6">
        <w:rPr>
          <w:rStyle w:val="FootnoteReference"/>
          <w:sz w:val="20"/>
        </w:rPr>
        <w:footnoteReference w:id="1066"/>
      </w:r>
    </w:p>
    <w:p w:rsidR="00062AED" w:rsidRDefault="00062AED" w:rsidP="009370EA">
      <w:pPr>
        <w:spacing w:line="360" w:lineRule="auto"/>
        <w:jc w:val="both"/>
      </w:pPr>
      <w:r>
        <w:t>Maintaining the Creator/creature distinction, and rejecting a mystical dissolving of the soul into identity with the love of God, Rees characterises this absorption into the love of God in terms of communion with Christ,</w:t>
      </w:r>
      <w:r>
        <w:rPr>
          <w:rStyle w:val="FootnoteReference"/>
        </w:rPr>
        <w:footnoteReference w:id="1067"/>
      </w:r>
      <w:r>
        <w:t xml:space="preserve"> and sonship in Christ, ‘which includes Joint-Heirship and Joint-</w:t>
      </w:r>
      <w:r>
        <w:lastRenderedPageBreak/>
        <w:t>Rulership with Christ.’</w:t>
      </w:r>
      <w:r>
        <w:rPr>
          <w:rStyle w:val="FootnoteReference"/>
        </w:rPr>
        <w:footnoteReference w:id="1068"/>
      </w:r>
      <w:r>
        <w:t xml:space="preserve"> In this communion of love, ‘the soul is absorbed with the perfections of the Bridegroom King and His chosen Bride, joined together in an indissoluble union of love.’</w:t>
      </w:r>
      <w:r>
        <w:rPr>
          <w:rStyle w:val="FootnoteReference"/>
        </w:rPr>
        <w:footnoteReference w:id="1069"/>
      </w:r>
      <w:r>
        <w:t xml:space="preserve"> This love then becomes the life of the church which ‘is enveloped in it.’</w:t>
      </w:r>
      <w:r>
        <w:rPr>
          <w:rStyle w:val="FootnoteReference"/>
        </w:rPr>
        <w:footnoteReference w:id="1070"/>
      </w:r>
      <w:r>
        <w:t xml:space="preserve"> So ‘the Church is the delight of God’ and it is in this loving delight of the Father, Son and Holy Spirit that she finds her life.</w:t>
      </w:r>
      <w:r>
        <w:rPr>
          <w:rStyle w:val="FootnoteReference"/>
        </w:rPr>
        <w:footnoteReference w:id="1071"/>
      </w:r>
    </w:p>
    <w:p w:rsidR="00062AED" w:rsidRDefault="00062AED" w:rsidP="009370EA">
      <w:pPr>
        <w:spacing w:line="360" w:lineRule="auto"/>
        <w:jc w:val="both"/>
      </w:pPr>
      <w:r>
        <w:t>The sonship of the Church in the love of Christ will lead to the church’s conformity to the image of Christ:</w:t>
      </w:r>
    </w:p>
    <w:p w:rsidR="00062AED" w:rsidRDefault="00062AED" w:rsidP="009370EA">
      <w:pPr>
        <w:spacing w:line="360" w:lineRule="auto"/>
        <w:ind w:left="720" w:right="720"/>
        <w:jc w:val="both"/>
      </w:pPr>
      <w:r w:rsidRPr="00AD31F5">
        <w:rPr>
          <w:sz w:val="20"/>
        </w:rPr>
        <w:t>The Divine Purpose [is] that God at last will have a Church without spot or wrinkle … God is after a company that shall bear the image of His Son … the climax of Redemption is conformity to the image of His Son, and subsequent manifestation of the sons of God.</w:t>
      </w:r>
      <w:r w:rsidRPr="00AD31F5">
        <w:rPr>
          <w:rStyle w:val="FootnoteReference"/>
          <w:sz w:val="20"/>
        </w:rPr>
        <w:footnoteReference w:id="1072"/>
      </w:r>
    </w:p>
    <w:p w:rsidR="00062AED" w:rsidRDefault="00062AED" w:rsidP="009370EA">
      <w:pPr>
        <w:spacing w:line="360" w:lineRule="auto"/>
        <w:jc w:val="both"/>
      </w:pPr>
      <w:r>
        <w:t>Ultimately, however, this sonship means sharing ‘the same love that is between the Father and the Son,’ and this is the heart of the Eternal Purpose.</w:t>
      </w:r>
      <w:r>
        <w:rPr>
          <w:rStyle w:val="FootnoteReference"/>
        </w:rPr>
        <w:footnoteReference w:id="1073"/>
      </w:r>
      <w:r>
        <w:t xml:space="preserve"> This ‘love is the secret of the Eternal Oneness between the Father and the Son’ and so forms the only basis of the oneness of the members of the Body with one another and with the Triune God.</w:t>
      </w:r>
      <w:r>
        <w:rPr>
          <w:rStyle w:val="FootnoteReference"/>
        </w:rPr>
        <w:footnoteReference w:id="1074"/>
      </w:r>
      <w:r>
        <w:t xml:space="preserve"> This oneness in love is the Apostolic Vision.</w:t>
      </w:r>
      <w:r>
        <w:rPr>
          <w:rStyle w:val="FootnoteReference"/>
        </w:rPr>
        <w:footnoteReference w:id="1075"/>
      </w:r>
      <w:r>
        <w:t xml:space="preserve"> The same oneness which is ‘the bond of union between the ever-blessed Persons in the Divine Essence’ is the oneness the Triune God has purposed for the Body of Christ.</w:t>
      </w:r>
      <w:r>
        <w:rPr>
          <w:rStyle w:val="FootnoteReference"/>
        </w:rPr>
        <w:footnoteReference w:id="1076"/>
      </w:r>
      <w:r>
        <w:t xml:space="preserve"> This is ‘deeper than mutual sharing’ and can only be found in the love of which Jesus speaks in John 17.</w:t>
      </w:r>
      <w:r>
        <w:rPr>
          <w:rStyle w:val="FootnoteReference"/>
        </w:rPr>
        <w:footnoteReference w:id="1077"/>
      </w:r>
    </w:p>
    <w:p w:rsidR="00062AED" w:rsidRPr="00540D55" w:rsidRDefault="00062AED" w:rsidP="009370EA">
      <w:pPr>
        <w:spacing w:line="360" w:lineRule="auto"/>
        <w:jc w:val="both"/>
      </w:pPr>
      <w:r>
        <w:t>This is a fully Trinitarian love and oneness, and thus can only be known in the presence of the Holy Spirit. ‘Apart from the presence of the Holy Spirit, there is no Church of God … there is no Church where there is no Holy Spirit.’</w:t>
      </w:r>
      <w:r>
        <w:rPr>
          <w:rStyle w:val="FootnoteReference"/>
        </w:rPr>
        <w:footnoteReference w:id="1078"/>
      </w:r>
      <w:r>
        <w:t xml:space="preserve"> Yet, ‘the secret of oneness’ is not be found in the baptism of the Holy Spirit or the spiritual gifts, but in the Cross of Christ.</w:t>
      </w:r>
      <w:r>
        <w:rPr>
          <w:rStyle w:val="FootnoteReference"/>
        </w:rPr>
        <w:footnoteReference w:id="1079"/>
      </w:r>
      <w:r>
        <w:t xml:space="preserve"> Through Christ’s </w:t>
      </w:r>
      <w:r>
        <w:lastRenderedPageBreak/>
        <w:t>death and resurrection the church is united to him, and through union with Christ, the church is brought into union with the Triune God, to be one in the Trinity.</w:t>
      </w:r>
      <w:r>
        <w:rPr>
          <w:rStyle w:val="FootnoteReference"/>
        </w:rPr>
        <w:footnoteReference w:id="1080"/>
      </w:r>
    </w:p>
    <w:p w:rsidR="00062AED" w:rsidRDefault="00062AED" w:rsidP="009370EA">
      <w:pPr>
        <w:spacing w:line="360" w:lineRule="auto"/>
        <w:jc w:val="both"/>
        <w:rPr>
          <w:i/>
        </w:rPr>
      </w:pPr>
    </w:p>
    <w:p w:rsidR="00062AED" w:rsidRDefault="00062AED" w:rsidP="009370EA">
      <w:pPr>
        <w:pStyle w:val="PhDSubheading"/>
        <w:spacing w:line="360" w:lineRule="auto"/>
      </w:pPr>
      <w:r>
        <w:t>5.2.4 W.R. Ricketts: The Body Baptised in Love</w:t>
      </w:r>
    </w:p>
    <w:p w:rsidR="00062AED" w:rsidRDefault="00062AED" w:rsidP="009370EA">
      <w:pPr>
        <w:spacing w:line="360" w:lineRule="auto"/>
        <w:jc w:val="both"/>
      </w:pPr>
      <w:r>
        <w:t>For W.R. Ricketts, the ‘secret … in God’s Heart in [the] Eternal Council’ was the oneness in the church between the Body and the Head.</w:t>
      </w:r>
      <w:r>
        <w:rPr>
          <w:rStyle w:val="FootnoteReference"/>
        </w:rPr>
        <w:footnoteReference w:id="1081"/>
      </w:r>
      <w:r>
        <w:t xml:space="preserve"> The holiness of the church is only possible through its ‘unity with the Head.’</w:t>
      </w:r>
      <w:r>
        <w:rPr>
          <w:rStyle w:val="FootnoteReference"/>
        </w:rPr>
        <w:footnoteReference w:id="1082"/>
      </w:r>
      <w:r>
        <w:t xml:space="preserve"> In this union between Body and Head, Christ shares his glory with the church.</w:t>
      </w:r>
    </w:p>
    <w:p w:rsidR="00062AED" w:rsidRDefault="00062AED" w:rsidP="009370EA">
      <w:pPr>
        <w:spacing w:line="360" w:lineRule="auto"/>
        <w:jc w:val="both"/>
      </w:pPr>
      <w:r>
        <w:t>For the revelation of his Eternal Purpose, God has ‘baptised the Church with … Divine love.’</w:t>
      </w:r>
      <w:r>
        <w:rPr>
          <w:rStyle w:val="FootnoteReference"/>
        </w:rPr>
        <w:footnoteReference w:id="1083"/>
      </w:r>
      <w:r>
        <w:t xml:space="preserve"> This love is ‘Christ’s love,’ and it cements the church together as one and results in the glory of Christ the Head.</w:t>
      </w:r>
      <w:r>
        <w:rPr>
          <w:rStyle w:val="FootnoteReference"/>
        </w:rPr>
        <w:footnoteReference w:id="1084"/>
      </w:r>
      <w:r>
        <w:t xml:space="preserve">  There is an association here with the work of the Holy Spirit in the Body, for ‘the oneness and the glorious unity shall come because of the presence of the Holy Ghost in the Church, in every individual.’</w:t>
      </w:r>
      <w:r>
        <w:rPr>
          <w:rStyle w:val="FootnoteReference"/>
        </w:rPr>
        <w:footnoteReference w:id="1085"/>
      </w:r>
      <w:r>
        <w:t xml:space="preserve"> Thus, it would appear that this baptism of divine love in the church is to be equated with BHS.</w:t>
      </w:r>
    </w:p>
    <w:p w:rsidR="00062AED" w:rsidRDefault="00062AED" w:rsidP="009370EA">
      <w:pPr>
        <w:spacing w:line="360" w:lineRule="auto"/>
        <w:jc w:val="both"/>
      </w:pPr>
      <w:r>
        <w:t>God’s will for the church is to experience his loving fellowship. The Father ‘has been pleased to give [the church] the near relation of children.’</w:t>
      </w:r>
      <w:r>
        <w:rPr>
          <w:rStyle w:val="FootnoteReference"/>
        </w:rPr>
        <w:footnoteReference w:id="1086"/>
      </w:r>
      <w:r>
        <w:t xml:space="preserve"> This ‘near relation’ is not merely a legal status, but carries with it a ‘real dignity’ and ‘privileges which flow from so glorious a relationship.’</w:t>
      </w:r>
      <w:r>
        <w:rPr>
          <w:rStyle w:val="FootnoteReference"/>
        </w:rPr>
        <w:footnoteReference w:id="1087"/>
      </w:r>
      <w:r>
        <w:t xml:space="preserve"> The members of the church ‘are the sons of God’ which means they enjoy intimate fellowship with him in love.</w:t>
      </w:r>
      <w:r>
        <w:rPr>
          <w:rStyle w:val="FootnoteReference"/>
        </w:rPr>
        <w:footnoteReference w:id="1088"/>
      </w:r>
    </w:p>
    <w:p w:rsidR="00062AED" w:rsidRPr="00520C8A" w:rsidRDefault="00062AED" w:rsidP="009370EA">
      <w:pPr>
        <w:spacing w:line="360" w:lineRule="auto"/>
        <w:jc w:val="both"/>
      </w:pPr>
      <w:r>
        <w:t>Through revelation of God’s Word, the Holy Spirit brings the church ‘into that near relationship with the Head in Glory.’</w:t>
      </w:r>
      <w:r>
        <w:rPr>
          <w:rStyle w:val="FootnoteReference"/>
        </w:rPr>
        <w:footnoteReference w:id="1089"/>
      </w:r>
      <w:r>
        <w:t xml:space="preserve"> This ‘near relationship’ is the ‘happy position’ of ‘fellowship … with the Father and with His Son Jesus Christ.’</w:t>
      </w:r>
      <w:r>
        <w:rPr>
          <w:rStyle w:val="FootnoteReference"/>
        </w:rPr>
        <w:footnoteReference w:id="1090"/>
      </w:r>
      <w:r>
        <w:t xml:space="preserve"> ‘Through that wonderful sacrifice of Calvary,’ God </w:t>
      </w:r>
      <w:r>
        <w:lastRenderedPageBreak/>
        <w:t>brings the church ‘into that glorious relationship with Him as children.’</w:t>
      </w:r>
      <w:r>
        <w:rPr>
          <w:rStyle w:val="FootnoteReference"/>
        </w:rPr>
        <w:footnoteReference w:id="1091"/>
      </w:r>
      <w:r>
        <w:t xml:space="preserve"> Thus the church lives in the loving fellowship of the Trinity.</w:t>
      </w:r>
    </w:p>
    <w:p w:rsidR="00062AED" w:rsidRDefault="00062AED" w:rsidP="009370EA">
      <w:pPr>
        <w:spacing w:line="360" w:lineRule="auto"/>
        <w:jc w:val="both"/>
        <w:rPr>
          <w:i/>
        </w:rPr>
      </w:pPr>
    </w:p>
    <w:p w:rsidR="00062AED" w:rsidRDefault="00062AED" w:rsidP="009370EA">
      <w:pPr>
        <w:pStyle w:val="PhDSubheading"/>
        <w:spacing w:line="360" w:lineRule="auto"/>
      </w:pPr>
      <w:r>
        <w:t>5.2.5 W.H. Lewis: The Outworking of Eternity through the Cross</w:t>
      </w:r>
    </w:p>
    <w:p w:rsidR="00062AED" w:rsidRDefault="00062AED" w:rsidP="009370EA">
      <w:pPr>
        <w:spacing w:line="360" w:lineRule="auto"/>
        <w:jc w:val="both"/>
      </w:pPr>
      <w:r>
        <w:t>W.H. Lewis was a particularly significant ecclesiological thinker within the Apostolic Church, having penned books and articles on the doctrine of the church over several decades. For Lewis:</w:t>
      </w:r>
    </w:p>
    <w:p w:rsidR="00062AED" w:rsidRPr="00731191" w:rsidRDefault="00062AED" w:rsidP="009370EA">
      <w:pPr>
        <w:spacing w:line="360" w:lineRule="auto"/>
        <w:ind w:left="720" w:right="720"/>
        <w:jc w:val="both"/>
        <w:rPr>
          <w:sz w:val="20"/>
        </w:rPr>
      </w:pPr>
      <w:r w:rsidRPr="00731191">
        <w:rPr>
          <w:sz w:val="20"/>
        </w:rPr>
        <w:t>the Body of Christ has its foundation or origination in the Eternal thoughts of the Triune God … [it is] the living embodiment of the pre-ordained purpose of God, the visible fruition of the counsels of the Triune God.</w:t>
      </w:r>
      <w:r>
        <w:rPr>
          <w:rStyle w:val="FootnoteReference"/>
          <w:sz w:val="20"/>
        </w:rPr>
        <w:footnoteReference w:id="1092"/>
      </w:r>
    </w:p>
    <w:p w:rsidR="00062AED" w:rsidRDefault="00062AED" w:rsidP="009370EA">
      <w:pPr>
        <w:spacing w:line="360" w:lineRule="auto"/>
        <w:jc w:val="both"/>
      </w:pPr>
      <w:r>
        <w:t>As a result, supralapsarianism takes a significant place in Lewis’ understanding of the Eternal Purpose. ‘Redemption is not an after-thought of God, neither is it an amendment to the Eternal Counsels. Redemption’s vast scheme was planned before creation was formed and before man’s ruinous fall.’</w:t>
      </w:r>
      <w:r>
        <w:rPr>
          <w:rStyle w:val="FootnoteReference"/>
        </w:rPr>
        <w:footnoteReference w:id="1093"/>
      </w:r>
      <w:r>
        <w:t xml:space="preserve"> In such a supralapsarian scheme, the cross is not only at the centre of God’s plan in time, but rather it is ‘the centre of time and eternity.’</w:t>
      </w:r>
      <w:r>
        <w:rPr>
          <w:rStyle w:val="FootnoteReference"/>
        </w:rPr>
        <w:footnoteReference w:id="1094"/>
      </w:r>
      <w:r>
        <w:t xml:space="preserve"> Moreover, for Lewis, as it is not contingent upon the creation and the fall, but rather is ‘the basis and ground of … Divine purpose’</w:t>
      </w:r>
      <w:r>
        <w:rPr>
          <w:rStyle w:val="FootnoteReference"/>
        </w:rPr>
        <w:footnoteReference w:id="1095"/>
      </w:r>
      <w:r>
        <w:t xml:space="preserve"> from all eternity, ‘Calvary is the centre of the Godhead,’ and thus the true locus of ‘divine revelation.’</w:t>
      </w:r>
      <w:r>
        <w:rPr>
          <w:rStyle w:val="FootnoteReference"/>
        </w:rPr>
        <w:footnoteReference w:id="1096"/>
      </w:r>
      <w:r>
        <w:t xml:space="preserve"> </w:t>
      </w:r>
    </w:p>
    <w:p w:rsidR="00062AED" w:rsidRPr="00866786" w:rsidRDefault="00062AED" w:rsidP="009370EA">
      <w:pPr>
        <w:spacing w:line="360" w:lineRule="auto"/>
        <w:ind w:left="720" w:right="720"/>
        <w:jc w:val="both"/>
        <w:rPr>
          <w:iCs/>
          <w:sz w:val="20"/>
        </w:rPr>
      </w:pPr>
      <w:r w:rsidRPr="00866786">
        <w:rPr>
          <w:iCs/>
          <w:sz w:val="20"/>
        </w:rPr>
        <w:t xml:space="preserve">Calvary is the centre of the Divine Nature. Calvary is tabernacled in the heart of God. Calvary is older than the universe; before the mountains were brought forth, before the stars were rolled into their wondrous paths; before the first ray of light shot through the gloom, God had fore-ordained the Lamb in the Eternal counsels of Eternity. In other words, the idea of sacrifice stretches forth from eternity to eternity. It is not an after-thought of God because of the calamity of sin. Calvary is older than everything else. Calvary is not built on Leviticus; rather, Leviticus is built on Calvary. During the forty days Moses was on the Mount, God revealed to him the Eternal Reality and Substance; He revealed Calvary and all that it meant. Then as he came down and built the tabernacle, and established the priesthood, all was the outward expression of the Eternal Realities. </w:t>
      </w:r>
      <w:r w:rsidRPr="00866786">
        <w:rPr>
          <w:iCs/>
          <w:sz w:val="20"/>
        </w:rPr>
        <w:lastRenderedPageBreak/>
        <w:t>Calvary was older than Leviticus, older than the Mosaic Law. It is embedded in the very depths of the Godhead.</w:t>
      </w:r>
      <w:r w:rsidRPr="00866786">
        <w:rPr>
          <w:rStyle w:val="FootnoteReference"/>
          <w:iCs/>
          <w:sz w:val="20"/>
        </w:rPr>
        <w:footnoteReference w:id="1097"/>
      </w:r>
    </w:p>
    <w:p w:rsidR="00062AED" w:rsidRDefault="00062AED" w:rsidP="009370EA">
      <w:pPr>
        <w:spacing w:line="360" w:lineRule="auto"/>
        <w:jc w:val="both"/>
        <w:rPr>
          <w:iCs/>
        </w:rPr>
      </w:pPr>
      <w:r>
        <w:rPr>
          <w:iCs/>
        </w:rPr>
        <w:t>Lewis notes three glimpses of eternity past in Scripture as the basis of his understanding of the Eternal Purpose, and in support of his supralapsarian scheme:</w:t>
      </w:r>
    </w:p>
    <w:p w:rsidR="00062AED" w:rsidRPr="003904CB" w:rsidRDefault="00062AED" w:rsidP="009370EA">
      <w:pPr>
        <w:pStyle w:val="ListParagraph"/>
        <w:numPr>
          <w:ilvl w:val="0"/>
          <w:numId w:val="4"/>
        </w:numPr>
        <w:spacing w:line="360" w:lineRule="auto"/>
        <w:ind w:right="720"/>
        <w:jc w:val="both"/>
        <w:rPr>
          <w:iCs/>
          <w:sz w:val="20"/>
        </w:rPr>
      </w:pPr>
      <w:r w:rsidRPr="003904CB">
        <w:rPr>
          <w:iCs/>
          <w:sz w:val="20"/>
        </w:rPr>
        <w:t>The hallowed communion between Father and Son as mentioned in Jn 17</w:t>
      </w:r>
      <w:r>
        <w:rPr>
          <w:iCs/>
          <w:sz w:val="20"/>
        </w:rPr>
        <w:t>.</w:t>
      </w:r>
      <w:r w:rsidRPr="003904CB">
        <w:rPr>
          <w:iCs/>
          <w:sz w:val="20"/>
        </w:rPr>
        <w:t>5.</w:t>
      </w:r>
    </w:p>
    <w:p w:rsidR="00062AED" w:rsidRPr="003904CB" w:rsidRDefault="00062AED" w:rsidP="009370EA">
      <w:pPr>
        <w:pStyle w:val="ListParagraph"/>
        <w:numPr>
          <w:ilvl w:val="0"/>
          <w:numId w:val="4"/>
        </w:numPr>
        <w:spacing w:line="360" w:lineRule="auto"/>
        <w:ind w:right="720"/>
        <w:jc w:val="both"/>
        <w:rPr>
          <w:sz w:val="20"/>
        </w:rPr>
      </w:pPr>
      <w:r w:rsidRPr="003904CB">
        <w:rPr>
          <w:sz w:val="20"/>
        </w:rPr>
        <w:t>The Counsels relating to the pre-ordained Lamb (I Pet. 1</w:t>
      </w:r>
      <w:r>
        <w:rPr>
          <w:sz w:val="20"/>
        </w:rPr>
        <w:t>.</w:t>
      </w:r>
      <w:r w:rsidRPr="003904CB">
        <w:rPr>
          <w:sz w:val="20"/>
        </w:rPr>
        <w:t>20).</w:t>
      </w:r>
    </w:p>
    <w:p w:rsidR="00062AED" w:rsidRPr="003904CB" w:rsidRDefault="00062AED" w:rsidP="009370EA">
      <w:pPr>
        <w:pStyle w:val="ListParagraph"/>
        <w:numPr>
          <w:ilvl w:val="0"/>
          <w:numId w:val="4"/>
        </w:numPr>
        <w:spacing w:line="360" w:lineRule="auto"/>
        <w:ind w:right="720"/>
        <w:jc w:val="both"/>
        <w:rPr>
          <w:sz w:val="20"/>
        </w:rPr>
      </w:pPr>
      <w:r w:rsidRPr="003904CB">
        <w:rPr>
          <w:sz w:val="20"/>
        </w:rPr>
        <w:t>The Eternal Counsels</w:t>
      </w:r>
      <w:r>
        <w:rPr>
          <w:sz w:val="20"/>
        </w:rPr>
        <w:t xml:space="preserve"> relating to the Church (Eph. 1.</w:t>
      </w:r>
      <w:r w:rsidRPr="003904CB">
        <w:rPr>
          <w:sz w:val="20"/>
        </w:rPr>
        <w:t>3-4).</w:t>
      </w:r>
      <w:r w:rsidRPr="003904CB">
        <w:rPr>
          <w:rStyle w:val="FootnoteReference"/>
          <w:sz w:val="20"/>
        </w:rPr>
        <w:footnoteReference w:id="1098"/>
      </w:r>
    </w:p>
    <w:p w:rsidR="00062AED" w:rsidRDefault="00062AED" w:rsidP="009370EA">
      <w:pPr>
        <w:spacing w:line="360" w:lineRule="auto"/>
        <w:jc w:val="both"/>
      </w:pPr>
      <w:r>
        <w:t>Thus, in the Eternal Purpose, the Church, the slain Lamb, and the love of the Father for the Son cannot be separated. They are ‘inseparably interwoven in time and eternity.’</w:t>
      </w:r>
      <w:r>
        <w:rPr>
          <w:rStyle w:val="FootnoteReference"/>
        </w:rPr>
        <w:footnoteReference w:id="1099"/>
      </w:r>
      <w:r>
        <w:t xml:space="preserve"> In his love, God always works through the sacrificial death of the Lamb in building and establishing the church. ‘The presence, power and ministry of the Holy Ghost [are] manifested’ in the church only through the cross of Christ.</w:t>
      </w:r>
      <w:r>
        <w:rPr>
          <w:rStyle w:val="FootnoteReference"/>
        </w:rPr>
        <w:footnoteReference w:id="1100"/>
      </w:r>
      <w:r>
        <w:t xml:space="preserve"> ‘There is no other foundation. All from God and for Him revolves around the Cross … the only basis and foundation for the Church, which is His Body, is the Cross.’</w:t>
      </w:r>
      <w:r>
        <w:rPr>
          <w:rStyle w:val="FootnoteReference"/>
        </w:rPr>
        <w:footnoteReference w:id="1101"/>
      </w:r>
    </w:p>
    <w:p w:rsidR="00062AED" w:rsidRDefault="00062AED" w:rsidP="009370EA">
      <w:pPr>
        <w:spacing w:line="360" w:lineRule="auto"/>
        <w:jc w:val="both"/>
      </w:pPr>
      <w:r>
        <w:t>As the outworking of God’s election, Lewis emphasises the unconditional nature of the Eternal Purpose. ‘The Will of Jehovah is sovereign and supreme. His decisions are certainties, and His decrees are inescapable.’</w:t>
      </w:r>
      <w:r>
        <w:rPr>
          <w:rStyle w:val="FootnoteReference"/>
        </w:rPr>
        <w:footnoteReference w:id="1102"/>
      </w:r>
      <w:r>
        <w:t xml:space="preserve"> The ‘ultimate purpose’ of this election is for the church ‘to be like God.’</w:t>
      </w:r>
      <w:r>
        <w:rPr>
          <w:rStyle w:val="FootnoteReference"/>
        </w:rPr>
        <w:footnoteReference w:id="1103"/>
      </w:r>
    </w:p>
    <w:p w:rsidR="00062AED" w:rsidRDefault="00062AED" w:rsidP="009370EA">
      <w:pPr>
        <w:spacing w:line="360" w:lineRule="auto"/>
        <w:jc w:val="both"/>
      </w:pPr>
      <w:r>
        <w:t>Lewis sees ‘the unveiling of the mystery of the Church, the Body’ as ‘the unveiling of the Triune Counsels hitherto concealed in the Godhead.’</w:t>
      </w:r>
      <w:r>
        <w:rPr>
          <w:rStyle w:val="FootnoteReference"/>
        </w:rPr>
        <w:footnoteReference w:id="1104"/>
      </w:r>
      <w:r>
        <w:t xml:space="preserve"> Thus the church was founded ‘in the counsels of eternity’, but established and revealed through the Incarnation and Atonement of Christ.</w:t>
      </w:r>
      <w:r>
        <w:rPr>
          <w:rStyle w:val="FootnoteReference"/>
        </w:rPr>
        <w:footnoteReference w:id="1105"/>
      </w:r>
      <w:r>
        <w:t xml:space="preserve"> </w:t>
      </w:r>
    </w:p>
    <w:p w:rsidR="00062AED" w:rsidRDefault="00062AED" w:rsidP="009370EA">
      <w:pPr>
        <w:spacing w:line="360" w:lineRule="auto"/>
        <w:jc w:val="both"/>
      </w:pPr>
      <w:r>
        <w:t xml:space="preserve">Right from its very inception in the Trinitarian counsel, the church has been the object of God’s love. The church was ‘conceived in the Heart of God’ and ‘is more precious to Him than all </w:t>
      </w:r>
      <w:r>
        <w:lastRenderedPageBreak/>
        <w:t>else.’</w:t>
      </w:r>
      <w:r>
        <w:rPr>
          <w:rStyle w:val="FootnoteReference"/>
        </w:rPr>
        <w:footnoteReference w:id="1106"/>
      </w:r>
      <w:r>
        <w:t xml:space="preserve"> ‘Such is the unfathomable joy and delight of the Triune God over the Church’ that he rejoices over her with great joy as she rests in his love.</w:t>
      </w:r>
      <w:r>
        <w:rPr>
          <w:rStyle w:val="FootnoteReference"/>
        </w:rPr>
        <w:footnoteReference w:id="1107"/>
      </w:r>
      <w:r>
        <w:t xml:space="preserve"> </w:t>
      </w:r>
    </w:p>
    <w:p w:rsidR="00062AED" w:rsidRDefault="00062AED" w:rsidP="009370EA">
      <w:pPr>
        <w:spacing w:line="360" w:lineRule="auto"/>
        <w:jc w:val="both"/>
      </w:pPr>
      <w:r>
        <w:t>Such a life of the church, sharing in the oneness of the Triune love of God, is the Apostolic Vision and Eternal Purpose of God.</w:t>
      </w:r>
      <w:r>
        <w:rPr>
          <w:rStyle w:val="FootnoteReference"/>
        </w:rPr>
        <w:footnoteReference w:id="1108"/>
      </w:r>
      <w:r>
        <w:t xml:space="preserve"> Lewis draws on John 17, arguing that the climax of unity is ‘the Church in unity with the Trinity.’</w:t>
      </w:r>
      <w:r>
        <w:rPr>
          <w:rStyle w:val="FootnoteReference"/>
        </w:rPr>
        <w:footnoteReference w:id="1109"/>
      </w:r>
      <w:r>
        <w:t xml:space="preserve"> ‘The Divine objective [is] the Trinity in unity with the Church.’</w:t>
      </w:r>
      <w:r>
        <w:rPr>
          <w:rStyle w:val="FootnoteReference"/>
        </w:rPr>
        <w:footnoteReference w:id="1110"/>
      </w:r>
      <w:r>
        <w:t xml:space="preserve"> This unity can only be known through partaking of the divine nature.</w:t>
      </w:r>
      <w:r>
        <w:rPr>
          <w:rStyle w:val="FootnoteReference"/>
        </w:rPr>
        <w:footnoteReference w:id="1111"/>
      </w:r>
      <w:r>
        <w:t xml:space="preserve"> For Lewis, this is the gospel message: ‘To be made partakers of the Divine nature is the glorious news of the Evangel.’</w:t>
      </w:r>
      <w:r>
        <w:rPr>
          <w:rStyle w:val="FootnoteReference"/>
        </w:rPr>
        <w:footnoteReference w:id="1112"/>
      </w:r>
      <w:r>
        <w:t xml:space="preserve"> As the church partakes of the divine nature in Christ, the life of the church is ‘a heavenly life’ as the life of Christ is ‘manifested through each member.’</w:t>
      </w:r>
      <w:r>
        <w:rPr>
          <w:rStyle w:val="FootnoteReference"/>
        </w:rPr>
        <w:footnoteReference w:id="1113"/>
      </w:r>
      <w:r>
        <w:t xml:space="preserve"> Christ the Head ‘is the life of the members … consequently the life of [the members of the Body] is identical with the life of the Head, which is Divine and Eternal.’</w:t>
      </w:r>
      <w:r>
        <w:rPr>
          <w:rStyle w:val="FootnoteReference"/>
        </w:rPr>
        <w:footnoteReference w:id="1114"/>
      </w:r>
      <w:r>
        <w:t xml:space="preserve"> It is through the Headship of Christ that the Body has ‘a living and vital relationship partaking of the life of God.’</w:t>
      </w:r>
      <w:r>
        <w:rPr>
          <w:rStyle w:val="FootnoteReference"/>
        </w:rPr>
        <w:footnoteReference w:id="1115"/>
      </w:r>
      <w:r>
        <w:t xml:space="preserve"> This Headship of Christ is ‘according to the counsel of the Triune God, and according to the goal that God has in view when all His Redemptive purposes and processes will be revealed.’</w:t>
      </w:r>
      <w:r>
        <w:rPr>
          <w:rStyle w:val="FootnoteReference"/>
        </w:rPr>
        <w:footnoteReference w:id="1116"/>
      </w:r>
    </w:p>
    <w:p w:rsidR="00062AED" w:rsidRDefault="00062AED" w:rsidP="009370EA">
      <w:pPr>
        <w:spacing w:line="360" w:lineRule="auto"/>
        <w:jc w:val="both"/>
      </w:pPr>
      <w:r>
        <w:t>As partakers of Christ, the members of the church are sons in the Son. Again, for Lewis, sonship cannot be separated from a loving relationship. ‘The Son is God’s love-gift to the World. The “many sons” are the Father’s love-gift to the Son.’</w:t>
      </w:r>
      <w:r>
        <w:rPr>
          <w:rStyle w:val="FootnoteReference"/>
        </w:rPr>
        <w:footnoteReference w:id="1117"/>
      </w:r>
      <w:r>
        <w:t xml:space="preserve"> Here we see that the church is caught up into the love of the Father for the Son. The Father, in his great love, sends the Son into the world to sweep the church up into the mutual love of the Trinity. This is the outworking of eternity through the cross of Christ, which ultimately results in ‘the glory of God.’</w:t>
      </w:r>
      <w:r>
        <w:rPr>
          <w:rStyle w:val="FootnoteReference"/>
        </w:rPr>
        <w:footnoteReference w:id="1118"/>
      </w:r>
    </w:p>
    <w:p w:rsidR="00062AED" w:rsidRDefault="00062AED" w:rsidP="009370EA">
      <w:pPr>
        <w:spacing w:line="360" w:lineRule="auto"/>
        <w:jc w:val="both"/>
      </w:pPr>
    </w:p>
    <w:p w:rsidR="00965AC8" w:rsidRPr="00FE3903" w:rsidRDefault="00965AC8" w:rsidP="009370EA">
      <w:pPr>
        <w:spacing w:line="360" w:lineRule="auto"/>
        <w:jc w:val="both"/>
      </w:pPr>
    </w:p>
    <w:p w:rsidR="00062AED" w:rsidRDefault="00062AED" w:rsidP="009370EA">
      <w:pPr>
        <w:pStyle w:val="PhDSubheading"/>
        <w:spacing w:line="360" w:lineRule="auto"/>
      </w:pPr>
      <w:r>
        <w:lastRenderedPageBreak/>
        <w:t>5.2.6 W.R. Thomas: The Eternal Purpose of the Totus Christus</w:t>
      </w:r>
    </w:p>
    <w:p w:rsidR="00062AED" w:rsidRDefault="00062AED" w:rsidP="009370EA">
      <w:pPr>
        <w:spacing w:line="360" w:lineRule="auto"/>
        <w:jc w:val="both"/>
      </w:pPr>
      <w:r>
        <w:t>For W.R. Thomas, the Apostolic Vision is a ‘dazzling vision of the eternal vocation of the Church.’</w:t>
      </w:r>
      <w:r>
        <w:rPr>
          <w:rStyle w:val="FootnoteReference"/>
        </w:rPr>
        <w:footnoteReference w:id="1119"/>
      </w:r>
      <w:r>
        <w:t xml:space="preserve"> Yet the Church must never be considered in isolation from her Head; the Head and the Body together form ‘the Mystical Christ.’</w:t>
      </w:r>
      <w:r>
        <w:rPr>
          <w:rStyle w:val="FootnoteReference"/>
        </w:rPr>
        <w:footnoteReference w:id="1120"/>
      </w:r>
      <w:r>
        <w:t xml:space="preserve"> In common with the other early Apostolic writers, Thomas insists that ‘the eternal plan of God concerns Christ and the Church… [and] that this Plan is the foundation of every spiritual blessing in Christ.’</w:t>
      </w:r>
      <w:r>
        <w:rPr>
          <w:rStyle w:val="FootnoteReference"/>
        </w:rPr>
        <w:footnoteReference w:id="1121"/>
      </w:r>
      <w:r>
        <w:t xml:space="preserve"> ‘The Great Mystery, therefore, consists in two parts: Christ and the Church, the Head and the Body … these are two parts of the eternal plan of God, the two members of the mystical Christ. These two are one: a New Man.’</w:t>
      </w:r>
      <w:r>
        <w:rPr>
          <w:rStyle w:val="FootnoteReference"/>
        </w:rPr>
        <w:footnoteReference w:id="1122"/>
      </w:r>
      <w:r>
        <w:t xml:space="preserve"> </w:t>
      </w:r>
    </w:p>
    <w:p w:rsidR="00062AED" w:rsidRDefault="00062AED" w:rsidP="009370EA">
      <w:pPr>
        <w:spacing w:line="360" w:lineRule="auto"/>
        <w:jc w:val="both"/>
      </w:pPr>
      <w:r>
        <w:t>Even in election in eternity past, the Church must be considered one with Christ. ‘Before the foundation of the world, God chose One: Christ. He also chose all who place their faith in Him. The Divine predestination of the saints was conceived in relation to Christ.’</w:t>
      </w:r>
      <w:r>
        <w:rPr>
          <w:rStyle w:val="FootnoteReference"/>
        </w:rPr>
        <w:footnoteReference w:id="1123"/>
      </w:r>
      <w:r>
        <w:t xml:space="preserve"> This election (along with the Father’s love for the Son and the preordination of Christ as the Lamb) is one of the three things from before the foundation of the world, and thus ‘is connected to the Eternal Purposes of God.’</w:t>
      </w:r>
      <w:r>
        <w:rPr>
          <w:rStyle w:val="FootnoteReference"/>
        </w:rPr>
        <w:footnoteReference w:id="1124"/>
      </w:r>
      <w:r>
        <w:t xml:space="preserve"> This purpose is accomplished in time through the cross, yet the cross stands behind creation and redemption in the Eternal Purpose.</w:t>
      </w:r>
      <w:r>
        <w:rPr>
          <w:rStyle w:val="FootnoteReference"/>
        </w:rPr>
        <w:footnoteReference w:id="1125"/>
      </w:r>
    </w:p>
    <w:p w:rsidR="00062AED" w:rsidRDefault="00062AED" w:rsidP="009370EA">
      <w:pPr>
        <w:spacing w:line="360" w:lineRule="auto"/>
        <w:jc w:val="both"/>
      </w:pPr>
      <w:r>
        <w:t>Election, for Thomas, is closely related to the love of God. It is the Trinitarian love which undergirds it: ‘the Divine Election of Christ and of His Body is explained in the love of the Father for the Son and in the love of the Son for the Church.’</w:t>
      </w:r>
      <w:r>
        <w:rPr>
          <w:rStyle w:val="FootnoteReference"/>
        </w:rPr>
        <w:footnoteReference w:id="1126"/>
      </w:r>
      <w:r>
        <w:t xml:space="preserve"> Thomas argues that ‘our election has its origin in the love of the Father and will have its consummation in His perfect love in us.’</w:t>
      </w:r>
      <w:r>
        <w:rPr>
          <w:rStyle w:val="FootnoteReference"/>
        </w:rPr>
        <w:footnoteReference w:id="1127"/>
      </w:r>
      <w:r>
        <w:t xml:space="preserve"> The life of the church is found in ‘its participation in that Divine Love,’</w:t>
      </w:r>
      <w:r>
        <w:rPr>
          <w:rStyle w:val="FootnoteReference"/>
        </w:rPr>
        <w:footnoteReference w:id="1128"/>
      </w:r>
      <w:r>
        <w:t xml:space="preserve">  and it is by this participation that the church is sanctified and perfected.</w:t>
      </w:r>
      <w:r>
        <w:rPr>
          <w:rStyle w:val="FootnoteReference"/>
        </w:rPr>
        <w:footnoteReference w:id="1129"/>
      </w:r>
      <w:r>
        <w:t xml:space="preserve"> The Church exists within the love of the Father for the Son.</w:t>
      </w:r>
      <w:r>
        <w:rPr>
          <w:rStyle w:val="FootnoteReference"/>
        </w:rPr>
        <w:footnoteReference w:id="1130"/>
      </w:r>
      <w:r>
        <w:t xml:space="preserve"> </w:t>
      </w:r>
    </w:p>
    <w:p w:rsidR="00062AED" w:rsidRDefault="00062AED" w:rsidP="009370EA">
      <w:pPr>
        <w:spacing w:line="360" w:lineRule="auto"/>
        <w:jc w:val="both"/>
      </w:pPr>
      <w:r>
        <w:t>The members of the Body share in the Father’s love as his sons by grace. Thomas goes so far as to call God ‘the Father of the Church,’ for:</w:t>
      </w:r>
    </w:p>
    <w:p w:rsidR="00062AED" w:rsidRDefault="00062AED" w:rsidP="009370EA">
      <w:pPr>
        <w:spacing w:line="360" w:lineRule="auto"/>
        <w:ind w:left="720" w:right="720"/>
        <w:jc w:val="both"/>
      </w:pPr>
      <w:r w:rsidRPr="00EC3397">
        <w:rPr>
          <w:sz w:val="20"/>
        </w:rPr>
        <w:lastRenderedPageBreak/>
        <w:t>the Paternity of God to His Son, in the mystery of the Holy Trinity and of the Incarnation, really and effectively reaches us – the members of His Body … by grace we have become partakers of the Divine Nature, and constituted a new creation in Christ … It is the Holy Spirit that presents to us the reality of the Fatherhood or Paternity of God; ‘in Jesus’ we see the Father (John 14:9), and ‘by’ the Spirit we embrace the Father.</w:t>
      </w:r>
      <w:r w:rsidRPr="00EC3397">
        <w:rPr>
          <w:rStyle w:val="FootnoteReference"/>
          <w:sz w:val="20"/>
        </w:rPr>
        <w:footnoteReference w:id="1131"/>
      </w:r>
      <w:r>
        <w:t xml:space="preserve"> </w:t>
      </w:r>
    </w:p>
    <w:p w:rsidR="00062AED" w:rsidRDefault="00062AED" w:rsidP="009370EA">
      <w:pPr>
        <w:spacing w:line="360" w:lineRule="auto"/>
        <w:jc w:val="both"/>
      </w:pPr>
      <w:r>
        <w:t>Although this sonship is now unseen, in the eschaton it will be publically revealed to the universe.</w:t>
      </w:r>
      <w:r>
        <w:rPr>
          <w:rStyle w:val="FootnoteReference"/>
        </w:rPr>
        <w:footnoteReference w:id="1132"/>
      </w:r>
      <w:r>
        <w:t>Through the baptism of the Holy Spirit, the members of the church receive a foretaste of this heavenly union and communion in the love of Christ as a deposit of their inheritance.</w:t>
      </w:r>
      <w:r>
        <w:rPr>
          <w:rStyle w:val="FootnoteReference"/>
        </w:rPr>
        <w:footnoteReference w:id="1133"/>
      </w:r>
    </w:p>
    <w:p w:rsidR="00062AED" w:rsidRDefault="00062AED" w:rsidP="009370EA">
      <w:pPr>
        <w:spacing w:line="360" w:lineRule="auto"/>
        <w:jc w:val="both"/>
      </w:pPr>
      <w:r>
        <w:t>In the new heavens and new earth, all things will be summed up in Christ, under his Headship. ‘All will revolve around Christ – He will be the Head of an immortal and incorruptible universe … [and] we shall be with Him, at the centre of that renewed creation.’</w:t>
      </w:r>
      <w:r>
        <w:rPr>
          <w:rStyle w:val="FootnoteReference"/>
        </w:rPr>
        <w:footnoteReference w:id="1134"/>
      </w:r>
      <w:r>
        <w:t xml:space="preserve"> </w:t>
      </w:r>
      <w:r w:rsidRPr="001505A3">
        <w:t>The church will be ‘the instrument of the manifestation of the Triune God to all eternities.’</w:t>
      </w:r>
      <w:r w:rsidRPr="001505A3">
        <w:rPr>
          <w:rStyle w:val="FootnoteReference"/>
        </w:rPr>
        <w:footnoteReference w:id="1135"/>
      </w:r>
    </w:p>
    <w:p w:rsidR="00062AED" w:rsidRDefault="00062AED" w:rsidP="009370EA">
      <w:pPr>
        <w:spacing w:line="360" w:lineRule="auto"/>
        <w:jc w:val="both"/>
      </w:pPr>
      <w:r w:rsidRPr="00223597">
        <w:t>Thomas has his own form of the exchange formula: ‘While the Son of God takes up from man his human nature … the Son enables man to participate in His own Divine nature.’</w:t>
      </w:r>
      <w:r w:rsidRPr="00223597">
        <w:rPr>
          <w:rStyle w:val="FootnoteReference"/>
        </w:rPr>
        <w:footnoteReference w:id="1136"/>
      </w:r>
      <w:r w:rsidRPr="00223597">
        <w:t xml:space="preserve"> </w:t>
      </w:r>
      <w:r>
        <w:t xml:space="preserve">The use of a variation on the exchange formula again reinforces the presence of theosis in Thomas’ thought. </w:t>
      </w:r>
      <w:r w:rsidRPr="00223597">
        <w:t>This participation in the divine nature is an ecclesial participation, coming about through the unity of the Head and the Body.</w:t>
      </w:r>
      <w:r w:rsidRPr="00223597">
        <w:rPr>
          <w:rStyle w:val="FootnoteReference"/>
        </w:rPr>
        <w:footnoteReference w:id="1137"/>
      </w:r>
      <w:r>
        <w:t xml:space="preserve"> As the church participates in the divine nature in Christ, Christ communicates himself, with his life and perfection, to his Body.</w:t>
      </w:r>
      <w:r>
        <w:rPr>
          <w:rStyle w:val="FootnoteReference"/>
        </w:rPr>
        <w:footnoteReference w:id="1138"/>
      </w:r>
      <w:r>
        <w:t xml:space="preserve"> For Thomas, theosis is ecclesial; it is the theosis of the </w:t>
      </w:r>
      <w:r w:rsidRPr="00D44BE2">
        <w:rPr>
          <w:i/>
        </w:rPr>
        <w:t>totus christus</w:t>
      </w:r>
      <w:r>
        <w:t>.</w:t>
      </w:r>
    </w:p>
    <w:p w:rsidR="00062AED" w:rsidRDefault="00062AED" w:rsidP="009370EA">
      <w:pPr>
        <w:spacing w:line="360" w:lineRule="auto"/>
      </w:pPr>
      <w:r>
        <w:br w:type="page"/>
      </w:r>
    </w:p>
    <w:p w:rsidR="00965AC8" w:rsidRDefault="00965AC8">
      <w:pPr>
        <w:rPr>
          <w:b/>
          <w:smallCaps/>
          <w:sz w:val="28"/>
        </w:rPr>
      </w:pPr>
      <w:r>
        <w:lastRenderedPageBreak/>
        <w:br w:type="page"/>
      </w:r>
    </w:p>
    <w:p w:rsidR="007C6233" w:rsidRDefault="007C6233" w:rsidP="009370EA">
      <w:pPr>
        <w:pStyle w:val="PhDChapterTitle"/>
        <w:spacing w:line="360" w:lineRule="auto"/>
      </w:pPr>
      <w:r>
        <w:lastRenderedPageBreak/>
        <w:t>Chapter 6</w:t>
      </w:r>
    </w:p>
    <w:p w:rsidR="00062AED" w:rsidRDefault="00062AED" w:rsidP="009370EA">
      <w:pPr>
        <w:pStyle w:val="PhDChapterTitle"/>
        <w:spacing w:line="360" w:lineRule="auto"/>
      </w:pPr>
      <w:r>
        <w:t>Concorporeal Theosis: Toward an Apostolic and Pentecostal Ecclesiology</w:t>
      </w:r>
    </w:p>
    <w:p w:rsidR="007C6233" w:rsidRPr="00A54173" w:rsidRDefault="007C6233" w:rsidP="009370EA">
      <w:pPr>
        <w:pStyle w:val="PhDChapterTitle"/>
        <w:spacing w:line="360" w:lineRule="auto"/>
      </w:pPr>
    </w:p>
    <w:p w:rsidR="00062AED" w:rsidRDefault="00062AED" w:rsidP="009370EA">
      <w:pPr>
        <w:spacing w:line="360" w:lineRule="auto"/>
        <w:jc w:val="both"/>
      </w:pPr>
      <w:r>
        <w:t xml:space="preserve">Having examined what the early British Apostolics had to say about BHS, the Trinity, the Body of Christ, and the Eternal Purpose, this chapter proposes to do something they never did: put it all together in an attempt at moving towards a coherent constructive ecclesiology. Ultimately, ecclesiology seeks to answer one question: what is the church? So here I shall attempt to flesh out an answer to that question, drawing together and building upon the insights of the early British Apostolics. The result should not merely be the reconstruction of a model from the past, but rather a </w:t>
      </w:r>
      <w:r w:rsidRPr="004771EA">
        <w:rPr>
          <w:i/>
        </w:rPr>
        <w:t>ressourcement</w:t>
      </w:r>
      <w:r>
        <w:t>, digging into the roots of a Pentecostal tradition in order to reappropriate significant theological insight for the future.</w:t>
      </w:r>
    </w:p>
    <w:p w:rsidR="00062AED" w:rsidRDefault="00062AED" w:rsidP="009370EA">
      <w:pPr>
        <w:spacing w:line="360" w:lineRule="auto"/>
        <w:jc w:val="both"/>
      </w:pPr>
      <w:r>
        <w:t>As we have seen, any attempt at an Apostolic ecclesiology will have to build upon these themes of BHS, Trinity, Body of Christ, and eternal purpose, as well as take into consideration the distinctively Apostolic understanding of the five-fold ministry (apostles, prophets, evangelists, pastors and teachers) and the Eucharistic focus of Apostolic church life. Yet, in order to be authentically Apostolic, it must not only be rooted in this tradition, but also constructed ‘according to the pattern revealed in the New Testament.’</w:t>
      </w:r>
      <w:r>
        <w:rPr>
          <w:rStyle w:val="FootnoteReference"/>
        </w:rPr>
        <w:footnoteReference w:id="1139"/>
      </w:r>
    </w:p>
    <w:p w:rsidR="00062AED" w:rsidRDefault="00062AED" w:rsidP="009370EA">
      <w:pPr>
        <w:spacing w:line="360" w:lineRule="auto"/>
        <w:jc w:val="both"/>
      </w:pPr>
      <w:r>
        <w:t>What, then, is the Church? Both Scripture and the Apostolic theological tradition would agree that the Church ‘is the Body of Christ.’</w:t>
      </w:r>
      <w:r>
        <w:rPr>
          <w:rStyle w:val="FootnoteReference"/>
        </w:rPr>
        <w:footnoteReference w:id="1140"/>
      </w:r>
      <w:r>
        <w:t xml:space="preserve"> Yet what do we mean when we define the Church as Christ’s body? And how does that encompass and fit into all the themes which we have already noted? A fuller definition is required. My proposal is that the Body of Christ can be defined in a Trinitarian manner which will enfold all the vital themes of Apostolic ecclesiology we have noted. Thus the Body of Christ is: </w:t>
      </w:r>
      <w:r w:rsidRPr="009066E0">
        <w:rPr>
          <w:i/>
        </w:rPr>
        <w:t>the Body united to the Crucified and Risen Christ the Head, the Body of the Father’s Election in Christ the Head, and the Body baptised by Christ the Head in the Spirit, and thus the Body which lives in the Trinity.</w:t>
      </w:r>
      <w:r>
        <w:t xml:space="preserve"> This chapter then explores that definition.</w:t>
      </w:r>
    </w:p>
    <w:p w:rsidR="00A55DCB" w:rsidRDefault="00A55DCB" w:rsidP="009370EA">
      <w:pPr>
        <w:spacing w:line="360" w:lineRule="auto"/>
        <w:jc w:val="both"/>
      </w:pPr>
    </w:p>
    <w:p w:rsidR="00A55DCB" w:rsidRDefault="00A55DCB" w:rsidP="009370EA">
      <w:pPr>
        <w:spacing w:line="360" w:lineRule="auto"/>
        <w:jc w:val="both"/>
      </w:pPr>
    </w:p>
    <w:p w:rsidR="00A55DCB" w:rsidRDefault="00A55DCB" w:rsidP="009370EA">
      <w:pPr>
        <w:spacing w:line="360" w:lineRule="auto"/>
        <w:jc w:val="both"/>
      </w:pPr>
    </w:p>
    <w:p w:rsidR="00062AED" w:rsidRPr="00611770" w:rsidRDefault="00062AED" w:rsidP="009370EA">
      <w:pPr>
        <w:pStyle w:val="PhDSubheading"/>
        <w:spacing w:line="360" w:lineRule="auto"/>
      </w:pPr>
      <w:r>
        <w:lastRenderedPageBreak/>
        <w:t xml:space="preserve">6.1 </w:t>
      </w:r>
      <w:r w:rsidRPr="00611770">
        <w:t>The Body of Christ, the Crucified and Risen Head</w:t>
      </w:r>
    </w:p>
    <w:p w:rsidR="00062AED" w:rsidRPr="00510FF2" w:rsidRDefault="00062AED" w:rsidP="009370EA">
      <w:pPr>
        <w:pStyle w:val="PhDSubheading"/>
        <w:spacing w:line="360" w:lineRule="auto"/>
      </w:pPr>
      <w:r>
        <w:t xml:space="preserve">6.1.1 </w:t>
      </w:r>
      <w:r w:rsidRPr="00510FF2">
        <w:t>Concorporeal with the Son</w:t>
      </w:r>
    </w:p>
    <w:p w:rsidR="00062AED" w:rsidRPr="00C95249" w:rsidRDefault="00062AED" w:rsidP="009370EA">
      <w:pPr>
        <w:spacing w:line="360" w:lineRule="auto"/>
        <w:jc w:val="both"/>
        <w:rPr>
          <w:bCs/>
        </w:rPr>
      </w:pPr>
      <w:r w:rsidRPr="00C95249">
        <w:t xml:space="preserve">Ephesians 3:6 uses the </w:t>
      </w:r>
      <w:r w:rsidRPr="00C95249">
        <w:rPr>
          <w:i/>
        </w:rPr>
        <w:t>hapax legomenon</w:t>
      </w:r>
      <w:r w:rsidRPr="00C95249">
        <w:t xml:space="preserve"> </w:t>
      </w:r>
      <w:r w:rsidRPr="00371405">
        <w:rPr>
          <w:bCs/>
          <w:i/>
        </w:rPr>
        <w:t>σύσσωμος</w:t>
      </w:r>
      <w:r w:rsidRPr="00C95249">
        <w:rPr>
          <w:b/>
          <w:bCs/>
        </w:rPr>
        <w:t xml:space="preserve"> </w:t>
      </w:r>
      <w:r w:rsidRPr="00C95249">
        <w:rPr>
          <w:bCs/>
        </w:rPr>
        <w:t xml:space="preserve">to refer to the unity of Jews and Gentiles in the one body which is the church. </w:t>
      </w:r>
      <w:r>
        <w:rPr>
          <w:bCs/>
        </w:rPr>
        <w:t>I</w:t>
      </w:r>
      <w:r w:rsidRPr="00C95249">
        <w:rPr>
          <w:bCs/>
        </w:rPr>
        <w:t xml:space="preserve">n the Body of Christ, believing Jews and Gentiles are concorporeal with one another. Yet this concorporeality is not </w:t>
      </w:r>
      <w:r>
        <w:rPr>
          <w:bCs/>
        </w:rPr>
        <w:t xml:space="preserve">simply </w:t>
      </w:r>
      <w:r w:rsidRPr="00C95249">
        <w:rPr>
          <w:bCs/>
        </w:rPr>
        <w:t>that of one individual believer with another individual believer, but rather each believer is concorporeal with Christ as a member of his Body, and thus the concorporeality of believers derives from their common concorporeality with Christ. First and foremost, we are one body with Christ, and then, as a result, of one body with other believers.</w:t>
      </w:r>
    </w:p>
    <w:p w:rsidR="00062AED" w:rsidRPr="00C95249" w:rsidRDefault="00062AED" w:rsidP="009370EA">
      <w:pPr>
        <w:spacing w:line="360" w:lineRule="auto"/>
        <w:jc w:val="both"/>
        <w:rPr>
          <w:bCs/>
        </w:rPr>
      </w:pPr>
    </w:p>
    <w:p w:rsidR="00062AED" w:rsidRPr="00C95249" w:rsidRDefault="00062AED" w:rsidP="009370EA">
      <w:pPr>
        <w:pStyle w:val="PhDSubheading"/>
        <w:spacing w:line="360" w:lineRule="auto"/>
      </w:pPr>
      <w:r>
        <w:t xml:space="preserve">6.1.1.1 </w:t>
      </w:r>
      <w:r w:rsidRPr="00C95249">
        <w:t>Cyril of Alexandria on Theosis through the Body of Christ</w:t>
      </w:r>
    </w:p>
    <w:p w:rsidR="00062AED" w:rsidRPr="00C95249" w:rsidRDefault="00062AED" w:rsidP="009370EA">
      <w:pPr>
        <w:spacing w:line="360" w:lineRule="auto"/>
        <w:jc w:val="both"/>
        <w:rPr>
          <w:bCs/>
        </w:rPr>
      </w:pPr>
      <w:r w:rsidRPr="00C95249">
        <w:rPr>
          <w:bCs/>
        </w:rPr>
        <w:t xml:space="preserve">Cyril of Alexandria would pick up on this word </w:t>
      </w:r>
      <w:r w:rsidRPr="00371405">
        <w:rPr>
          <w:bCs/>
          <w:i/>
        </w:rPr>
        <w:t>σύσσωμος</w:t>
      </w:r>
      <w:r w:rsidRPr="00C95249">
        <w:rPr>
          <w:bCs/>
        </w:rPr>
        <w:t xml:space="preserve"> in connection with both ecclesiology and </w:t>
      </w:r>
      <w:r w:rsidRPr="006752DB">
        <w:rPr>
          <w:bCs/>
        </w:rPr>
        <w:t>theosis</w:t>
      </w:r>
      <w:r>
        <w:rPr>
          <w:bCs/>
        </w:rPr>
        <w:t xml:space="preserve"> and his</w:t>
      </w:r>
      <w:r w:rsidRPr="00726949">
        <w:rPr>
          <w:bCs/>
        </w:rPr>
        <w:t xml:space="preserve"> concept of the concorporeal locus of </w:t>
      </w:r>
      <w:r w:rsidRPr="006752DB">
        <w:rPr>
          <w:bCs/>
        </w:rPr>
        <w:t>theosis</w:t>
      </w:r>
      <w:r w:rsidRPr="00726949">
        <w:rPr>
          <w:bCs/>
        </w:rPr>
        <w:t xml:space="preserve"> could provide a useful point of integration of the basic ecclesiological building blocks we have recovered from the early Apostolics: the </w:t>
      </w:r>
      <w:r>
        <w:rPr>
          <w:bCs/>
        </w:rPr>
        <w:t>BHS</w:t>
      </w:r>
      <w:r w:rsidRPr="00726949">
        <w:rPr>
          <w:bCs/>
        </w:rPr>
        <w:t xml:space="preserve">, the Trinity, the </w:t>
      </w:r>
      <w:r w:rsidRPr="00726949">
        <w:rPr>
          <w:bCs/>
          <w:i/>
        </w:rPr>
        <w:t>Totus Christus</w:t>
      </w:r>
      <w:r w:rsidRPr="00726949">
        <w:rPr>
          <w:bCs/>
        </w:rPr>
        <w:t xml:space="preserve">, and </w:t>
      </w:r>
      <w:r w:rsidR="006752DB">
        <w:rPr>
          <w:bCs/>
        </w:rPr>
        <w:t>t</w:t>
      </w:r>
      <w:r w:rsidRPr="006752DB">
        <w:rPr>
          <w:bCs/>
        </w:rPr>
        <w:t>heosis</w:t>
      </w:r>
      <w:r w:rsidRPr="00726949">
        <w:rPr>
          <w:bCs/>
        </w:rPr>
        <w:t>.</w:t>
      </w:r>
      <w:r>
        <w:rPr>
          <w:bCs/>
        </w:rPr>
        <w:t xml:space="preserve"> </w:t>
      </w:r>
      <w:r w:rsidRPr="00C95249">
        <w:rPr>
          <w:bCs/>
        </w:rPr>
        <w:t xml:space="preserve">In the first of his </w:t>
      </w:r>
      <w:r w:rsidRPr="00C95249">
        <w:rPr>
          <w:bCs/>
          <w:i/>
        </w:rPr>
        <w:t>Dialogues on the Holy and Consubstantial Trinity</w:t>
      </w:r>
      <w:r w:rsidRPr="00C95249">
        <w:rPr>
          <w:bCs/>
        </w:rPr>
        <w:t>, Cyril alludes to Ephesians 3:6 and draws from it the concept of concorporeality in discussing our ‘union with God.’</w:t>
      </w:r>
      <w:r w:rsidRPr="00C95249">
        <w:rPr>
          <w:rStyle w:val="FootnoteReference"/>
          <w:bCs/>
        </w:rPr>
        <w:footnoteReference w:id="1141"/>
      </w:r>
      <w:r w:rsidRPr="00C95249">
        <w:rPr>
          <w:bCs/>
        </w:rPr>
        <w:t xml:space="preserve"> The riches of this union do not come from the pure inclination of the will alone, but through being ‘concorporeal with Christ, having obtained unity with him by means of faith … and by the mystic blessing [</w:t>
      </w:r>
      <w:r w:rsidRPr="00C95249">
        <w:rPr>
          <w:rFonts w:ascii="TekniaGreek" w:hAnsi="TekniaGreek"/>
          <w:bCs/>
        </w:rPr>
        <w:t>mustikh:V eujlogivaV</w:t>
      </w:r>
      <w:r w:rsidRPr="00C95249">
        <w:rPr>
          <w:bCs/>
        </w:rPr>
        <w:t>]’.</w:t>
      </w:r>
      <w:r w:rsidRPr="00C95249">
        <w:rPr>
          <w:rStyle w:val="FootnoteReference"/>
          <w:bCs/>
        </w:rPr>
        <w:footnoteReference w:id="1142"/>
      </w:r>
      <w:r w:rsidRPr="00C95249">
        <w:rPr>
          <w:bCs/>
        </w:rPr>
        <w:t xml:space="preserve"> As the dialogue unfolds, the interlocutor asks for a clearer explanation, and so Cyril elaborates that, while separate in our own individual hypostases, so that:</w:t>
      </w:r>
    </w:p>
    <w:p w:rsidR="00062AED" w:rsidRPr="00C95249" w:rsidRDefault="00062AED" w:rsidP="009370EA">
      <w:pPr>
        <w:spacing w:line="360" w:lineRule="auto"/>
        <w:ind w:left="720" w:right="720"/>
        <w:jc w:val="both"/>
        <w:rPr>
          <w:bCs/>
          <w:sz w:val="20"/>
        </w:rPr>
      </w:pPr>
      <w:r w:rsidRPr="00C95249">
        <w:rPr>
          <w:bCs/>
          <w:sz w:val="20"/>
        </w:rPr>
        <w:t>one is Peter or John, the other Thomas or Matthew, we have become concorporeal in Christ, nourished with the same flesh and sealed in unity by the one Holy Spirit; and as Christ is indivisible … we are all one in him. This is why he says to the heavenly Father, ‘that they may be one as we are one.’ See indeed how in Christ and in the Holy Spirit we are all one both according to the body and according to the spirit.</w:t>
      </w:r>
      <w:r w:rsidRPr="00C95249">
        <w:rPr>
          <w:bCs/>
          <w:sz w:val="20"/>
          <w:vertAlign w:val="superscript"/>
        </w:rPr>
        <w:t xml:space="preserve"> </w:t>
      </w:r>
      <w:r w:rsidRPr="00C95249">
        <w:rPr>
          <w:rStyle w:val="FootnoteReference"/>
          <w:bCs/>
          <w:sz w:val="20"/>
        </w:rPr>
        <w:footnoteReference w:id="1143"/>
      </w:r>
    </w:p>
    <w:p w:rsidR="00062AED" w:rsidRPr="00C95249" w:rsidRDefault="00062AED" w:rsidP="009370EA">
      <w:pPr>
        <w:spacing w:line="360" w:lineRule="auto"/>
        <w:jc w:val="both"/>
        <w:rPr>
          <w:bCs/>
        </w:rPr>
      </w:pPr>
      <w:r w:rsidRPr="00C95249">
        <w:rPr>
          <w:bCs/>
        </w:rPr>
        <w:lastRenderedPageBreak/>
        <w:t xml:space="preserve">Cyril here connects union with God with the concorporeality of the church with Christ; </w:t>
      </w:r>
      <w:r w:rsidRPr="00B77659">
        <w:rPr>
          <w:bCs/>
        </w:rPr>
        <w:t xml:space="preserve">theosis </w:t>
      </w:r>
      <w:r w:rsidRPr="00C95249">
        <w:rPr>
          <w:bCs/>
        </w:rPr>
        <w:t xml:space="preserve">with the </w:t>
      </w:r>
      <w:r w:rsidRPr="00C95249">
        <w:rPr>
          <w:bCs/>
          <w:i/>
        </w:rPr>
        <w:t>Totus Christus</w:t>
      </w:r>
      <w:r w:rsidRPr="00C95249">
        <w:rPr>
          <w:bCs/>
        </w:rPr>
        <w:t xml:space="preserve">. </w:t>
      </w:r>
      <w:r w:rsidRPr="00B77659">
        <w:rPr>
          <w:bCs/>
        </w:rPr>
        <w:t>Theosis</w:t>
      </w:r>
      <w:r w:rsidRPr="00C95249">
        <w:rPr>
          <w:bCs/>
        </w:rPr>
        <w:t xml:space="preserve">, then, is not an individualistic experience disconnected from the doctrine of the church, but rather the church as the Body of Christ is the locus of </w:t>
      </w:r>
      <w:r w:rsidRPr="003D4AD3">
        <w:rPr>
          <w:bCs/>
        </w:rPr>
        <w:t>theosis</w:t>
      </w:r>
      <w:r w:rsidRPr="00C95249">
        <w:rPr>
          <w:bCs/>
        </w:rPr>
        <w:t>.</w:t>
      </w:r>
    </w:p>
    <w:p w:rsidR="00062AED" w:rsidRPr="00C95249" w:rsidRDefault="00062AED" w:rsidP="009370EA">
      <w:pPr>
        <w:spacing w:line="360" w:lineRule="auto"/>
        <w:jc w:val="both"/>
        <w:rPr>
          <w:bCs/>
        </w:rPr>
      </w:pPr>
      <w:r w:rsidRPr="00C95249">
        <w:rPr>
          <w:bCs/>
        </w:rPr>
        <w:t xml:space="preserve">How does this ecclesial </w:t>
      </w:r>
      <w:r w:rsidRPr="003D4AD3">
        <w:rPr>
          <w:bCs/>
        </w:rPr>
        <w:t>theosis</w:t>
      </w:r>
      <w:r w:rsidRPr="00C95249">
        <w:rPr>
          <w:bCs/>
        </w:rPr>
        <w:t xml:space="preserve"> come about in Cyril’s thought? By faith and the </w:t>
      </w:r>
      <w:r w:rsidRPr="00C95249">
        <w:rPr>
          <w:rFonts w:ascii="TekniaGreek" w:hAnsi="TekniaGreek"/>
          <w:bCs/>
        </w:rPr>
        <w:t>mustikh:V eujlogivaV</w:t>
      </w:r>
      <w:r w:rsidRPr="00C95249">
        <w:rPr>
          <w:bCs/>
        </w:rPr>
        <w:t>,</w:t>
      </w:r>
      <w:r w:rsidRPr="00C95249">
        <w:rPr>
          <w:rStyle w:val="FootnoteReference"/>
          <w:bCs/>
        </w:rPr>
        <w:footnoteReference w:id="1144"/>
      </w:r>
      <w:r w:rsidRPr="00C95249">
        <w:rPr>
          <w:bCs/>
        </w:rPr>
        <w:t xml:space="preserve"> by being nourished with Christ’s flesh and sealed by his Spirit.</w:t>
      </w:r>
      <w:r w:rsidRPr="00C95249">
        <w:rPr>
          <w:rStyle w:val="FootnoteReference"/>
          <w:bCs/>
        </w:rPr>
        <w:footnoteReference w:id="1145"/>
      </w:r>
      <w:r w:rsidRPr="00C95249">
        <w:rPr>
          <w:bCs/>
        </w:rPr>
        <w:t xml:space="preserve"> In Cyril, the mystical blessing [</w:t>
      </w:r>
      <w:r w:rsidRPr="00C95249">
        <w:rPr>
          <w:rFonts w:ascii="TekniaGreek" w:hAnsi="TekniaGreek"/>
          <w:bCs/>
        </w:rPr>
        <w:t>mustikh:V eujlogivaV</w:t>
      </w:r>
      <w:r w:rsidRPr="00C95249">
        <w:rPr>
          <w:bCs/>
        </w:rPr>
        <w:t>] refers to the Eucharist, thus he points to three ways in which the church is concorporeal with Christ: by faith, by partaking of his flesh and blood in the Lord’s Supper, and by the sealing of the Holy Spirit.</w:t>
      </w:r>
      <w:r w:rsidRPr="00C95249">
        <w:rPr>
          <w:rStyle w:val="FootnoteReference"/>
          <w:bCs/>
        </w:rPr>
        <w:footnoteReference w:id="1146"/>
      </w:r>
    </w:p>
    <w:p w:rsidR="00062AED" w:rsidRPr="00C95249" w:rsidRDefault="00062AED" w:rsidP="009370EA">
      <w:pPr>
        <w:spacing w:line="360" w:lineRule="auto"/>
        <w:jc w:val="both"/>
        <w:rPr>
          <w:bCs/>
        </w:rPr>
      </w:pPr>
      <w:r w:rsidRPr="00C95249">
        <w:rPr>
          <w:bCs/>
        </w:rPr>
        <w:t xml:space="preserve">While faith is always presupposed, throughout his writings Cyril of Alexandria emphasises participation in the body and blood of Christ in the sacrament and partaking of the Holy Spirit as the means of </w:t>
      </w:r>
      <w:r w:rsidRPr="00571093">
        <w:rPr>
          <w:bCs/>
        </w:rPr>
        <w:t>theosis</w:t>
      </w:r>
      <w:r w:rsidRPr="00C95249">
        <w:rPr>
          <w:bCs/>
        </w:rPr>
        <w:t>.</w:t>
      </w:r>
      <w:r w:rsidRPr="00C95249">
        <w:rPr>
          <w:rStyle w:val="FootnoteReference"/>
          <w:bCs/>
        </w:rPr>
        <w:footnoteReference w:id="1147"/>
      </w:r>
      <w:r w:rsidRPr="00C95249">
        <w:rPr>
          <w:bCs/>
        </w:rPr>
        <w:t xml:space="preserve"> For Cyril, the ways in which believers are concorporeal with Christ are the ways in which they undergo </w:t>
      </w:r>
      <w:r w:rsidRPr="00571093">
        <w:rPr>
          <w:bCs/>
        </w:rPr>
        <w:t>theosis</w:t>
      </w:r>
      <w:r w:rsidRPr="00C95249">
        <w:rPr>
          <w:bCs/>
        </w:rPr>
        <w:t xml:space="preserve">. Thus the two cannot be separated. </w:t>
      </w:r>
      <w:r w:rsidRPr="00571093">
        <w:rPr>
          <w:bCs/>
        </w:rPr>
        <w:t>Theosis</w:t>
      </w:r>
      <w:r w:rsidRPr="00C95249">
        <w:rPr>
          <w:bCs/>
        </w:rPr>
        <w:t xml:space="preserve"> is the </w:t>
      </w:r>
      <w:r w:rsidRPr="00571093">
        <w:rPr>
          <w:bCs/>
        </w:rPr>
        <w:t>theosis</w:t>
      </w:r>
      <w:r w:rsidRPr="00C95249">
        <w:rPr>
          <w:bCs/>
        </w:rPr>
        <w:t xml:space="preserve"> of the Body of Christ. </w:t>
      </w:r>
      <w:r w:rsidRPr="00571093">
        <w:rPr>
          <w:bCs/>
        </w:rPr>
        <w:t>Theosis</w:t>
      </w:r>
      <w:r w:rsidRPr="00C95249">
        <w:rPr>
          <w:bCs/>
        </w:rPr>
        <w:t xml:space="preserve"> is ecclesial.</w:t>
      </w:r>
    </w:p>
    <w:p w:rsidR="00062AED" w:rsidRPr="00C95249" w:rsidRDefault="00062AED" w:rsidP="009370EA">
      <w:pPr>
        <w:spacing w:line="360" w:lineRule="auto"/>
        <w:jc w:val="both"/>
        <w:rPr>
          <w:bCs/>
        </w:rPr>
      </w:pPr>
      <w:r w:rsidRPr="00C95249">
        <w:rPr>
          <w:bCs/>
        </w:rPr>
        <w:t xml:space="preserve">The ecclesial nature of </w:t>
      </w:r>
      <w:r w:rsidRPr="00571093">
        <w:rPr>
          <w:bCs/>
        </w:rPr>
        <w:t>theosis</w:t>
      </w:r>
      <w:r w:rsidRPr="00C95249">
        <w:rPr>
          <w:bCs/>
        </w:rPr>
        <w:t xml:space="preserve"> in Cyril’s thought, along with the means of the Lord’s Supper and the sealing of the Spirit show interesting parallels with what we have seen in the thought o</w:t>
      </w:r>
      <w:r>
        <w:rPr>
          <w:bCs/>
        </w:rPr>
        <w:t>f the early British Apostolics.</w:t>
      </w:r>
    </w:p>
    <w:p w:rsidR="00062AED" w:rsidRPr="00C95249" w:rsidRDefault="00062AED" w:rsidP="009370EA">
      <w:pPr>
        <w:spacing w:line="360" w:lineRule="auto"/>
        <w:jc w:val="both"/>
        <w:rPr>
          <w:bCs/>
        </w:rPr>
      </w:pPr>
    </w:p>
    <w:p w:rsidR="00062AED" w:rsidRPr="00C95249" w:rsidRDefault="00062AED" w:rsidP="009370EA">
      <w:pPr>
        <w:pStyle w:val="PhDSubheading"/>
        <w:spacing w:line="360" w:lineRule="auto"/>
      </w:pPr>
      <w:r>
        <w:t xml:space="preserve">6.1.1.2 </w:t>
      </w:r>
      <w:r w:rsidRPr="00C95249">
        <w:t>The Apostolic Connection of Theosis with the Totus Christus</w:t>
      </w:r>
    </w:p>
    <w:p w:rsidR="00062AED" w:rsidRDefault="00062AED" w:rsidP="009370EA">
      <w:pPr>
        <w:spacing w:line="360" w:lineRule="auto"/>
        <w:jc w:val="both"/>
      </w:pPr>
      <w:r>
        <w:t xml:space="preserve">As we have seen, the concept of </w:t>
      </w:r>
      <w:r w:rsidRPr="00571093">
        <w:t>theosis</w:t>
      </w:r>
      <w:r>
        <w:t xml:space="preserve"> found in the writings of the early British Apostolics is an ecclesial (rather than individual) </w:t>
      </w:r>
      <w:r w:rsidRPr="00571093">
        <w:t>theosis</w:t>
      </w:r>
      <w:r>
        <w:t xml:space="preserve">. Their concepts of </w:t>
      </w:r>
      <w:r w:rsidRPr="00571093">
        <w:t>theosis</w:t>
      </w:r>
      <w:r>
        <w:t xml:space="preserve"> are intimately connected to the eternal purpose of the Triune God for His Church, and thus it is a </w:t>
      </w:r>
      <w:r w:rsidRPr="00571093">
        <w:t>theosis</w:t>
      </w:r>
      <w:r>
        <w:t xml:space="preserve"> of the Body of Christ. It is only as members of the Body of Christ that individual believers undergo </w:t>
      </w:r>
      <w:r w:rsidRPr="00571093">
        <w:t>theosis</w:t>
      </w:r>
      <w:r>
        <w:t>.</w:t>
      </w:r>
    </w:p>
    <w:p w:rsidR="00062AED" w:rsidRDefault="00062AED" w:rsidP="009370EA">
      <w:pPr>
        <w:spacing w:line="360" w:lineRule="auto"/>
        <w:jc w:val="both"/>
      </w:pPr>
      <w:r>
        <w:t xml:space="preserve">As a result the concept of </w:t>
      </w:r>
      <w:r w:rsidRPr="00571093">
        <w:t>theosis</w:t>
      </w:r>
      <w:r>
        <w:t xml:space="preserve"> is linked to the concept of the </w:t>
      </w:r>
      <w:r w:rsidRPr="00450B1F">
        <w:rPr>
          <w:i/>
        </w:rPr>
        <w:t>Totus Christus</w:t>
      </w:r>
      <w:r>
        <w:t xml:space="preserve">. At times this connection is particularly explicit. Thus, as we have seen in the thought of W.R. Thomas, the </w:t>
      </w:r>
      <w:r>
        <w:lastRenderedPageBreak/>
        <w:t xml:space="preserve">eternal purpose of God is </w:t>
      </w:r>
      <w:r w:rsidRPr="00571093">
        <w:t>theosis</w:t>
      </w:r>
      <w:r>
        <w:t xml:space="preserve"> of the </w:t>
      </w:r>
      <w:r w:rsidRPr="00880C8E">
        <w:rPr>
          <w:i/>
        </w:rPr>
        <w:t>Totus Christus</w:t>
      </w:r>
      <w:r>
        <w:t>.</w:t>
      </w:r>
      <w:r>
        <w:rPr>
          <w:rStyle w:val="FootnoteReference"/>
        </w:rPr>
        <w:footnoteReference w:id="1148"/>
      </w:r>
      <w:r>
        <w:t xml:space="preserve"> The Body of Christ participates in the divine nature through the union of the Body with Christ the Head.</w:t>
      </w:r>
      <w:r>
        <w:rPr>
          <w:rStyle w:val="FootnoteReference"/>
        </w:rPr>
        <w:footnoteReference w:id="1149"/>
      </w:r>
    </w:p>
    <w:p w:rsidR="00062AED" w:rsidRDefault="00062AED" w:rsidP="009370EA">
      <w:pPr>
        <w:spacing w:line="360" w:lineRule="auto"/>
        <w:jc w:val="both"/>
      </w:pPr>
      <w:r>
        <w:t xml:space="preserve">Other Apostolic writers struggled with language to express this concept, with some falling into the language of ‘incarnation’ (although taking pains to distinguish this from the incarnation of Christ). Cyril’s usage of </w:t>
      </w:r>
      <w:r w:rsidRPr="00571093">
        <w:t>concorporeal</w:t>
      </w:r>
      <w:r>
        <w:t xml:space="preserve"> could have aided them in surmounting this lexical difficulty in both expressing their position while maintaining both the uniqueness of Christ’s incarnation and a strong Creator/creature distinction.</w:t>
      </w:r>
    </w:p>
    <w:p w:rsidR="00062AED" w:rsidRDefault="00062AED" w:rsidP="009370EA">
      <w:pPr>
        <w:spacing w:line="360" w:lineRule="auto"/>
        <w:jc w:val="both"/>
      </w:pPr>
      <w:r>
        <w:t xml:space="preserve">How does this </w:t>
      </w:r>
      <w:r w:rsidRPr="00571093">
        <w:t>concorporeality</w:t>
      </w:r>
      <w:r>
        <w:t xml:space="preserve"> of the Church with Christ in the </w:t>
      </w:r>
      <w:r w:rsidRPr="00510DFA">
        <w:rPr>
          <w:i/>
        </w:rPr>
        <w:t>Totus Christus</w:t>
      </w:r>
      <w:r>
        <w:t xml:space="preserve"> (the locus of </w:t>
      </w:r>
      <w:r w:rsidRPr="00571093">
        <w:t>theosis</w:t>
      </w:r>
      <w:r>
        <w:t>) come about in the thought of the early Apostolics? As we have seen, their emphasis in this regard was on both BHS and on feeding on Christ’s body and blood in the Breaking of Bread. Although the matter remained controversial and was never finally settled in Apostolic thought, a large amount of emphasis was placed on 1 Corinthians 12:13 interpreted as pointing to membership of the Body coming about through BHS.</w:t>
      </w:r>
      <w:r>
        <w:rPr>
          <w:rStyle w:val="FootnoteReference"/>
        </w:rPr>
        <w:footnoteReference w:id="1150"/>
      </w:r>
      <w:r>
        <w:t xml:space="preserve"> BHS was seen as an experiential participation in the intra-Trinitarian love and communion of the Father, Son and Holy Spirit, and thus that which formed and united the Body was an experience of theosis.</w:t>
      </w:r>
      <w:r>
        <w:rPr>
          <w:rStyle w:val="FootnoteReference"/>
        </w:rPr>
        <w:footnoteReference w:id="1151"/>
      </w:r>
    </w:p>
    <w:p w:rsidR="00062AED" w:rsidRDefault="00062AED" w:rsidP="009370EA">
      <w:pPr>
        <w:spacing w:line="360" w:lineRule="auto"/>
        <w:jc w:val="both"/>
      </w:pPr>
      <w:r>
        <w:t xml:space="preserve">Furthermore, D.P. Williams in particular, emphasised that role of the Eucharist in the unity between Head and Body in the </w:t>
      </w:r>
      <w:r w:rsidRPr="00F04931">
        <w:rPr>
          <w:i/>
        </w:rPr>
        <w:t>Totus Christus</w:t>
      </w:r>
      <w:r>
        <w:t>.</w:t>
      </w:r>
      <w:r>
        <w:rPr>
          <w:rStyle w:val="FootnoteReference"/>
        </w:rPr>
        <w:footnoteReference w:id="1152"/>
      </w:r>
      <w:r>
        <w:t xml:space="preserve"> Through the sacrament of the Breaking of Bread, the spiritual life of the Church is sustained by the body and blood of Christ and the union between Head and Body sealed.</w:t>
      </w:r>
      <w:r>
        <w:rPr>
          <w:rStyle w:val="FootnoteReference"/>
        </w:rPr>
        <w:footnoteReference w:id="1153"/>
      </w:r>
      <w:r>
        <w:t xml:space="preserve"> It is through the Eucharist that the Church becomes ‘unchangeable’ and ‘unmoveable’ through ‘deriv[ing] the properties of God.’</w:t>
      </w:r>
      <w:r>
        <w:rPr>
          <w:rStyle w:val="FootnoteReference"/>
        </w:rPr>
        <w:footnoteReference w:id="1154"/>
      </w:r>
      <w:r>
        <w:t xml:space="preserve"> Therefore the sacrament both strengthens and sustains the life and unity of the Body and is also an important means of </w:t>
      </w:r>
      <w:r w:rsidRPr="00571093">
        <w:t>theosis</w:t>
      </w:r>
      <w:r>
        <w:t>.</w:t>
      </w:r>
    </w:p>
    <w:p w:rsidR="00062AED" w:rsidRPr="00C95249" w:rsidRDefault="00062AED" w:rsidP="009370EA">
      <w:pPr>
        <w:spacing w:line="360" w:lineRule="auto"/>
        <w:jc w:val="both"/>
      </w:pPr>
      <w:r>
        <w:t xml:space="preserve">The Apostolics, then, share with Cyril of Alexandria, this concept of a concorporeal locus of theosis in the </w:t>
      </w:r>
      <w:r w:rsidRPr="00FC7805">
        <w:rPr>
          <w:i/>
        </w:rPr>
        <w:t>Totus Christus</w:t>
      </w:r>
      <w:r>
        <w:t>, brought about through the reception of the Holy Spirit and through participation in Christ’s body and blood in the sacrament.</w:t>
      </w:r>
    </w:p>
    <w:p w:rsidR="00062AED" w:rsidRPr="00C95249" w:rsidRDefault="00062AED" w:rsidP="009370EA">
      <w:pPr>
        <w:spacing w:line="360" w:lineRule="auto"/>
        <w:jc w:val="both"/>
      </w:pPr>
    </w:p>
    <w:p w:rsidR="00062AED" w:rsidRPr="00C95249" w:rsidRDefault="00062AED" w:rsidP="009370EA">
      <w:pPr>
        <w:pStyle w:val="PhDSubheading"/>
        <w:spacing w:line="360" w:lineRule="auto"/>
      </w:pPr>
      <w:r>
        <w:lastRenderedPageBreak/>
        <w:t xml:space="preserve">6.1.1.3 </w:t>
      </w:r>
      <w:r w:rsidRPr="00C95249">
        <w:t>The Body of Christ as an Ontological Reality</w:t>
      </w:r>
    </w:p>
    <w:p w:rsidR="00062AED" w:rsidRPr="00C95249" w:rsidRDefault="00062AED" w:rsidP="009370EA">
      <w:pPr>
        <w:spacing w:line="360" w:lineRule="auto"/>
        <w:jc w:val="both"/>
      </w:pPr>
      <w:r w:rsidRPr="00C95249">
        <w:t>While many Pentecostals have been content to think of the Body of Christ as a metaphor,</w:t>
      </w:r>
      <w:r w:rsidRPr="00C95249">
        <w:rPr>
          <w:rStyle w:val="FootnoteReference"/>
        </w:rPr>
        <w:footnoteReference w:id="1155"/>
      </w:r>
      <w:r w:rsidRPr="00C95249">
        <w:t xml:space="preserve"> the Apostolics insisted that this was no mere metaphor, but an ontological reality. Cyril’s understanding of the church as </w:t>
      </w:r>
      <w:r w:rsidRPr="00571093">
        <w:t xml:space="preserve">concorporeal </w:t>
      </w:r>
      <w:r w:rsidRPr="00C95249">
        <w:t>likewise leaves no room for metaphor. This is a true union which gives life and being to the church, thus constituting it as an ontological reality. For Cyril, the church is ‘the place where Christ is manifested’</w:t>
      </w:r>
      <w:r w:rsidRPr="00C95249">
        <w:rPr>
          <w:rStyle w:val="FootnoteReference"/>
        </w:rPr>
        <w:footnoteReference w:id="1156"/>
      </w:r>
      <w:r w:rsidRPr="00C95249">
        <w:t xml:space="preserve"> and the place of ‘encounter between humanity and God, a holy space in which humanity is recreated and endowed with divine life.’</w:t>
      </w:r>
      <w:r w:rsidRPr="00C95249">
        <w:rPr>
          <w:rStyle w:val="FootnoteReference"/>
        </w:rPr>
        <w:footnoteReference w:id="1157"/>
      </w:r>
      <w:r w:rsidRPr="00C95249">
        <w:t xml:space="preserve"> Such a church cannot be ‘simply an external institution.’</w:t>
      </w:r>
      <w:r w:rsidRPr="00C95249">
        <w:rPr>
          <w:rStyle w:val="FootnoteReference"/>
        </w:rPr>
        <w:footnoteReference w:id="1158"/>
      </w:r>
    </w:p>
    <w:p w:rsidR="00062AED" w:rsidRPr="00C95249" w:rsidRDefault="00062AED" w:rsidP="009370EA">
      <w:pPr>
        <w:spacing w:line="360" w:lineRule="auto"/>
        <w:jc w:val="both"/>
      </w:pPr>
      <w:r w:rsidRPr="00C95249">
        <w:t xml:space="preserve">Yet, Cyril’s concept of </w:t>
      </w:r>
      <w:r w:rsidRPr="00571093">
        <w:t>concorporeal theosis</w:t>
      </w:r>
      <w:r w:rsidRPr="00C95249">
        <w:t xml:space="preserve"> also guards the </w:t>
      </w:r>
      <w:r w:rsidR="00FA032C">
        <w:t>dependent</w:t>
      </w:r>
      <w:r w:rsidRPr="00C95249">
        <w:t xml:space="preserve"> nature of the church, preventing any possibility of the </w:t>
      </w:r>
      <w:r w:rsidRPr="00C95249">
        <w:rPr>
          <w:i/>
        </w:rPr>
        <w:t>Totus Christus</w:t>
      </w:r>
      <w:r w:rsidRPr="00C95249">
        <w:t xml:space="preserve"> displacing Christ the Head.</w:t>
      </w:r>
      <w:r w:rsidRPr="00C95249">
        <w:rPr>
          <w:rStyle w:val="FootnoteReference"/>
        </w:rPr>
        <w:footnoteReference w:id="1159"/>
      </w:r>
      <w:r w:rsidRPr="00C95249">
        <w:t xml:space="preserve"> </w:t>
      </w:r>
      <w:r w:rsidRPr="00571093">
        <w:t>Theosis</w:t>
      </w:r>
      <w:r w:rsidRPr="00C95249">
        <w:t xml:space="preserve"> points the church beyond itself to ‘union with God … by Christ through participation in the Holy Spirit.’</w:t>
      </w:r>
      <w:r w:rsidRPr="00C95249">
        <w:rPr>
          <w:rStyle w:val="FootnoteReference"/>
        </w:rPr>
        <w:footnoteReference w:id="1160"/>
      </w:r>
      <w:r w:rsidRPr="00C95249">
        <w:t xml:space="preserve"> Thus the church cannot view herself as self-sufficient in any way, but must always fix her eyes on Christ, her heavenly Head and only Mediator with the Father. Therefore the church cannot find her life or unity in herself and her internal structures, but only beyond herself in Christ the Head. Although Cyril sees the importance of the ordained ministry appointed by Christ (‘Christ has appointed bishops in succession to the apostles’</w:t>
      </w:r>
      <w:r w:rsidRPr="00C95249">
        <w:rPr>
          <w:rStyle w:val="FootnoteReference"/>
        </w:rPr>
        <w:footnoteReference w:id="1161"/>
      </w:r>
      <w:r w:rsidRPr="00C95249">
        <w:t xml:space="preserve">), the bishops in themselves do not constitute the unity of the church; rather, the bishops contribute to the life and unity of the church through preaching and the administration of the sacraments, for this leads to ‘adoption, incorruption and glory,’ or, in other words, </w:t>
      </w:r>
      <w:r w:rsidRPr="00571093">
        <w:t xml:space="preserve">theosis </w:t>
      </w:r>
      <w:r w:rsidRPr="00C95249">
        <w:t>in Christ.</w:t>
      </w:r>
      <w:r w:rsidRPr="00C95249">
        <w:rPr>
          <w:rStyle w:val="FootnoteReference"/>
        </w:rPr>
        <w:footnoteReference w:id="1162"/>
      </w:r>
    </w:p>
    <w:p w:rsidR="00062AED" w:rsidRDefault="00062AED" w:rsidP="009370EA">
      <w:pPr>
        <w:spacing w:line="360" w:lineRule="auto"/>
        <w:jc w:val="both"/>
      </w:pPr>
      <w:r w:rsidRPr="00C95249">
        <w:t xml:space="preserve">Thus, for Cyril, the Church as </w:t>
      </w:r>
      <w:r w:rsidRPr="00C95249">
        <w:rPr>
          <w:i/>
        </w:rPr>
        <w:t>Totus Christus</w:t>
      </w:r>
      <w:r w:rsidRPr="00C95249">
        <w:t xml:space="preserve"> and locus of </w:t>
      </w:r>
      <w:r w:rsidRPr="00571093">
        <w:t>theosis</w:t>
      </w:r>
      <w:r w:rsidRPr="00C95249">
        <w:t xml:space="preserve"> is an ontological reality, but it is no </w:t>
      </w:r>
      <w:r w:rsidRPr="00C95249">
        <w:rPr>
          <w:i/>
        </w:rPr>
        <w:t>alter Christus</w:t>
      </w:r>
      <w:r w:rsidRPr="00C95249">
        <w:t>. The Body depends entirely on the Head from whom it receives its life and in whom it finds its unity.</w:t>
      </w:r>
      <w:r>
        <w:t xml:space="preserve"> Once again, these are significant themes of Apostolic ecclesiological thought which can be held together through Cyril’s concept of concorporeality. The Church which is concorporeal with Christ is both an ontological reality and a dependent reality; the Church has true existence, yet that existence is completely dependent upon the grace of God in Christ Jesus.</w:t>
      </w:r>
    </w:p>
    <w:p w:rsidR="00062AED" w:rsidRDefault="00062AED" w:rsidP="009370EA">
      <w:pPr>
        <w:spacing w:line="360" w:lineRule="auto"/>
        <w:jc w:val="both"/>
      </w:pPr>
    </w:p>
    <w:p w:rsidR="00062AED" w:rsidRPr="00CF4CDF" w:rsidRDefault="00062AED" w:rsidP="009370EA">
      <w:pPr>
        <w:pStyle w:val="PhDSubheading"/>
        <w:spacing w:line="360" w:lineRule="auto"/>
      </w:pPr>
      <w:r>
        <w:t xml:space="preserve">6.1.1.4 </w:t>
      </w:r>
      <w:r w:rsidRPr="00CF4CDF">
        <w:t>The Theosis of the Church as the Eternal Purpose of the Triune God</w:t>
      </w:r>
    </w:p>
    <w:p w:rsidR="00062AED" w:rsidRDefault="00062AED" w:rsidP="009370EA">
      <w:pPr>
        <w:spacing w:line="360" w:lineRule="auto"/>
        <w:jc w:val="both"/>
      </w:pPr>
      <w:r>
        <w:t xml:space="preserve">In the last chapter we examined the place of </w:t>
      </w:r>
      <w:r w:rsidRPr="003854DE">
        <w:t>theosis</w:t>
      </w:r>
      <w:r>
        <w:t xml:space="preserve"> in the Apostolic conception of the Eternal Purpose of God. Here we will summarise and synthesize what was unearthed there.</w:t>
      </w:r>
    </w:p>
    <w:p w:rsidR="00A55DCB" w:rsidRDefault="00A55DCB" w:rsidP="009370EA">
      <w:pPr>
        <w:spacing w:line="360" w:lineRule="auto"/>
        <w:jc w:val="both"/>
        <w:rPr>
          <w:rStyle w:val="PhDSubheadingChar"/>
        </w:rPr>
      </w:pPr>
    </w:p>
    <w:p w:rsidR="00650467" w:rsidRDefault="00062AED" w:rsidP="009370EA">
      <w:pPr>
        <w:spacing w:line="360" w:lineRule="auto"/>
        <w:jc w:val="both"/>
      </w:pPr>
      <w:r w:rsidRPr="00650467">
        <w:rPr>
          <w:rStyle w:val="PhDSubheadingChar"/>
        </w:rPr>
        <w:t>6.1.1.4.1 Summing Up All Things In Christ.</w:t>
      </w:r>
      <w:r>
        <w:t xml:space="preserve"> </w:t>
      </w:r>
    </w:p>
    <w:p w:rsidR="00062AED" w:rsidRDefault="00062AED" w:rsidP="009370EA">
      <w:pPr>
        <w:spacing w:line="360" w:lineRule="auto"/>
        <w:jc w:val="both"/>
      </w:pPr>
      <w:r>
        <w:t>The fulfilment of the Eternal Purpose will be that Christ will be all in all in the end.</w:t>
      </w:r>
      <w:r>
        <w:rPr>
          <w:rStyle w:val="FootnoteReference"/>
        </w:rPr>
        <w:footnoteReference w:id="1163"/>
      </w:r>
      <w:r>
        <w:t xml:space="preserve"> This means a ‘reconciliation of things in Heaven and things in earth, a “gathering” of all things together in Christ Jesus, under one Central Head, in one harmonious whole.’</w:t>
      </w:r>
      <w:r>
        <w:rPr>
          <w:rStyle w:val="FootnoteReference"/>
        </w:rPr>
        <w:footnoteReference w:id="1164"/>
      </w:r>
      <w:r>
        <w:t xml:space="preserve"> This summing up of all things under Christ’s Headship will be a unity of communion in the love of the Triune God.</w:t>
      </w:r>
      <w:r>
        <w:rPr>
          <w:rStyle w:val="FootnoteReference"/>
        </w:rPr>
        <w:footnoteReference w:id="1165"/>
      </w:r>
      <w:r>
        <w:t xml:space="preserve"> In this gathering together in Christ in the love of God, the glory of God will envelop the church (which is </w:t>
      </w:r>
      <w:r w:rsidRPr="007819B6">
        <w:t xml:space="preserve">concorporeal </w:t>
      </w:r>
      <w:r>
        <w:t>with Christ) and permeate through the church to all creation.</w:t>
      </w:r>
      <w:r>
        <w:rPr>
          <w:rStyle w:val="FootnoteReference"/>
        </w:rPr>
        <w:footnoteReference w:id="1166"/>
      </w:r>
      <w:r>
        <w:t xml:space="preserve"> Then ‘all will revolve around Christ.’</w:t>
      </w:r>
      <w:r>
        <w:rPr>
          <w:rStyle w:val="FootnoteReference"/>
        </w:rPr>
        <w:footnoteReference w:id="1167"/>
      </w:r>
    </w:p>
    <w:p w:rsidR="00650467" w:rsidRDefault="00650467" w:rsidP="009370EA">
      <w:pPr>
        <w:spacing w:line="360" w:lineRule="auto"/>
        <w:jc w:val="both"/>
      </w:pPr>
    </w:p>
    <w:p w:rsidR="00650467" w:rsidRDefault="00062AED" w:rsidP="009370EA">
      <w:pPr>
        <w:pStyle w:val="PhDSubheading"/>
        <w:spacing w:line="360" w:lineRule="auto"/>
      </w:pPr>
      <w:r>
        <w:t xml:space="preserve">6.1.1.4.2 </w:t>
      </w:r>
      <w:r w:rsidRPr="00D56AED">
        <w:t xml:space="preserve">Partakers of the Divine Nature. </w:t>
      </w:r>
    </w:p>
    <w:p w:rsidR="00062AED" w:rsidRDefault="00062AED" w:rsidP="009370EA">
      <w:pPr>
        <w:spacing w:line="360" w:lineRule="auto"/>
        <w:jc w:val="both"/>
      </w:pPr>
      <w:r w:rsidRPr="00D56AED">
        <w:t xml:space="preserve">The Church participates in the divine nature (cf. 2 Pet. 1:4). This is </w:t>
      </w:r>
      <w:r w:rsidRPr="007819B6">
        <w:t>theosis</w:t>
      </w:r>
      <w:r w:rsidRPr="007819B6">
        <w:rPr>
          <w:rStyle w:val="FootnoteReference"/>
        </w:rPr>
        <w:footnoteReference w:id="1168"/>
      </w:r>
      <w:r w:rsidRPr="00D56AED">
        <w:rPr>
          <w:i/>
        </w:rPr>
        <w:t xml:space="preserve"> </w:t>
      </w:r>
      <w:r w:rsidRPr="00D56AED">
        <w:t>and this is the eternal purpose.</w:t>
      </w:r>
      <w:r w:rsidRPr="00D56AED">
        <w:rPr>
          <w:rStyle w:val="FootnoteReference"/>
        </w:rPr>
        <w:footnoteReference w:id="1169"/>
      </w:r>
      <w:r w:rsidRPr="00D56AED">
        <w:t xml:space="preserve"> Such a participation in the divine nature means a union with the Trinity (through union with Christ the Head of the Church) and so being brought into the loving fellowship of the Father, Son and Holy Spirit.</w:t>
      </w:r>
      <w:r w:rsidRPr="00D56AED">
        <w:rPr>
          <w:rStyle w:val="FootnoteReference"/>
        </w:rPr>
        <w:footnoteReference w:id="1170"/>
      </w:r>
      <w:r>
        <w:t xml:space="preserve"> The Church participates in the divine nature as God gives of himself through the ministry of the Word, through the outpouring of the Holy Spirit, and through the body and blood of Christ in the Eucharist.</w:t>
      </w:r>
      <w:r>
        <w:rPr>
          <w:rStyle w:val="FootnoteReference"/>
        </w:rPr>
        <w:footnoteReference w:id="1171"/>
      </w:r>
      <w:r>
        <w:t xml:space="preserve"> This partaking of the divine nature </w:t>
      </w:r>
      <w:r>
        <w:lastRenderedPageBreak/>
        <w:t>is what it means to be part of the Body of Christ.</w:t>
      </w:r>
      <w:r>
        <w:rPr>
          <w:rStyle w:val="FootnoteReference"/>
        </w:rPr>
        <w:footnoteReference w:id="1172"/>
      </w:r>
      <w:r>
        <w:t xml:space="preserve"> Thus the church partakes of the divine nature (undergoes </w:t>
      </w:r>
      <w:r w:rsidRPr="007819B6">
        <w:t>theosis</w:t>
      </w:r>
      <w:r>
        <w:t xml:space="preserve">) through being </w:t>
      </w:r>
      <w:r w:rsidRPr="007819B6">
        <w:t>concorporeal</w:t>
      </w:r>
      <w:r>
        <w:t xml:space="preserve"> with Christ her Head.</w:t>
      </w:r>
    </w:p>
    <w:p w:rsidR="00650467" w:rsidRDefault="00650467" w:rsidP="009370EA">
      <w:pPr>
        <w:spacing w:line="360" w:lineRule="auto"/>
        <w:jc w:val="both"/>
      </w:pPr>
    </w:p>
    <w:p w:rsidR="00650467" w:rsidRDefault="00062AED" w:rsidP="009370EA">
      <w:pPr>
        <w:pStyle w:val="PhDSubheading"/>
        <w:spacing w:line="360" w:lineRule="auto"/>
      </w:pPr>
      <w:r>
        <w:t xml:space="preserve">6.1.1.4.3 </w:t>
      </w:r>
      <w:r w:rsidRPr="00947171">
        <w:t>Sonship in the Son.</w:t>
      </w:r>
      <w:r>
        <w:t xml:space="preserve"> </w:t>
      </w:r>
    </w:p>
    <w:p w:rsidR="00062AED" w:rsidRDefault="00062AED" w:rsidP="009370EA">
      <w:pPr>
        <w:spacing w:line="360" w:lineRule="auto"/>
        <w:jc w:val="both"/>
      </w:pPr>
      <w:r>
        <w:t>Christ is the natural Son of God, but those who are in Christ are God’s sons by adoption and grace. This adoption to sonship is both the goal of the church’s election (Eph. 1:4-5) and a correlative of the church’s participation in the divine nature;</w:t>
      </w:r>
      <w:r>
        <w:rPr>
          <w:rStyle w:val="FootnoteReference"/>
        </w:rPr>
        <w:footnoteReference w:id="1173"/>
      </w:r>
      <w:r>
        <w:t xml:space="preserve"> participating in the divine nature, the church exists in the love between the Father and the Son in the Spirit.</w:t>
      </w:r>
      <w:r>
        <w:rPr>
          <w:rStyle w:val="FootnoteReference"/>
        </w:rPr>
        <w:footnoteReference w:id="1174"/>
      </w:r>
      <w:r>
        <w:t xml:space="preserve"> Thus the church, united to Christ her Head, shares in his relationship with his Father and is therefore, by grace, a body of sons in the Son.</w:t>
      </w:r>
    </w:p>
    <w:p w:rsidR="00062AED" w:rsidRDefault="00062AED" w:rsidP="009370EA">
      <w:pPr>
        <w:spacing w:line="360" w:lineRule="auto"/>
        <w:jc w:val="both"/>
      </w:pPr>
      <w:r>
        <w:t>Such adoption to sonship was not, for the early Apostolics, merely a forensic matter. Rather, they connected this sonship with loving fellowship:</w:t>
      </w:r>
      <w:r>
        <w:rPr>
          <w:rStyle w:val="FootnoteReference"/>
        </w:rPr>
        <w:footnoteReference w:id="1175"/>
      </w:r>
      <w:r>
        <w:t xml:space="preserve"> ‘a very intimate relationship and fellowship with God.’</w:t>
      </w:r>
      <w:r>
        <w:rPr>
          <w:rStyle w:val="FootnoteReference"/>
        </w:rPr>
        <w:footnoteReference w:id="1176"/>
      </w:r>
      <w:r>
        <w:t xml:space="preserve"> This sonship is the greatest privilege God could possibly give the Church as through it the Church ‘inherit[s] that unique relationship that the Son ha[s] with the Father.’</w:t>
      </w:r>
      <w:r>
        <w:rPr>
          <w:rStyle w:val="FootnoteReference"/>
        </w:rPr>
        <w:footnoteReference w:id="1177"/>
      </w:r>
      <w:r>
        <w:t xml:space="preserve"> </w:t>
      </w:r>
    </w:p>
    <w:p w:rsidR="00650467" w:rsidRDefault="00650467" w:rsidP="009370EA">
      <w:pPr>
        <w:spacing w:line="360" w:lineRule="auto"/>
        <w:jc w:val="both"/>
      </w:pPr>
    </w:p>
    <w:p w:rsidR="00650467" w:rsidRDefault="00062AED" w:rsidP="009370EA">
      <w:pPr>
        <w:pStyle w:val="PhDSubheading"/>
        <w:spacing w:line="360" w:lineRule="auto"/>
      </w:pPr>
      <w:r>
        <w:t xml:space="preserve">6.1.1.4.4 </w:t>
      </w:r>
      <w:r w:rsidRPr="00023E6B">
        <w:t xml:space="preserve">Transfiguration. </w:t>
      </w:r>
    </w:p>
    <w:p w:rsidR="00062AED" w:rsidRDefault="00062AED" w:rsidP="009370EA">
      <w:pPr>
        <w:spacing w:line="360" w:lineRule="auto"/>
        <w:jc w:val="both"/>
      </w:pPr>
      <w:r w:rsidRPr="00023E6B">
        <w:t>The image of transfiguration is not a common one for theosis and the eternal purpose across Apostolic writers, but i</w:t>
      </w:r>
      <w:r>
        <w:t xml:space="preserve">t is notable when it does occur, </w:t>
      </w:r>
      <w:r w:rsidRPr="00023E6B">
        <w:t>due to its significance as an image of theosis in Byzantine theology. W.J. Williams prophesied of the Eternal Purpose as a transfiguration of the Church which is an experience of the Church’s oneness in the love of the Triune God.</w:t>
      </w:r>
      <w:r w:rsidRPr="00023E6B">
        <w:rPr>
          <w:rStyle w:val="FootnoteReference"/>
        </w:rPr>
        <w:footnoteReference w:id="1178"/>
      </w:r>
      <w:r w:rsidRPr="00023E6B">
        <w:t xml:space="preserve"> </w:t>
      </w:r>
      <w:r>
        <w:t>D.P. Williams writes of the need for the lives of believers to be ‘transfigured by love’ as they are ‘immersed in Divinity,’ associating this with BHS and the unity of the Body in Christ.</w:t>
      </w:r>
      <w:r>
        <w:rPr>
          <w:rStyle w:val="FootnoteReference"/>
        </w:rPr>
        <w:footnoteReference w:id="1179"/>
      </w:r>
      <w:r>
        <w:t xml:space="preserve"> </w:t>
      </w:r>
      <w:r w:rsidRPr="00023E6B">
        <w:t xml:space="preserve">Cyril of Alexandria had connected transfiguration with the eschatological </w:t>
      </w:r>
      <w:r w:rsidRPr="00023E6B">
        <w:lastRenderedPageBreak/>
        <w:t>consummation of theosis,</w:t>
      </w:r>
      <w:r w:rsidRPr="00023E6B">
        <w:rPr>
          <w:rStyle w:val="FootnoteReference"/>
        </w:rPr>
        <w:footnoteReference w:id="1180"/>
      </w:r>
      <w:r w:rsidRPr="00023E6B">
        <w:t xml:space="preserve"> a connection further developed by Maximus the Confessor and subsequently by Gregory Palamas and the Hesychastic tradition.</w:t>
      </w:r>
      <w:r w:rsidRPr="00023E6B">
        <w:rPr>
          <w:rStyle w:val="FootnoteReference"/>
        </w:rPr>
        <w:t xml:space="preserve"> </w:t>
      </w:r>
      <w:r w:rsidRPr="00023E6B">
        <w:rPr>
          <w:rStyle w:val="FootnoteReference"/>
        </w:rPr>
        <w:footnoteReference w:id="1181"/>
      </w:r>
    </w:p>
    <w:p w:rsidR="00650467" w:rsidRPr="00023E6B" w:rsidRDefault="00650467" w:rsidP="009370EA">
      <w:pPr>
        <w:spacing w:line="360" w:lineRule="auto"/>
        <w:jc w:val="both"/>
      </w:pPr>
    </w:p>
    <w:p w:rsidR="00650467" w:rsidRDefault="00062AED" w:rsidP="009370EA">
      <w:pPr>
        <w:pStyle w:val="PhDSubheading"/>
        <w:spacing w:line="360" w:lineRule="auto"/>
      </w:pPr>
      <w:r>
        <w:t xml:space="preserve">6.1.1.4.5 </w:t>
      </w:r>
      <w:r w:rsidRPr="006D6F4B">
        <w:t xml:space="preserve">Conformity to the Image of Christ. </w:t>
      </w:r>
    </w:p>
    <w:p w:rsidR="00062AED" w:rsidRDefault="00062AED" w:rsidP="009370EA">
      <w:pPr>
        <w:spacing w:line="360" w:lineRule="auto"/>
        <w:jc w:val="both"/>
      </w:pPr>
      <w:r w:rsidRPr="006D6F4B">
        <w:t>Perhaps more to be expected of a movement which sits comfortably within the sphere of Protestant Evangelicalism, conformity to the image of Christ is a significant theme among the Apostolic writers.</w:t>
      </w:r>
      <w:r>
        <w:t xml:space="preserve"> Yet this theme is not only considered within the more typical evangelical orbit of sanctification, but also in connection with the other themes of theosis. Cathcart sees this conformity to Christ’s image as an aspect of the Church’s sonship, as the Church inherits the Son’s relationship with his Father, which includes his own character.</w:t>
      </w:r>
      <w:r>
        <w:rPr>
          <w:rStyle w:val="FootnoteReference"/>
        </w:rPr>
        <w:footnoteReference w:id="1182"/>
      </w:r>
      <w:r>
        <w:t xml:space="preserve"> Thus the Church shares in the communicable attributes and glory of God.</w:t>
      </w:r>
      <w:r>
        <w:rPr>
          <w:rStyle w:val="FootnoteReference"/>
        </w:rPr>
        <w:footnoteReference w:id="1183"/>
      </w:r>
      <w:r>
        <w:t xml:space="preserve"> This conformity to the image of the Son is ‘the Divine Purpose’ and ‘the climax of redemption.’</w:t>
      </w:r>
      <w:r>
        <w:rPr>
          <w:rStyle w:val="FootnoteReference"/>
        </w:rPr>
        <w:footnoteReference w:id="1184"/>
      </w:r>
    </w:p>
    <w:p w:rsidR="00650467" w:rsidRPr="006D6F4B" w:rsidRDefault="00650467" w:rsidP="009370EA">
      <w:pPr>
        <w:spacing w:line="360" w:lineRule="auto"/>
        <w:jc w:val="both"/>
      </w:pPr>
    </w:p>
    <w:p w:rsidR="00650467" w:rsidRDefault="00062AED" w:rsidP="009370EA">
      <w:pPr>
        <w:pStyle w:val="PhDSubheading"/>
        <w:spacing w:line="360" w:lineRule="auto"/>
      </w:pPr>
      <w:r>
        <w:t xml:space="preserve">6.1.1.4.6 </w:t>
      </w:r>
      <w:r w:rsidRPr="00F7659E">
        <w:t xml:space="preserve">The Formula of Exchange (Admirabile Commercium). </w:t>
      </w:r>
    </w:p>
    <w:p w:rsidR="00062AED" w:rsidRDefault="00062AED" w:rsidP="009370EA">
      <w:pPr>
        <w:spacing w:line="360" w:lineRule="auto"/>
        <w:jc w:val="both"/>
      </w:pPr>
      <w:r>
        <w:t>Finally, both William Cathcart and W.R. Thomas make use of versions of the Formula of Exchange.</w:t>
      </w:r>
      <w:r>
        <w:rPr>
          <w:rStyle w:val="FootnoteReference"/>
        </w:rPr>
        <w:footnoteReference w:id="1185"/>
      </w:r>
      <w:r>
        <w:t xml:space="preserve"> (Although other Apostolic writers may not make use of such a formula, their expressed thought could equally well be summarised by use of one.) Norman Russell identifies the exchange formula, in its Irenaean form, as the ‘fundamental tenet’ of theosis.</w:t>
      </w:r>
      <w:r>
        <w:rPr>
          <w:rStyle w:val="FootnoteReference"/>
        </w:rPr>
        <w:footnoteReference w:id="1186"/>
      </w:r>
    </w:p>
    <w:p w:rsidR="00062AED" w:rsidRDefault="00062AED" w:rsidP="009370EA">
      <w:pPr>
        <w:spacing w:line="360" w:lineRule="auto"/>
        <w:jc w:val="both"/>
      </w:pPr>
      <w:r>
        <w:t>These six elements both summarise the early British Apostolic concept of the Eternal Purpose of the Triune God in the Church and demonstrate clearly that this is a doctrine of theosis, along the lines of the trajectory charted by Irenaeus, Athanasius and Cyril of Alexandria.</w:t>
      </w:r>
      <w:r>
        <w:rPr>
          <w:rStyle w:val="FootnoteReference"/>
        </w:rPr>
        <w:footnoteReference w:id="1187"/>
      </w:r>
    </w:p>
    <w:p w:rsidR="00062AED" w:rsidRDefault="00062AED" w:rsidP="009370EA">
      <w:pPr>
        <w:spacing w:line="360" w:lineRule="auto"/>
        <w:jc w:val="both"/>
      </w:pPr>
    </w:p>
    <w:p w:rsidR="00965AC8" w:rsidRDefault="00965AC8" w:rsidP="009370EA">
      <w:pPr>
        <w:spacing w:line="360" w:lineRule="auto"/>
        <w:jc w:val="both"/>
      </w:pPr>
    </w:p>
    <w:p w:rsidR="00965AC8" w:rsidRDefault="00965AC8" w:rsidP="009370EA">
      <w:pPr>
        <w:spacing w:line="360" w:lineRule="auto"/>
        <w:jc w:val="both"/>
      </w:pPr>
    </w:p>
    <w:p w:rsidR="00062AED" w:rsidRPr="0055384D" w:rsidRDefault="00062AED" w:rsidP="009370EA">
      <w:pPr>
        <w:pStyle w:val="PhDSubheading"/>
        <w:spacing w:line="360" w:lineRule="auto"/>
      </w:pPr>
      <w:r>
        <w:lastRenderedPageBreak/>
        <w:t xml:space="preserve">6.1.1.5 </w:t>
      </w:r>
      <w:r w:rsidRPr="0055384D">
        <w:t>Ecclesial Theosis and Love</w:t>
      </w:r>
    </w:p>
    <w:p w:rsidR="00062AED" w:rsidRDefault="00062AED" w:rsidP="009370EA">
      <w:pPr>
        <w:spacing w:line="360" w:lineRule="auto"/>
        <w:jc w:val="both"/>
      </w:pPr>
      <w:r>
        <w:t>The future of the church is the love of the Triune God. As D.P. Williams points out, this ‘love is the final goal of [the church’s] oneness,’</w:t>
      </w:r>
      <w:r>
        <w:rPr>
          <w:rStyle w:val="FootnoteReference"/>
        </w:rPr>
        <w:footnoteReference w:id="1188"/>
      </w:r>
      <w:r>
        <w:t xml:space="preserve"> or, as Thomas Rees expresses it, God’s purpose ‘for the Body of Christ is to absorb it wholly in love.’</w:t>
      </w:r>
      <w:r>
        <w:rPr>
          <w:rStyle w:val="FootnoteReference"/>
        </w:rPr>
        <w:footnoteReference w:id="1189"/>
      </w:r>
      <w:r>
        <w:t xml:space="preserve"> Already that love has broken into this world through the election, redemption, calling, empowering and filling of the church. Yet beyond this age, in the new heaven and new earth, the church will know the fullness of the love of the God who ‘will wipe away every tear from their eyes’ (Rev. 21:4). This love is the love of the heavenly Bridegroom for his bride, the church (Rev. 21:2) and of the God who draws so near in love as to fill his church with himself and dwell in her as his tabernacle (Rev. 21:3). This is the love of God for all those whom he has received as his sons by adoption and grace (Rev. 21:7). The eschatological age will dawn with the celebration of this great love in ‘the marriage supper of the Lamb’ (Rev. 19:9). Ephesians sums up this eschatological love as God’s ‘kindness</w:t>
      </w:r>
      <w:r>
        <w:rPr>
          <w:rStyle w:val="FootnoteReference"/>
        </w:rPr>
        <w:footnoteReference w:id="1190"/>
      </w:r>
      <w:r>
        <w:t xml:space="preserve"> toward us in Christ Jesus’ which he will show his church ‘in the ages to come’ (Eph. 2:7).</w:t>
      </w:r>
    </w:p>
    <w:p w:rsidR="00062AED" w:rsidRDefault="00062AED" w:rsidP="009370EA">
      <w:pPr>
        <w:spacing w:line="360" w:lineRule="auto"/>
        <w:jc w:val="both"/>
      </w:pPr>
      <w:r>
        <w:t>The traditional Pentecostal ‘four-fold gospel’</w:t>
      </w:r>
      <w:r>
        <w:rPr>
          <w:rStyle w:val="FootnoteReference"/>
        </w:rPr>
        <w:footnoteReference w:id="1191"/>
      </w:r>
      <w:r>
        <w:t xml:space="preserve"> highlights the eschatological hope of early Pentecostalism by pointing to Jesus as the ‘soon-coming King.’ However, as Macchia notes, ‘the dominant metaphor’ among early Pentecostals was of ‘Christ’s coming as a bridegroom for his bride.’</w:t>
      </w:r>
      <w:r>
        <w:rPr>
          <w:rStyle w:val="FootnoteReference"/>
        </w:rPr>
        <w:footnoteReference w:id="1192"/>
      </w:r>
      <w:r>
        <w:t xml:space="preserve"> The church is called to ‘a fervent expectation for the return of the Beloved.’</w:t>
      </w:r>
      <w:r>
        <w:rPr>
          <w:rStyle w:val="FootnoteReference"/>
        </w:rPr>
        <w:footnoteReference w:id="1193"/>
      </w:r>
      <w:r>
        <w:t xml:space="preserve"> This Pentecostal yearning points to the eschatological love which is the goal and aspiration of the church of Christ.</w:t>
      </w:r>
    </w:p>
    <w:p w:rsidR="00062AED" w:rsidRDefault="00062AED" w:rsidP="009370EA">
      <w:pPr>
        <w:spacing w:line="360" w:lineRule="auto"/>
        <w:jc w:val="both"/>
      </w:pPr>
      <w:r>
        <w:t>Yet, now already this eschatological love breaks into the life of the church in BHS.</w:t>
      </w:r>
      <w:r>
        <w:rPr>
          <w:rStyle w:val="FootnoteReference"/>
        </w:rPr>
        <w:footnoteReference w:id="1194"/>
      </w:r>
      <w:r>
        <w:t xml:space="preserve"> As Lesslie Newbigin recognised, this ‘love which is a sharing in the very life of the triune God … is shed abroad in our hearts by the Holy Ghost.’</w:t>
      </w:r>
      <w:r>
        <w:rPr>
          <w:rStyle w:val="FootnoteReference"/>
        </w:rPr>
        <w:footnoteReference w:id="1195"/>
      </w:r>
      <w:r>
        <w:t xml:space="preserve"> Yet even this outpouring ‘is but the earnest of our full sharing in the love of God with all the saints – of our being perfected into one in the Father and the Son.’</w:t>
      </w:r>
      <w:r>
        <w:rPr>
          <w:rStyle w:val="FootnoteReference"/>
        </w:rPr>
        <w:footnoteReference w:id="1196"/>
      </w:r>
      <w:r>
        <w:t xml:space="preserve"> Macchia makes the same connection between the eschatological love we will share </w:t>
      </w:r>
      <w:r>
        <w:lastRenderedPageBreak/>
        <w:t>in participation in the love of the Trinity and the outpouring of the Holy Spirit upon the church now.</w:t>
      </w:r>
      <w:r>
        <w:rPr>
          <w:rStyle w:val="FootnoteReference"/>
        </w:rPr>
        <w:footnoteReference w:id="1197"/>
      </w:r>
      <w:r>
        <w:t xml:space="preserve"> For Macchia, BHS is ‘a participation in the love of God as Father, Son, and Holy Spirit.’</w:t>
      </w:r>
      <w:r>
        <w:rPr>
          <w:rStyle w:val="FootnoteReference"/>
        </w:rPr>
        <w:footnoteReference w:id="1198"/>
      </w:r>
      <w:r>
        <w:t xml:space="preserve"> This ‘love is absolute to the nature of God. It is the essence of God and the substance of our participation in God.’</w:t>
      </w:r>
      <w:r>
        <w:rPr>
          <w:rStyle w:val="FootnoteReference"/>
        </w:rPr>
        <w:footnoteReference w:id="1199"/>
      </w:r>
      <w:r>
        <w:t xml:space="preserve"> Unless this is recognised as the nature of BHS, the focus will be upon ‘raw energy without substance or direction, feeding little more than an emotional release.’</w:t>
      </w:r>
      <w:r>
        <w:rPr>
          <w:rStyle w:val="FootnoteReference"/>
        </w:rPr>
        <w:footnoteReference w:id="1200"/>
      </w:r>
      <w:r>
        <w:t xml:space="preserve"> As the Apostolics highlighted, in BHS, God ‘baptise[s] the Church with … Divine love.’</w:t>
      </w:r>
      <w:r>
        <w:rPr>
          <w:rStyle w:val="FootnoteReference"/>
        </w:rPr>
        <w:footnoteReference w:id="1201"/>
      </w:r>
    </w:p>
    <w:p w:rsidR="00062AED" w:rsidRDefault="00062AED" w:rsidP="009370EA">
      <w:pPr>
        <w:spacing w:line="360" w:lineRule="auto"/>
        <w:jc w:val="both"/>
      </w:pPr>
      <w:r>
        <w:t xml:space="preserve">However, this eschatological in-breaking of love in BHS can never be disassociated from the love of God demonstrated in the </w:t>
      </w:r>
      <w:r w:rsidRPr="00D54768">
        <w:rPr>
          <w:i/>
        </w:rPr>
        <w:t>historia salutis</w:t>
      </w:r>
      <w:r>
        <w:t>. ‘Divine love is not an intellectual concept but an event: the event of the incarnation, the cross, the resurrection, and the outpouring of the Spirit on all flesh.’</w:t>
      </w:r>
      <w:r>
        <w:rPr>
          <w:rStyle w:val="FootnoteReference"/>
        </w:rPr>
        <w:footnoteReference w:id="1202"/>
      </w:r>
      <w:r>
        <w:t xml:space="preserve"> This baptism of love always points back to the Cross as well as forward to the </w:t>
      </w:r>
      <w:r w:rsidRPr="00F80C4C">
        <w:rPr>
          <w:i/>
        </w:rPr>
        <w:t>eschaton</w:t>
      </w:r>
      <w:r>
        <w:t>: back to the glorification of Christ as well as forward to the glorification of the church.</w:t>
      </w:r>
    </w:p>
    <w:p w:rsidR="00062AED" w:rsidRDefault="00062AED" w:rsidP="009370EA">
      <w:pPr>
        <w:spacing w:line="360" w:lineRule="auto"/>
        <w:jc w:val="both"/>
      </w:pPr>
    </w:p>
    <w:p w:rsidR="00062AED" w:rsidRPr="001A2494" w:rsidRDefault="00062AED" w:rsidP="009370EA">
      <w:pPr>
        <w:pStyle w:val="PhDSubheading"/>
        <w:spacing w:line="360" w:lineRule="auto"/>
      </w:pPr>
      <w:r>
        <w:t xml:space="preserve">6.1.2 </w:t>
      </w:r>
      <w:r w:rsidRPr="001A2494">
        <w:t>Concorporeal Union with God: Ecclesial Theosis</w:t>
      </w:r>
    </w:p>
    <w:p w:rsidR="00062AED" w:rsidRPr="00E54207" w:rsidRDefault="00062AED" w:rsidP="009370EA">
      <w:pPr>
        <w:pStyle w:val="PhDSubheading"/>
        <w:spacing w:line="360" w:lineRule="auto"/>
      </w:pPr>
      <w:r>
        <w:t xml:space="preserve">6.1.2.1 </w:t>
      </w:r>
      <w:r w:rsidRPr="00E54207">
        <w:t>Ecclesial Theosis and Grace</w:t>
      </w:r>
    </w:p>
    <w:p w:rsidR="00062AED" w:rsidRDefault="00062AED" w:rsidP="009370EA">
      <w:pPr>
        <w:spacing w:line="360" w:lineRule="auto"/>
        <w:jc w:val="both"/>
      </w:pPr>
      <w:r>
        <w:t xml:space="preserve">An ecclesial concept of </w:t>
      </w:r>
      <w:r w:rsidRPr="003854DE">
        <w:t xml:space="preserve">theosis </w:t>
      </w:r>
      <w:r>
        <w:t xml:space="preserve">sits comfortably alongside a Reformation emphasis on </w:t>
      </w:r>
      <w:r w:rsidRPr="009A2A73">
        <w:rPr>
          <w:i/>
        </w:rPr>
        <w:t>sola gratia</w:t>
      </w:r>
      <w:r>
        <w:t xml:space="preserve">. In fact, a doctrine of ecclesial </w:t>
      </w:r>
      <w:r w:rsidRPr="007819B6">
        <w:t>theosis</w:t>
      </w:r>
      <w:r>
        <w:t xml:space="preserve"> allows for emphasis on both God’s action (the side of Apostolic thought rooted in the Reformation) and human experience (the side of Apostolic thought rooted in the Welsh Revival), properly related. </w:t>
      </w:r>
      <w:r w:rsidRPr="007819B6">
        <w:t>Theosis</w:t>
      </w:r>
      <w:r>
        <w:t xml:space="preserve"> holds together both the objective and the subjective. God’s objective work in theosis leads to human subjective experience of </w:t>
      </w:r>
      <w:r w:rsidRPr="007819B6">
        <w:t>theosis</w:t>
      </w:r>
      <w:r>
        <w:t xml:space="preserve">. Through God’s objective work in Christ, objectively given in Word, Spirit, and sacrament, the church objectively undergoes </w:t>
      </w:r>
      <w:r w:rsidRPr="007819B6">
        <w:t>theosis</w:t>
      </w:r>
      <w:r>
        <w:t xml:space="preserve"> and as a result subjectively experiences </w:t>
      </w:r>
      <w:r w:rsidRPr="007819B6">
        <w:t>theosis</w:t>
      </w:r>
      <w:r>
        <w:t xml:space="preserve">. While objectively the Church participates in the divine nature through union with Christ, subjectively the Church grows in the experience of this loving communion with the Triune God through hearing the Word, being filled with the Spirit, and feeding on Christ in the Lord’s Supper. While objectively the Church is adopted to sonship in the Son through union with the Son in faith, subjectively she experiences the warm love of the Father for his sons as the Spirit is poured out in the hearts of her members (Rom. 5:5; Gal. 4:6). The action of the Triune God comes first and then </w:t>
      </w:r>
      <w:r>
        <w:lastRenderedPageBreak/>
        <w:t>leads to human experience of what he has done. Theosis, then, can emphasise the priority of God’s grace.</w:t>
      </w:r>
    </w:p>
    <w:p w:rsidR="00650467" w:rsidRDefault="00650467" w:rsidP="009370EA">
      <w:pPr>
        <w:spacing w:line="360" w:lineRule="auto"/>
        <w:jc w:val="both"/>
      </w:pPr>
    </w:p>
    <w:p w:rsidR="00062AED" w:rsidRPr="00C33D73" w:rsidRDefault="00062AED" w:rsidP="009370EA">
      <w:pPr>
        <w:pStyle w:val="PhDSubheading"/>
        <w:spacing w:line="360" w:lineRule="auto"/>
      </w:pPr>
      <w:r>
        <w:t xml:space="preserve">6.1.2.2 Grace, Theosis, </w:t>
      </w:r>
      <w:r w:rsidRPr="00C33D73">
        <w:t>Justification</w:t>
      </w:r>
      <w:r>
        <w:t xml:space="preserve"> and Pentecostal Theology</w:t>
      </w:r>
    </w:p>
    <w:p w:rsidR="00062AED" w:rsidRPr="00A4770F" w:rsidRDefault="00062AED" w:rsidP="009370EA">
      <w:pPr>
        <w:spacing w:line="360" w:lineRule="auto"/>
        <w:jc w:val="both"/>
      </w:pPr>
      <w:r>
        <w:t xml:space="preserve">Despite this, many writers have seen a tension between concepts of theosis and the Reformation Protestant emphasis on justification by grace alone. At this point then, </w:t>
      </w:r>
      <w:r w:rsidRPr="00A4770F">
        <w:t xml:space="preserve">it is only appropriate to ask whether the concept of theosis is compatible with Pentecostal theology. The standard Pentecostal manuals of theology make no reference to theosis, and hence theosis is not generally regarded as a mainstream Pentecostal doctrine. </w:t>
      </w:r>
    </w:p>
    <w:p w:rsidR="00062AED" w:rsidRPr="00A4770F" w:rsidRDefault="00062AED" w:rsidP="009370EA">
      <w:pPr>
        <w:spacing w:line="360" w:lineRule="auto"/>
        <w:jc w:val="both"/>
      </w:pPr>
      <w:r w:rsidRPr="00A4770F">
        <w:t xml:space="preserve">In recent years, however, a number of Pentecostal theologians have begun to draw upon the concept of theosis. Finnish Pentecostal ecumenist and theologian, Veli-Matti Kärkkäinen, has </w:t>
      </w:r>
      <w:r>
        <w:t>attempted to</w:t>
      </w:r>
      <w:r w:rsidRPr="00A4770F">
        <w:t xml:space="preserve"> appropriat</w:t>
      </w:r>
      <w:r>
        <w:t>e</w:t>
      </w:r>
      <w:r w:rsidRPr="00A4770F">
        <w:t xml:space="preserve"> this seemingly Eastern doctrine for Pentecostal theology.</w:t>
      </w:r>
      <w:r w:rsidRPr="00A4770F">
        <w:rPr>
          <w:vertAlign w:val="superscript"/>
        </w:rPr>
        <w:footnoteReference w:id="1203"/>
      </w:r>
      <w:r w:rsidRPr="00A4770F">
        <w:t xml:space="preserve"> Kärkkäinen studied at the University of Helsinki under Tuomo Mannermaa who is at the forefront of the new Finnish perspective on Luther (or the Mannermaa school), which sees a concept of theosis in the writings of Martin Luther.</w:t>
      </w:r>
      <w:r>
        <w:rPr>
          <w:rStyle w:val="FootnoteReference"/>
        </w:rPr>
        <w:footnoteReference w:id="1204"/>
      </w:r>
      <w:r w:rsidRPr="00A4770F">
        <w:t xml:space="preserve"> </w:t>
      </w:r>
    </w:p>
    <w:p w:rsidR="00062AED" w:rsidRPr="00A4770F" w:rsidRDefault="00062AED" w:rsidP="009370EA">
      <w:pPr>
        <w:spacing w:line="360" w:lineRule="auto"/>
        <w:jc w:val="both"/>
      </w:pPr>
      <w:r w:rsidRPr="00A4770F">
        <w:t xml:space="preserve">Given this background, it is unsurprising that Kärkkäinen’s appropriation of theosis is firmly rooted in soteriology and is particularly concerned with the doctrine of justification. Kärkkäinen envisages a reworking of the doctrine of justification in terms of theosis and in light of the Mannermaa school’s new interpretation of Luther. For Kärkkäinen, ‘Justification can be described in at least three inter-related ways: participation in God, the presence of Christ in the believer through the Holy Spirit, or </w:t>
      </w:r>
      <w:r w:rsidRPr="00A4770F">
        <w:rPr>
          <w:i/>
        </w:rPr>
        <w:t>theosis</w:t>
      </w:r>
      <w:r w:rsidRPr="00A4770F">
        <w:t>.’</w:t>
      </w:r>
      <w:r w:rsidRPr="00A4770F">
        <w:rPr>
          <w:vertAlign w:val="superscript"/>
        </w:rPr>
        <w:footnoteReference w:id="1205"/>
      </w:r>
      <w:r w:rsidRPr="00A4770F">
        <w:t xml:space="preserve"> Significantly, none of these three inter-related ways of describing justification corresponds to the traditional Protestant doctrine</w:t>
      </w:r>
      <w:r>
        <w:t>.</w:t>
      </w:r>
      <w:r w:rsidRPr="00A4770F">
        <w:rPr>
          <w:vertAlign w:val="superscript"/>
        </w:rPr>
        <w:footnoteReference w:id="1206"/>
      </w:r>
      <w:r w:rsidRPr="00A4770F">
        <w:t xml:space="preserve"> Rather, Kärkkäinen seeks to steer clear of a forensic approach to justification: ‘The advocates of the new interpretation claim that for Luther the doctrine of justification is not primarily a forensic term but rather a matter of Christ abiding in the heart of the believer in a “real-ontic” way.’</w:t>
      </w:r>
      <w:r w:rsidRPr="00A4770F">
        <w:rPr>
          <w:vertAlign w:val="superscript"/>
        </w:rPr>
        <w:footnoteReference w:id="1207"/>
      </w:r>
      <w:r w:rsidRPr="00A4770F">
        <w:t xml:space="preserve"> Thus, </w:t>
      </w:r>
      <w:r w:rsidRPr="00A4770F">
        <w:lastRenderedPageBreak/>
        <w:t xml:space="preserve">Kärkkäinen is critical of the forensic focus of the response of the Pentecostal churches in his native Finland to the Roman Catholic-Lutheran </w:t>
      </w:r>
      <w:r w:rsidRPr="00A4770F">
        <w:rPr>
          <w:i/>
        </w:rPr>
        <w:t>Joint Declaration on the Doctrine of Justification</w:t>
      </w:r>
      <w:r w:rsidRPr="00A4770F">
        <w:t>.</w:t>
      </w:r>
      <w:r w:rsidRPr="00A4770F">
        <w:rPr>
          <w:vertAlign w:val="superscript"/>
        </w:rPr>
        <w:footnoteReference w:id="1208"/>
      </w:r>
      <w:r w:rsidRPr="00A4770F">
        <w:t xml:space="preserve"> </w:t>
      </w:r>
    </w:p>
    <w:p w:rsidR="00062AED" w:rsidRPr="00A4770F" w:rsidRDefault="00062AED" w:rsidP="009370EA">
      <w:pPr>
        <w:spacing w:line="360" w:lineRule="auto"/>
        <w:jc w:val="both"/>
      </w:pPr>
      <w:r w:rsidRPr="00A4770F">
        <w:t>Kärkkäinen suggests that, just as the Mannermaa school has discovered an important role for theosis in Luther’s thought (although, Kärkkäinen does at one point admit the controversial nature of the proposals of the Mannermaa school)</w:t>
      </w:r>
      <w:r w:rsidRPr="00A4770F">
        <w:rPr>
          <w:vertAlign w:val="superscript"/>
        </w:rPr>
        <w:footnoteReference w:id="1209"/>
      </w:r>
      <w:r w:rsidRPr="00A4770F">
        <w:t>, ‘perhaps a similar kind of finding could happen when Pentecostal-Holiness texts are searched.’</w:t>
      </w:r>
      <w:r w:rsidRPr="00A4770F">
        <w:rPr>
          <w:vertAlign w:val="superscript"/>
        </w:rPr>
        <w:footnoteReference w:id="1210"/>
      </w:r>
      <w:r w:rsidRPr="00A4770F">
        <w:t xml:space="preserve"> </w:t>
      </w:r>
    </w:p>
    <w:p w:rsidR="00062AED" w:rsidRPr="00A4770F" w:rsidRDefault="00062AED" w:rsidP="009370EA">
      <w:pPr>
        <w:spacing w:line="360" w:lineRule="auto"/>
        <w:jc w:val="both"/>
      </w:pPr>
      <w:r w:rsidRPr="00A4770F">
        <w:t>So then, do the traces of theosis in the writings of the early British Apostolics provide the ‘finding’ which Kärkkäinen suggests, and which would support his arguments for a Pentecostal doctrine of theosis? In order to answer that question, two things must be taken into consideration: firstly, what exactly does Kärkkäinen mean by theosis? And secondly, why does he want Pentecostals to explore the concept?</w:t>
      </w:r>
    </w:p>
    <w:p w:rsidR="00062AED" w:rsidRPr="00A4770F" w:rsidRDefault="00062AED" w:rsidP="009370EA">
      <w:pPr>
        <w:spacing w:line="360" w:lineRule="auto"/>
        <w:jc w:val="both"/>
      </w:pPr>
      <w:r w:rsidRPr="00A4770F">
        <w:t xml:space="preserve">Kärkkäinen has been criticised before for his lack of clarity concerning the definition of theosis/deification.  Responding to Kärkkäinen’s argument for justification as deification, Michael Bird writes: </w:t>
      </w:r>
    </w:p>
    <w:p w:rsidR="00062AED" w:rsidRPr="00A4770F" w:rsidRDefault="00062AED" w:rsidP="009370EA">
      <w:pPr>
        <w:spacing w:line="360" w:lineRule="auto"/>
        <w:ind w:left="720" w:right="720"/>
        <w:jc w:val="both"/>
        <w:rPr>
          <w:sz w:val="20"/>
        </w:rPr>
      </w:pPr>
      <w:r w:rsidRPr="00A4770F">
        <w:rPr>
          <w:sz w:val="20"/>
        </w:rPr>
        <w:t xml:space="preserve">Kärkkäinen nowhere </w:t>
      </w:r>
      <w:r>
        <w:rPr>
          <w:sz w:val="20"/>
        </w:rPr>
        <w:t>…</w:t>
      </w:r>
      <w:r w:rsidRPr="00A4770F">
        <w:rPr>
          <w:sz w:val="20"/>
        </w:rPr>
        <w:t xml:space="preserve"> defines what he actually means by theosis or deification. Ideas of theosis are notoriously varied among ancient and modern theologians. Some treat theosis as the absorption of the divine nature, while others regard theosis as conformity to the image of Christ.</w:t>
      </w:r>
      <w:r w:rsidRPr="00A4770F">
        <w:rPr>
          <w:sz w:val="20"/>
          <w:vertAlign w:val="superscript"/>
        </w:rPr>
        <w:footnoteReference w:id="1211"/>
      </w:r>
    </w:p>
    <w:p w:rsidR="00062AED" w:rsidRPr="00A4770F" w:rsidRDefault="00062AED" w:rsidP="009370EA">
      <w:pPr>
        <w:spacing w:line="360" w:lineRule="auto"/>
        <w:jc w:val="both"/>
      </w:pPr>
      <w:r w:rsidRPr="00A4770F">
        <w:t>In asking what Kärkkäinen means by theosis we are investigating to see if it is really the same concept as that of the early Apostolics. So, can we find a definition in his work?</w:t>
      </w:r>
    </w:p>
    <w:p w:rsidR="00062AED" w:rsidRPr="00A4770F" w:rsidRDefault="00062AED" w:rsidP="009370EA">
      <w:pPr>
        <w:spacing w:line="360" w:lineRule="auto"/>
        <w:jc w:val="both"/>
      </w:pPr>
      <w:r w:rsidRPr="00A4770F">
        <w:t>Kärkkäinen offers a definition from Tuomo Mannermaa for the doctrine of theosis:</w:t>
      </w:r>
    </w:p>
    <w:p w:rsidR="00062AED" w:rsidRPr="00A4770F" w:rsidRDefault="00062AED" w:rsidP="009370EA">
      <w:pPr>
        <w:spacing w:line="360" w:lineRule="auto"/>
        <w:ind w:left="720" w:right="720"/>
        <w:jc w:val="both"/>
        <w:rPr>
          <w:sz w:val="20"/>
        </w:rPr>
      </w:pPr>
      <w:r w:rsidRPr="00A4770F">
        <w:rPr>
          <w:sz w:val="20"/>
        </w:rPr>
        <w:t xml:space="preserve">Divine life has manifested itself in Christ. In the church as the body of Christ, man has a share in this life. Man partakes thereby of ‘the divine nature’ (2 Pet. 1:4). This ‘nature’, or divine life, permeates the being of man like a leaven in order to restore it to its original condition as </w:t>
      </w:r>
      <w:r w:rsidRPr="00A4770F">
        <w:rPr>
          <w:i/>
          <w:sz w:val="20"/>
        </w:rPr>
        <w:t>imago Dei</w:t>
      </w:r>
      <w:r w:rsidRPr="00A4770F">
        <w:rPr>
          <w:sz w:val="20"/>
        </w:rPr>
        <w:t>.</w:t>
      </w:r>
      <w:r w:rsidRPr="00A4770F">
        <w:rPr>
          <w:sz w:val="20"/>
          <w:vertAlign w:val="superscript"/>
        </w:rPr>
        <w:footnoteReference w:id="1212"/>
      </w:r>
    </w:p>
    <w:p w:rsidR="00062AED" w:rsidRPr="00A4770F" w:rsidRDefault="00062AED" w:rsidP="009370EA">
      <w:pPr>
        <w:spacing w:line="360" w:lineRule="auto"/>
        <w:jc w:val="both"/>
      </w:pPr>
      <w:r w:rsidRPr="00A4770F">
        <w:lastRenderedPageBreak/>
        <w:t>Elsewhere Kärkkäinen defines theosis as ‘the mystery of human nature’s perfection in Christ, not its alteration or destruction, because theosis is the mystery of eternal life in communion with God in the divine Logos.’</w:t>
      </w:r>
      <w:r w:rsidRPr="00A4770F">
        <w:rPr>
          <w:vertAlign w:val="superscript"/>
        </w:rPr>
        <w:footnoteReference w:id="1213"/>
      </w:r>
      <w:r w:rsidRPr="00A4770F">
        <w:t xml:space="preserve"> Both this definition and the one he offers from Mannermaa clarify again that when he writes of ‘a human being becoming a god’,</w:t>
      </w:r>
      <w:r w:rsidRPr="00A4770F">
        <w:rPr>
          <w:vertAlign w:val="superscript"/>
        </w:rPr>
        <w:footnoteReference w:id="1214"/>
      </w:r>
      <w:r w:rsidRPr="00A4770F">
        <w:t xml:space="preserve"> he is not advocating pantheism or an ontological transformation of humanity into divinity. Both these definitions place the locus of theosis in Christ. Yet, other than that, neither definition is particularly precise. What we can conclude from Kärkkäinen’s attempts to define theosis is that it involves eternal life in union with Christ that brings about transformation. However, this is insufficient to clarify the particular doctrine of theosis which Kärkkäinen has in mind.</w:t>
      </w:r>
    </w:p>
    <w:p w:rsidR="00062AED" w:rsidRPr="00A4770F" w:rsidRDefault="00062AED" w:rsidP="009370EA">
      <w:pPr>
        <w:spacing w:line="360" w:lineRule="auto"/>
        <w:jc w:val="both"/>
      </w:pPr>
      <w:r w:rsidRPr="00A4770F">
        <w:t>The reasons for which Kärkkäinen wants Pentecostals to explore the doctrine of theosis may shed further light on the matter. He offers three. Firstly, ‘Deification is an ecumenically fruitful and biblically-theologically legitimate image of salvation, which, although rarely used by Pentecostal-Holiness people, has some roots in their tradition.’</w:t>
      </w:r>
      <w:r w:rsidRPr="00A4770F">
        <w:rPr>
          <w:vertAlign w:val="superscript"/>
        </w:rPr>
        <w:footnoteReference w:id="1215"/>
      </w:r>
      <w:r w:rsidRPr="00A4770F">
        <w:t xml:space="preserve"> Here Kärkkäinen argues that a re-appropriation of theosis would provide a suitably contextualised image of salvation for our contemporary world. ‘Without getting adjusted to the mindset of our days (cf. Rom. 12:2), we need to respond to challenges also from other religions, and speak about a legitimate kind of “divinization.” This is an exercise in the contextualization of theology.’</w:t>
      </w:r>
      <w:r w:rsidRPr="00A4770F">
        <w:rPr>
          <w:vertAlign w:val="superscript"/>
        </w:rPr>
        <w:footnoteReference w:id="1216"/>
      </w:r>
      <w:r w:rsidRPr="00A4770F">
        <w:t xml:space="preserve"> Notice here that Kärkkäinen is not arguing that theosis is </w:t>
      </w:r>
      <w:r w:rsidRPr="00A4770F">
        <w:rPr>
          <w:i/>
        </w:rPr>
        <w:t>the</w:t>
      </w:r>
      <w:r w:rsidRPr="00A4770F">
        <w:t xml:space="preserve"> biblical </w:t>
      </w:r>
      <w:r w:rsidRPr="00A4770F">
        <w:rPr>
          <w:i/>
        </w:rPr>
        <w:t>doctrine</w:t>
      </w:r>
      <w:r w:rsidRPr="00A4770F">
        <w:t xml:space="preserve"> of salvation, but rather that </w:t>
      </w:r>
      <w:r w:rsidR="003236D7">
        <w:t xml:space="preserve">it </w:t>
      </w:r>
      <w:r w:rsidRPr="00A4770F">
        <w:t xml:space="preserve">is </w:t>
      </w:r>
      <w:r w:rsidRPr="00A4770F">
        <w:rPr>
          <w:i/>
        </w:rPr>
        <w:t>a</w:t>
      </w:r>
      <w:r w:rsidRPr="00A4770F">
        <w:t xml:space="preserve"> biblically legitimate </w:t>
      </w:r>
      <w:r w:rsidRPr="00A4770F">
        <w:rPr>
          <w:i/>
        </w:rPr>
        <w:t>image</w:t>
      </w:r>
      <w:r w:rsidRPr="00A4770F">
        <w:t xml:space="preserve"> which serves the present challenges of ecumenism and contextualization.</w:t>
      </w:r>
    </w:p>
    <w:p w:rsidR="00062AED" w:rsidRPr="00A4770F" w:rsidRDefault="00062AED" w:rsidP="009370EA">
      <w:pPr>
        <w:spacing w:line="360" w:lineRule="auto"/>
        <w:jc w:val="both"/>
      </w:pPr>
      <w:r w:rsidRPr="00A4770F">
        <w:t>Secondly, Kärkkäinen suggests that ‘[t]he idea of deification is a pneumatologically rich concept, thus helping Pentecostal-Holiness theologies to highlight the role of the Spirit in soteriology.’</w:t>
      </w:r>
      <w:r w:rsidRPr="00A4770F">
        <w:rPr>
          <w:vertAlign w:val="superscript"/>
        </w:rPr>
        <w:footnoteReference w:id="1217"/>
      </w:r>
      <w:r w:rsidRPr="00A4770F">
        <w:t xml:space="preserve"> Here again Kärkkäinen’s distaste for the Reformation doctrine of justification comes to the fore, arguing that the concept of theosis will pneumatologically enrich ‘Pentecostal soteriology which is built on the one hand on the christological categories of Latin theology and, on the other hand, on the forensic-juridical concepts of Reformation’.</w:t>
      </w:r>
      <w:r w:rsidRPr="00A4770F">
        <w:rPr>
          <w:vertAlign w:val="superscript"/>
        </w:rPr>
        <w:footnoteReference w:id="1218"/>
      </w:r>
      <w:r w:rsidRPr="00A4770F">
        <w:t xml:space="preserve"> For Kärkkäinen, the forensic approach to justification is ‘one-sided’</w:t>
      </w:r>
      <w:r w:rsidRPr="00A4770F">
        <w:rPr>
          <w:vertAlign w:val="superscript"/>
        </w:rPr>
        <w:footnoteReference w:id="1219"/>
      </w:r>
      <w:r w:rsidRPr="00A4770F">
        <w:t xml:space="preserve"> and hence a pneumatological theosis approach to justification would do ‘much better justice to [Pentecostal] spirituality.’</w:t>
      </w:r>
      <w:r w:rsidRPr="00A4770F">
        <w:rPr>
          <w:vertAlign w:val="superscript"/>
        </w:rPr>
        <w:footnoteReference w:id="1220"/>
      </w:r>
      <w:r w:rsidRPr="00A4770F">
        <w:t xml:space="preserve"> Thus, for Kärkkäinen, a Pentecostal </w:t>
      </w:r>
      <w:r w:rsidRPr="00A4770F">
        <w:lastRenderedPageBreak/>
        <w:t>exploration and appropriation of theosis is an opportunity to rework Pentecostal soteriology and jettison the Reformation doctrine of forensic justification.</w:t>
      </w:r>
    </w:p>
    <w:p w:rsidR="00062AED" w:rsidRDefault="00062AED" w:rsidP="009370EA">
      <w:pPr>
        <w:spacing w:line="360" w:lineRule="auto"/>
        <w:jc w:val="both"/>
      </w:pPr>
      <w:r w:rsidRPr="00A4770F">
        <w:t>Finally, Kärkkäinen’s third reason for encouraging Pentecostals to explore the concept of theosis is that ‘[e]ncounter with Eastern traditions helps Pentecostal-Holiness theologies to clarify some basic issues which Reformation traditions have found problematic.’</w:t>
      </w:r>
      <w:r w:rsidRPr="00A4770F">
        <w:rPr>
          <w:vertAlign w:val="superscript"/>
        </w:rPr>
        <w:footnoteReference w:id="1221"/>
      </w:r>
      <w:r w:rsidRPr="00A4770F">
        <w:t xml:space="preserve"> Again, Kärkkäinen turns against the Reformation doctrine of justification: ‘It seems to me that Pentecostals have been so eager to identify themselves with the Reformation doctrine of justification that they have not seen how their anthropology and view of human responsibility is in tension with the Reformation view.’</w:t>
      </w:r>
      <w:r w:rsidRPr="00A4770F">
        <w:rPr>
          <w:vertAlign w:val="superscript"/>
        </w:rPr>
        <w:footnoteReference w:id="1222"/>
      </w:r>
      <w:r w:rsidRPr="00A4770F">
        <w:t xml:space="preserve"> The tensions which he sees between Pentecostalism and Reformation theology (and, on the other hand, affinities between Pentecostalism and Eastern Orthodoxy) are here particularly identified as the areas of ‘free will and </w:t>
      </w:r>
      <w:r w:rsidRPr="00A4770F">
        <w:rPr>
          <w:i/>
        </w:rPr>
        <w:t>synergia</w:t>
      </w:r>
      <w:r w:rsidRPr="00A4770F">
        <w:t>.’</w:t>
      </w:r>
      <w:r w:rsidRPr="00A4770F">
        <w:rPr>
          <w:vertAlign w:val="superscript"/>
        </w:rPr>
        <w:footnoteReference w:id="1223"/>
      </w:r>
      <w:r w:rsidRPr="00A4770F">
        <w:t xml:space="preserve"> Elsewhere Kärkkäinen has argued that Pentecostal soteriology is inherently synergistic, not only in terms of sanctification, but also justification, and linked this with freedom of the will, drawing parallels with Eastern Orthodoxy.</w:t>
      </w:r>
      <w:r w:rsidRPr="00A4770F">
        <w:rPr>
          <w:vertAlign w:val="superscript"/>
        </w:rPr>
        <w:footnoteReference w:id="1224"/>
      </w:r>
      <w:r w:rsidRPr="00A4770F">
        <w:t xml:space="preserve"> Therefore, for Kärkkäinen, theosis could be a way to liberate Pentecostal soteriology from the more monergistic Reformation soteriological tradition with its forensic and juridical categories of sin and salvation, and its strong concept of the bondage of the will. In short then, Kärkkäinen appears to view theosis primarily as a soteriological category which could replace the Reformation doctrine of justification.</w:t>
      </w:r>
    </w:p>
    <w:p w:rsidR="00062AED" w:rsidRPr="00C33D73" w:rsidRDefault="00062AED" w:rsidP="009370EA">
      <w:pPr>
        <w:spacing w:line="360" w:lineRule="auto"/>
        <w:jc w:val="both"/>
      </w:pPr>
      <w:r>
        <w:t>Is</w:t>
      </w:r>
      <w:r w:rsidRPr="00C33D73">
        <w:t xml:space="preserve"> the concept of theosis found in the writings of the early British Apostolics compatible with Kärkkäinen’s project? Could these be the sort of discoveries he suggests could be possible in early Pentecostal texts to parallel the Mannermaa school’s claimed discoveries in Luther? To answer those questions we need to look at the wider theological context in which these texts sit. As Kärkkäinen’s view of theosis is so closely linked to soteriology and particularly justification, we must examine the soteriological context of these Apostolic texts, and the accompanying view of justification.</w:t>
      </w:r>
    </w:p>
    <w:p w:rsidR="00062AED" w:rsidRPr="00C33D73" w:rsidRDefault="00062AED" w:rsidP="009370EA">
      <w:pPr>
        <w:spacing w:line="360" w:lineRule="auto"/>
        <w:jc w:val="both"/>
      </w:pPr>
      <w:r w:rsidRPr="00C33D73">
        <w:t xml:space="preserve">In any consideration of the soteriology of the early Apostolics, we must bear in mind that these were confessional writers. Thus their soteriology is closely bound to their confession of faith. D.P. Williams was certainly involved in drafting the confession, but all these men as ministers in the Apostolic Church would have promised at their ordinations ‘always directly and indirectly to </w:t>
      </w:r>
      <w:r w:rsidRPr="00C33D73">
        <w:lastRenderedPageBreak/>
        <w:t>support and enhance these doctrines’.</w:t>
      </w:r>
      <w:r w:rsidRPr="00C33D73">
        <w:rPr>
          <w:vertAlign w:val="superscript"/>
        </w:rPr>
        <w:footnoteReference w:id="1225"/>
      </w:r>
      <w:r w:rsidRPr="00C33D73">
        <w:t xml:space="preserve">  Thus their confession of faith will serve as a good starting point for our investigation.</w:t>
      </w:r>
    </w:p>
    <w:p w:rsidR="00062AED" w:rsidRPr="00C33D73" w:rsidRDefault="00062AED" w:rsidP="009370EA">
      <w:pPr>
        <w:spacing w:line="360" w:lineRule="auto"/>
        <w:jc w:val="both"/>
      </w:pPr>
      <w:r w:rsidRPr="00C33D73">
        <w:t xml:space="preserve">The fourth tenet of the Apostolic Church affirms belief in ‘Justification and Sanctification of the believer through the finished work of Christ.’ Although initially this may appear to be a rather basic statement open to wide interpretation, looks can be deceiving. While this tenet differs from typical reformed-evangelical statements on justification by grace alone through faith alone, it does in fact state the same forensic doctrine. Rather than focusing on </w:t>
      </w:r>
      <w:r w:rsidRPr="00C81C0A">
        <w:rPr>
          <w:i/>
        </w:rPr>
        <w:t>Sola Fide</w:t>
      </w:r>
      <w:r w:rsidRPr="00C33D73">
        <w:t xml:space="preserve"> and </w:t>
      </w:r>
      <w:r w:rsidRPr="00C81C0A">
        <w:rPr>
          <w:i/>
        </w:rPr>
        <w:t>Sola Gratia</w:t>
      </w:r>
      <w:r w:rsidRPr="00C33D73">
        <w:t xml:space="preserve">, the tenet goes behind them to the underlying concept of </w:t>
      </w:r>
      <w:r w:rsidRPr="00C81C0A">
        <w:rPr>
          <w:i/>
        </w:rPr>
        <w:t>Solus Christus</w:t>
      </w:r>
      <w:r w:rsidRPr="00C33D73">
        <w:t>, thus avoiding disputes over the nature of grace or faith. Although unusual in the context of 20</w:t>
      </w:r>
      <w:r w:rsidRPr="00C33D73">
        <w:rPr>
          <w:vertAlign w:val="superscript"/>
        </w:rPr>
        <w:t>th</w:t>
      </w:r>
      <w:r w:rsidRPr="00C33D73">
        <w:t xml:space="preserve"> Century evangelicalism, this way of clarifying the Reformation doctrine of justification is not without precedent. The Scottish Reformer John Knox preferred to speak of justification in these terms too: ‘Justification through the blood of Christ.’</w:t>
      </w:r>
      <w:r w:rsidRPr="00C33D73">
        <w:rPr>
          <w:vertAlign w:val="superscript"/>
        </w:rPr>
        <w:footnoteReference w:id="1226"/>
      </w:r>
      <w:r w:rsidRPr="00C33D73">
        <w:t xml:space="preserve"> Thus, with a great economy of words, the framers of the Tenets of the Apostolic Church managed to get to the heart of the Reformation doctrine of justification.</w:t>
      </w:r>
    </w:p>
    <w:p w:rsidR="00062AED" w:rsidRPr="00C33D73" w:rsidRDefault="00062AED" w:rsidP="009370EA">
      <w:pPr>
        <w:spacing w:line="360" w:lineRule="auto"/>
        <w:jc w:val="both"/>
      </w:pPr>
      <w:r w:rsidRPr="00C33D73">
        <w:t>So, for the Apostolics, justification was both forensic (with both D.P. Williams and the official doctrinal explications of the Church defining it in terms of imputation)</w:t>
      </w:r>
      <w:r w:rsidRPr="00C33D73">
        <w:rPr>
          <w:vertAlign w:val="superscript"/>
        </w:rPr>
        <w:footnoteReference w:id="1227"/>
      </w:r>
      <w:r w:rsidRPr="00C33D73">
        <w:t xml:space="preserve"> and Christological: the very things which Kärkkäinen seeks to avoid by recasting justification in terms of pneumatological theosis. This Christological focus of justification is further reinforced by the placing of the tenet on justification directly after that on Christ’s incarnation and atonement. Thus justification flows out of ‘The virgin birth, sinless life, atoning death, triumphant resurrection, ascension, and abiding intercession of our Lord Jesus Christ.’</w:t>
      </w:r>
      <w:r w:rsidRPr="00C33D73">
        <w:rPr>
          <w:vertAlign w:val="superscript"/>
        </w:rPr>
        <w:footnoteReference w:id="1228"/>
      </w:r>
      <w:r w:rsidRPr="00C33D73">
        <w:t xml:space="preserve"> D.P. Williams connects justification with both the Incarnation and Atonement of Christ and concludes that Christ ‘met on our behalf the demands of Divine Justice, and as a proof of this the Father raised Him from the dead for our justification’</w:t>
      </w:r>
      <w:r w:rsidRPr="00C33D73">
        <w:rPr>
          <w:vertAlign w:val="superscript"/>
        </w:rPr>
        <w:footnoteReference w:id="1229"/>
      </w:r>
      <w:r w:rsidRPr="00C33D73">
        <w:t xml:space="preserve"> and that justification ‘was accomplished by the sacrificial death of Christ’</w:t>
      </w:r>
      <w:r w:rsidRPr="00C33D73">
        <w:rPr>
          <w:vertAlign w:val="superscript"/>
        </w:rPr>
        <w:footnoteReference w:id="1230"/>
      </w:r>
      <w:r w:rsidRPr="00C33D73">
        <w:t xml:space="preserve"> and is ‘effectually procured by and founded upon His propitiation.’</w:t>
      </w:r>
      <w:r w:rsidRPr="00C33D73">
        <w:rPr>
          <w:vertAlign w:val="superscript"/>
        </w:rPr>
        <w:footnoteReference w:id="1231"/>
      </w:r>
      <w:r w:rsidRPr="00C33D73">
        <w:t xml:space="preserve"> ‘On account of our Lord’s merits, through Him, the work of justification is done and we are justified by faith in Him.’</w:t>
      </w:r>
      <w:r w:rsidRPr="00C33D73">
        <w:rPr>
          <w:vertAlign w:val="superscript"/>
        </w:rPr>
        <w:footnoteReference w:id="1232"/>
      </w:r>
    </w:p>
    <w:p w:rsidR="00062AED" w:rsidRPr="00C33D73" w:rsidRDefault="00062AED" w:rsidP="009370EA">
      <w:pPr>
        <w:spacing w:line="360" w:lineRule="auto"/>
        <w:jc w:val="both"/>
      </w:pPr>
      <w:r w:rsidRPr="00C33D73">
        <w:lastRenderedPageBreak/>
        <w:t>So Williams, together with the other early Apostolic writers, holds strongly to a Reformed doctrine of justification.</w:t>
      </w:r>
      <w:r w:rsidRPr="00C33D73">
        <w:rPr>
          <w:vertAlign w:val="superscript"/>
        </w:rPr>
        <w:footnoteReference w:id="1233"/>
      </w:r>
      <w:r w:rsidRPr="00C33D73">
        <w:t xml:space="preserve"> Hence, their concept of theosis cannot be set in opposition to the forensic doctrine of justification of Reformed theology, but rather, for them the two sit comfortably together. Therefore the clear instances of theosis in the early British Pentecostal theology of the Apostolics would appear to be incompatible with Kärkkäinen’s project.</w:t>
      </w:r>
    </w:p>
    <w:p w:rsidR="00062AED" w:rsidRPr="00C33D73" w:rsidRDefault="00062AED" w:rsidP="009370EA">
      <w:pPr>
        <w:spacing w:line="360" w:lineRule="auto"/>
        <w:jc w:val="both"/>
      </w:pPr>
      <w:r w:rsidRPr="00C33D73">
        <w:t>Kärkkäinen also suggested that theosis would sit more comfortably than justification with the Pentecostal approach to anthropology and human responsibility. Here he particularly highlights the areas of free will and synergism as aspects o</w:t>
      </w:r>
      <w:r>
        <w:t>f Pentecostal theology which do no</w:t>
      </w:r>
      <w:r w:rsidRPr="00C33D73">
        <w:t>t sit well with the Reformation doctrine of justification. So it is worth asking, is there already an inherent tension within the theology of the Apostolic writers between their anthropology and their doctrine of salvation? Is their anthropology more in accord with their concept of theosis than with their Reformed doctrine of justification?</w:t>
      </w:r>
    </w:p>
    <w:p w:rsidR="00062AED" w:rsidRPr="00C33D73" w:rsidRDefault="00062AED" w:rsidP="009370EA">
      <w:pPr>
        <w:spacing w:line="360" w:lineRule="auto"/>
        <w:jc w:val="both"/>
      </w:pPr>
      <w:r w:rsidRPr="00C33D73">
        <w:t>Again, the early Apostolics were writing within a confessional context. The second tenet of the Apos</w:t>
      </w:r>
      <w:r>
        <w:t>tolic Church states belief in ‘t</w:t>
      </w:r>
      <w:r w:rsidRPr="00C33D73">
        <w:t>he utter depravity of human nature, the necessity for repentance and regeneration and the eternal doom of the finally impenitent.’ Yet although this tenet mentions regeneration and repentance, it does not state these positively (in a statement of what salvation is), but rather negatively, as what humanity needs, but doesn’t have. This may be seen more clearly in light of the flow of the Tenets; from here they go on to consider Christ’s Incarnation and Atonement, and then the results of salvation. Thus any attempt to read Tenet 2 as a positive statement of salvation would mean a Christless, Pelagian soteriology (which is ruled out by Tenets 3 and 4). ‘The necessity for repentance and regeneration’, then, should be read as clarifying the concept of ‘the utter depravity of human nature.’ In other words this is not, as Kärkkäinen may have expected, a theology of free will and synergism, but rather a theology of the bondage of the will and divine monergism.</w:t>
      </w:r>
    </w:p>
    <w:p w:rsidR="00062AED" w:rsidRPr="00C33D73" w:rsidRDefault="00062AED" w:rsidP="009370EA">
      <w:pPr>
        <w:spacing w:line="360" w:lineRule="auto"/>
        <w:jc w:val="both"/>
      </w:pPr>
      <w:r w:rsidRPr="00C33D73">
        <w:t>D.P. Williams’ consideration of anthropology was always in this context, highlighting the need for God’s gracious initiative in salvation. He explicitly denies both free will (in this theological sense) and synergism. Williams writes:</w:t>
      </w:r>
    </w:p>
    <w:p w:rsidR="00062AED" w:rsidRPr="001460A6" w:rsidRDefault="00062AED" w:rsidP="009370EA">
      <w:pPr>
        <w:spacing w:line="360" w:lineRule="auto"/>
        <w:ind w:left="720" w:right="720"/>
        <w:jc w:val="both"/>
        <w:rPr>
          <w:sz w:val="20"/>
        </w:rPr>
      </w:pPr>
      <w:r w:rsidRPr="001460A6">
        <w:rPr>
          <w:sz w:val="20"/>
        </w:rPr>
        <w:lastRenderedPageBreak/>
        <w:t>Man is morally impotent to do anything toward his salvation. It is all given to the Holy Spirit. … There is strong opposition in the heart of man against God. The mind of the flesh is at enmity against God. This makes it impossible for man to turn to the Lord.</w:t>
      </w:r>
      <w:r w:rsidRPr="001460A6">
        <w:rPr>
          <w:sz w:val="20"/>
          <w:vertAlign w:val="superscript"/>
        </w:rPr>
        <w:footnoteReference w:id="1234"/>
      </w:r>
    </w:p>
    <w:p w:rsidR="00062AED" w:rsidRDefault="00062AED" w:rsidP="009370EA">
      <w:pPr>
        <w:spacing w:line="360" w:lineRule="auto"/>
        <w:jc w:val="both"/>
      </w:pPr>
      <w:r w:rsidRPr="00C33D73">
        <w:t>In the context he elaborates that it is only through the agency of the Holy Spirit, ‘on the ground of the shed blood,’</w:t>
      </w:r>
      <w:r w:rsidRPr="00C33D73">
        <w:rPr>
          <w:vertAlign w:val="superscript"/>
        </w:rPr>
        <w:footnoteReference w:id="1235"/>
      </w:r>
      <w:r w:rsidRPr="00C33D73">
        <w:t xml:space="preserve"> who effectually applies the atoning work of Christ through the proclamation of the Word, that man is saved. This is not a description of a synergistic salvation grounded in man’s free will, but rather of a monergistic salvation in which the redemption accomplished by Christ is applied to sinners by the Holy Spirit.</w:t>
      </w:r>
      <w:r>
        <w:rPr>
          <w:rStyle w:val="FootnoteReference"/>
        </w:rPr>
        <w:footnoteReference w:id="1236"/>
      </w:r>
      <w:r w:rsidRPr="00C33D73">
        <w:t xml:space="preserve"> Thus Williams’ account of man’s depravity and need for the gracious intervention of the Triune God is perfectly in accord with his Reformed doctrine of justification, contrary to the suggestions of Kärkkäinen regarding Pentecostal anthropology.</w:t>
      </w:r>
    </w:p>
    <w:p w:rsidR="00062AED" w:rsidRPr="001460A6" w:rsidRDefault="00062AED" w:rsidP="009370EA">
      <w:pPr>
        <w:spacing w:line="360" w:lineRule="auto"/>
        <w:jc w:val="both"/>
      </w:pPr>
      <w:r w:rsidRPr="001460A6">
        <w:t>This brief examination of the compatibility (or, rather, lack thereof) between Kärkkäinen’s contemporary attempt to develop a Pentecostal theology of theosis and the place of theosis in the theology of the early British Apostolics not only demonstrates that Kärkkäinen cannot look back to the theosis of the early Apostolics to advance his current project, but also that we cannot look forward from theosis in the early Apostolics to Kärkkäinen in a bid to advance and build upon their doctrinal insights.</w:t>
      </w:r>
    </w:p>
    <w:p w:rsidR="00062AED" w:rsidRPr="001460A6" w:rsidRDefault="00062AED" w:rsidP="009370EA">
      <w:pPr>
        <w:spacing w:line="360" w:lineRule="auto"/>
        <w:jc w:val="both"/>
      </w:pPr>
      <w:r w:rsidRPr="001460A6">
        <w:t>Is there then anywhere we can look? I would suggest that there is in Reformed theology. Although often seen as the antithesis of Pentecostalism, as I have already demonstrated, D.P. Williams and the early Apostolics were actually rather Reformed in large aspects of their theology. To a large extent this is understandable given their origins among the Welsh Annibynwyr (Congregationalists) and Calvinistic Methodists. In fact, although much American scholarship points to Wesleyan roots for Pentecostalism, that is demonstrably not the case for the early Pentecostals in these islands. As Ian Randall has shown, Wesleyan holiness had only a limited impact on Pentecostalism in the UK, with much stronger influences coming from the (generally Reformed) directions of conservative evangelicalism, the Keswick movement, Brethrenism, and separatist fundamentalism.</w:t>
      </w:r>
      <w:r w:rsidRPr="001460A6">
        <w:rPr>
          <w:vertAlign w:val="superscript"/>
        </w:rPr>
        <w:footnoteReference w:id="1237"/>
      </w:r>
      <w:r w:rsidRPr="001460A6">
        <w:t xml:space="preserve"> Given the Welsh context of the origins of the </w:t>
      </w:r>
      <w:r w:rsidRPr="001460A6">
        <w:lastRenderedPageBreak/>
        <w:t xml:space="preserve">Apostolic Church and the role of the Welsh Revival of 1904-1905 in the identity of movement, the influence of Welsh experiential Calvinism was of particular significance. </w:t>
      </w:r>
    </w:p>
    <w:p w:rsidR="00062AED" w:rsidRPr="001460A6" w:rsidRDefault="00062AED" w:rsidP="009370EA">
      <w:pPr>
        <w:spacing w:line="360" w:lineRule="auto"/>
        <w:jc w:val="both"/>
      </w:pPr>
      <w:r w:rsidRPr="001460A6">
        <w:t>Thus, within the British, and particularly Welsh and Apostolic contexts, it is highly appropriate to look to compatible resources within Reformed theology. Yet, Reformed theology is not well-known for a strong doctrine of theosis. (After all, this is one of the key roles of theosis in Kärkkäinen’s project – to finally remove what he sees as incompatible Reformed theological constructs from Pentecostal theology.) Three Reformed thinkers will be of particular help to us in this regard: Donald Fairbairn, Myk Habets, and Thomas Torrance.</w:t>
      </w:r>
    </w:p>
    <w:p w:rsidR="00062AED" w:rsidRPr="001460A6" w:rsidRDefault="00062AED" w:rsidP="009370EA">
      <w:pPr>
        <w:spacing w:line="360" w:lineRule="auto"/>
        <w:jc w:val="both"/>
      </w:pPr>
      <w:r w:rsidRPr="001460A6">
        <w:t>Donald Fairbairn is a Reformed historical theologian and patristics scholar who has identified three different approaches to theosis among the Church Fathers: ‘mystical’, ‘personal’, and ‘juridical’.</w:t>
      </w:r>
      <w:r w:rsidRPr="001460A6">
        <w:rPr>
          <w:vertAlign w:val="superscript"/>
        </w:rPr>
        <w:footnoteReference w:id="1238"/>
      </w:r>
      <w:r w:rsidRPr="001460A6">
        <w:t xml:space="preserve"> While the Western Church in general,  and Reformed and evangelical theology in particular, have tended to follow in the juridical approach to matters soteriological, Fairbairn points to the advantages of the ‘personal’ trajectory, which he traces from Irenaeus, Athanasius, and Cyril of Alexandria, for a Reformed evangelical approach to theosis. It is ‘a personal concept of participation in which we share in the very love between the Father and the Son.’</w:t>
      </w:r>
      <w:r w:rsidRPr="001460A6">
        <w:rPr>
          <w:vertAlign w:val="superscript"/>
        </w:rPr>
        <w:footnoteReference w:id="1239"/>
      </w:r>
      <w:r w:rsidRPr="001460A6">
        <w:t xml:space="preserve"> As Fairbairn sees the origins of the trajectory in Irenaeus, ‘through our union with the natural Son of God, we become adopted sons and daughters and thus we share fellowship or communion with God.’</w:t>
      </w:r>
      <w:r w:rsidRPr="001460A6">
        <w:rPr>
          <w:vertAlign w:val="superscript"/>
        </w:rPr>
        <w:footnoteReference w:id="1240"/>
      </w:r>
      <w:r w:rsidRPr="001460A6">
        <w:t xml:space="preserve"> This differs from the traditional Western juridical trajectory with its focus on legal adoption in that it is ‘primarily a way to focus on the relational aspects of sonship … sharing by grace in the fellowship the Son has with the Father.’</w:t>
      </w:r>
      <w:r w:rsidRPr="001460A6">
        <w:rPr>
          <w:vertAlign w:val="superscript"/>
        </w:rPr>
        <w:footnoteReference w:id="1241"/>
      </w:r>
      <w:r w:rsidRPr="001460A6">
        <w:t xml:space="preserve"> As Fairbairn demonstrates from this Irenaeus-Athanasius-Cyril trajectory:</w:t>
      </w:r>
    </w:p>
    <w:p w:rsidR="00062AED" w:rsidRPr="001460A6" w:rsidRDefault="00062AED" w:rsidP="009370EA">
      <w:pPr>
        <w:spacing w:line="360" w:lineRule="auto"/>
        <w:ind w:left="720" w:right="720"/>
        <w:jc w:val="both"/>
        <w:rPr>
          <w:sz w:val="20"/>
        </w:rPr>
      </w:pPr>
      <w:r w:rsidRPr="001460A6">
        <w:rPr>
          <w:sz w:val="20"/>
        </w:rPr>
        <w:t>the central aspect of theosis … lies in our adoption into Christ’s sonship with the Father. … in salvation we receive the Logos … And the essence of this gift of himself is that we become sons and daughters of God. We are adopted into the same relationship he has with God the Father – into his own sonship with the Father. Incorruption and immortality (as well as other benefits of salvation) flow from the gift of God the Son himself; they are not the primary aspects of theosis.</w:t>
      </w:r>
      <w:r w:rsidRPr="001460A6">
        <w:rPr>
          <w:sz w:val="20"/>
          <w:vertAlign w:val="superscript"/>
        </w:rPr>
        <w:footnoteReference w:id="1242"/>
      </w:r>
    </w:p>
    <w:p w:rsidR="00062AED" w:rsidRPr="001460A6" w:rsidRDefault="00062AED" w:rsidP="009370EA">
      <w:pPr>
        <w:spacing w:line="360" w:lineRule="auto"/>
        <w:jc w:val="both"/>
      </w:pPr>
      <w:r w:rsidRPr="001460A6">
        <w:t>Having established th</w:t>
      </w:r>
      <w:r>
        <w:t>e</w:t>
      </w:r>
      <w:r w:rsidRPr="001460A6">
        <w:t xml:space="preserve"> importance and centrality of such a concept of theosis, Fairbairn goes on to consider how it relates to certain key components of Reformed theology. Key to our discussion </w:t>
      </w:r>
      <w:r w:rsidRPr="001460A6">
        <w:lastRenderedPageBreak/>
        <w:t>here will be its relationship to the Reformed doctrine of justification, which was of such importance to Williams and the Apostolics. Rather than seeing this concept of theosis as a threat to the Protestant forensic doctrine of justification, Fairbairn sees it as offering support to a robust doctrine of imputation, and thus helping guard justification from degenerating into legal fictions. Fairbairn highlights that it is on the basis of union with Christ that righteousness is imputed to the believer, and thus ‘one receives Christ’s righteousness by participating in Christ, the righteous one … the central reality of the Christian life is that believers are united to Christ, and the reason this is so central is because it links us to the central relationship that there is, Christ’s relationship to His Father.’</w:t>
      </w:r>
      <w:r w:rsidRPr="001460A6">
        <w:rPr>
          <w:vertAlign w:val="superscript"/>
        </w:rPr>
        <w:footnoteReference w:id="1243"/>
      </w:r>
      <w:r w:rsidRPr="001460A6">
        <w:t xml:space="preserve"> Justification through the imputation of Christ’s righteousness, then, is a result of this central reality. Fairbairn’s analysis of theosis presents it as fully compatible with Reformed evangelical soteriology.</w:t>
      </w:r>
    </w:p>
    <w:p w:rsidR="00062AED" w:rsidRPr="001460A6" w:rsidRDefault="00062AED" w:rsidP="009370EA">
      <w:pPr>
        <w:spacing w:line="360" w:lineRule="auto"/>
        <w:jc w:val="both"/>
      </w:pPr>
      <w:r w:rsidRPr="001460A6">
        <w:t>Myk Habets is a theologian from New Zealand who has given considerable attention to a Reformed doctrine of theosis. Habets looks to the Nicene theologians, rather than the Palamite development of the doctrine in Eastern Orthodoxy, and like Fairbairn, sees theosis in terms of ‘a thoroughly personal and relational experiencing of the triune relations’</w:t>
      </w:r>
      <w:r w:rsidRPr="001460A6">
        <w:rPr>
          <w:vertAlign w:val="superscript"/>
        </w:rPr>
        <w:footnoteReference w:id="1244"/>
      </w:r>
      <w:r w:rsidRPr="001460A6">
        <w:t xml:space="preserve"> or ‘real communion with God through the risen Christ in the present, a taste of the age to come.’</w:t>
      </w:r>
      <w:r w:rsidRPr="001460A6">
        <w:rPr>
          <w:vertAlign w:val="superscript"/>
        </w:rPr>
        <w:footnoteReference w:id="1245"/>
      </w:r>
      <w:r w:rsidRPr="001460A6">
        <w:t xml:space="preserve"> Habets elaborates that theosis is:</w:t>
      </w:r>
    </w:p>
    <w:p w:rsidR="00062AED" w:rsidRPr="00876B04" w:rsidRDefault="00062AED" w:rsidP="009370EA">
      <w:pPr>
        <w:spacing w:line="360" w:lineRule="auto"/>
        <w:ind w:left="720" w:right="720"/>
        <w:jc w:val="both"/>
        <w:rPr>
          <w:sz w:val="20"/>
        </w:rPr>
      </w:pPr>
      <w:r w:rsidRPr="00876B04">
        <w:rPr>
          <w:sz w:val="20"/>
        </w:rPr>
        <w:t>participation in the triune communion, or perichoresis. Through being united to Jesus Christ, the God-man, we are united to his divinized humanity, and through that relationship we enjoy fellowship with God.</w:t>
      </w:r>
      <w:r w:rsidRPr="00876B04">
        <w:rPr>
          <w:sz w:val="20"/>
          <w:vertAlign w:val="superscript"/>
        </w:rPr>
        <w:footnoteReference w:id="1246"/>
      </w:r>
    </w:p>
    <w:p w:rsidR="00062AED" w:rsidRPr="001460A6" w:rsidRDefault="00062AED" w:rsidP="009370EA">
      <w:pPr>
        <w:spacing w:line="360" w:lineRule="auto"/>
        <w:jc w:val="both"/>
      </w:pPr>
      <w:r w:rsidRPr="001460A6">
        <w:t>For Habets, as for Fairbairn, theosis can indeed be compatible with the forensic imputation of Christ’s righteousness.</w:t>
      </w:r>
      <w:r w:rsidRPr="001460A6">
        <w:rPr>
          <w:vertAlign w:val="superscript"/>
        </w:rPr>
        <w:footnoteReference w:id="1247"/>
      </w:r>
      <w:r w:rsidRPr="001460A6">
        <w:t xml:space="preserve"> Although working independently, Habets sketches out parameters for a Reformed doctrine of theosis that are evident in Fairbairn’s work, and in full accord with the contours of Reformed soteriology: it must be rooted in union with Christ,</w:t>
      </w:r>
      <w:r w:rsidRPr="001460A6">
        <w:rPr>
          <w:vertAlign w:val="superscript"/>
        </w:rPr>
        <w:footnoteReference w:id="1248"/>
      </w:r>
      <w:r w:rsidRPr="001460A6">
        <w:t xml:space="preserve"> be monergistic (which is of particular interest in light of Kärkkäinen’s link between theosis and synergism),</w:t>
      </w:r>
      <w:r w:rsidRPr="001460A6">
        <w:rPr>
          <w:vertAlign w:val="superscript"/>
        </w:rPr>
        <w:footnoteReference w:id="1249"/>
      </w:r>
      <w:r w:rsidRPr="001460A6">
        <w:t xml:space="preserve"> consist in </w:t>
      </w:r>
      <w:r w:rsidRPr="0026691B">
        <w:rPr>
          <w:i/>
        </w:rPr>
        <w:t>koinonia</w:t>
      </w:r>
      <w:r w:rsidRPr="001460A6">
        <w:t xml:space="preserve"> (as opposed to </w:t>
      </w:r>
      <w:r w:rsidRPr="0026691B">
        <w:rPr>
          <w:i/>
        </w:rPr>
        <w:t>methexis</w:t>
      </w:r>
      <w:r w:rsidRPr="001460A6">
        <w:t>),</w:t>
      </w:r>
      <w:r w:rsidRPr="001460A6">
        <w:rPr>
          <w:vertAlign w:val="superscript"/>
        </w:rPr>
        <w:footnoteReference w:id="1250"/>
      </w:r>
      <w:r w:rsidRPr="001460A6">
        <w:t xml:space="preserve"> be realised by Word and sacrament,</w:t>
      </w:r>
      <w:r w:rsidRPr="001460A6">
        <w:rPr>
          <w:vertAlign w:val="superscript"/>
        </w:rPr>
        <w:footnoteReference w:id="1251"/>
      </w:r>
      <w:r w:rsidRPr="001460A6">
        <w:t xml:space="preserve"> and must </w:t>
      </w:r>
      <w:r w:rsidRPr="001460A6">
        <w:lastRenderedPageBreak/>
        <w:t>not be reduced to sanctification or the transformative aspects of soteriology alone.</w:t>
      </w:r>
      <w:r w:rsidRPr="001460A6">
        <w:rPr>
          <w:vertAlign w:val="superscript"/>
        </w:rPr>
        <w:footnoteReference w:id="1252"/>
      </w:r>
      <w:r w:rsidRPr="001460A6">
        <w:t xml:space="preserve"> With these parameters in place, a real doctrine of theosis can sit comfortably with Reformed theology.</w:t>
      </w:r>
    </w:p>
    <w:p w:rsidR="00062AED" w:rsidRPr="001460A6" w:rsidRDefault="00062AED" w:rsidP="009370EA">
      <w:pPr>
        <w:spacing w:line="360" w:lineRule="auto"/>
        <w:jc w:val="both"/>
      </w:pPr>
      <w:r w:rsidRPr="001460A6">
        <w:t xml:space="preserve">Habets’ interest in a Reformed doctrine of theosis extends beyond his constructive work, having written a monograph on </w:t>
      </w:r>
      <w:r w:rsidRPr="001460A6">
        <w:rPr>
          <w:i/>
        </w:rPr>
        <w:t>Theosis in the Theology of T.F. Torrance</w:t>
      </w:r>
      <w:r w:rsidRPr="001460A6">
        <w:t>. Although Habets freely admits that Torrance rarely uses the technical terminology of theosis, he argues that ‘his theology is, however, profoundly compatible with, and shaped by, the central themes associated with the doctrines of theosis.’</w:t>
      </w:r>
      <w:r w:rsidRPr="001460A6">
        <w:rPr>
          <w:vertAlign w:val="superscript"/>
        </w:rPr>
        <w:footnoteReference w:id="1253"/>
      </w:r>
      <w:r w:rsidRPr="001460A6">
        <w:t xml:space="preserve"> Having already established from Fairbairn and Habets the possibility of both peaceful and fruitful co-existence between key aspects of Reformed soteriology and a doctrine of theosis comparable to that of the early Apostolics, our interest in Torrance will be not so much in the realm of soteriology as ecclesiology.</w:t>
      </w:r>
    </w:p>
    <w:p w:rsidR="00062AED" w:rsidRPr="001460A6" w:rsidRDefault="00062AED" w:rsidP="009370EA">
      <w:pPr>
        <w:spacing w:line="360" w:lineRule="auto"/>
        <w:jc w:val="both"/>
      </w:pPr>
      <w:r w:rsidRPr="001460A6">
        <w:t>As Habets has shown, for Torrance the church is the ‘locus of theosis.’</w:t>
      </w:r>
      <w:r w:rsidRPr="001460A6">
        <w:rPr>
          <w:vertAlign w:val="superscript"/>
        </w:rPr>
        <w:footnoteReference w:id="1254"/>
      </w:r>
      <w:r w:rsidRPr="001460A6">
        <w:t xml:space="preserve"> For Torrance, ‘the central purpose of the church is to glorify God through the progressive “deification” of his people: that is – the church exists for theosis.’</w:t>
      </w:r>
      <w:r w:rsidRPr="001460A6">
        <w:rPr>
          <w:vertAlign w:val="superscript"/>
        </w:rPr>
        <w:footnoteReference w:id="1255"/>
      </w:r>
      <w:r w:rsidRPr="001460A6">
        <w:t xml:space="preserve"> </w:t>
      </w:r>
      <w:r>
        <w:t>Later</w:t>
      </w:r>
      <w:r w:rsidRPr="001460A6">
        <w:t xml:space="preserve"> Torrance argued that:</w:t>
      </w:r>
    </w:p>
    <w:p w:rsidR="00062AED" w:rsidRPr="001460A6" w:rsidRDefault="00062AED" w:rsidP="009370EA">
      <w:pPr>
        <w:spacing w:line="360" w:lineRule="auto"/>
        <w:ind w:left="720" w:right="720"/>
        <w:jc w:val="both"/>
      </w:pPr>
      <w:r w:rsidRPr="0026691B">
        <w:rPr>
          <w:sz w:val="20"/>
        </w:rPr>
        <w:t>God is love, so that the church that dwells i</w:t>
      </w:r>
      <w:r>
        <w:rPr>
          <w:sz w:val="20"/>
        </w:rPr>
        <w:t xml:space="preserve">n </w:t>
      </w:r>
      <w:r w:rsidRPr="0026691B">
        <w:rPr>
          <w:sz w:val="20"/>
        </w:rPr>
        <w:t>love, dwells in God and God in it. By making the church the dwelling place of the Father and the Son, the Spirit makes the church participate in the concrete embodiment of the love of God in the incarnate Son. It is in that indwelling and love that the church has its essential life.</w:t>
      </w:r>
      <w:r w:rsidRPr="0026691B">
        <w:rPr>
          <w:sz w:val="20"/>
          <w:vertAlign w:val="superscript"/>
        </w:rPr>
        <w:footnoteReference w:id="1256"/>
      </w:r>
    </w:p>
    <w:p w:rsidR="00062AED" w:rsidRDefault="00062AED" w:rsidP="009370EA">
      <w:pPr>
        <w:spacing w:line="360" w:lineRule="auto"/>
        <w:jc w:val="both"/>
      </w:pPr>
      <w:r w:rsidRPr="001460A6">
        <w:t xml:space="preserve">Thus in Torrance we see that it is not only possible to construct a doctrine of theosis that is in accord with the key aspects of Reformed theology found within Apostolic thought, but also which finds its locus and outworking in an ecclesial context, which is exactly where the early Apostolics always placed their concept of theosis. Theosis, then, is neither contrary to the ecclesial focus of Apostolic theology, nor to its Augustinian/Reformed anthropology and Reformation doctrine of justification. Rather, theosis can help safeguard their soteriology from falling into a rationalistic individualism and allow for a central place in theology for the Church, without thereby diminishing the importance of soteriology. This is not to suggest that the way forward for Pentecostal theology is to adopt a Reformed theology. After all, for the Apostolics the Pentecostal experience of </w:t>
      </w:r>
      <w:r>
        <w:t>BHS</w:t>
      </w:r>
      <w:r w:rsidRPr="001460A6">
        <w:t xml:space="preserve"> was of great importance to their concept of theosis. Rather, it is to suggest that certain Reformed theologians have provided a model which could be profitably </w:t>
      </w:r>
      <w:r w:rsidRPr="001460A6">
        <w:lastRenderedPageBreak/>
        <w:t>adapted by Pentecostal theology in order to help Pentecostal theology reappropriate its own doctrine of theosis.</w:t>
      </w:r>
    </w:p>
    <w:p w:rsidR="00062AED" w:rsidRDefault="00062AED" w:rsidP="009370EA">
      <w:pPr>
        <w:spacing w:line="360" w:lineRule="auto"/>
        <w:jc w:val="both"/>
      </w:pPr>
    </w:p>
    <w:p w:rsidR="00062AED" w:rsidRPr="001A2494" w:rsidRDefault="00062AED" w:rsidP="009370EA">
      <w:pPr>
        <w:pStyle w:val="PhDSubheading"/>
        <w:spacing w:line="360" w:lineRule="auto"/>
      </w:pPr>
      <w:r>
        <w:t xml:space="preserve">6.1.3 </w:t>
      </w:r>
      <w:r w:rsidRPr="001A2494">
        <w:t>The Body Under Christ’s Headship</w:t>
      </w:r>
    </w:p>
    <w:p w:rsidR="00062AED" w:rsidRPr="00650467" w:rsidRDefault="00062AED" w:rsidP="009370EA">
      <w:pPr>
        <w:spacing w:line="360" w:lineRule="auto"/>
        <w:jc w:val="both"/>
        <w:rPr>
          <w:rStyle w:val="PhDSubheadingChar"/>
        </w:rPr>
      </w:pPr>
      <w:r>
        <w:rPr>
          <w:i/>
        </w:rPr>
        <w:t>6</w:t>
      </w:r>
      <w:r w:rsidRPr="00650467">
        <w:rPr>
          <w:rStyle w:val="PhDSubheadingChar"/>
        </w:rPr>
        <w:t>.1.3.1 The Authority of the Head: Headship Ministries and the Word</w:t>
      </w:r>
    </w:p>
    <w:p w:rsidR="00062AED" w:rsidRPr="007A08C0" w:rsidRDefault="00062AED" w:rsidP="009370EA">
      <w:pPr>
        <w:spacing w:line="360" w:lineRule="auto"/>
        <w:jc w:val="both"/>
      </w:pPr>
      <w:r>
        <w:t xml:space="preserve">The Living Head speaks with authority to his Body by His Word. </w:t>
      </w:r>
      <w:r w:rsidRPr="007A08C0">
        <w:t>D.P. Williams strongly emphasised the power of the Word of God.</w:t>
      </w:r>
      <w:r w:rsidRPr="007A08C0">
        <w:rPr>
          <w:rStyle w:val="FootnoteReference"/>
        </w:rPr>
        <w:footnoteReference w:id="1257"/>
      </w:r>
      <w:r w:rsidRPr="007A08C0">
        <w:t xml:space="preserve"> Christ the Eternal Word of God gives of himself to his church through the proclamation of the Word by the ministers of the Word. He is the Truth spoken in love in gospel ministry (Eph. 4:15). Proclamation is essential to the very being of the Church and to its role in the Eternal Purpose (Eph. 3:10-11). As Macchia puts it, ‘it is difficult to overestimate the significance of preaching and Scripture in channelling God’s grace to the church.’</w:t>
      </w:r>
      <w:r>
        <w:rPr>
          <w:rStyle w:val="FootnoteReference"/>
        </w:rPr>
        <w:footnoteReference w:id="1258"/>
      </w:r>
    </w:p>
    <w:p w:rsidR="00062AED" w:rsidRDefault="00062AED" w:rsidP="009370EA">
      <w:pPr>
        <w:spacing w:line="360" w:lineRule="auto"/>
        <w:jc w:val="both"/>
      </w:pPr>
      <w:r>
        <w:t>Christ the Head ministers himself through his ministers.</w:t>
      </w:r>
      <w:r>
        <w:rPr>
          <w:rStyle w:val="FootnoteReference"/>
        </w:rPr>
        <w:footnoteReference w:id="1259"/>
      </w:r>
      <w:r>
        <w:t xml:space="preserve"> Thus the ordained ministry is dynamic and eschatologically orient</w:t>
      </w:r>
      <w:r w:rsidR="00387B98">
        <w:t>at</w:t>
      </w:r>
      <w:r>
        <w:t>ed (Eph. 3:15-16) rather than merely a static link to the past.</w:t>
      </w:r>
      <w:r>
        <w:rPr>
          <w:rStyle w:val="FootnoteReference"/>
        </w:rPr>
        <w:footnoteReference w:id="1260"/>
      </w:r>
      <w:r>
        <w:t xml:space="preserve"> It is the living and ascended Christ who is at work ministering to his church through his apostles, prophets, evangelists, pastors and teachers. An example of this dynamic, eschatological orientation to the ministry can be seen in the use of prophecy in the calling of ministers.</w:t>
      </w:r>
      <w:r>
        <w:rPr>
          <w:rStyle w:val="FootnoteReference"/>
        </w:rPr>
        <w:footnoteReference w:id="1261"/>
      </w:r>
      <w:r>
        <w:t xml:space="preserve"> Prophecy, as a gift of the Holy Spirit, is a foretaste of ‘the powers of the age to come’ (Heb. 6:5), an eschatological in-breaking into the present life of the church. Although ordination was of great importance for the early Apostolics, the call to the ministry (often prophetic, and always to be confirmed and recognised by the apostleship) took on an even more significant role in their thought and practice. Thus, while guarding the connection to the past in ordination, greater emphasis was placed upon the </w:t>
      </w:r>
      <w:r w:rsidRPr="00792454">
        <w:rPr>
          <w:i/>
        </w:rPr>
        <w:t>telos</w:t>
      </w:r>
      <w:r>
        <w:t xml:space="preserve"> of the ministry through the call. </w:t>
      </w:r>
    </w:p>
    <w:p w:rsidR="00062AED" w:rsidRDefault="00062AED" w:rsidP="009370EA">
      <w:pPr>
        <w:spacing w:line="360" w:lineRule="auto"/>
        <w:jc w:val="both"/>
      </w:pPr>
      <w:r>
        <w:t xml:space="preserve">This priority of call over ordination also implies a prioritisation of collegial ministry over the individual minister. Calls come not from an apostle, but from the collegial apostleship. Furthermore, the fullness of ministry is not found in the past through historic succession in the Twelve, but rather the Church and her ministry are growing up into the fullness of ministry in Christ the Head. The Head expresses something of the dynamic fullness of his ministry through </w:t>
      </w:r>
      <w:r>
        <w:lastRenderedPageBreak/>
        <w:t>the variety of the five-fold ministry gifts which h</w:t>
      </w:r>
      <w:r w:rsidR="00CD6F1C">
        <w:t>e gives to his body (Eph. 4:11), e</w:t>
      </w:r>
      <w:r>
        <w:t>ach of the apostles, prophets, evangelists, pastors and teachers ministers in union with Christ the true minister, providing his Church with a concorporeal ministry.</w:t>
      </w:r>
    </w:p>
    <w:p w:rsidR="00062AED" w:rsidRDefault="00062AED" w:rsidP="009370EA">
      <w:pPr>
        <w:spacing w:line="360" w:lineRule="auto"/>
        <w:jc w:val="both"/>
      </w:pPr>
    </w:p>
    <w:p w:rsidR="00062AED" w:rsidRPr="007A7193" w:rsidRDefault="00062AED" w:rsidP="009370EA">
      <w:pPr>
        <w:pStyle w:val="PhDSubheading"/>
        <w:spacing w:line="360" w:lineRule="auto"/>
      </w:pPr>
      <w:r>
        <w:t xml:space="preserve">6.1.3.2 </w:t>
      </w:r>
      <w:r w:rsidRPr="007A7193">
        <w:t xml:space="preserve">Supply from the Head: </w:t>
      </w:r>
      <w:r w:rsidRPr="008D3846">
        <w:t xml:space="preserve">A Foretaste of the Heavenly Banquet </w:t>
      </w:r>
      <w:r>
        <w:t xml:space="preserve">in the </w:t>
      </w:r>
      <w:r w:rsidRPr="007A7193">
        <w:t>Breaking of Bread</w:t>
      </w:r>
    </w:p>
    <w:p w:rsidR="00062AED" w:rsidRPr="0077067F" w:rsidRDefault="00062AED" w:rsidP="009370EA">
      <w:pPr>
        <w:spacing w:line="360" w:lineRule="auto"/>
        <w:jc w:val="both"/>
      </w:pPr>
      <w:r w:rsidRPr="0077067F">
        <w:t xml:space="preserve">The cry of </w:t>
      </w:r>
      <w:r w:rsidRPr="0077067F">
        <w:rPr>
          <w:i/>
        </w:rPr>
        <w:t>maranatha</w:t>
      </w:r>
      <w:r w:rsidRPr="0077067F">
        <w:t xml:space="preserve"> from the Lord’s Table highlights the eschatological longing which accompanies the Breaking of Bread. The Church partakes of the sacrament ‘till he comes’ (1 Cor. 11:26) in anticipation of that day when she, the Bride, will feast with Christ her Bridegroom at the Marriage Supper of the Lamb (Rev. 19:7-9). Yet this eschatological anticipation is not the only eschatological aspect of the Eucharist. As Jesus taught his disciples, ‘whoever eats my flesh and drinks my blood has eternal life, and I will raise him up at the last day’ (John 6:54). Thus the Eucharist is directly connected to the resurrection of the dead in Christ, and so through partaking of the sacrament now, the Church partakes of a foretaste of the life of the world to come.</w:t>
      </w:r>
      <w:r w:rsidRPr="0077067F">
        <w:rPr>
          <w:rStyle w:val="FootnoteReference"/>
        </w:rPr>
        <w:footnoteReference w:id="1262"/>
      </w:r>
    </w:p>
    <w:p w:rsidR="00062AED" w:rsidRPr="00941C23" w:rsidRDefault="00062AED" w:rsidP="009370EA">
      <w:pPr>
        <w:spacing w:line="360" w:lineRule="auto"/>
        <w:jc w:val="both"/>
      </w:pPr>
      <w:r w:rsidRPr="00941C23">
        <w:t>This foretaste of the heavenly feast at the Lord’s Table also comes to light through the sacrament’s role in theosis. The Table is the place of ‘mystical union of eating His flesh and drinking of His blood … and by that communion be[ing] made partakers of the Living Christ.’</w:t>
      </w:r>
      <w:r w:rsidRPr="00941C23">
        <w:rPr>
          <w:rStyle w:val="FootnoteReference"/>
        </w:rPr>
        <w:footnoteReference w:id="1263"/>
      </w:r>
      <w:r w:rsidRPr="00941C23">
        <w:t xml:space="preserve"> Therefore, in the Eucharist, the Church participates in ‘fellowship with the divine … a communion with the Three in One.’</w:t>
      </w:r>
      <w:r w:rsidRPr="00941C23">
        <w:rPr>
          <w:rStyle w:val="FootnoteReference"/>
        </w:rPr>
        <w:footnoteReference w:id="1264"/>
      </w:r>
      <w:r w:rsidRPr="00941C23">
        <w:t xml:space="preserve"> As such, the Breaking of Bread service is the ultimate place of encounter between the Church and her Head.</w:t>
      </w:r>
      <w:r w:rsidRPr="00941C23">
        <w:rPr>
          <w:rStyle w:val="FootnoteReference"/>
        </w:rPr>
        <w:footnoteReference w:id="1265"/>
      </w:r>
      <w:r w:rsidRPr="00941C23">
        <w:t xml:space="preserve"> Apostolic prophecy even connected this partaking of the love of Christ in his body and blood in the sacrament with the outpouring of God’s love in the heart through the outpouring of the Holy Spirit (Rom. 5:5).</w:t>
      </w:r>
      <w:r w:rsidRPr="00941C23">
        <w:rPr>
          <w:rStyle w:val="FootnoteReference"/>
        </w:rPr>
        <w:footnoteReference w:id="1266"/>
      </w:r>
      <w:r w:rsidRPr="00941C23">
        <w:t xml:space="preserve"> By supplying his Body with himself in his flesh and blood in the Breaking of Bread, his Church ‘deriv[es] from Him the blessings of our redemption’,</w:t>
      </w:r>
      <w:r w:rsidRPr="00941C23">
        <w:rPr>
          <w:rStyle w:val="FootnoteReference"/>
        </w:rPr>
        <w:footnoteReference w:id="1267"/>
      </w:r>
      <w:r w:rsidRPr="00941C23">
        <w:t xml:space="preserve"> including </w:t>
      </w:r>
      <w:r>
        <w:t>participation in the divine life,</w:t>
      </w:r>
      <w:r>
        <w:rPr>
          <w:rStyle w:val="FootnoteReference"/>
        </w:rPr>
        <w:footnoteReference w:id="1268"/>
      </w:r>
      <w:r>
        <w:t xml:space="preserve"> </w:t>
      </w:r>
      <w:r w:rsidRPr="00941C23">
        <w:t>mystical union,</w:t>
      </w:r>
      <w:r w:rsidRPr="00941C23">
        <w:rPr>
          <w:rStyle w:val="FootnoteReference"/>
        </w:rPr>
        <w:footnoteReference w:id="1269"/>
      </w:r>
      <w:r w:rsidRPr="00941C23">
        <w:t xml:space="preserve"> the uprooting of sin,</w:t>
      </w:r>
      <w:r w:rsidRPr="00941C23">
        <w:rPr>
          <w:rStyle w:val="FootnoteReference"/>
        </w:rPr>
        <w:footnoteReference w:id="1270"/>
      </w:r>
      <w:r w:rsidRPr="00941C23">
        <w:t xml:space="preserve"> sanctification,</w:t>
      </w:r>
      <w:r w:rsidRPr="00941C23">
        <w:rPr>
          <w:rStyle w:val="FootnoteReference"/>
        </w:rPr>
        <w:footnoteReference w:id="1271"/>
      </w:r>
      <w:r w:rsidRPr="00941C23">
        <w:t xml:space="preserve"> the baptism and fullness of the Spirit,</w:t>
      </w:r>
      <w:r w:rsidRPr="00941C23">
        <w:rPr>
          <w:rStyle w:val="FootnoteReference"/>
        </w:rPr>
        <w:footnoteReference w:id="1272"/>
      </w:r>
      <w:r>
        <w:t xml:space="preserve"> </w:t>
      </w:r>
      <w:r w:rsidRPr="00941C23">
        <w:lastRenderedPageBreak/>
        <w:t>divine healing,</w:t>
      </w:r>
      <w:r w:rsidRPr="00941C23">
        <w:rPr>
          <w:rStyle w:val="FootnoteReference"/>
        </w:rPr>
        <w:footnoteReference w:id="1273"/>
      </w:r>
      <w:r w:rsidRPr="00941C23">
        <w:t xml:space="preserve"> and the resurrection of the dead.</w:t>
      </w:r>
      <w:r w:rsidRPr="00941C23">
        <w:rPr>
          <w:rStyle w:val="FootnoteReference"/>
        </w:rPr>
        <w:footnoteReference w:id="1274"/>
      </w:r>
      <w:r w:rsidRPr="00941C23">
        <w:t xml:space="preserve"> At the Table, the Church participates in the life of the Triune God and so the Table is the paramount place of theosis.</w:t>
      </w:r>
    </w:p>
    <w:p w:rsidR="00062AED" w:rsidRDefault="00062AED" w:rsidP="009370EA">
      <w:pPr>
        <w:spacing w:line="360" w:lineRule="auto"/>
        <w:jc w:val="both"/>
      </w:pPr>
      <w:r w:rsidRPr="00941C23">
        <w:t>This role of the Breaking of Bread in the theosis of the Church also points to the necessity of the ordained ministry in the Church. The Eucharistic ministry is a ministry of the apostleship and a ministry delegated from the apostles to presbyters in ordination.</w:t>
      </w:r>
      <w:r w:rsidRPr="00941C23">
        <w:rPr>
          <w:rStyle w:val="FootnoteReference"/>
        </w:rPr>
        <w:footnoteReference w:id="1275"/>
      </w:r>
      <w:r>
        <w:t xml:space="preserve"> Therefore, if the Breaking of Bread is of such central importance to the life of the Church, the church must have an ordained ministry, provided by Christ and standing </w:t>
      </w:r>
      <w:r w:rsidRPr="00A10D7C">
        <w:rPr>
          <w:i/>
        </w:rPr>
        <w:t>in persona Christi</w:t>
      </w:r>
      <w:r>
        <w:t xml:space="preserve">, for the sake of this table of theosis. </w:t>
      </w:r>
    </w:p>
    <w:p w:rsidR="00062AED" w:rsidRDefault="00062AED" w:rsidP="009370EA">
      <w:pPr>
        <w:spacing w:line="360" w:lineRule="auto"/>
        <w:jc w:val="both"/>
      </w:pPr>
    </w:p>
    <w:p w:rsidR="00062AED" w:rsidRDefault="00062AED" w:rsidP="009370EA">
      <w:pPr>
        <w:spacing w:line="360" w:lineRule="auto"/>
        <w:jc w:val="both"/>
      </w:pPr>
    </w:p>
    <w:p w:rsidR="00062AED" w:rsidRPr="00650467" w:rsidRDefault="00062AED" w:rsidP="009370EA">
      <w:pPr>
        <w:pStyle w:val="PhDSubheading"/>
        <w:spacing w:line="360" w:lineRule="auto"/>
      </w:pPr>
      <w:r>
        <w:t xml:space="preserve">6.2 </w:t>
      </w:r>
      <w:r w:rsidRPr="00611770">
        <w:t xml:space="preserve">The Body of </w:t>
      </w:r>
      <w:r>
        <w:t>the Father’s Election in Christ</w:t>
      </w:r>
    </w:p>
    <w:p w:rsidR="00062AED" w:rsidRDefault="00062AED" w:rsidP="009370EA">
      <w:pPr>
        <w:spacing w:line="360" w:lineRule="auto"/>
      </w:pPr>
      <w:r>
        <w:t>The Church does not merely burst upon the scene in time. It is not a phenomenon of the modern age, nor of the Day of Pentecost, nor even of the history of Israel, but rather a phenomenon rooted in the elective purposes of the Triune God in eternity past for eternity future.</w:t>
      </w:r>
    </w:p>
    <w:p w:rsidR="00062AED" w:rsidRDefault="00062AED" w:rsidP="009370EA">
      <w:pPr>
        <w:spacing w:line="360" w:lineRule="auto"/>
      </w:pPr>
    </w:p>
    <w:p w:rsidR="00062AED" w:rsidRPr="00EA485C" w:rsidRDefault="00062AED" w:rsidP="009370EA">
      <w:pPr>
        <w:pStyle w:val="PhDSubheading"/>
        <w:spacing w:line="360" w:lineRule="auto"/>
      </w:pPr>
      <w:r>
        <w:t xml:space="preserve">6.2.1 </w:t>
      </w:r>
      <w:r w:rsidRPr="00EA485C">
        <w:t>Predestined for Sonship</w:t>
      </w:r>
    </w:p>
    <w:p w:rsidR="00062AED" w:rsidRDefault="00062AED" w:rsidP="009370EA">
      <w:pPr>
        <w:spacing w:line="360" w:lineRule="auto"/>
        <w:jc w:val="both"/>
      </w:pPr>
      <w:r>
        <w:t xml:space="preserve">The Church exists in the election of God the Father (Eph. 1:3-4; 1 Peter 1:2). Thus the monarchy of the Father in the Trinity is reflected in the election of the Church. Yet this election by the Father is more than a matter of Trinitarian taxis, for it is indeed a Fatherly election. The Father </w:t>
      </w:r>
      <w:r w:rsidRPr="000D42AC">
        <w:rPr>
          <w:i/>
        </w:rPr>
        <w:t>qua Father</w:t>
      </w:r>
      <w:r>
        <w:t xml:space="preserve"> has elected the Church in predestination to sonship (Eph. 1:5). Thus in Fatherly love, the Father has chosen the Church to be brought into the Fatherly love which he has for his Son (cf. John 17:23). Therefore, being linked to the Father’s love for his Son, the adoption of the Church to sonship in the Son, and participation in the loving communion of the Triune God, the election of the Church is not merely a question of divine sovereignty and providence, but rather it is a matter of the eternal purpose of </w:t>
      </w:r>
      <w:r w:rsidRPr="007819B6">
        <w:t>theosis</w:t>
      </w:r>
      <w:r>
        <w:t>.</w:t>
      </w:r>
    </w:p>
    <w:p w:rsidR="00062AED" w:rsidRDefault="00062AED" w:rsidP="009370EA">
      <w:pPr>
        <w:spacing w:line="360" w:lineRule="auto"/>
        <w:jc w:val="both"/>
      </w:pPr>
      <w:r>
        <w:lastRenderedPageBreak/>
        <w:t>The Father’s election is an election of love (Eph. 1:4; cf. Deut. 10:15; Ps. 78:68). As we have seen Thomas Rees point out, the origin of the Church ‘was hidden deep in the fathomless love of God’</w:t>
      </w:r>
      <w:r>
        <w:rPr>
          <w:rStyle w:val="FootnoteReference"/>
        </w:rPr>
        <w:footnoteReference w:id="1276"/>
      </w:r>
      <w:r>
        <w:t xml:space="preserve"> and so the election of the Church ‘springs from … the everlasting love of God.’</w:t>
      </w:r>
      <w:r>
        <w:rPr>
          <w:rStyle w:val="FootnoteReference"/>
        </w:rPr>
        <w:footnoteReference w:id="1277"/>
      </w:r>
    </w:p>
    <w:p w:rsidR="00062AED" w:rsidRDefault="00062AED" w:rsidP="009370EA">
      <w:pPr>
        <w:spacing w:line="360" w:lineRule="auto"/>
        <w:jc w:val="both"/>
      </w:pPr>
      <w:r>
        <w:t xml:space="preserve">That election is rooted in the love of the Triune God is also seen in the Intra-Trinitarian Covenant of Redemption of which D.P. Williams liked to sing in his Welsh hymns. As Williams understands the </w:t>
      </w:r>
      <w:r w:rsidRPr="00AA333C">
        <w:rPr>
          <w:i/>
        </w:rPr>
        <w:t>pactum salutis</w:t>
      </w:r>
      <w:r>
        <w:t>, it was in this ‘Divine Counsel of the Three’ that, in love, the Father ‘elected us’.</w:t>
      </w:r>
      <w:r>
        <w:rPr>
          <w:rStyle w:val="FootnoteReference"/>
        </w:rPr>
        <w:footnoteReference w:id="1278"/>
      </w:r>
      <w:r>
        <w:t xml:space="preserve"> Finding its origin, then, in the Father’s loving election in the intra-Trinitarian covenant (</w:t>
      </w:r>
      <w:r w:rsidRPr="00AA333C">
        <w:rPr>
          <w:i/>
        </w:rPr>
        <w:t>pactum salutis</w:t>
      </w:r>
      <w:r>
        <w:t>), and being accomplished through the work of Christ in his Incarnation and Atonement, election becomes visible in the Church. As W.H. Lewis put it, the Body of Christ is ‘the visible fruition of the counsels of the Triune God.’</w:t>
      </w:r>
      <w:r>
        <w:rPr>
          <w:rStyle w:val="FootnoteReference"/>
        </w:rPr>
        <w:footnoteReference w:id="1279"/>
      </w:r>
    </w:p>
    <w:p w:rsidR="00062AED" w:rsidRDefault="00062AED" w:rsidP="009370EA">
      <w:pPr>
        <w:spacing w:line="360" w:lineRule="auto"/>
        <w:jc w:val="both"/>
      </w:pPr>
      <w:r>
        <w:t xml:space="preserve">The Father’s election is an election, not merely of individual believers, but of the </w:t>
      </w:r>
      <w:r w:rsidRPr="002B0531">
        <w:rPr>
          <w:i/>
        </w:rPr>
        <w:t>Totus Christus</w:t>
      </w:r>
      <w:r>
        <w:t>. Believers are chosen only ‘in him’ (Eph. 1:4), and they are chosen together ‘in him.’ W.R. Thomas emphasised this single object of election: ‘God chose One’, that One being Christ together with ‘all who place their faith in Him.’</w:t>
      </w:r>
      <w:r>
        <w:rPr>
          <w:rStyle w:val="FootnoteReference"/>
        </w:rPr>
        <w:footnoteReference w:id="1280"/>
      </w:r>
      <w:r>
        <w:t xml:space="preserve"> The members of the church have been elected collectively as the Body united to Christ, the elect Head. This is a concorporeal election.</w:t>
      </w:r>
    </w:p>
    <w:p w:rsidR="00062AED" w:rsidRDefault="00062AED" w:rsidP="009370EA">
      <w:pPr>
        <w:spacing w:line="360" w:lineRule="auto"/>
        <w:jc w:val="both"/>
      </w:pPr>
    </w:p>
    <w:p w:rsidR="00A55DCB" w:rsidRDefault="00A55DCB" w:rsidP="009370EA">
      <w:pPr>
        <w:pStyle w:val="PhDSubheading"/>
        <w:spacing w:line="360" w:lineRule="auto"/>
      </w:pPr>
    </w:p>
    <w:p w:rsidR="00062AED" w:rsidRPr="00EA485C" w:rsidRDefault="00062AED" w:rsidP="009370EA">
      <w:pPr>
        <w:pStyle w:val="PhDSubheading"/>
        <w:spacing w:line="360" w:lineRule="auto"/>
      </w:pPr>
      <w:r>
        <w:t xml:space="preserve">6.2.2 </w:t>
      </w:r>
      <w:r w:rsidRPr="00EA485C">
        <w:t>The Priority of the Church</w:t>
      </w:r>
    </w:p>
    <w:p w:rsidR="00062AED" w:rsidRDefault="00062AED" w:rsidP="009370EA">
      <w:pPr>
        <w:spacing w:line="360" w:lineRule="auto"/>
        <w:jc w:val="both"/>
      </w:pPr>
      <w:r>
        <w:t xml:space="preserve">A particular strain of supralapsarianism has been evident in our examination of Apostolic thought. The Church, for the early Apostolics, takes precedence over both creation and the kingdom, as the eternal purpose of God. </w:t>
      </w:r>
      <w:r w:rsidRPr="005758EC">
        <w:t>The world was created for the outworking of the Father’s election concerning the Church,</w:t>
      </w:r>
      <w:r w:rsidRPr="005758EC">
        <w:rPr>
          <w:rStyle w:val="FootnoteReference"/>
        </w:rPr>
        <w:footnoteReference w:id="1281"/>
      </w:r>
      <w:r w:rsidRPr="005758EC">
        <w:t xml:space="preserve"> and the kingdom exists for the building of the Body.</w:t>
      </w:r>
      <w:r w:rsidRPr="005758EC">
        <w:rPr>
          <w:rStyle w:val="FootnoteReference"/>
        </w:rPr>
        <w:footnoteReference w:id="1282"/>
      </w:r>
      <w:r w:rsidRPr="005758EC">
        <w:t xml:space="preserve"> </w:t>
      </w:r>
    </w:p>
    <w:p w:rsidR="00062AED" w:rsidRDefault="00062AED" w:rsidP="009370EA">
      <w:pPr>
        <w:spacing w:line="360" w:lineRule="auto"/>
        <w:jc w:val="both"/>
      </w:pPr>
      <w:r w:rsidRPr="00AE0DA3">
        <w:t xml:space="preserve">This matter of the priority of the church has been a significant subject of discussion in contemporary Pentecostal ecclesiology. Simon Chan notes that ‘the fact that much of the discussion of the role of the Spirit by both evangelicals and Pentecostals occurs in relation to </w:t>
      </w:r>
      <w:r w:rsidRPr="00AE0DA3">
        <w:lastRenderedPageBreak/>
        <w:t>mission theology rather than ecclesiology shows that the church is defined largely in terms of … serving the kingdom of God.’</w:t>
      </w:r>
      <w:r w:rsidRPr="00AE0DA3">
        <w:rPr>
          <w:rStyle w:val="FootnoteReference"/>
        </w:rPr>
        <w:footnoteReference w:id="1283"/>
      </w:r>
      <w:r w:rsidRPr="00AE0DA3">
        <w:t xml:space="preserve"> This takes place in two ways: either in the more conservatively evangelical, exclusivist approach of seeing the church as ‘essentially the redemptive instrument to restore what was lost due to the Fall,’</w:t>
      </w:r>
      <w:r w:rsidRPr="00AE0DA3">
        <w:rPr>
          <w:rStyle w:val="FootnoteReference"/>
        </w:rPr>
        <w:footnoteReference w:id="1284"/>
      </w:r>
      <w:r w:rsidRPr="00AE0DA3">
        <w:t xml:space="preserve"> or through more recent inclusivist-leaning models (such as the approaches of Pentecostal theologians Frank Macchia and Amos Yong).</w:t>
      </w:r>
      <w:r w:rsidRPr="00AE0DA3">
        <w:rPr>
          <w:rStyle w:val="FootnoteReference"/>
        </w:rPr>
        <w:footnoteReference w:id="1285"/>
      </w:r>
      <w:r>
        <w:t xml:space="preserve"> Such models give creation and kingdom priority over the church. </w:t>
      </w:r>
    </w:p>
    <w:p w:rsidR="00062AED" w:rsidRDefault="00062AED" w:rsidP="009370EA">
      <w:pPr>
        <w:spacing w:line="360" w:lineRule="auto"/>
        <w:jc w:val="both"/>
      </w:pPr>
      <w:r>
        <w:t>Amos Yong, for example, argues that ‘the Spirit is poured out on all flesh’, even beyond the church, and including those of other religions.</w:t>
      </w:r>
      <w:r>
        <w:rPr>
          <w:rStyle w:val="FootnoteReference"/>
        </w:rPr>
        <w:footnoteReference w:id="1286"/>
      </w:r>
      <w:r>
        <w:t xml:space="preserve"> As a result, the church must listen to and be open to learn from ‘and even [be] corrected by’ non-Christian religions.</w:t>
      </w:r>
      <w:r>
        <w:rPr>
          <w:rStyle w:val="FootnoteReference"/>
        </w:rPr>
        <w:footnoteReference w:id="1287"/>
      </w:r>
      <w:r>
        <w:t xml:space="preserve"> For Yong, ‘the Spirit’s sanctifying effects may yet be displayed outside the church.’</w:t>
      </w:r>
      <w:r>
        <w:rPr>
          <w:rStyle w:val="FootnoteReference"/>
        </w:rPr>
        <w:footnoteReference w:id="1288"/>
      </w:r>
      <w:r>
        <w:t xml:space="preserve"> Thus the church could play no more than a subordinate and instrumental role.</w:t>
      </w:r>
    </w:p>
    <w:p w:rsidR="00062AED" w:rsidRDefault="00062AED" w:rsidP="009370EA">
      <w:pPr>
        <w:spacing w:line="360" w:lineRule="auto"/>
        <w:jc w:val="both"/>
      </w:pPr>
      <w:r w:rsidRPr="00B1234E">
        <w:t>Chan, however, argues for an approach which would maintain the priority of the church. The church is to be seen as ‘God’s ultimate purpose’ and creation as ‘the means to fulfilling God</w:t>
      </w:r>
      <w:r w:rsidR="00A3534D">
        <w:t>’s</w:t>
      </w:r>
      <w:r w:rsidRPr="00B1234E">
        <w:t xml:space="preserve"> ultimate goal which is the church.’</w:t>
      </w:r>
      <w:r w:rsidRPr="00B1234E">
        <w:rPr>
          <w:rStyle w:val="FootnoteReference"/>
        </w:rPr>
        <w:footnoteReference w:id="1289"/>
      </w:r>
      <w:r>
        <w:t xml:space="preserve"> Chan’s reading of the biblical narrative is in harmony with the early Apostolics, seeing ‘creation as forming the backdrop for God’s elective grace and covenant relationship rather than vice versa. God created the world in order that he might enter into a covenant relationship with humankind.’</w:t>
      </w:r>
      <w:r>
        <w:rPr>
          <w:rStyle w:val="FootnoteReference"/>
        </w:rPr>
        <w:footnoteReference w:id="1290"/>
      </w:r>
      <w:r>
        <w:t xml:space="preserve"> The church is not:</w:t>
      </w:r>
    </w:p>
    <w:p w:rsidR="00062AED" w:rsidRPr="00B1234E" w:rsidRDefault="00062AED" w:rsidP="009370EA">
      <w:pPr>
        <w:spacing w:line="360" w:lineRule="auto"/>
        <w:ind w:left="720" w:right="720"/>
        <w:jc w:val="both"/>
        <w:rPr>
          <w:sz w:val="20"/>
        </w:rPr>
      </w:pPr>
      <w:r w:rsidRPr="00B1234E">
        <w:rPr>
          <w:sz w:val="20"/>
        </w:rPr>
        <w:t>another entity with</w:t>
      </w:r>
      <w:r>
        <w:rPr>
          <w:sz w:val="20"/>
        </w:rPr>
        <w:t>in</w:t>
      </w:r>
      <w:r w:rsidRPr="00B1234E">
        <w:rPr>
          <w:sz w:val="20"/>
        </w:rPr>
        <w:t xml:space="preserve"> the larger creation but [is] prior to creation. The church precedes creation in that it is what God has in view from all eternity and creation is the means by which God fulfils his eternal purpose in time. The church does not exist in order to fix a broken creation; rather, creation exists to realize the church. … God made the world in order to make the church, not vice versa.</w:t>
      </w:r>
      <w:r w:rsidRPr="00B1234E">
        <w:rPr>
          <w:rStyle w:val="FootnoteReference"/>
          <w:sz w:val="20"/>
        </w:rPr>
        <w:footnoteReference w:id="1291"/>
      </w:r>
    </w:p>
    <w:p w:rsidR="00062AED" w:rsidRDefault="00062AED" w:rsidP="009370EA">
      <w:pPr>
        <w:spacing w:line="360" w:lineRule="auto"/>
        <w:jc w:val="both"/>
      </w:pPr>
      <w:r>
        <w:t xml:space="preserve">Such an understanding of the eternal purpose and the priority of the church means that the Church is not only more than an instrument for God’s work in creation and kingdom, but also that the Church cannot exist apart from the Triune God. In Chan’s terms, the Church ‘does not have a purely creaturely existence’ and ‘unlike creation, is not “external” to God but is, as it were, </w:t>
      </w:r>
      <w:r>
        <w:lastRenderedPageBreak/>
        <w:t>“internal” to the life of the triune God (</w:t>
      </w:r>
      <w:r w:rsidRPr="00B1234E">
        <w:rPr>
          <w:i/>
        </w:rPr>
        <w:t>opus ad intra</w:t>
      </w:r>
      <w:r>
        <w:t>).’</w:t>
      </w:r>
      <w:r>
        <w:rPr>
          <w:rStyle w:val="FootnoteReference"/>
        </w:rPr>
        <w:footnoteReference w:id="1292"/>
      </w:r>
      <w:r>
        <w:t xml:space="preserve"> In other words, the Church has its life in the Trinity: it exists in theosis. This is possible only through the </w:t>
      </w:r>
      <w:r w:rsidRPr="00D17FF9">
        <w:rPr>
          <w:i/>
        </w:rPr>
        <w:t>Totus Christus</w:t>
      </w:r>
      <w:r>
        <w:t>,</w:t>
      </w:r>
      <w:r>
        <w:rPr>
          <w:rStyle w:val="FootnoteReference"/>
        </w:rPr>
        <w:footnoteReference w:id="1293"/>
      </w:r>
      <w:r>
        <w:t xml:space="preserve"> and so the theosis of the Church is a concorporeal theosis.</w:t>
      </w:r>
    </w:p>
    <w:p w:rsidR="00062AED" w:rsidRDefault="00062AED" w:rsidP="009370EA">
      <w:pPr>
        <w:spacing w:line="360" w:lineRule="auto"/>
        <w:jc w:val="both"/>
      </w:pPr>
    </w:p>
    <w:p w:rsidR="00062AED" w:rsidRPr="00EA485C" w:rsidRDefault="00062AED" w:rsidP="009370EA">
      <w:pPr>
        <w:pStyle w:val="PhDSubheading"/>
        <w:spacing w:line="360" w:lineRule="auto"/>
      </w:pPr>
      <w:r>
        <w:t xml:space="preserve">6.2.3 </w:t>
      </w:r>
      <w:r w:rsidRPr="00EA485C">
        <w:t>Three Things Before the Foundation of the World</w:t>
      </w:r>
    </w:p>
    <w:p w:rsidR="00062AED" w:rsidRDefault="00062AED" w:rsidP="009370EA">
      <w:pPr>
        <w:spacing w:line="360" w:lineRule="auto"/>
        <w:jc w:val="both"/>
      </w:pPr>
      <w:r>
        <w:t>A common theme among Apostolic writers is that of the three things ‘before the foundation of the world’: namely, the Father’s love for the Son (John 17:5), the foreordination of the Son as the atoning Lamb of God (1 Pet. 1:19-21), and the election of the Church in the Son (Eph. 1:3-6).</w:t>
      </w:r>
      <w:r>
        <w:rPr>
          <w:rStyle w:val="FootnoteReference"/>
        </w:rPr>
        <w:footnoteReference w:id="1294"/>
      </w:r>
      <w:r>
        <w:t xml:space="preserve"> These three things ‘before the foundation of the world’ tie together the Son’s appointment as Redeemer and the election of the Church in him with the great love which the Father lavishes upon the Son, and thus connect election with </w:t>
      </w:r>
      <w:r w:rsidRPr="007819B6">
        <w:t>theosis</w:t>
      </w:r>
      <w:r>
        <w:t xml:space="preserve"> through the incarnation and atoning work of Christ the Son.</w:t>
      </w:r>
    </w:p>
    <w:p w:rsidR="00062AED" w:rsidRDefault="00062AED" w:rsidP="009370EA">
      <w:pPr>
        <w:spacing w:line="360" w:lineRule="auto"/>
        <w:jc w:val="both"/>
      </w:pPr>
      <w:r>
        <w:t>Therefore</w:t>
      </w:r>
      <w:r w:rsidRPr="000222F3">
        <w:t xml:space="preserve"> election and eschatology are tied together here by Christ’s incarnation and atonement.</w:t>
      </w:r>
      <w:r>
        <w:t xml:space="preserve"> As both D.P. Williams and Thomas Rees have emphasised, the Church is the Body of the incarnate, crucified, risen Christ.</w:t>
      </w:r>
      <w:r>
        <w:rPr>
          <w:rStyle w:val="FootnoteReference"/>
        </w:rPr>
        <w:footnoteReference w:id="1295"/>
      </w:r>
      <w:r>
        <w:t xml:space="preserve"> The Church which was chosen in the eternal election of God was established through Christ’s incarnation and atoning work.</w:t>
      </w:r>
      <w:r>
        <w:rPr>
          <w:rStyle w:val="FootnoteReference"/>
        </w:rPr>
        <w:footnoteReference w:id="1296"/>
      </w:r>
      <w:r>
        <w:t xml:space="preserve"> The elect church of eternity past becomes the eschatological church of eternity future through the atoning work of the incarnate Son.</w:t>
      </w:r>
    </w:p>
    <w:p w:rsidR="00062AED" w:rsidRDefault="00062AED" w:rsidP="009370EA">
      <w:pPr>
        <w:spacing w:line="360" w:lineRule="auto"/>
        <w:jc w:val="both"/>
      </w:pPr>
    </w:p>
    <w:p w:rsidR="00062AED" w:rsidRPr="00650467" w:rsidRDefault="00062AED" w:rsidP="009370EA">
      <w:pPr>
        <w:pStyle w:val="PhDSubheading"/>
        <w:spacing w:line="360" w:lineRule="auto"/>
      </w:pPr>
      <w:r>
        <w:t xml:space="preserve">6.3 </w:t>
      </w:r>
      <w:r w:rsidRPr="00611770">
        <w:t xml:space="preserve">The Body </w:t>
      </w:r>
      <w:r>
        <w:t>Baptised by Christ in the Spirit</w:t>
      </w:r>
    </w:p>
    <w:p w:rsidR="00062AED" w:rsidRPr="00510FF2" w:rsidRDefault="00062AED" w:rsidP="009370EA">
      <w:pPr>
        <w:pStyle w:val="PhDSubheading"/>
        <w:spacing w:line="360" w:lineRule="auto"/>
      </w:pPr>
      <w:r>
        <w:t xml:space="preserve">6.3.1 </w:t>
      </w:r>
      <w:r w:rsidRPr="00D160DB">
        <w:rPr>
          <w:lang w:val="cy-GB"/>
        </w:rPr>
        <w:t>Filled with all the Fullness of God: Fullness, Theosis and the Baptism of the Holy Spirit</w:t>
      </w:r>
    </w:p>
    <w:p w:rsidR="00062AED" w:rsidRDefault="00062AED" w:rsidP="009370EA">
      <w:pPr>
        <w:spacing w:line="360" w:lineRule="auto"/>
        <w:jc w:val="both"/>
        <w:rPr>
          <w:lang w:val="cy-GB"/>
        </w:rPr>
      </w:pPr>
      <w:r w:rsidRPr="00D160DB">
        <w:rPr>
          <w:lang w:val="cy-GB"/>
        </w:rPr>
        <w:t xml:space="preserve">Christ’s descent to the tomb and ascent ‘far above all the heavens’ was ‘that he might fill all things’ (Eph. 4:10). This fullness of Christ in the Church was of great significance to the ecclesiological thought of the early Apostolics and for many of them, following in the trajectory established by D.P. Williams and Thomas Rees and further developed by W.R. Thomas, this was </w:t>
      </w:r>
      <w:r w:rsidRPr="00D160DB">
        <w:rPr>
          <w:lang w:val="cy-GB"/>
        </w:rPr>
        <w:lastRenderedPageBreak/>
        <w:t xml:space="preserve">closely connected both to their Trinitarian theology and to their Pentecostal doctrine of </w:t>
      </w:r>
      <w:r>
        <w:rPr>
          <w:lang w:val="cy-GB"/>
        </w:rPr>
        <w:t>BHS</w:t>
      </w:r>
      <w:r w:rsidRPr="00D160DB">
        <w:rPr>
          <w:lang w:val="cy-GB"/>
        </w:rPr>
        <w:t>.</w:t>
      </w:r>
      <w:r w:rsidRPr="00D160DB">
        <w:rPr>
          <w:vertAlign w:val="superscript"/>
          <w:lang w:val="cy-GB"/>
        </w:rPr>
        <w:footnoteReference w:id="1297"/>
      </w:r>
      <w:r w:rsidRPr="00D160DB">
        <w:rPr>
          <w:lang w:val="cy-GB"/>
        </w:rPr>
        <w:t xml:space="preserve"> As a result, neither Trinitarian theology nor the Pentecostal distinctive of </w:t>
      </w:r>
      <w:r>
        <w:rPr>
          <w:lang w:val="cy-GB"/>
        </w:rPr>
        <w:t>BHS</w:t>
      </w:r>
      <w:r w:rsidRPr="00D160DB">
        <w:rPr>
          <w:lang w:val="cy-GB"/>
        </w:rPr>
        <w:t xml:space="preserve"> can be extricated from an authentically Apostolic ecclesiology.</w:t>
      </w:r>
    </w:p>
    <w:p w:rsidR="00062AED" w:rsidRDefault="00062AED" w:rsidP="009370EA">
      <w:pPr>
        <w:spacing w:line="360" w:lineRule="auto"/>
        <w:jc w:val="both"/>
        <w:rPr>
          <w:lang w:val="cy-GB"/>
        </w:rPr>
      </w:pPr>
    </w:p>
    <w:p w:rsidR="00062AED" w:rsidRPr="00395328" w:rsidRDefault="00062AED" w:rsidP="009370EA">
      <w:pPr>
        <w:pStyle w:val="PhDSubheading"/>
        <w:spacing w:line="360" w:lineRule="auto"/>
      </w:pPr>
      <w:r>
        <w:t xml:space="preserve">6.3.2 </w:t>
      </w:r>
      <w:r w:rsidRPr="00395328">
        <w:t>What is the Baptism in the Holy Spirit?</w:t>
      </w:r>
    </w:p>
    <w:p w:rsidR="00062AED" w:rsidRDefault="00062AED" w:rsidP="009370EA">
      <w:pPr>
        <w:spacing w:line="360" w:lineRule="auto"/>
        <w:jc w:val="both"/>
        <w:rPr>
          <w:lang w:val="cy-GB"/>
        </w:rPr>
      </w:pPr>
      <w:r>
        <w:t>Pentecostals have often been quicker to discuss the timing or effects of BHS than to discuss its theological nature.</w:t>
      </w:r>
      <w:r>
        <w:rPr>
          <w:rStyle w:val="FootnoteReference"/>
        </w:rPr>
        <w:footnoteReference w:id="1298"/>
      </w:r>
      <w:r>
        <w:t xml:space="preserve"> Thus, while Pentecostals have carefully crafted statements regarding the timing, evidence and effects of their central distinctive, there is no agreed theology of what BHS actually is.</w:t>
      </w:r>
      <w:r>
        <w:rPr>
          <w:rStyle w:val="FootnoteReference"/>
        </w:rPr>
        <w:footnoteReference w:id="1299"/>
      </w:r>
      <w:r>
        <w:t xml:space="preserve"> Yet without such a theological definition of BHS it can be of little use in the construction of an ecclesiology. The early British Apostolics, however, did give some thought to this question, and so I shall draw on them in an attempt to provide an answer.</w:t>
      </w:r>
    </w:p>
    <w:p w:rsidR="00062AED" w:rsidRDefault="00062AED" w:rsidP="009370EA">
      <w:pPr>
        <w:spacing w:line="360" w:lineRule="auto"/>
        <w:jc w:val="both"/>
      </w:pPr>
      <w:r>
        <w:t>The doctrines of subsequence and initial physical evidence have been much discussed by Pentecostals (although perhaps more by New Testament scholars than systematic theologians), and so do not require discussion here, as our focus will be on the meaning of BHS. For the moment it will suffice to assume a doctrine of separability.</w:t>
      </w:r>
      <w:r>
        <w:rPr>
          <w:rStyle w:val="FootnoteReference"/>
        </w:rPr>
        <w:footnoteReference w:id="1300"/>
      </w:r>
    </w:p>
    <w:p w:rsidR="00062AED" w:rsidRDefault="00062AED" w:rsidP="009370EA">
      <w:pPr>
        <w:spacing w:line="360" w:lineRule="auto"/>
        <w:jc w:val="both"/>
      </w:pPr>
    </w:p>
    <w:p w:rsidR="00062AED" w:rsidRPr="00B72C20" w:rsidRDefault="00062AED" w:rsidP="009370EA">
      <w:pPr>
        <w:pStyle w:val="PhDSubheading"/>
        <w:spacing w:line="360" w:lineRule="auto"/>
      </w:pPr>
      <w:r>
        <w:t xml:space="preserve">6.3.3 </w:t>
      </w:r>
      <w:r w:rsidRPr="00B72C20">
        <w:t>The Meaning of the Spirit’s Personal Presence in the Pentecostal Baptism</w:t>
      </w:r>
    </w:p>
    <w:p w:rsidR="00650467" w:rsidRDefault="00062AED" w:rsidP="009370EA">
      <w:pPr>
        <w:pStyle w:val="PhDSubheading"/>
        <w:spacing w:line="360" w:lineRule="auto"/>
      </w:pPr>
      <w:r>
        <w:t xml:space="preserve">6.3.3.1 </w:t>
      </w:r>
      <w:r w:rsidRPr="000331F9">
        <w:t>The Spirit of Sonship</w:t>
      </w:r>
      <w:r>
        <w:t xml:space="preserve">. </w:t>
      </w:r>
    </w:p>
    <w:p w:rsidR="00062AED" w:rsidRDefault="00062AED" w:rsidP="009370EA">
      <w:pPr>
        <w:spacing w:line="360" w:lineRule="auto"/>
        <w:jc w:val="both"/>
      </w:pPr>
      <w:r>
        <w:t xml:space="preserve">Pentecostals have frequently looked to Jesus’ baptism in the Jordan and the accompanying descent of the Spirit in the form of a dove as somehow paradigmatic for the later experience of BHS. There as the dove descended, the Father spoke, declaring ‘This is my beloved Son, in whom I am well pleased’ (Matt. 3:17). The Trinity is manifest as Jesus stands in the water, and the </w:t>
      </w:r>
      <w:r>
        <w:lastRenderedPageBreak/>
        <w:t>descent of the Spirit is associated with the Father’s declaration of sonship, acceptance, and fatherly love.</w:t>
      </w:r>
    </w:p>
    <w:p w:rsidR="00062AED" w:rsidRDefault="00062AED" w:rsidP="009370EA">
      <w:pPr>
        <w:spacing w:line="360" w:lineRule="auto"/>
        <w:jc w:val="both"/>
      </w:pPr>
      <w:r>
        <w:t>Paul makes a similar connection between the outpouring of the Spirit and sonship: ‘</w:t>
      </w:r>
      <w:r w:rsidRPr="007E1DF8">
        <w:t>because you are sons, God has sent forth the Spirit of His Son into your hearts, crying out, “Abba, Father!”</w:t>
      </w:r>
      <w:r>
        <w:t>’ (Gal. 4:6).</w:t>
      </w:r>
      <w:r>
        <w:rPr>
          <w:rStyle w:val="FootnoteReference"/>
        </w:rPr>
        <w:footnoteReference w:id="1301"/>
      </w:r>
      <w:r>
        <w:t xml:space="preserve"> As the Spirit is poured out into the hearts of believers – the sons of God – he causes them to recognise and respond to this sonship and the Father’s great love for his adopted children. The Spirit who ‘catches us up into that relationship that Christ has with his Father’</w:t>
      </w:r>
      <w:r>
        <w:rPr>
          <w:rStyle w:val="FootnoteReference"/>
        </w:rPr>
        <w:footnoteReference w:id="1302"/>
      </w:r>
      <w:r>
        <w:t xml:space="preserve"> brings us into the experience of that relationship already objectively established.</w:t>
      </w:r>
      <w:r>
        <w:rPr>
          <w:rStyle w:val="FootnoteReference"/>
        </w:rPr>
        <w:footnoteReference w:id="1303"/>
      </w:r>
      <w:r>
        <w:t xml:space="preserve"> In Christ, we are ‘sons in the Son’,</w:t>
      </w:r>
      <w:r>
        <w:rPr>
          <w:rStyle w:val="FootnoteReference"/>
        </w:rPr>
        <w:footnoteReference w:id="1304"/>
      </w:r>
      <w:r>
        <w:t xml:space="preserve"> and BHS is an experience of this loving relationship of sonship.</w:t>
      </w:r>
      <w:r>
        <w:rPr>
          <w:rStyle w:val="FootnoteReference"/>
        </w:rPr>
        <w:footnoteReference w:id="1305"/>
      </w:r>
      <w:r>
        <w:t xml:space="preserve"> The outpouring of the Spirit thus provides the church with an experiential assurance of sonship.</w:t>
      </w:r>
      <w:r>
        <w:rPr>
          <w:rStyle w:val="FootnoteReference"/>
        </w:rPr>
        <w:footnoteReference w:id="1306"/>
      </w:r>
    </w:p>
    <w:p w:rsidR="00062AED" w:rsidRDefault="00062AED" w:rsidP="009370EA">
      <w:pPr>
        <w:spacing w:line="360" w:lineRule="auto"/>
        <w:jc w:val="both"/>
      </w:pPr>
      <w:r>
        <w:t>As such an assurance of sonship, BHS is a revelatory experience in which God acknowledges us as his children (Acts 15:8). Simon Chan has argued for an understanding of the Pentecostal doctrine of BHS ‘in terms of revelation and personal intimacy.’</w:t>
      </w:r>
      <w:r>
        <w:rPr>
          <w:rStyle w:val="FootnoteReference"/>
        </w:rPr>
        <w:footnoteReference w:id="1307"/>
      </w:r>
      <w:r>
        <w:t xml:space="preserve"> For Chan, this allows for a much more satisfactory reading of the doctrine of subsequence and initial evidence ‘located within the larger Christian spiritual tradition.’</w:t>
      </w:r>
      <w:r>
        <w:rPr>
          <w:rStyle w:val="FootnoteReference"/>
        </w:rPr>
        <w:footnoteReference w:id="1308"/>
      </w:r>
      <w:r>
        <w:t xml:space="preserve"> Yet such an understanding of BHS would also accord well with </w:t>
      </w:r>
      <w:r>
        <w:lastRenderedPageBreak/>
        <w:t>viewing it in terms of an experience of sonship. Peter Hocken has also drawn on the category of revelation to define BHS in terms of ‘a change in relationship to the Triune God.’</w:t>
      </w:r>
      <w:r>
        <w:rPr>
          <w:rStyle w:val="FootnoteReference"/>
        </w:rPr>
        <w:footnoteReference w:id="1309"/>
      </w:r>
      <w:r>
        <w:t xml:space="preserve"> Relationship and revelation go together for Hocken, just as Chan connects revelation and intimacy. The charismatic confessional Lutheran theologian Theodore Jungkuntz makes a similar connection:</w:t>
      </w:r>
    </w:p>
    <w:p w:rsidR="00062AED" w:rsidRPr="00BB07A6" w:rsidRDefault="00062AED" w:rsidP="009370EA">
      <w:pPr>
        <w:spacing w:line="360" w:lineRule="auto"/>
        <w:ind w:left="720" w:right="720"/>
        <w:jc w:val="both"/>
        <w:rPr>
          <w:sz w:val="20"/>
        </w:rPr>
      </w:pPr>
      <w:r w:rsidRPr="00BB07A6">
        <w:rPr>
          <w:sz w:val="20"/>
        </w:rPr>
        <w:t xml:space="preserve">Spirit-baptism is analogous to a psychological coming to awareness of one’s own subjectivity, as for instance, when a child becomes consciously and existentially aware of what it means for him as a son to have a father on whose love he can depend. Spirit-baptism can simply be described as the coming to awareness of one’s subjectivity as a child of God, with the experiential knowledge that one can depend on the Father-son relationship … Spirit baptism as “experience” derives its content and meaning from a </w:t>
      </w:r>
      <w:r w:rsidRPr="00BB07A6">
        <w:rPr>
          <w:i/>
          <w:sz w:val="20"/>
        </w:rPr>
        <w:t>promissory word of God</w:t>
      </w:r>
      <w:r w:rsidRPr="00BB07A6">
        <w:rPr>
          <w:sz w:val="20"/>
        </w:rPr>
        <w:t xml:space="preserve"> coming to a person from the outside.</w:t>
      </w:r>
      <w:r w:rsidRPr="00BB07A6">
        <w:rPr>
          <w:rStyle w:val="FootnoteReference"/>
          <w:sz w:val="20"/>
        </w:rPr>
        <w:footnoteReference w:id="1310"/>
      </w:r>
    </w:p>
    <w:p w:rsidR="00062AED" w:rsidRDefault="00062AED" w:rsidP="009370EA">
      <w:pPr>
        <w:spacing w:line="360" w:lineRule="auto"/>
        <w:jc w:val="both"/>
      </w:pPr>
      <w:r>
        <w:t xml:space="preserve">Such an understanding allows Jungkuntz to place BHS within the framework of Luther’s </w:t>
      </w:r>
      <w:r w:rsidRPr="001C3500">
        <w:rPr>
          <w:i/>
        </w:rPr>
        <w:t>theologia crucis</w:t>
      </w:r>
      <w:r>
        <w:t>. BHS cannot establish faith, but rather ‘must be an event following faith’ and confirming it.</w:t>
      </w:r>
      <w:r>
        <w:rPr>
          <w:rStyle w:val="FootnoteReference"/>
        </w:rPr>
        <w:footnoteReference w:id="1311"/>
      </w:r>
      <w:r>
        <w:t xml:space="preserve"> Thus this awareness of sonship is an assurance of faith. ‘</w:t>
      </w:r>
      <w:r w:rsidRPr="001C3500">
        <w:rPr>
          <w:i/>
        </w:rPr>
        <w:t>First</w:t>
      </w:r>
      <w:r>
        <w:t xml:space="preserve"> the reception of the “new self” as a pure gift from God through the promissory word of God and only </w:t>
      </w:r>
      <w:r w:rsidRPr="001C3500">
        <w:rPr>
          <w:i/>
        </w:rPr>
        <w:t>then</w:t>
      </w:r>
      <w:r>
        <w:t xml:space="preserve"> the stirring to awareness of that self by the Spirit’s “works following.”’</w:t>
      </w:r>
      <w:r>
        <w:rPr>
          <w:rStyle w:val="FootnoteReference"/>
        </w:rPr>
        <w:footnoteReference w:id="1312"/>
      </w:r>
      <w:r>
        <w:t xml:space="preserve">  </w:t>
      </w:r>
    </w:p>
    <w:p w:rsidR="00062AED" w:rsidRDefault="00062AED" w:rsidP="009370EA">
      <w:pPr>
        <w:spacing w:line="360" w:lineRule="auto"/>
        <w:jc w:val="both"/>
      </w:pPr>
      <w:r>
        <w:t>This ‘stirring to awareness’ or revelatory experience of sonship and the Father’s love is the seal of the Spirit (Eph. 1:13; 2 Cor. 1:21-22; cf. Acts 15:8).</w:t>
      </w:r>
      <w:r>
        <w:rPr>
          <w:rStyle w:val="FootnoteReference"/>
        </w:rPr>
        <w:footnoteReference w:id="1313"/>
      </w:r>
      <w:r>
        <w:t xml:space="preserve"> Not only does such an understanding allow a theology of BHS to thrive within the context of a </w:t>
      </w:r>
      <w:r w:rsidRPr="0075495D">
        <w:rPr>
          <w:i/>
        </w:rPr>
        <w:t>theologia crucis</w:t>
      </w:r>
      <w:r>
        <w:t>, but also demands not only an experiential, but also a relational, Christ-focused, and Trinitarian understanding of the doctrine. The Christ-focus here in turn demands an ecclesial understanding of this experience of sonship, for it is in union with Christ – concorporeal with the Head – that the church knows sonship in the Son.</w:t>
      </w:r>
    </w:p>
    <w:p w:rsidR="00650467" w:rsidRDefault="00650467" w:rsidP="009370EA">
      <w:pPr>
        <w:spacing w:line="360" w:lineRule="auto"/>
        <w:jc w:val="both"/>
        <w:rPr>
          <w:b/>
          <w:i/>
        </w:rPr>
      </w:pPr>
    </w:p>
    <w:p w:rsidR="00965AC8" w:rsidRDefault="00965AC8" w:rsidP="009370EA">
      <w:pPr>
        <w:spacing w:line="360" w:lineRule="auto"/>
        <w:jc w:val="both"/>
        <w:rPr>
          <w:b/>
          <w:i/>
        </w:rPr>
      </w:pPr>
    </w:p>
    <w:p w:rsidR="00965AC8" w:rsidRDefault="00965AC8" w:rsidP="009370EA">
      <w:pPr>
        <w:spacing w:line="360" w:lineRule="auto"/>
        <w:jc w:val="both"/>
        <w:rPr>
          <w:b/>
          <w:i/>
        </w:rPr>
      </w:pPr>
    </w:p>
    <w:p w:rsidR="00650467" w:rsidRDefault="00062AED" w:rsidP="009370EA">
      <w:pPr>
        <w:pStyle w:val="PhDSubheading"/>
        <w:spacing w:line="360" w:lineRule="auto"/>
      </w:pPr>
      <w:r>
        <w:lastRenderedPageBreak/>
        <w:t xml:space="preserve">6.3.3.2 </w:t>
      </w:r>
      <w:r w:rsidRPr="000A5E82">
        <w:t xml:space="preserve">Where does Power fit in? </w:t>
      </w:r>
    </w:p>
    <w:p w:rsidR="00062AED" w:rsidRDefault="00062AED" w:rsidP="009370EA">
      <w:pPr>
        <w:spacing w:line="360" w:lineRule="auto"/>
        <w:jc w:val="both"/>
      </w:pPr>
      <w:r>
        <w:t>Yet Pentecostals have had a tendency to speak of BHS in terms of power. After all, Jesus promised that the church would ‘receive power when the Holy Spirit has come upon you’ (Acts 1:8). How does the Pentecostal power for witness of Acts 1:8 sit with an understanding of BHS as an experience of sonship?</w:t>
      </w:r>
    </w:p>
    <w:p w:rsidR="00062AED" w:rsidRDefault="00062AED" w:rsidP="009370EA">
      <w:pPr>
        <w:spacing w:line="360" w:lineRule="auto"/>
        <w:jc w:val="both"/>
      </w:pPr>
      <w:r>
        <w:t>Firstly, according to Christ, power in itself is useless (Matt. 7:22-23). Thus any concept of BHS as raw spiritual power stands in complete contradiction to being ‘known’ by Christ (cf. Matt. 7:23: ‘I never knew you’); yet knowing and being known by the Father and the Son is the essence of eternal life (John 17:3; 10:27). Therefore, any power associated with BHS must be power-in-relationship. It is not a power that somehow associates itself with Christ (cf. Acts 19:13-17), nor a power for the sake of Christ, which we can wield as our own work to gain divine favour (cf. the reliance on what they have done in Christ’s name in Matt. 7:22-23). Rather it is the power of Christ himself as he comes to his church through his Spirit (Matt. 28:20; Mark 16:20</w:t>
      </w:r>
      <w:r>
        <w:rPr>
          <w:rStyle w:val="FootnoteReference"/>
        </w:rPr>
        <w:footnoteReference w:id="1314"/>
      </w:r>
      <w:r>
        <w:t>; John 14:23</w:t>
      </w:r>
      <w:r>
        <w:rPr>
          <w:rStyle w:val="FootnoteReference"/>
        </w:rPr>
        <w:footnoteReference w:id="1315"/>
      </w:r>
      <w:r>
        <w:t>). This is a concorporeal power which the body experiences as the outpouring of the Spirit gives it that experiential assurance of its union with Christ the Head.</w:t>
      </w:r>
    </w:p>
    <w:p w:rsidR="00062AED" w:rsidRDefault="00062AED" w:rsidP="009370EA">
      <w:pPr>
        <w:spacing w:line="360" w:lineRule="auto"/>
        <w:jc w:val="both"/>
      </w:pPr>
      <w:r>
        <w:t>Thomas Turnbull, as we have seen, located the Pentecostal power ‘to rekindle our zeal, to revitalise our energies, to deepen our devotion, and to inspire us with an undying consecration to the work of building up the Church locally and generally’ not in an abstract gift of power from the Spirit, but rather in the Spirit himself through fellowship.</w:t>
      </w:r>
      <w:r>
        <w:rPr>
          <w:rStyle w:val="FootnoteReference"/>
        </w:rPr>
        <w:footnoteReference w:id="1316"/>
      </w:r>
      <w:r>
        <w:t xml:space="preserve"> Thus it is power-in-fellowship, or power-in-relationship, and this power of the Spirit-in-fellowship is the power (ultimately flowing from Christ and his Cross) which gives rise to and sustains the fellowship of the church (both the fellowship of the members together as one body, and the fellowship between the body and the Head in the </w:t>
      </w:r>
      <w:r w:rsidRPr="00FC7805">
        <w:rPr>
          <w:i/>
        </w:rPr>
        <w:t>Totus Christus</w:t>
      </w:r>
      <w:r>
        <w:t>).</w:t>
      </w:r>
      <w:r>
        <w:rPr>
          <w:rStyle w:val="FootnoteReference"/>
        </w:rPr>
        <w:footnoteReference w:id="1317"/>
      </w:r>
      <w:r>
        <w:t xml:space="preserve"> It is as the outpouring of the Spirit reveals to us experientially the reality of the fellowship which we share with Christ and his church that we are empowered, in fellowship with the Triune God, as Christ’s witnesses.  BHS reveals the fellowship and that revelation gives power-in-fellowship.</w:t>
      </w:r>
    </w:p>
    <w:p w:rsidR="00062AED" w:rsidRDefault="00062AED" w:rsidP="009370EA">
      <w:pPr>
        <w:spacing w:line="360" w:lineRule="auto"/>
        <w:jc w:val="both"/>
      </w:pPr>
      <w:r>
        <w:lastRenderedPageBreak/>
        <w:t>This is in accord with Simon Chan’s reading of BHS in terms of ‘personal encounter and intimacy.’</w:t>
      </w:r>
      <w:r>
        <w:rPr>
          <w:rStyle w:val="FootnoteReference"/>
        </w:rPr>
        <w:footnoteReference w:id="1318"/>
      </w:r>
      <w:r>
        <w:t xml:space="preserve"> Chan insists that BHS cannot be abstracted from ‘one’s relationship to the God who reveals himself in Jesus Christ through the illumination of the Spirit’ and therefore, ‘power is only the result of that revelational encounter with the Triune God.’</w:t>
      </w:r>
      <w:r>
        <w:rPr>
          <w:rStyle w:val="FootnoteReference"/>
        </w:rPr>
        <w:footnoteReference w:id="1319"/>
      </w:r>
      <w:r>
        <w:t xml:space="preserve"> For Chan:</w:t>
      </w:r>
    </w:p>
    <w:p w:rsidR="00062AED" w:rsidRPr="00847DAC" w:rsidRDefault="00062AED" w:rsidP="009370EA">
      <w:pPr>
        <w:spacing w:line="360" w:lineRule="auto"/>
        <w:ind w:left="720" w:right="720"/>
        <w:jc w:val="both"/>
        <w:rPr>
          <w:sz w:val="20"/>
        </w:rPr>
      </w:pPr>
      <w:r w:rsidRPr="00847DAC">
        <w:rPr>
          <w:sz w:val="20"/>
        </w:rPr>
        <w:t>‘revelation’ rather than power is the more basic category for understanding the nature of baptism in the Spirit. The revelation is that of God in the personal presence of Jesus Christ … There is a deep awareness of the nearness of God and a holy familiarity. Along with it, the extraordinary charisms are activated. The charisms, therefore, must always be interpreted in the context of the presence of God.</w:t>
      </w:r>
      <w:r w:rsidRPr="00847DAC">
        <w:rPr>
          <w:rStyle w:val="FootnoteReference"/>
          <w:sz w:val="20"/>
        </w:rPr>
        <w:footnoteReference w:id="1320"/>
      </w:r>
    </w:p>
    <w:p w:rsidR="00062AED" w:rsidRDefault="00062AED" w:rsidP="009370EA">
      <w:pPr>
        <w:spacing w:line="360" w:lineRule="auto"/>
        <w:jc w:val="both"/>
      </w:pPr>
      <w:r>
        <w:t xml:space="preserve">This, Chan argues, is the true context for understanding the power of Acts 1:8. Christ’s promise is not so much about </w:t>
      </w:r>
      <w:r w:rsidRPr="006A6E06">
        <w:rPr>
          <w:i/>
        </w:rPr>
        <w:t>having</w:t>
      </w:r>
      <w:r>
        <w:t xml:space="preserve"> power as it is about </w:t>
      </w:r>
      <w:r w:rsidRPr="006A6E06">
        <w:rPr>
          <w:i/>
        </w:rPr>
        <w:t>being</w:t>
      </w:r>
      <w:r>
        <w:t xml:space="preserve"> witnesses. Thus it is as the Spirit experientially carries us into transformative fellowship with Christ in his resurrection life that ‘believers are released from the fear of death into a self-transcending freedom which enables them to place themselves at God’s complete disposal.’</w:t>
      </w:r>
      <w:r>
        <w:rPr>
          <w:rStyle w:val="FootnoteReference"/>
        </w:rPr>
        <w:footnoteReference w:id="1321"/>
      </w:r>
      <w:r>
        <w:t xml:space="preserve"> The power flows from experiencing through the Spirit the fellowship the Body has with the Head, and so the empowering Pentecostal experience is revelatory encounter with the Trinity.</w:t>
      </w:r>
    </w:p>
    <w:p w:rsidR="00062AED" w:rsidRDefault="00062AED" w:rsidP="009370EA">
      <w:pPr>
        <w:spacing w:line="360" w:lineRule="auto"/>
        <w:jc w:val="both"/>
      </w:pPr>
      <w:r>
        <w:t xml:space="preserve">As we have already seen, this revelatory encounter is an experience of assurance: an experience of God’s love for his children by adoption and grace. Thus the power of the Pentecostal baptism flows from the assurance of God’s love. It is because we hear in BHS the Father’s declaration that we are beloved sons in the Son, with whom he is well pleased, </w:t>
      </w:r>
      <w:r w:rsidRPr="00AC45C6">
        <w:t>that we are empowered as gospel witnesses.</w:t>
      </w:r>
    </w:p>
    <w:p w:rsidR="00062AED" w:rsidRDefault="00062AED" w:rsidP="009370EA">
      <w:pPr>
        <w:spacing w:line="360" w:lineRule="auto"/>
        <w:jc w:val="both"/>
      </w:pPr>
      <w:r>
        <w:t>Ultimately, it is not the members of the church who are the witnesses, but rather the Holy Spirit in them is the witness (Acts 5:32). As Thomas Smail puts it, ‘Acts 5:32 makes it clear that the coming of the Holy Spirit constitutes us as Christ’s witnesses, only because he himself i</w:t>
      </w:r>
      <w:r w:rsidR="00126811">
        <w:t>s</w:t>
      </w:r>
      <w:r>
        <w:t xml:space="preserve"> pre-eminently </w:t>
      </w:r>
      <w:r w:rsidRPr="00BC2244">
        <w:rPr>
          <w:i/>
        </w:rPr>
        <w:t>the</w:t>
      </w:r>
      <w:r>
        <w:t xml:space="preserve"> Witness to Christ.’</w:t>
      </w:r>
      <w:r>
        <w:rPr>
          <w:rStyle w:val="FootnoteReference"/>
        </w:rPr>
        <w:footnoteReference w:id="1322"/>
      </w:r>
      <w:r>
        <w:t xml:space="preserve"> Therefore the power for witness which the Spirit brings is power which the church will possess only in </w:t>
      </w:r>
      <w:r w:rsidRPr="00BC2244">
        <w:rPr>
          <w:i/>
        </w:rPr>
        <w:t>koinonia</w:t>
      </w:r>
      <w:r>
        <w:t xml:space="preserve"> with Christ in the Spirit.</w:t>
      </w:r>
      <w:r>
        <w:rPr>
          <w:rStyle w:val="FootnoteReference"/>
        </w:rPr>
        <w:footnoteReference w:id="1323"/>
      </w:r>
    </w:p>
    <w:p w:rsidR="00062AED" w:rsidRDefault="00062AED" w:rsidP="009370EA">
      <w:pPr>
        <w:spacing w:line="360" w:lineRule="auto"/>
        <w:jc w:val="both"/>
      </w:pPr>
      <w:r>
        <w:lastRenderedPageBreak/>
        <w:t>Yet the power the church receives in the Pentecostal baptism through fellowship with Christ in the Spirit is not only power for witness or service, but also power to suffer.</w:t>
      </w:r>
      <w:r>
        <w:rPr>
          <w:rStyle w:val="FootnoteReference"/>
        </w:rPr>
        <w:footnoteReference w:id="1324"/>
      </w:r>
      <w:r>
        <w:t xml:space="preserve"> George Montague has pointed out the same emphasis in Mark’s Gospel:</w:t>
      </w:r>
    </w:p>
    <w:p w:rsidR="00062AED" w:rsidRPr="00A85A51" w:rsidRDefault="00062AED" w:rsidP="009370EA">
      <w:pPr>
        <w:spacing w:line="360" w:lineRule="auto"/>
        <w:ind w:left="720" w:right="720"/>
        <w:jc w:val="both"/>
        <w:rPr>
          <w:sz w:val="20"/>
        </w:rPr>
      </w:pPr>
      <w:r w:rsidRPr="00A85A51">
        <w:rPr>
          <w:sz w:val="20"/>
        </w:rPr>
        <w:t>inasmuch as Jesus’ baptism is also one of suffering unto the cross (10:38-39), which Jesus demanded every disciple to carry after him (8:34), the empowering is not merely charismatic. It is also the power to follow Jesus to the cross.</w:t>
      </w:r>
      <w:r w:rsidRPr="00A85A51">
        <w:rPr>
          <w:rStyle w:val="FootnoteReference"/>
          <w:sz w:val="20"/>
        </w:rPr>
        <w:footnoteReference w:id="1325"/>
      </w:r>
    </w:p>
    <w:p w:rsidR="00062AED" w:rsidRDefault="00062AED" w:rsidP="009370EA">
      <w:pPr>
        <w:spacing w:line="360" w:lineRule="auto"/>
        <w:jc w:val="both"/>
      </w:pPr>
      <w:r>
        <w:t xml:space="preserve">A right conception of BHS then must be a </w:t>
      </w:r>
      <w:r w:rsidRPr="00A85A51">
        <w:rPr>
          <w:i/>
        </w:rPr>
        <w:t>theologia crucis</w:t>
      </w:r>
      <w:r>
        <w:t xml:space="preserve"> rather than a </w:t>
      </w:r>
      <w:r w:rsidRPr="00A85A51">
        <w:rPr>
          <w:i/>
        </w:rPr>
        <w:t>theologia gloriae</w:t>
      </w:r>
      <w:r>
        <w:t>. Smail argues that ‘as atonement was made through a cross the Man suffered, so witness to that atonement can be made only by witnesses who exhibit the reality of that to which they witness in their own suffering … there could be no real reflection of Christ that did not consist of bearing his cross.’</w:t>
      </w:r>
      <w:r>
        <w:rPr>
          <w:rStyle w:val="FootnoteReference"/>
        </w:rPr>
        <w:footnoteReference w:id="1326"/>
      </w:r>
      <w:r>
        <w:t xml:space="preserve"> For Smail, the only church that can be renewed in the Spirit is the church which is ‘brought again and again to the point where all human self-sufficiency has to die.’</w:t>
      </w:r>
      <w:r>
        <w:rPr>
          <w:rStyle w:val="FootnoteReference"/>
        </w:rPr>
        <w:footnoteReference w:id="1327"/>
      </w:r>
      <w:r>
        <w:t xml:space="preserve"> It is only in the cross that the church finds power in the Spirit: this is the true Pentecostal power.</w:t>
      </w:r>
    </w:p>
    <w:p w:rsidR="00062AED" w:rsidRDefault="00062AED" w:rsidP="009370EA">
      <w:pPr>
        <w:spacing w:line="360" w:lineRule="auto"/>
        <w:jc w:val="both"/>
      </w:pPr>
    </w:p>
    <w:p w:rsidR="00650467" w:rsidRDefault="00062AED" w:rsidP="009370EA">
      <w:pPr>
        <w:pStyle w:val="PhDSubheading"/>
        <w:spacing w:line="360" w:lineRule="auto"/>
      </w:pPr>
      <w:r>
        <w:t xml:space="preserve">6.3.3.3 </w:t>
      </w:r>
      <w:r w:rsidRPr="001C45C9">
        <w:t>The Spirit of Love.</w:t>
      </w:r>
      <w:r>
        <w:t xml:space="preserve"> </w:t>
      </w:r>
    </w:p>
    <w:p w:rsidR="00062AED" w:rsidRDefault="00062AED" w:rsidP="009370EA">
      <w:pPr>
        <w:spacing w:line="360" w:lineRule="auto"/>
        <w:jc w:val="both"/>
      </w:pPr>
      <w:r>
        <w:t>If BHS is to be understood in terms of an experience of the Father’s great love for his adopted children, then love must be a fundamental category for understanding this doctrine. Paul connects the outpouring of the Spirit with the outpouring of God’s love: ‘the love of God has been poured out in our hearts by the Holy Spirit who was given to us’ (Rom. 5:5). As we have seen, D.P. Williams understood BHS as an immersion in the love which flows from the cross,</w:t>
      </w:r>
      <w:r>
        <w:rPr>
          <w:rStyle w:val="FootnoteReference"/>
        </w:rPr>
        <w:footnoteReference w:id="1328"/>
      </w:r>
      <w:r>
        <w:t xml:space="preserve"> and for Frank Hodges, BHS was fundamentally a baptism of love.</w:t>
      </w:r>
      <w:r>
        <w:rPr>
          <w:rStyle w:val="FootnoteReference"/>
        </w:rPr>
        <w:footnoteReference w:id="1329"/>
      </w:r>
      <w:r>
        <w:t xml:space="preserve"> </w:t>
      </w:r>
    </w:p>
    <w:p w:rsidR="00062AED" w:rsidRDefault="00062AED" w:rsidP="009370EA">
      <w:pPr>
        <w:spacing w:line="360" w:lineRule="auto"/>
        <w:jc w:val="both"/>
      </w:pPr>
      <w:r>
        <w:t>Yet the love which the Spirit pours out in our hearts is not merely a love from God; it is an experiential participation in the divine love itself, the loving fellowship of the Father, Son and Holy Spirit. Therefore, to be baptised in the Spirit is to be immersed in the Trinity.</w:t>
      </w:r>
    </w:p>
    <w:p w:rsidR="00062AED" w:rsidRDefault="00062AED" w:rsidP="009370EA">
      <w:pPr>
        <w:spacing w:line="360" w:lineRule="auto"/>
        <w:jc w:val="both"/>
      </w:pPr>
    </w:p>
    <w:p w:rsidR="00965AC8" w:rsidRDefault="00965AC8" w:rsidP="009370EA">
      <w:pPr>
        <w:spacing w:line="360" w:lineRule="auto"/>
        <w:jc w:val="both"/>
      </w:pPr>
    </w:p>
    <w:p w:rsidR="00062AED" w:rsidRPr="007A1F0A" w:rsidRDefault="00062AED" w:rsidP="009370EA">
      <w:pPr>
        <w:pStyle w:val="PhDSubheading"/>
        <w:spacing w:line="360" w:lineRule="auto"/>
      </w:pPr>
      <w:r>
        <w:lastRenderedPageBreak/>
        <w:t xml:space="preserve">6.3.4 </w:t>
      </w:r>
      <w:r w:rsidRPr="007A1F0A">
        <w:t>Immersion in the Trinity</w:t>
      </w:r>
    </w:p>
    <w:p w:rsidR="00062AED" w:rsidRDefault="00062AED" w:rsidP="009370EA">
      <w:pPr>
        <w:spacing w:line="360" w:lineRule="auto"/>
        <w:jc w:val="both"/>
      </w:pPr>
      <w:r>
        <w:t>The Apostolics understand baptism as immersion, rather than pouring,</w:t>
      </w:r>
      <w:r>
        <w:rPr>
          <w:rStyle w:val="FootnoteReference"/>
        </w:rPr>
        <w:footnoteReference w:id="1330"/>
      </w:r>
      <w:r>
        <w:t xml:space="preserve"> and applying the same lexical understanding to the baptism in the Spirit would imply not simply a pouring out,</w:t>
      </w:r>
      <w:r>
        <w:rPr>
          <w:rStyle w:val="FootnoteReference"/>
        </w:rPr>
        <w:footnoteReference w:id="1331"/>
      </w:r>
      <w:r>
        <w:t xml:space="preserve"> but an immersion in the Holy Spirit. Yet through the perichoretic oneness of the Father, Son and Holy Spirit this is not only an immersion in the Spirit, but an immersion in the Trinity.</w:t>
      </w:r>
      <w:r>
        <w:rPr>
          <w:rStyle w:val="FootnoteReference"/>
        </w:rPr>
        <w:footnoteReference w:id="1332"/>
      </w:r>
      <w:r>
        <w:t xml:space="preserve"> W.R. Thomas expressed this Triune outpouring through the perichoretic unity of the Trinity by drawing upon Colossians 2:9 and Ephesians 1:22-23: ‘Christ is the fullness of God; the Church is the fullness of Christ; and the Holy Spirit is the fullness of the Church … all the fullness of God in Christ dwells in the Church in the Person and presence of the Holy Spirit.’</w:t>
      </w:r>
      <w:r>
        <w:rPr>
          <w:rStyle w:val="FootnoteReference"/>
        </w:rPr>
        <w:footnoteReference w:id="1333"/>
      </w:r>
      <w:r>
        <w:t xml:space="preserve"> The Spirit takes of what is Christ’s (in this case the mutual indwelling of the triune Godhead) and communicates it to the Body (cf. John 16:14-15). In the context of promising the outpouring of the Spirit, Christ promises that he will not leave his church as orphans. Through the outpoured Spirit, Christ will come to his body (John 14:18), and yet, when Christ comes to the body in the Spirit, he does not come alone, for proclaiming the perichoretic union between the Father and the Son (John 14:20-21), Jesus declares that he and the Father together in their perichoretic unity will come and make their home with the church in the Spirit (John 14:23).</w:t>
      </w:r>
      <w:r>
        <w:rPr>
          <w:rStyle w:val="FootnoteReference"/>
        </w:rPr>
        <w:footnoteReference w:id="1334"/>
      </w:r>
    </w:p>
    <w:p w:rsidR="00062AED" w:rsidRDefault="00062AED" w:rsidP="009370EA">
      <w:pPr>
        <w:spacing w:line="360" w:lineRule="auto"/>
        <w:jc w:val="both"/>
      </w:pPr>
      <w:r>
        <w:t>As D.P. Williams expressed it, in BHS, ‘the soul is enraptured in fellowship with the Father and the Son,’</w:t>
      </w:r>
      <w:r>
        <w:rPr>
          <w:rStyle w:val="FootnoteReference"/>
        </w:rPr>
        <w:footnoteReference w:id="1335"/>
      </w:r>
      <w:r>
        <w:t xml:space="preserve"> or, in the words of Frank Hodges, BHS brings the church ‘into the very heart of God.’</w:t>
      </w:r>
      <w:r>
        <w:rPr>
          <w:rStyle w:val="FootnoteReference"/>
        </w:rPr>
        <w:footnoteReference w:id="1336"/>
      </w:r>
      <w:r>
        <w:t xml:space="preserve"> Thus BHS implies that ‘the Trinity … is united to the Church.’</w:t>
      </w:r>
      <w:r>
        <w:rPr>
          <w:rStyle w:val="FootnoteReference"/>
        </w:rPr>
        <w:footnoteReference w:id="1337"/>
      </w:r>
      <w:r>
        <w:t xml:space="preserve"> This, then, is an experience of theosis.</w:t>
      </w:r>
    </w:p>
    <w:p w:rsidR="00062AED" w:rsidRDefault="00062AED" w:rsidP="009370EA">
      <w:pPr>
        <w:spacing w:line="360" w:lineRule="auto"/>
        <w:jc w:val="both"/>
      </w:pPr>
    </w:p>
    <w:p w:rsidR="00965AC8" w:rsidRDefault="00965AC8" w:rsidP="009370EA">
      <w:pPr>
        <w:spacing w:line="360" w:lineRule="auto"/>
        <w:jc w:val="both"/>
      </w:pPr>
    </w:p>
    <w:p w:rsidR="00062AED" w:rsidRPr="009C7CBB" w:rsidRDefault="00062AED" w:rsidP="009370EA">
      <w:pPr>
        <w:pStyle w:val="PhDSubheading"/>
        <w:spacing w:line="360" w:lineRule="auto"/>
      </w:pPr>
      <w:r>
        <w:lastRenderedPageBreak/>
        <w:t xml:space="preserve">6.3.4.1 </w:t>
      </w:r>
      <w:r w:rsidRPr="009C7CBB">
        <w:t>Baptism of the Holy Spirit as an Experience of Theosis</w:t>
      </w:r>
    </w:p>
    <w:p w:rsidR="00062AED" w:rsidRDefault="00062AED" w:rsidP="009370EA">
      <w:pPr>
        <w:spacing w:line="360" w:lineRule="auto"/>
        <w:jc w:val="both"/>
      </w:pPr>
      <w:r>
        <w:t>The Pentecostal baptism is experiential in nature. Having established that it is an experience of sonship and of immersion in the loving communion of the Trinity we can see the connection between BHS and theosis.</w:t>
      </w:r>
      <w:r>
        <w:rPr>
          <w:rStyle w:val="FootnoteReference"/>
        </w:rPr>
        <w:footnoteReference w:id="1338"/>
      </w:r>
      <w:r>
        <w:t xml:space="preserve"> Cyril of Alexandria had stressed the connection between partaking of the Spirit and theosis, yet without such an emphasis on its experiential nature.</w:t>
      </w:r>
      <w:r>
        <w:rPr>
          <w:rStyle w:val="FootnoteReference"/>
        </w:rPr>
        <w:footnoteReference w:id="1339"/>
      </w:r>
      <w:r>
        <w:t xml:space="preserve"> The Macarian writings, however, while keeping this connection, also reflected on its experiential nature: the experience of the Holy Spirit in this life is a fleeting foretaste of the full experience of theosis in the age to come.</w:t>
      </w:r>
      <w:r>
        <w:rPr>
          <w:rStyle w:val="FootnoteReference"/>
        </w:rPr>
        <w:footnoteReference w:id="1340"/>
      </w:r>
      <w:r>
        <w:t xml:space="preserve"> Similarly, for Symeon the New Theologian, experience of theosis in this life is a foretaste and pledge of paradise.</w:t>
      </w:r>
      <w:r>
        <w:rPr>
          <w:rStyle w:val="FootnoteReference"/>
        </w:rPr>
        <w:footnoteReference w:id="1341"/>
      </w:r>
    </w:p>
    <w:p w:rsidR="00062AED" w:rsidRDefault="00062AED" w:rsidP="009370EA">
      <w:pPr>
        <w:spacing w:line="360" w:lineRule="auto"/>
        <w:jc w:val="both"/>
      </w:pPr>
      <w:r>
        <w:t>Norman Russell, in his exhaustive survey of theosis in Greek patristic theology, concludes that ‘its fundamental tenet [is] the Irenaean principle that the Son of God became as we are that we might become as he is.’</w:t>
      </w:r>
      <w:r>
        <w:rPr>
          <w:rStyle w:val="FootnoteReference"/>
        </w:rPr>
        <w:footnoteReference w:id="1342"/>
      </w:r>
      <w:r>
        <w:t xml:space="preserve">  As Fairbairn has pointed out, several trajectories emerged in the development of a doctrine of theosis, yet through the theological line of Irenaeus, Athanasius and Cyril of Alexandria, the understanding of theosis which developed was ‘a personal concept of participation in which we share in the very love between the Father and the Son.’</w:t>
      </w:r>
      <w:r>
        <w:rPr>
          <w:rStyle w:val="FootnoteReference"/>
        </w:rPr>
        <w:footnoteReference w:id="1343"/>
      </w:r>
      <w:r>
        <w:t xml:space="preserve"> Fairbairn explains: ‘Although we were foreign to God, his warm love for us has led him to raise us up to the intimacy of communion which characterizes his own inter-trinitarian relationships, and the only difference is that we possess that fellowship by grace, whereas the Son has it naturally.’</w:t>
      </w:r>
      <w:r>
        <w:rPr>
          <w:rStyle w:val="FootnoteReference"/>
        </w:rPr>
        <w:footnoteReference w:id="1344"/>
      </w:r>
    </w:p>
    <w:p w:rsidR="00062AED" w:rsidRDefault="00062AED" w:rsidP="009370EA">
      <w:pPr>
        <w:spacing w:line="360" w:lineRule="auto"/>
        <w:jc w:val="both"/>
      </w:pPr>
      <w:r>
        <w:t xml:space="preserve">Thus, if BHS is to be understood as an experience of the love and sonship (in which the believer already participates objectively in union with Christ), and as an immersion into the loving communion of the Trinity, then BHS would appear to function as an experience of this </w:t>
      </w:r>
      <w:r>
        <w:lastRenderedPageBreak/>
        <w:t>personal/participatory theosis which Fairbairn (in continuity with Irenaeus, Athanasius and Cyril of Alexandria) describes.</w:t>
      </w:r>
    </w:p>
    <w:p w:rsidR="00062AED" w:rsidRDefault="00062AED" w:rsidP="009370EA">
      <w:pPr>
        <w:spacing w:line="360" w:lineRule="auto"/>
        <w:jc w:val="both"/>
      </w:pPr>
      <w:r>
        <w:t xml:space="preserve">Significantly however, BHS is not theosis itself, but rather an experience of theosis: the believer has already been brought into this participation in the divine life through union with Christ and now in the baptism receives an experiential foretaste of the full enjoyment of that participation in the age to come. So BHS is both an eschatological in-breaking and an experience of what is already ours in Christ. Rather than being a </w:t>
      </w:r>
      <w:r w:rsidRPr="0059194B">
        <w:rPr>
          <w:i/>
        </w:rPr>
        <w:t>donum superadditum</w:t>
      </w:r>
      <w:r>
        <w:t>, instead ‘what is phenomenologically different may yet be theologically one.’</w:t>
      </w:r>
      <w:r>
        <w:rPr>
          <w:rStyle w:val="FootnoteReference"/>
        </w:rPr>
        <w:footnoteReference w:id="1345"/>
      </w:r>
      <w:r>
        <w:t xml:space="preserve"> Eaton argues that such a position leads to ‘a less invidious “theology of subsequence” … The baptism of the Spirit is conceived as sealing what is already present objectively … The baptism of the Spirit is that work of the Spirit in which is given the experiential awareness of what is already present in the Christian “in Christ.”’</w:t>
      </w:r>
      <w:r>
        <w:rPr>
          <w:rStyle w:val="FootnoteReference"/>
        </w:rPr>
        <w:footnoteReference w:id="1346"/>
      </w:r>
    </w:p>
    <w:p w:rsidR="00062AED" w:rsidRDefault="00062AED" w:rsidP="009370EA">
      <w:pPr>
        <w:spacing w:line="360" w:lineRule="auto"/>
        <w:jc w:val="both"/>
      </w:pPr>
    </w:p>
    <w:p w:rsidR="00062AED" w:rsidRPr="00FE7D61" w:rsidRDefault="00062AED" w:rsidP="009370EA">
      <w:pPr>
        <w:pStyle w:val="PhDSubheading"/>
        <w:spacing w:line="360" w:lineRule="auto"/>
      </w:pPr>
      <w:r>
        <w:t xml:space="preserve">6.3.4.2 </w:t>
      </w:r>
      <w:r w:rsidRPr="00FE7D61">
        <w:t>An Ecclesial Experience</w:t>
      </w:r>
    </w:p>
    <w:p w:rsidR="00062AED" w:rsidRDefault="00062AED" w:rsidP="009370EA">
      <w:pPr>
        <w:spacing w:line="360" w:lineRule="auto"/>
        <w:jc w:val="both"/>
      </w:pPr>
      <w:r>
        <w:t>Pentecostals have frequently been guilty of an over-emphasis on BHS as an individual encounter. Pentecostal and charismatic theologians, such as Simon Chan, Frank Macchia and Thomas Smail, have pointed out the weaknesses inherent in such an approach.</w:t>
      </w:r>
      <w:r>
        <w:rPr>
          <w:rStyle w:val="FootnoteReference"/>
        </w:rPr>
        <w:footnoteReference w:id="1347"/>
      </w:r>
      <w:r>
        <w:t xml:space="preserve"> As Arnold Bittlinger put it, ‘the essence of a charismatic experience is the experience of encountering Jesus Christ as the Head of His Body, which is the Church.’</w:t>
      </w:r>
      <w:r>
        <w:rPr>
          <w:rStyle w:val="FootnoteReference"/>
        </w:rPr>
        <w:footnoteReference w:id="1348"/>
      </w:r>
    </w:p>
    <w:p w:rsidR="00062AED" w:rsidRDefault="00062AED" w:rsidP="009370EA">
      <w:pPr>
        <w:spacing w:line="360" w:lineRule="auto"/>
        <w:jc w:val="both"/>
      </w:pPr>
      <w:r>
        <w:t>The ecclesial nature of the Pentecostal experience is seen in the Acts of the Apostles. The Pentecostal outpouring of Acts 2 is closely associated with the inception of the church. Apart from Saul (Paul), every other recorded incident of baptism or filling with the Spirit in the Acts is of a group of people together (Acts 2:1-4; 4:31; 8:17; 10:44-46; 19:6-7).</w:t>
      </w:r>
      <w:r>
        <w:rPr>
          <w:rStyle w:val="FootnoteReference"/>
        </w:rPr>
        <w:footnoteReference w:id="1349"/>
      </w:r>
      <w:r>
        <w:t xml:space="preserve"> </w:t>
      </w:r>
    </w:p>
    <w:p w:rsidR="00062AED" w:rsidRDefault="00062AED" w:rsidP="009370EA">
      <w:pPr>
        <w:spacing w:line="360" w:lineRule="auto"/>
        <w:jc w:val="both"/>
      </w:pPr>
      <w:r>
        <w:t xml:space="preserve">Interestingly, the beginnings of the Apostolic Church in Wales also demonstrate a corporate dimension to BHS. The first historian of the movement, T.N. Turnbull, interpreted the events of a </w:t>
      </w:r>
      <w:r>
        <w:lastRenderedPageBreak/>
        <w:t>particular night in 1911 as the start of the Apostolic Church. On that night the Holy Spirit fell on three separate groups of Christians in three different places in the village of Penygroes, and they were all baptised in the Holy Spirit together, giving birth not only to the Penygroes assembly as a Pentecostal church, but to the worldwide movement of the Apostolic Church which had its origin in that village among those people.</w:t>
      </w:r>
      <w:r>
        <w:rPr>
          <w:rStyle w:val="FootnoteReference"/>
        </w:rPr>
        <w:footnoteReference w:id="1350"/>
      </w:r>
      <w:r>
        <w:t xml:space="preserve"> Thus, right from the outset, there was a strong connection for the Apostolics between BHS and ecclesiology, just as we have seen in our examination of their writings.</w:t>
      </w:r>
      <w:r>
        <w:rPr>
          <w:rStyle w:val="FootnoteReference"/>
        </w:rPr>
        <w:footnoteReference w:id="1351"/>
      </w:r>
    </w:p>
    <w:p w:rsidR="00062AED" w:rsidRDefault="00062AED" w:rsidP="009370EA">
      <w:pPr>
        <w:spacing w:line="360" w:lineRule="auto"/>
        <w:jc w:val="both"/>
      </w:pPr>
      <w:r>
        <w:t>Viewed from this ecclesial perspective, we see with Chan that ‘Pentecost is the story of the Spirit constructing the church by his personal indwelling.’</w:t>
      </w:r>
      <w:r>
        <w:rPr>
          <w:rStyle w:val="FootnoteReference"/>
        </w:rPr>
        <w:footnoteReference w:id="1352"/>
      </w:r>
    </w:p>
    <w:p w:rsidR="00062AED" w:rsidRPr="00EE5C1F" w:rsidRDefault="00062AED" w:rsidP="009370EA">
      <w:pPr>
        <w:spacing w:line="360" w:lineRule="auto"/>
        <w:ind w:left="720" w:right="720"/>
        <w:jc w:val="both"/>
        <w:rPr>
          <w:sz w:val="20"/>
        </w:rPr>
      </w:pPr>
      <w:r w:rsidRPr="00EE5C1F">
        <w:rPr>
          <w:sz w:val="20"/>
        </w:rPr>
        <w:t>Pentecost is simultaneously an event of corporate as well as personal in-filling of the Spirit. The Spirit that fills the whole church (Acts 2.4) could also be said to fill each member by virtue of each person’s incorporation into the body … The corporate, however, is the primary reality.</w:t>
      </w:r>
      <w:r w:rsidRPr="00EE5C1F">
        <w:rPr>
          <w:rStyle w:val="FootnoteReference"/>
          <w:sz w:val="20"/>
        </w:rPr>
        <w:footnoteReference w:id="1353"/>
      </w:r>
    </w:p>
    <w:p w:rsidR="00062AED" w:rsidRDefault="00062AED" w:rsidP="009370EA">
      <w:pPr>
        <w:spacing w:line="360" w:lineRule="auto"/>
        <w:jc w:val="both"/>
      </w:pPr>
      <w:r>
        <w:t>Therefore, Chan argues that a truly Pentecostal ecclesiology must both hold onto the Pentecostal experience (‘consistent with its core spirituality’) and yet also ‘corporatize’ the experience.</w:t>
      </w:r>
      <w:r>
        <w:rPr>
          <w:rStyle w:val="FootnoteReference"/>
        </w:rPr>
        <w:footnoteReference w:id="1354"/>
      </w:r>
      <w:r>
        <w:t xml:space="preserve"> The early British Apostolics provide a paradigm for doing just that.</w:t>
      </w:r>
    </w:p>
    <w:p w:rsidR="00062AED" w:rsidRDefault="00062AED" w:rsidP="009370EA">
      <w:pPr>
        <w:spacing w:line="360" w:lineRule="auto"/>
        <w:jc w:val="both"/>
      </w:pPr>
    </w:p>
    <w:p w:rsidR="00062AED" w:rsidRPr="008B22AD" w:rsidRDefault="00062AED" w:rsidP="009370EA">
      <w:pPr>
        <w:pStyle w:val="PhDSubheading"/>
        <w:spacing w:line="360" w:lineRule="auto"/>
      </w:pPr>
      <w:r>
        <w:t>6.3.4.3 Corporatizing the Experience:</w:t>
      </w:r>
      <w:r w:rsidRPr="008B22AD">
        <w:t xml:space="preserve"> Baptised in the Spirit into the Body</w:t>
      </w:r>
    </w:p>
    <w:p w:rsidR="00062AED" w:rsidRDefault="00062AED" w:rsidP="009370EA">
      <w:pPr>
        <w:spacing w:line="360" w:lineRule="auto"/>
        <w:jc w:val="both"/>
      </w:pPr>
      <w:r>
        <w:t>1 Corinthians 12:13 lies at the root of one of the great questions which has haunted Apostolic theology right from the beginnings of the Apostolic Church a century ago until today, namely the question of how one becomes a member of the Body of Christ.</w:t>
      </w:r>
      <w:r>
        <w:rPr>
          <w:rStyle w:val="FootnoteReference"/>
        </w:rPr>
        <w:footnoteReference w:id="1355"/>
      </w:r>
      <w:r>
        <w:t xml:space="preserve"> As we have seen, for the early Apostolics this question was not simply a matter of interpretation of 1 Corinthians 12:13, but rather concerned the very nature of BHS.</w:t>
      </w:r>
      <w:r>
        <w:rPr>
          <w:rStyle w:val="FootnoteReference"/>
        </w:rPr>
        <w:footnoteReference w:id="1356"/>
      </w:r>
      <w:r>
        <w:t xml:space="preserve"> Is there a way to solve the issue, while both holding onto a strongly ecclesiological understanding of BHS and avoiding the pitfall of de-churching many believers? I would argue that the understanding of the Pentecostal baptism as a prolepsis </w:t>
      </w:r>
      <w:r>
        <w:lastRenderedPageBreak/>
        <w:t>of the full eschatological baptism in the Spirit of fully realized theosis provides just such a solution.</w:t>
      </w:r>
    </w:p>
    <w:p w:rsidR="00062AED" w:rsidRDefault="00062AED" w:rsidP="009370EA">
      <w:pPr>
        <w:spacing w:line="360" w:lineRule="auto"/>
        <w:jc w:val="both"/>
      </w:pPr>
      <w:r>
        <w:t>At Jesus’ baptism in the Jordan we have a glimpse of the loving inter-trinitarian communion in which the church lives through theosis. The Son stands in the water as the Father proclaims his love for the Son and pours out the Spirit upon him. Yet this baptism not only reveals the loving unity of the Trinity, but is also a fulfilment of all righteousness (Matt. 3:15). Christ, therefore, was baptised for us so that we might be baptised into him. Yet in baptism, we are not said to be baptised into the Jordan with Christ, but into his death (Rom. 6:3-4; Col. 2:12), for Jesus’ baptism in the Jordan was proleptic of his true baptism on the cross (Lk. 12:50; Matt.20:22; Mark 10:38-39).</w:t>
      </w:r>
      <w:r>
        <w:rPr>
          <w:rStyle w:val="FootnoteReference"/>
        </w:rPr>
        <w:footnoteReference w:id="1357"/>
      </w:r>
      <w:r>
        <w:t xml:space="preserve"> Thus Christ’s double baptism of Jordan and Calvary establishes a precedent for a proleptic experience of a later full baptism.</w:t>
      </w:r>
    </w:p>
    <w:p w:rsidR="00062AED" w:rsidRDefault="00062AED" w:rsidP="009370EA">
      <w:pPr>
        <w:spacing w:line="360" w:lineRule="auto"/>
        <w:jc w:val="both"/>
      </w:pPr>
      <w:r>
        <w:t xml:space="preserve">Could this also apply to BHS? When John the Baptist announces that the coming Christ would baptise in the Spirit, he does so in eschatological terms. This is particularly apparent in the Matthean and Lukan accounts where the Baptist declares that ‘he will baptise you with the Holy Spirit and fire’ (Matt. 3:11; Lk. 3:16). Whether understood as </w:t>
      </w:r>
      <w:r w:rsidRPr="00370520">
        <w:t>alternative baptisms</w:t>
      </w:r>
      <w:r>
        <w:t xml:space="preserve"> (in the Spirit or in fire)</w:t>
      </w:r>
      <w:r w:rsidRPr="00370520">
        <w:t>, one baptism with two different outcomes (</w:t>
      </w:r>
      <w:r>
        <w:t>Spirit</w:t>
      </w:r>
      <w:r w:rsidRPr="00370520">
        <w:t xml:space="preserve"> for believers, </w:t>
      </w:r>
      <w:r>
        <w:t>fire</w:t>
      </w:r>
      <w:r w:rsidRPr="00370520">
        <w:t xml:space="preserve"> for unbelievers), or two ways of referring to the same thing</w:t>
      </w:r>
      <w:r>
        <w:t xml:space="preserve"> (a fiery baptism in the Spirit),</w:t>
      </w:r>
      <w:r w:rsidRPr="00370520">
        <w:rPr>
          <w:rStyle w:val="FootnoteReference"/>
        </w:rPr>
        <w:t xml:space="preserve"> </w:t>
      </w:r>
      <w:r>
        <w:rPr>
          <w:rStyle w:val="FootnoteReference"/>
        </w:rPr>
        <w:footnoteReference w:id="1358"/>
      </w:r>
      <w:r>
        <w:t xml:space="preserve"> there is no hint of another outcome. John the Baptist is not suggesting that Christ will baptise some believers in the Spirit, but rather pointing to a universal outpouring.</w:t>
      </w:r>
      <w:r>
        <w:rPr>
          <w:rStyle w:val="FootnoteReference"/>
        </w:rPr>
        <w:footnoteReference w:id="1359"/>
      </w:r>
      <w:r>
        <w:t xml:space="preserve"> The only possible outcomes are Spirit or fire; there isn’t a third option of non-baptism. </w:t>
      </w:r>
    </w:p>
    <w:p w:rsidR="00062AED" w:rsidRDefault="00062AED" w:rsidP="009370EA">
      <w:pPr>
        <w:spacing w:line="360" w:lineRule="auto"/>
        <w:jc w:val="both"/>
      </w:pPr>
      <w:r>
        <w:t>A Pentecostal reading of Paul points in a similar direction.</w:t>
      </w:r>
      <w:r w:rsidRPr="00A45ACE">
        <w:t xml:space="preserve"> </w:t>
      </w:r>
      <w:r>
        <w:t xml:space="preserve">Paul attributes </w:t>
      </w:r>
      <w:r w:rsidRPr="00A45ACE">
        <w:t xml:space="preserve">a double purpose to Christ’s curse-bearing work on the cross: ‘Christ has redeemed us from the curse of the law, having become a curse for us … that the blessing of Abraham might come upon the Gentiles in Christ Jesus, that we might receive the promise of the Spirit through faith’ (Gal. 3:13-14). In the context of Galatians, the blessing of Abraham is a reference to justification by faith (Gal. 3:8-9). A Pentecostal reading of this passage, however, would typically interpret ‘the promise of the Spirit’ (cf. Acts 1:4; 2:33; Eph. 1:13) as a reference to </w:t>
      </w:r>
      <w:r>
        <w:t>BHS</w:t>
      </w:r>
      <w:r w:rsidRPr="00A45ACE">
        <w:t>.</w:t>
      </w:r>
      <w:r w:rsidRPr="00A45ACE">
        <w:rPr>
          <w:vertAlign w:val="superscript"/>
        </w:rPr>
        <w:footnoteReference w:id="1360"/>
      </w:r>
      <w:r w:rsidRPr="00A45ACE">
        <w:t xml:space="preserve"> Understood in such a way, this would again point to the reception of </w:t>
      </w:r>
      <w:r>
        <w:t>BHS</w:t>
      </w:r>
      <w:r w:rsidRPr="00A45ACE">
        <w:t xml:space="preserve"> by all believers as part of the salvation which flows from </w:t>
      </w:r>
      <w:r w:rsidRPr="00A45ACE">
        <w:lastRenderedPageBreak/>
        <w:t>Christ’s cross.</w:t>
      </w:r>
      <w:r>
        <w:t xml:space="preserve"> Taken together, John the Baptist’s prophecy and Paul’s teaching in Gal. 3:14 suggest that, ultimately, all Christians will partake of BHS.</w:t>
      </w:r>
    </w:p>
    <w:p w:rsidR="00062AED" w:rsidRDefault="00062AED" w:rsidP="009370EA">
      <w:pPr>
        <w:spacing w:line="360" w:lineRule="auto"/>
        <w:jc w:val="both"/>
      </w:pPr>
      <w:r>
        <w:t>Yet how does that fit with a Pentecostal doctrine of subsequence? Proleptic eschatology provides the key. Ephesians tells us that the sealing of the Spirit is ‘the guarantee of our inheritance until the redemption of the purchased possession, to the praise of his glory’ (Eph. 1:14). Thus there is an eschatological dimension to BHS. The Spirit’s sealing and assuring work now is a pledge and guarantee of the full experience of theosis in the age to come. BHS is an eschatological in-breaking: a prolepsis of the full eschatological BHS which is the ultimate full experience of theosis. Such an approach accords well with the strong eschatological emphasis in Pentecostal theology and spirituality:</w:t>
      </w:r>
    </w:p>
    <w:p w:rsidR="00062AED" w:rsidRPr="00F74322" w:rsidRDefault="00062AED" w:rsidP="009370EA">
      <w:pPr>
        <w:spacing w:line="360" w:lineRule="auto"/>
        <w:ind w:left="720" w:right="720"/>
        <w:jc w:val="both"/>
        <w:rPr>
          <w:sz w:val="20"/>
        </w:rPr>
      </w:pPr>
      <w:r w:rsidRPr="00F74322">
        <w:rPr>
          <w:sz w:val="20"/>
        </w:rPr>
        <w:t xml:space="preserve">The Spirit both works in history and comes from beyond history. The Spirit who indwells the church characterizes the church’s existence as both historical and charismatic. If we are to use the language of biblical theology, we would say that the indwelling Spirit is also the Spirit of the eschaton, the one who anticipates the future. The Spirit himself is the firstfruits of the new creation. And since the church has the ‘firstfruits of the Spirit’, it too is inspired by the indwelling Spirit to look for full redemption (Rom. 8.22,23,26). The church lives in anticipation of the End. Is life is marked by its orientation to the </w:t>
      </w:r>
      <w:r w:rsidRPr="00F74322">
        <w:rPr>
          <w:i/>
          <w:sz w:val="20"/>
        </w:rPr>
        <w:t>Telos</w:t>
      </w:r>
      <w:r w:rsidRPr="00F74322">
        <w:rPr>
          <w:sz w:val="20"/>
        </w:rPr>
        <w:t>.</w:t>
      </w:r>
      <w:r w:rsidRPr="00F74322">
        <w:rPr>
          <w:rStyle w:val="FootnoteReference"/>
          <w:sz w:val="20"/>
        </w:rPr>
        <w:footnoteReference w:id="1361"/>
      </w:r>
    </w:p>
    <w:p w:rsidR="00062AED" w:rsidRDefault="00062AED" w:rsidP="009370EA">
      <w:pPr>
        <w:spacing w:line="360" w:lineRule="auto"/>
        <w:jc w:val="both"/>
      </w:pPr>
      <w:r>
        <w:t>Ephesians 1:3 adds a further dimension to this, declaring that God ‘</w:t>
      </w:r>
      <w:r w:rsidRPr="00583D02">
        <w:t>has blessed us with every spiritual blessing in the heavenly </w:t>
      </w:r>
      <w:r w:rsidRPr="00583D02">
        <w:rPr>
          <w:iCs/>
        </w:rPr>
        <w:t>places</w:t>
      </w:r>
      <w:r w:rsidRPr="00583D02">
        <w:t> in Christ</w:t>
      </w:r>
      <w:r>
        <w:t>.’ BHS is a spiritual blessing</w:t>
      </w:r>
      <w:r>
        <w:rPr>
          <w:rStyle w:val="FootnoteReference"/>
        </w:rPr>
        <w:footnoteReference w:id="1362"/>
      </w:r>
      <w:r>
        <w:t xml:space="preserve"> and so here is connected with the past, in the believer’s union with Christ, rather than either an event subsequent to conversion or the eschatological future. Hence some have seen</w:t>
      </w:r>
      <w:r w:rsidRPr="00823381">
        <w:t xml:space="preserve"> this as a significant argument against Pentecostalism.</w:t>
      </w:r>
      <w:r w:rsidRPr="00823381">
        <w:rPr>
          <w:vertAlign w:val="superscript"/>
        </w:rPr>
        <w:footnoteReference w:id="1363"/>
      </w:r>
      <w:r>
        <w:t xml:space="preserve"> Certainly this is a strong argument against BHS as a ‘second blessing’ (separate from Christ). As Smail demonstrates:</w:t>
      </w:r>
    </w:p>
    <w:p w:rsidR="00062AED" w:rsidRPr="00E84CE5" w:rsidRDefault="00062AED" w:rsidP="009370EA">
      <w:pPr>
        <w:spacing w:line="360" w:lineRule="auto"/>
        <w:ind w:left="720" w:right="720"/>
        <w:jc w:val="both"/>
        <w:rPr>
          <w:sz w:val="20"/>
        </w:rPr>
      </w:pPr>
      <w:r w:rsidRPr="00E84CE5">
        <w:rPr>
          <w:sz w:val="20"/>
        </w:rPr>
        <w:t xml:space="preserve">The second blessing presentation obscures the centrality and sufficiency of the Lord Jesus Christ. He becomes the Lord of the beginning, of the so-far; but at a decisive point he hands us over to the Holy Spirit who is Lord of the ‘further’ and the ‘more.’ … Here indeed is a second gospel of the Holy Spirit being so preached as to challenge the sole Lordship of Christ, that offers to lead us past him into something that is beyond him and better than him, into a world of sensational experiences and gifts which may satisfy our religious </w:t>
      </w:r>
      <w:r w:rsidRPr="00E84CE5">
        <w:rPr>
          <w:sz w:val="20"/>
        </w:rPr>
        <w:lastRenderedPageBreak/>
        <w:t>cravings but are in very uncertain and ambiguous relationship to the gospel of Christ, incarnate, crucified, risen and coming.</w:t>
      </w:r>
      <w:r w:rsidRPr="00E84CE5">
        <w:rPr>
          <w:rStyle w:val="FootnoteReference"/>
          <w:sz w:val="20"/>
        </w:rPr>
        <w:footnoteReference w:id="1364"/>
      </w:r>
    </w:p>
    <w:p w:rsidR="00062AED" w:rsidRDefault="00062AED" w:rsidP="009370EA">
      <w:pPr>
        <w:spacing w:line="360" w:lineRule="auto"/>
        <w:jc w:val="both"/>
      </w:pPr>
      <w:r>
        <w:t xml:space="preserve">However, Ephesians 1:3 need not be an insurmountable obstacle to a more theologically responsible doctrine of subsequence. We have noted the early Apostolic focus on Christ as the giver of this gift of the Spirit and on the Christ-focus of the Spirit’s work. D.P. Williams’ hymn on BHS, </w:t>
      </w:r>
      <w:r w:rsidRPr="00E84CE5">
        <w:rPr>
          <w:i/>
        </w:rPr>
        <w:t>Clywch yr Alwad</w:t>
      </w:r>
      <w:r>
        <w:t>, doesn’t even specifically name the Spirit, but rather focuses on the Crucified Christ.</w:t>
      </w:r>
      <w:r>
        <w:rPr>
          <w:rStyle w:val="FootnoteReference"/>
        </w:rPr>
        <w:footnoteReference w:id="1365"/>
      </w:r>
      <w:r>
        <w:t xml:space="preserve"> The Apostolic approach to BHS is not one of moving on beyond Christ and his Cross, but rather one of deepening union with Christ. As A.L. Greenway (an early principal of the Apostolic Church International Bible College in Penygroes) expressed it in an early Apostolic chorus:</w:t>
      </w:r>
    </w:p>
    <w:p w:rsidR="00062AED" w:rsidRPr="002E75CE" w:rsidRDefault="00062AED" w:rsidP="009370EA">
      <w:pPr>
        <w:spacing w:after="0" w:line="360" w:lineRule="auto"/>
        <w:ind w:left="720" w:right="720"/>
        <w:jc w:val="both"/>
        <w:rPr>
          <w:sz w:val="20"/>
        </w:rPr>
      </w:pPr>
      <w:r w:rsidRPr="002E75CE">
        <w:rPr>
          <w:sz w:val="20"/>
        </w:rPr>
        <w:t>Deeper in Thee, yes deeper in Thee,</w:t>
      </w:r>
    </w:p>
    <w:p w:rsidR="00062AED" w:rsidRPr="002E75CE" w:rsidRDefault="00062AED" w:rsidP="009370EA">
      <w:pPr>
        <w:spacing w:after="0" w:line="360" w:lineRule="auto"/>
        <w:ind w:left="720" w:right="720"/>
        <w:jc w:val="both"/>
        <w:rPr>
          <w:sz w:val="20"/>
        </w:rPr>
      </w:pPr>
      <w:r w:rsidRPr="002E75CE">
        <w:rPr>
          <w:sz w:val="20"/>
        </w:rPr>
        <w:t>Saviour Divine, attend to my plea;</w:t>
      </w:r>
    </w:p>
    <w:p w:rsidR="00062AED" w:rsidRPr="002E75CE" w:rsidRDefault="00062AED" w:rsidP="009370EA">
      <w:pPr>
        <w:spacing w:after="0" w:line="360" w:lineRule="auto"/>
        <w:ind w:left="720" w:right="720"/>
        <w:jc w:val="both"/>
        <w:rPr>
          <w:sz w:val="20"/>
        </w:rPr>
      </w:pPr>
      <w:r w:rsidRPr="002E75CE">
        <w:rPr>
          <w:sz w:val="20"/>
        </w:rPr>
        <w:t>Still on the shore Lord, I seem to be,</w:t>
      </w:r>
    </w:p>
    <w:p w:rsidR="00062AED" w:rsidRPr="002E75CE" w:rsidRDefault="00062AED" w:rsidP="009370EA">
      <w:pPr>
        <w:spacing w:line="360" w:lineRule="auto"/>
        <w:ind w:left="720" w:right="720"/>
        <w:jc w:val="both"/>
        <w:rPr>
          <w:sz w:val="20"/>
        </w:rPr>
      </w:pPr>
      <w:r w:rsidRPr="002E75CE">
        <w:rPr>
          <w:sz w:val="20"/>
        </w:rPr>
        <w:t>Grant me a life that is deeper in Thee.</w:t>
      </w:r>
      <w:r w:rsidRPr="002E75CE">
        <w:rPr>
          <w:rStyle w:val="FootnoteReference"/>
          <w:sz w:val="20"/>
        </w:rPr>
        <w:footnoteReference w:id="1366"/>
      </w:r>
    </w:p>
    <w:p w:rsidR="00062AED" w:rsidRDefault="00062AED" w:rsidP="009370EA">
      <w:pPr>
        <w:spacing w:line="360" w:lineRule="auto"/>
        <w:jc w:val="both"/>
      </w:pPr>
      <w:r>
        <w:t>Greenway’s chorus points to an understanding of Ephesians 1:3 which can maintain a Pentecostal idea of subsequence without devolving into a second-blessing theology. As Smail rightly puts it:</w:t>
      </w:r>
    </w:p>
    <w:p w:rsidR="00062AED" w:rsidRPr="006F7501" w:rsidRDefault="00062AED" w:rsidP="009370EA">
      <w:pPr>
        <w:spacing w:line="360" w:lineRule="auto"/>
        <w:ind w:left="720" w:right="720"/>
        <w:jc w:val="both"/>
        <w:rPr>
          <w:sz w:val="20"/>
        </w:rPr>
      </w:pPr>
      <w:r w:rsidRPr="006F7501">
        <w:rPr>
          <w:sz w:val="20"/>
        </w:rPr>
        <w:t>God has given us his one gift of himself in his Son, and everything else is contained in him … (Eph. 1:3). However many and varied our spiritual experiences, they all proceed from him, reflect him and glorify him. He is the centre and unity of all that comes to us from God, and anything that does not derive ultimately from that centre, whatever its experiential quality, is without Christian value or context.</w:t>
      </w:r>
      <w:r w:rsidRPr="006F7501">
        <w:rPr>
          <w:rStyle w:val="FootnoteReference"/>
          <w:sz w:val="20"/>
        </w:rPr>
        <w:footnoteReference w:id="1367"/>
      </w:r>
    </w:p>
    <w:p w:rsidR="00062AED" w:rsidRDefault="00062AED" w:rsidP="009370EA">
      <w:pPr>
        <w:spacing w:line="360" w:lineRule="auto"/>
        <w:jc w:val="both"/>
      </w:pPr>
      <w:r>
        <w:t xml:space="preserve">In terms of Ephesians 1:3, believers have been blessed in Christ with BHS. Yet this does not necessarily mean that they have experienced BHS, which is certainly a possibility as they have not yet experienced ‘the redemption of the purchased possession’ (Eph. 1:14) or resurrection of the body, yet this too is one of the spiritual blessings with which they have been blessed in Christ. The parallel with the resurrection of the body then demonstrates that, although every spiritual blessing belongs to the believer in Christ, not every spiritual blessing is experienced at the moment of conversion. Therefore, like the resurrection body, BHS is already ours in Christ before we experience it. As we have already demonstrated as regards the content of the Pentecostal baptism, this is a subjective experience of what is already objectively ours in Christ. </w:t>
      </w:r>
    </w:p>
    <w:p w:rsidR="00062AED" w:rsidRDefault="00062AED" w:rsidP="009370EA">
      <w:pPr>
        <w:spacing w:line="360" w:lineRule="auto"/>
        <w:jc w:val="both"/>
        <w:rPr>
          <w:bCs/>
        </w:rPr>
      </w:pPr>
      <w:r w:rsidRPr="005F24B8">
        <w:lastRenderedPageBreak/>
        <w:t>Ephesians 1:3 notes that it is in the heavenly places (</w:t>
      </w:r>
      <w:r w:rsidRPr="005F24B8">
        <w:rPr>
          <w:bCs/>
        </w:rPr>
        <w:t>ἐπουράνιος)</w:t>
      </w:r>
      <w:r w:rsidRPr="005F24B8">
        <w:t xml:space="preserve"> that believers are blessed with every spiritual blessing in Christ. Brannon has demonstrated that </w:t>
      </w:r>
      <w:r w:rsidRPr="005F24B8">
        <w:rPr>
          <w:bCs/>
        </w:rPr>
        <w:t>ἐπουράνιος should be taken in a local sense, rather than as a reference to the whole of spiritual reality, including the spiritual life.</w:t>
      </w:r>
      <w:r w:rsidRPr="005F24B8">
        <w:rPr>
          <w:rStyle w:val="FootnoteReference"/>
        </w:rPr>
        <w:t xml:space="preserve"> </w:t>
      </w:r>
      <w:r w:rsidRPr="005F24B8">
        <w:rPr>
          <w:rStyle w:val="FootnoteReference"/>
        </w:rPr>
        <w:footnoteReference w:id="1368"/>
      </w:r>
      <w:r w:rsidRPr="005F24B8">
        <w:t xml:space="preserve"> It is through union with Christ and participation in the Holy Spirit that the church participates here and now in the heavenly realms.</w:t>
      </w:r>
      <w:r w:rsidRPr="005F24B8">
        <w:rPr>
          <w:rStyle w:val="FootnoteReference"/>
        </w:rPr>
        <w:footnoteReference w:id="1369"/>
      </w:r>
      <w:r>
        <w:t xml:space="preserve"> Hebrews 6:4-5 also connects </w:t>
      </w:r>
      <w:r w:rsidRPr="00D93EAF">
        <w:rPr>
          <w:bCs/>
        </w:rPr>
        <w:t>ἐπουράνιος</w:t>
      </w:r>
      <w:r>
        <w:rPr>
          <w:bCs/>
        </w:rPr>
        <w:t xml:space="preserve"> with participation in the Holy Spirit, and adds an even more explicitly eschatological dimension in connecting this with tasting ‘the powers of the age to come.’</w:t>
      </w:r>
      <w:r>
        <w:rPr>
          <w:rStyle w:val="FootnoteReference"/>
          <w:bCs/>
        </w:rPr>
        <w:footnoteReference w:id="1370"/>
      </w:r>
      <w:r>
        <w:rPr>
          <w:bCs/>
        </w:rPr>
        <w:t xml:space="preserve"> The eschatological dimension of </w:t>
      </w:r>
      <w:r w:rsidRPr="005F24B8">
        <w:rPr>
          <w:bCs/>
        </w:rPr>
        <w:t>ἐπουράνιος</w:t>
      </w:r>
      <w:r>
        <w:rPr>
          <w:bCs/>
        </w:rPr>
        <w:t xml:space="preserve"> is also highlighted in 2 Timothy 4:18, where the heavenly kingdom is viewed as still future. Thus, we may understand the </w:t>
      </w:r>
      <w:r w:rsidRPr="005F24B8">
        <w:rPr>
          <w:bCs/>
        </w:rPr>
        <w:t>ἐπουράνιος</w:t>
      </w:r>
      <w:r>
        <w:rPr>
          <w:bCs/>
        </w:rPr>
        <w:t xml:space="preserve"> as the eschatological realm into which the church is brought now, and which breaks into the life of the church now, through the Holy Spirit. </w:t>
      </w:r>
    </w:p>
    <w:p w:rsidR="00062AED" w:rsidRDefault="00062AED" w:rsidP="009370EA">
      <w:pPr>
        <w:spacing w:line="360" w:lineRule="auto"/>
        <w:jc w:val="both"/>
      </w:pPr>
      <w:r>
        <w:rPr>
          <w:bCs/>
        </w:rPr>
        <w:t>Yet this must be understood in a corporate manner. Ephesians 1 speaks of these eschatological blessings in Christ for ‘us’: it is Christians together as one body in Christ who are so blessed. These corporate blessings upon the church begin with the Father’s loving election of the church in Christ (Eph. 1:4-5) and are oriented toward the fulfilment of the eternal purpose of God (Eph. 1:9-11). Therefore, the ‘every spiritual blessing in the heavenly places in Christ’ of Ephesians 1:3 should not be read in an individualistic manner, but rather, this is concorporeal blessing; as believers are united together in one body to Christ their Head, together they partake of every spiritual and eschatological blessing ‘in him.’ The church is blessed in Christ her Head with the eschatological blessing of BHS. Through the present experience of the baptism, the members of the church receive an eschatological in-breaking of its fullness in the full experience of theosis in the age to come. Yet, even before individual members of the body receive this experience now, it is theirs in Christ and as part of the Spirit-baptised body.</w:t>
      </w:r>
    </w:p>
    <w:p w:rsidR="00062AED" w:rsidRDefault="00062AED" w:rsidP="009370EA">
      <w:pPr>
        <w:spacing w:line="360" w:lineRule="auto"/>
        <w:jc w:val="both"/>
      </w:pPr>
      <w:r w:rsidRPr="00A035D6">
        <w:t xml:space="preserve">Thus, </w:t>
      </w:r>
      <w:r>
        <w:t>BHS</w:t>
      </w:r>
      <w:r w:rsidRPr="00A035D6">
        <w:t xml:space="preserve"> has</w:t>
      </w:r>
      <w:r>
        <w:t xml:space="preserve"> past, present and future aspects. It has been objectively obtained for the believer through the atoning work of Christ and is objectively the believer’s possession through union with Christ. However, it is then to be received and experienced by the believer subjectively. Yet even this experience is only a prolepsis of the full enjoyment of theosis in the age to come.</w:t>
      </w:r>
      <w:r>
        <w:rPr>
          <w:rStyle w:val="FootnoteReference"/>
        </w:rPr>
        <w:footnoteReference w:id="1371"/>
      </w:r>
      <w:r>
        <w:t xml:space="preserve"> </w:t>
      </w:r>
    </w:p>
    <w:p w:rsidR="00062AED" w:rsidRPr="005E6C90" w:rsidRDefault="00062AED" w:rsidP="009370EA">
      <w:pPr>
        <w:spacing w:line="360" w:lineRule="auto"/>
        <w:jc w:val="both"/>
      </w:pPr>
      <w:r w:rsidRPr="005E6C90">
        <w:lastRenderedPageBreak/>
        <w:t xml:space="preserve">Eschatologically all Christians would indeed experience </w:t>
      </w:r>
      <w:r>
        <w:t>BHS</w:t>
      </w:r>
      <w:r w:rsidRPr="005E6C90">
        <w:t xml:space="preserve"> in its fullest sense in the unending experience of theosis in the </w:t>
      </w:r>
      <w:r>
        <w:t>eschaton</w:t>
      </w:r>
      <w:r w:rsidRPr="005E6C90">
        <w:t>. Yet now in this age, the Spirit brings the eschatological future into the present in the experience of the Pentecostal baptism.</w:t>
      </w:r>
      <w:r w:rsidRPr="005E6C90">
        <w:rPr>
          <w:rStyle w:val="FootnoteReference"/>
        </w:rPr>
        <w:footnoteReference w:id="1372"/>
      </w:r>
    </w:p>
    <w:p w:rsidR="00062AED" w:rsidRPr="005E6C90" w:rsidRDefault="00062AED" w:rsidP="009370EA">
      <w:pPr>
        <w:spacing w:line="360" w:lineRule="auto"/>
        <w:ind w:left="720" w:right="720"/>
        <w:jc w:val="both"/>
        <w:rPr>
          <w:sz w:val="20"/>
        </w:rPr>
      </w:pPr>
      <w:r w:rsidRPr="005E6C90">
        <w:rPr>
          <w:sz w:val="20"/>
        </w:rPr>
        <w:t>The experience we have received is not yet the complete replica of Christ the prototype in whom we have believed. This is only the first instalment, but as such it is the guarantee of all the rest to come; our present tasting of Christ enables us to hope expectantly for the still not-yet of our Christian experience.</w:t>
      </w:r>
      <w:r w:rsidRPr="005E6C90">
        <w:rPr>
          <w:rStyle w:val="FootnoteReference"/>
          <w:sz w:val="20"/>
        </w:rPr>
        <w:footnoteReference w:id="1373"/>
      </w:r>
      <w:r w:rsidRPr="005E6C90">
        <w:rPr>
          <w:sz w:val="20"/>
        </w:rPr>
        <w:t xml:space="preserve"> </w:t>
      </w:r>
    </w:p>
    <w:p w:rsidR="00062AED" w:rsidRDefault="00062AED" w:rsidP="009370EA">
      <w:pPr>
        <w:spacing w:line="360" w:lineRule="auto"/>
        <w:jc w:val="both"/>
      </w:pPr>
      <w:r w:rsidRPr="005E6C90">
        <w:t xml:space="preserve">In Christ, all believers possess the eschatological inheritance of the fullness of theosis (or </w:t>
      </w:r>
      <w:r>
        <w:t>BHS</w:t>
      </w:r>
      <w:r w:rsidRPr="005E6C90">
        <w:t>), but the objective title is distinct from the experience, which belongs properly to the age to come, yet is known proleptically now through the outpouring of the Spirit.</w:t>
      </w:r>
      <w:r w:rsidRPr="005E6C90">
        <w:rPr>
          <w:rStyle w:val="FootnoteReference"/>
        </w:rPr>
        <w:footnoteReference w:id="1374"/>
      </w:r>
    </w:p>
    <w:p w:rsidR="00062AED" w:rsidRDefault="00062AED" w:rsidP="009370EA">
      <w:pPr>
        <w:spacing w:line="360" w:lineRule="auto"/>
        <w:jc w:val="both"/>
      </w:pPr>
      <w:r w:rsidRPr="00153942">
        <w:t xml:space="preserve">Such an understanding of </w:t>
      </w:r>
      <w:r>
        <w:t>BHS</w:t>
      </w:r>
      <w:r w:rsidRPr="00153942">
        <w:t xml:space="preserve"> now enables us to return to 1 Corinthians 12:13.</w:t>
      </w:r>
      <w:r>
        <w:t xml:space="preserve"> Although Pentecostal and anti-Pentecostal discussions of this passage have tended to focus on initiation into the body of Christ, initiation is not Paul’s focus in the context. Rather, the subject matter is the unity of the one body.</w:t>
      </w:r>
      <w:r>
        <w:rPr>
          <w:rStyle w:val="FootnoteReference"/>
        </w:rPr>
        <w:footnoteReference w:id="1375"/>
      </w:r>
      <w:r>
        <w:t xml:space="preserve"> As Fee puts it, ‘Paul’s present concern is </w:t>
      </w:r>
      <w:r w:rsidRPr="009A48C9">
        <w:rPr>
          <w:i/>
        </w:rPr>
        <w:t>not</w:t>
      </w:r>
      <w:r>
        <w:t xml:space="preserve"> to delineate </w:t>
      </w:r>
      <w:r w:rsidRPr="009A48C9">
        <w:rPr>
          <w:i/>
        </w:rPr>
        <w:t>how an individual becomes a believer</w:t>
      </w:r>
      <w:r>
        <w:t xml:space="preserve">, but to explain </w:t>
      </w:r>
      <w:r w:rsidRPr="009A48C9">
        <w:rPr>
          <w:i/>
        </w:rPr>
        <w:t>how the many of them, diverse as they are, are in fact one body</w:t>
      </w:r>
      <w:r>
        <w:t>.’</w:t>
      </w:r>
      <w:r>
        <w:rPr>
          <w:rStyle w:val="FootnoteReference"/>
        </w:rPr>
        <w:footnoteReference w:id="1376"/>
      </w:r>
      <w:r>
        <w:t xml:space="preserve">  Despite Beasley-Murray’s insistence that ‘we meet here an explicit declaration that baptism leads into the church,’</w:t>
      </w:r>
      <w:r>
        <w:rPr>
          <w:rStyle w:val="FootnoteReference"/>
        </w:rPr>
        <w:footnoteReference w:id="1377"/>
      </w:r>
      <w:r>
        <w:t xml:space="preserve"> there is no explicit initiation language in 1 Corinthians 12:13 and initiation should not be assumed from </w:t>
      </w:r>
      <w:r w:rsidRPr="00127F71">
        <w:t>ε</w:t>
      </w:r>
      <w:r w:rsidR="001C71BE">
        <w:t>҆</w:t>
      </w:r>
      <w:r w:rsidRPr="00127F71">
        <w:t>βαπτ</w:t>
      </w:r>
      <w:r w:rsidR="001C71BE">
        <w:t>ί</w:t>
      </w:r>
      <w:r w:rsidRPr="00127F71">
        <w:t>σθημεν</w:t>
      </w:r>
      <w:r>
        <w:t xml:space="preserve"> anymore than from </w:t>
      </w:r>
      <w:r w:rsidRPr="00127F71">
        <w:t>ε</w:t>
      </w:r>
      <w:r w:rsidR="001C71BE">
        <w:t>҆</w:t>
      </w:r>
      <w:r w:rsidRPr="00127F71">
        <w:t>ποτ</w:t>
      </w:r>
      <w:r w:rsidR="001C71BE">
        <w:t>ί</w:t>
      </w:r>
      <w:r w:rsidRPr="00127F71">
        <w:t>σθημεν</w:t>
      </w:r>
      <w:r>
        <w:t xml:space="preserve">. ‘It is </w:t>
      </w:r>
      <w:r w:rsidRPr="001E59C6">
        <w:rPr>
          <w:i/>
        </w:rPr>
        <w:t>not</w:t>
      </w:r>
      <w:r>
        <w:t xml:space="preserve"> baptism but the </w:t>
      </w:r>
      <w:r w:rsidRPr="001E59C6">
        <w:rPr>
          <w:i/>
        </w:rPr>
        <w:t>one</w:t>
      </w:r>
      <w:r>
        <w:t xml:space="preserve"> Spirit, repeated in both clauses, that in Paul’s present argument is the basis for unity.’</w:t>
      </w:r>
      <w:r>
        <w:rPr>
          <w:rStyle w:val="FootnoteReference"/>
        </w:rPr>
        <w:footnoteReference w:id="1378"/>
      </w:r>
      <w:r>
        <w:t xml:space="preserve"> The theme is unity, not initiation.</w:t>
      </w:r>
      <w:r>
        <w:rPr>
          <w:rStyle w:val="FootnoteReference"/>
        </w:rPr>
        <w:footnoteReference w:id="1379"/>
      </w:r>
      <w:r>
        <w:t xml:space="preserve"> </w:t>
      </w:r>
    </w:p>
    <w:p w:rsidR="00062AED" w:rsidRPr="00C01E57" w:rsidRDefault="00062AED" w:rsidP="009370EA">
      <w:pPr>
        <w:spacing w:line="360" w:lineRule="auto"/>
        <w:jc w:val="both"/>
      </w:pPr>
      <w:r w:rsidRPr="003C47E3">
        <w:t>So, can an understanding of 1 Corinthians 12:13 be reached which recognises both the exegetical and ecclesiological insights of the early Apostolics on the passage, without raising insurmou</w:t>
      </w:r>
      <w:r>
        <w:t>ntable theological difficulties?</w:t>
      </w:r>
      <w:r w:rsidRPr="003C47E3">
        <w:rPr>
          <w:rStyle w:val="FootnoteReference"/>
        </w:rPr>
        <w:footnoteReference w:id="1380"/>
      </w:r>
      <w:r>
        <w:t xml:space="preserve"> </w:t>
      </w:r>
      <w:r w:rsidRPr="00C01E57">
        <w:t xml:space="preserve">The thought of one particular early Apostolic and two contemporary </w:t>
      </w:r>
      <w:r w:rsidRPr="00C01E57">
        <w:lastRenderedPageBreak/>
        <w:t>Pentecostal theologians may help steer us in a profitable direction: T.N. Turnbull, Simon Chan and Frank Macchia.</w:t>
      </w:r>
    </w:p>
    <w:p w:rsidR="00062AED" w:rsidRPr="00C01E57" w:rsidRDefault="00062AED" w:rsidP="009370EA">
      <w:pPr>
        <w:spacing w:line="360" w:lineRule="auto"/>
        <w:jc w:val="both"/>
      </w:pPr>
      <w:r w:rsidRPr="00C01E57">
        <w:t xml:space="preserve">Turnbull provides a profitable jumping off point. While most early Apostolics focused on 1 Corinthians 12:13 and the Kingdom/Church distinction, Turnbull </w:t>
      </w:r>
      <w:r>
        <w:t xml:space="preserve">widened the scope of the issue by bringing </w:t>
      </w:r>
      <w:r w:rsidRPr="00C01E57">
        <w:t>the Ascension to bear on the question.</w:t>
      </w:r>
      <w:r w:rsidRPr="00C01E57">
        <w:rPr>
          <w:vertAlign w:val="superscript"/>
        </w:rPr>
        <w:footnoteReference w:id="1381"/>
      </w:r>
      <w:r w:rsidRPr="00C01E57">
        <w:t xml:space="preserve"> For Turnbull, the baptism of the Holy Spirit which places members into the Body of Christ is a result of the Ascension, and he particularly points to Ephesians 1.</w:t>
      </w:r>
      <w:r w:rsidRPr="00C01E57">
        <w:rPr>
          <w:vertAlign w:val="superscript"/>
        </w:rPr>
        <w:footnoteReference w:id="1382"/>
      </w:r>
      <w:r w:rsidRPr="00C01E57">
        <w:t xml:space="preserve"> </w:t>
      </w:r>
      <w:r>
        <w:t>Continuing</w:t>
      </w:r>
      <w:r w:rsidRPr="00C01E57">
        <w:t xml:space="preserve"> into Ephesians 2, we see that God has ‘</w:t>
      </w:r>
      <w:r w:rsidRPr="009C317E">
        <w:t>raised </w:t>
      </w:r>
      <w:r w:rsidRPr="009C317E">
        <w:rPr>
          <w:iCs/>
        </w:rPr>
        <w:t>us</w:t>
      </w:r>
      <w:r w:rsidRPr="009C317E">
        <w:t> up together, and made </w:t>
      </w:r>
      <w:r w:rsidRPr="009C317E">
        <w:rPr>
          <w:iCs/>
        </w:rPr>
        <w:t>us</w:t>
      </w:r>
      <w:r w:rsidRPr="009C317E">
        <w:t> sit together in the heavenly </w:t>
      </w:r>
      <w:r w:rsidRPr="009C317E">
        <w:rPr>
          <w:iCs/>
        </w:rPr>
        <w:t>places</w:t>
      </w:r>
      <w:r w:rsidRPr="009C317E">
        <w:t> in Christ Jesus</w:t>
      </w:r>
      <w:r w:rsidRPr="00C01E57">
        <w:t xml:space="preserve">’ (Eph. 2:6). In </w:t>
      </w:r>
      <w:r>
        <w:t>Christ’s</w:t>
      </w:r>
      <w:r w:rsidRPr="00C01E57">
        <w:t xml:space="preserve"> Ascension, </w:t>
      </w:r>
      <w:r>
        <w:t>the church</w:t>
      </w:r>
      <w:r w:rsidRPr="00C01E57">
        <w:t xml:space="preserve"> ascend</w:t>
      </w:r>
      <w:r>
        <w:t>s</w:t>
      </w:r>
      <w:r w:rsidRPr="00C01E57">
        <w:t>.  Seated in the heavenly realms with Christ, He has poured out His Holy Spirit upon us. But how does this help the ecclesial Spirit baptism dilemma?</w:t>
      </w:r>
    </w:p>
    <w:p w:rsidR="00062AED" w:rsidRPr="00C01E57" w:rsidRDefault="00062AED" w:rsidP="009370EA">
      <w:pPr>
        <w:spacing w:line="360" w:lineRule="auto"/>
        <w:jc w:val="both"/>
      </w:pPr>
      <w:r w:rsidRPr="00C01E57">
        <w:t>Although modern Pentecostal New Testament scholarship tends to focus on the pneumatology of Luke-Acts and secondarily on relating that to Pauline pneumatology, earlier Pentecostals also focused a great deal of attention on Johannine pneumatology. When Jesus speaks of the coming of the Spirit in the Johannine Upper Room discourse, he states that ‘I will not leave you orphans; I will come to you’ (Jn 14:18). Although this verse has been much discussed by exegetes, the context is that of the sending of the Spirit. Thus this is a coming which is, at least in part, mediated by the Spirit; Christ is present to believers by the Spirit who raises us up into the heavenlies with Christ, uniting us to Christ by faith.</w:t>
      </w:r>
      <w:r w:rsidRPr="00C01E57">
        <w:rPr>
          <w:vertAlign w:val="superscript"/>
        </w:rPr>
        <w:footnoteReference w:id="1383"/>
      </w:r>
      <w:r w:rsidRPr="00C01E57">
        <w:t xml:space="preserve"> </w:t>
      </w:r>
      <w:r>
        <w:t>Thus</w:t>
      </w:r>
      <w:r w:rsidRPr="00C01E57">
        <w:t xml:space="preserve">, in this age, believers know the presence of Christ through the Spirit. </w:t>
      </w:r>
      <w:r>
        <w:t>Hence</w:t>
      </w:r>
      <w:r w:rsidRPr="00C01E57">
        <w:t xml:space="preserve"> our ascension with Christ, as described in Ephesians 2:6</w:t>
      </w:r>
      <w:r>
        <w:t>,</w:t>
      </w:r>
      <w:r w:rsidRPr="00C01E57">
        <w:t xml:space="preserve"> is an as</w:t>
      </w:r>
      <w:r>
        <w:t>c</w:t>
      </w:r>
      <w:r w:rsidRPr="00C01E57">
        <w:t>ent through the Spirit;</w:t>
      </w:r>
      <w:r>
        <w:rPr>
          <w:rStyle w:val="FootnoteReference"/>
        </w:rPr>
        <w:footnoteReference w:id="1384"/>
      </w:r>
      <w:r w:rsidRPr="00C01E57">
        <w:t xml:space="preserve"> in a sense the Spirit brings Christ ‘down’ to us by lifting us up to Christ. But one day both this presence of Christ with believers, and the ascension of believers to be with Christ will be realised in all their fullness. Christ ‘will come again’, not only through the mediation of the Spirit, but bodily and in person. Believers will know his presence, not only through the mediation of the Spirit, but ‘we shall always be with the Lord’ (1 Thess. 4:17). Thus, the present activity of the Holy Spirit in mediating Christ’s presence to believers and in lifting believers up into the heavenlies, is in reality an eschatological in-breaking: the Spirit brings the future into the present.</w:t>
      </w:r>
      <w:r w:rsidRPr="00C01E57">
        <w:rPr>
          <w:vertAlign w:val="superscript"/>
        </w:rPr>
        <w:footnoteReference w:id="1385"/>
      </w:r>
    </w:p>
    <w:p w:rsidR="00062AED" w:rsidRPr="00C01E57" w:rsidRDefault="00062AED" w:rsidP="009370EA">
      <w:pPr>
        <w:spacing w:line="360" w:lineRule="auto"/>
        <w:jc w:val="both"/>
      </w:pPr>
      <w:r w:rsidRPr="00C01E57">
        <w:lastRenderedPageBreak/>
        <w:t xml:space="preserve">This eschatological aspect of the ministry of the Holy Spirit may provide a way forward in relation to the question of the relationship between </w:t>
      </w:r>
      <w:r>
        <w:t>BHS</w:t>
      </w:r>
      <w:r w:rsidRPr="00C01E57">
        <w:t xml:space="preserve"> and membership of the Body of Christ. Through Turnbull’s insight that the ecclesia-forming </w:t>
      </w:r>
      <w:r>
        <w:t>BHS</w:t>
      </w:r>
      <w:r w:rsidRPr="00C01E57">
        <w:t xml:space="preserve"> is an ascension gift we are propelled into the already/not yet of the in-breaking of eschatology. As the </w:t>
      </w:r>
      <w:r>
        <w:t>a</w:t>
      </w:r>
      <w:r w:rsidRPr="00C01E57">
        <w:t>scension commen</w:t>
      </w:r>
      <w:r>
        <w:t>ced with Christ’s ascent and our</w:t>
      </w:r>
      <w:r w:rsidRPr="00C01E57">
        <w:t xml:space="preserve"> being raised with him, continues throughout this age as believers are united to Christ by faith, and will be realised in fullness at the resurrection of the dead, so the ecclesia-forming </w:t>
      </w:r>
      <w:r>
        <w:t>BHS</w:t>
      </w:r>
      <w:r w:rsidRPr="00C01E57">
        <w:t xml:space="preserve"> began on the Day of Pentecost, continues throughout this present age as believers taste of the powers of the age to come in </w:t>
      </w:r>
      <w:r>
        <w:t>BHS</w:t>
      </w:r>
      <w:r w:rsidRPr="00C01E57">
        <w:t>, and will be realised in fullness when all things are gathered together in one in Christ (Eph. 1:10).</w:t>
      </w:r>
    </w:p>
    <w:p w:rsidR="00062AED" w:rsidRPr="00C01E57" w:rsidRDefault="00062AED" w:rsidP="009370EA">
      <w:pPr>
        <w:spacing w:line="360" w:lineRule="auto"/>
        <w:jc w:val="both"/>
      </w:pPr>
      <w:r w:rsidRPr="00C01E57">
        <w:t xml:space="preserve">Among contemporary Pentecostal theologians, Frank Macchia has strongly advocated for an eschatological view of </w:t>
      </w:r>
      <w:r>
        <w:t>BHS</w:t>
      </w:r>
      <w:r w:rsidRPr="00C01E57">
        <w:t>. For Macchia, ‘Spirit baptism … is an eschatological methaphor that depicts the various ways in which we participate through the Spirit is the rich blessings of Christ located in the heavenly places (Eph. 1:3, 12).’</w:t>
      </w:r>
      <w:r w:rsidRPr="00C01E57">
        <w:rPr>
          <w:vertAlign w:val="superscript"/>
        </w:rPr>
        <w:footnoteReference w:id="1386"/>
      </w:r>
      <w:r w:rsidRPr="00C01E57">
        <w:t xml:space="preserve"> In fact, Macchia goes as far as to say that ‘the Pentecostal experience of prophetic consecration (with charismatic signs following) allows one to participate already in a Spirit baptism that is yet to come.’</w:t>
      </w:r>
      <w:r w:rsidRPr="00C01E57">
        <w:rPr>
          <w:vertAlign w:val="superscript"/>
        </w:rPr>
        <w:footnoteReference w:id="1387"/>
      </w:r>
      <w:r w:rsidRPr="00C01E57">
        <w:t xml:space="preserve"> Chan, drawing on Macchia, expresses it thus: ‘Spirit baptism is the personal appropriation of an eschatological reality.’</w:t>
      </w:r>
      <w:r w:rsidRPr="00C01E57">
        <w:rPr>
          <w:vertAlign w:val="superscript"/>
        </w:rPr>
        <w:footnoteReference w:id="1388"/>
      </w:r>
    </w:p>
    <w:p w:rsidR="00062AED" w:rsidRPr="00C01E57" w:rsidRDefault="00062AED" w:rsidP="009370EA">
      <w:pPr>
        <w:spacing w:line="360" w:lineRule="auto"/>
        <w:jc w:val="both"/>
      </w:pPr>
      <w:r w:rsidRPr="00C01E57">
        <w:t xml:space="preserve">Such an eschatological interpretation of </w:t>
      </w:r>
      <w:r>
        <w:t>BHS, coupled with our discussion of Ephesians 1:3,</w:t>
      </w:r>
      <w:r w:rsidRPr="00C01E57">
        <w:t xml:space="preserve"> would allow for a satisfactory answer to the theological problems raised by the older Apostolic interpretation of 1 Corinthians 12:13. Yes, it is </w:t>
      </w:r>
      <w:r>
        <w:t>BHS</w:t>
      </w:r>
      <w:r w:rsidRPr="00C01E57">
        <w:t xml:space="preserve"> that forms the Church and through </w:t>
      </w:r>
      <w:r>
        <w:t>BHS</w:t>
      </w:r>
      <w:r w:rsidRPr="00C01E57">
        <w:t xml:space="preserve"> that believers become members of the Body of Christ (as the stronger exegetical arguments point out); however, there is no need to de-church believers, for the present experience of </w:t>
      </w:r>
      <w:r>
        <w:t>BHS</w:t>
      </w:r>
      <w:r w:rsidRPr="00C01E57">
        <w:t xml:space="preserve"> is an eschatological in-breaking of the ultimate </w:t>
      </w:r>
      <w:r>
        <w:t>BHS which is yet to come, and which is already the objective possession of all believers in Christ.</w:t>
      </w:r>
      <w:r w:rsidRPr="00C01E57">
        <w:t xml:space="preserve"> All believers are eschatologically part of the Body of Christ; the present-day experience of </w:t>
      </w:r>
      <w:r>
        <w:t>BHS</w:t>
      </w:r>
      <w:r w:rsidRPr="00C01E57">
        <w:t xml:space="preserve"> brings the experience of the eschatological reality into the present in a dynamic way. Thus we can agree when Chan states that the ‘primary focus of Spirit-baptism is to actualize our communal life or our fellowship in Christ.’</w:t>
      </w:r>
      <w:r w:rsidRPr="00C01E57">
        <w:rPr>
          <w:vertAlign w:val="superscript"/>
        </w:rPr>
        <w:footnoteReference w:id="1389"/>
      </w:r>
      <w:r w:rsidRPr="00C01E57">
        <w:t xml:space="preserve"> The present-day experience of </w:t>
      </w:r>
      <w:r>
        <w:t>BHS</w:t>
      </w:r>
      <w:r w:rsidRPr="00C01E57">
        <w:t xml:space="preserve"> actualises now that which is to come. </w:t>
      </w:r>
    </w:p>
    <w:p w:rsidR="00062AED" w:rsidRPr="00C01E57" w:rsidRDefault="00062AED" w:rsidP="009370EA">
      <w:pPr>
        <w:spacing w:line="360" w:lineRule="auto"/>
        <w:jc w:val="both"/>
      </w:pPr>
      <w:r>
        <w:lastRenderedPageBreak/>
        <w:t>Such an interpretation then points us to the</w:t>
      </w:r>
      <w:r w:rsidRPr="00C01E57">
        <w:t xml:space="preserve"> nature of this eschatological reality</w:t>
      </w:r>
      <w:r>
        <w:t>, which</w:t>
      </w:r>
      <w:r w:rsidRPr="00C01E57">
        <w:t xml:space="preserve"> the early Apostolics </w:t>
      </w:r>
      <w:r>
        <w:t>held</w:t>
      </w:r>
      <w:r w:rsidRPr="00C01E57">
        <w:t xml:space="preserve"> right at the centre of their theology: the Eternal Purpose of God.</w:t>
      </w:r>
      <w:r w:rsidRPr="00C01E57">
        <w:rPr>
          <w:vertAlign w:val="superscript"/>
        </w:rPr>
        <w:footnoteReference w:id="1390"/>
      </w:r>
      <w:r w:rsidRPr="00C01E57">
        <w:t xml:space="preserve"> D.P. Williams summarises key elements of the Apostolic conception of th</w:t>
      </w:r>
      <w:r>
        <w:t>e</w:t>
      </w:r>
      <w:r w:rsidRPr="00C01E57">
        <w:t xml:space="preserve"> Eternal Purpose, writing:</w:t>
      </w:r>
    </w:p>
    <w:p w:rsidR="00062AED" w:rsidRPr="00C01E57" w:rsidRDefault="00062AED" w:rsidP="009370EA">
      <w:pPr>
        <w:spacing w:line="360" w:lineRule="auto"/>
        <w:ind w:left="720" w:right="720"/>
        <w:jc w:val="both"/>
        <w:rPr>
          <w:sz w:val="20"/>
        </w:rPr>
      </w:pPr>
      <w:r w:rsidRPr="00C01E57">
        <w:rPr>
          <w:sz w:val="20"/>
        </w:rPr>
        <w:t>Christ comes to dwell in a Body, and that Christ, manifesting Himself in His Purpose and in His Fulness, in every manifestation of the Holy Spirit, has come in order that Christ may be known, dwelling in the midst.</w:t>
      </w:r>
      <w:r w:rsidRPr="00C01E57">
        <w:rPr>
          <w:sz w:val="20"/>
          <w:vertAlign w:val="superscript"/>
        </w:rPr>
        <w:footnoteReference w:id="1391"/>
      </w:r>
    </w:p>
    <w:p w:rsidR="00062AED" w:rsidRDefault="00062AED" w:rsidP="009370EA">
      <w:pPr>
        <w:spacing w:line="360" w:lineRule="auto"/>
        <w:jc w:val="both"/>
      </w:pPr>
      <w:r w:rsidRPr="00C01E57">
        <w:t>Christ’s fullness in His Body</w:t>
      </w:r>
      <w:r>
        <w:t>, the Church,</w:t>
      </w:r>
      <w:r w:rsidRPr="00C01E57">
        <w:t xml:space="preserve"> is central to the Eternal Purpose, and this is the eschatological reality of which </w:t>
      </w:r>
      <w:r>
        <w:t>BHS</w:t>
      </w:r>
      <w:r w:rsidRPr="00C01E57">
        <w:t xml:space="preserve"> is the in-breaking. Thus, although ultimately to be fulfilled in the age to come (Eph. 1:10; Eph. 3:21), the Eternal Purpose is already beginning to be fulfilled in the present age (Eph. 3:10-11) through the Church, which is in itself an eschatological in-breaking through the Spirit.</w:t>
      </w:r>
      <w:r>
        <w:t xml:space="preserve"> In the words of Matthias Wenk, the Church is the ‘proleptic realization of the final eschatological restoration of this world through the outpouring of the Spirit.’</w:t>
      </w:r>
      <w:r>
        <w:rPr>
          <w:rStyle w:val="FootnoteReference"/>
        </w:rPr>
        <w:footnoteReference w:id="1392"/>
      </w:r>
    </w:p>
    <w:p w:rsidR="00062AED" w:rsidRDefault="00062AED" w:rsidP="009370EA">
      <w:pPr>
        <w:spacing w:line="360" w:lineRule="auto"/>
        <w:jc w:val="both"/>
      </w:pPr>
    </w:p>
    <w:p w:rsidR="00062AED" w:rsidRPr="00D2669B" w:rsidRDefault="00062AED" w:rsidP="009370EA">
      <w:pPr>
        <w:pStyle w:val="PhDSubheading"/>
        <w:spacing w:line="360" w:lineRule="auto"/>
      </w:pPr>
      <w:r>
        <w:t xml:space="preserve">6.4 </w:t>
      </w:r>
      <w:r w:rsidRPr="00D2669B">
        <w:t>Conclusion: The Body which lives in the Trinity (or Concorporeal Theosis)</w:t>
      </w:r>
    </w:p>
    <w:p w:rsidR="00062AED" w:rsidRPr="00261E0C" w:rsidRDefault="00062AED" w:rsidP="009370EA">
      <w:pPr>
        <w:spacing w:line="360" w:lineRule="auto"/>
        <w:rPr>
          <w:lang w:val="cy-GB"/>
        </w:rPr>
      </w:pPr>
      <w:r>
        <w:rPr>
          <w:lang w:val="cy-GB"/>
        </w:rPr>
        <w:t>The Church shares in the love between the Father and the Son in the Spirit and so participates in the love of the Triune God. The Church is the fullness of Christ. As the Church is filled with the Holy Spirit, by perichoresis she is filled with the Father and Son, and so filled with all the fullness of God.  Therefore, by particpation and filling the Church shares in the communion between Father, Son and Holy Spirit.</w:t>
      </w:r>
    </w:p>
    <w:p w:rsidR="006D7033" w:rsidRDefault="00062AED" w:rsidP="009370EA">
      <w:pPr>
        <w:spacing w:line="360" w:lineRule="auto"/>
        <w:jc w:val="both"/>
        <w:rPr>
          <w:lang w:val="cy-GB"/>
        </w:rPr>
      </w:pPr>
      <w:r>
        <w:rPr>
          <w:lang w:val="cy-GB"/>
        </w:rPr>
        <w:t>The Church is the Body of Christ, and the Body of Christ is not a mere metaphor. It is not simply a body of people who belong to Christ. It is not a community formed from below. Rather it has its existence only in Christ and as a result of his work. The only existence of the Church is a concorporeal existence with Christ the Head, and so Christ is the life of the church. The life of Christ is the life of God the Son, which he shares with the Father and the Holy Spirit. Thus the church lives in the life of the Holy and Consubstantial Trinity. This is concorporeal theosis.</w:t>
      </w:r>
    </w:p>
    <w:p w:rsidR="006D7033" w:rsidRDefault="006D7033" w:rsidP="009370EA">
      <w:pPr>
        <w:spacing w:line="360" w:lineRule="auto"/>
        <w:rPr>
          <w:lang w:val="cy-GB"/>
        </w:rPr>
      </w:pPr>
      <w:r>
        <w:rPr>
          <w:lang w:val="cy-GB"/>
        </w:rPr>
        <w:br w:type="page"/>
      </w:r>
    </w:p>
    <w:p w:rsidR="001B4EE1" w:rsidRPr="001B4C51" w:rsidRDefault="001B4EE1" w:rsidP="009370EA">
      <w:pPr>
        <w:pStyle w:val="PhDChapterTitle"/>
        <w:spacing w:line="360" w:lineRule="auto"/>
      </w:pPr>
      <w:r w:rsidRPr="001B4C51">
        <w:lastRenderedPageBreak/>
        <w:t xml:space="preserve">Chapter </w:t>
      </w:r>
      <w:r>
        <w:t>7</w:t>
      </w:r>
    </w:p>
    <w:p w:rsidR="001B4EE1" w:rsidRPr="001B4C51" w:rsidRDefault="001B4EE1" w:rsidP="009370EA">
      <w:pPr>
        <w:pStyle w:val="PhDChapterTitle"/>
        <w:spacing w:line="360" w:lineRule="auto"/>
      </w:pPr>
      <w:r>
        <w:t>Conclusion</w:t>
      </w:r>
    </w:p>
    <w:p w:rsidR="001B4EE1" w:rsidRDefault="001B4EE1" w:rsidP="009370EA">
      <w:pPr>
        <w:spacing w:line="360" w:lineRule="auto"/>
        <w:rPr>
          <w:b/>
          <w:smallCaps/>
          <w:sz w:val="28"/>
        </w:rPr>
      </w:pPr>
    </w:p>
    <w:p w:rsidR="002353CE" w:rsidRPr="002353CE" w:rsidRDefault="002353CE" w:rsidP="009370EA">
      <w:pPr>
        <w:spacing w:line="360" w:lineRule="auto"/>
        <w:jc w:val="both"/>
      </w:pPr>
      <w:r w:rsidRPr="002353CE">
        <w:t xml:space="preserve">This dissertation has established that D.P. Williams and his early British Apostolic colleagues provide a significant source for Pentecostal </w:t>
      </w:r>
      <w:r w:rsidRPr="002353CE">
        <w:rPr>
          <w:i/>
        </w:rPr>
        <w:t>ressourcement</w:t>
      </w:r>
      <w:r w:rsidRPr="002353CE">
        <w:t xml:space="preserve">, by demonstrating that they were significant theological thinkers in their own right. The ecclesiological thought of the early Apostolics was not confined to apostles and prophets for the twentieth century, but rather ecclesiology was an area to which they gave considerable attention, resulting in a substantial body of thought. Although thoroughly evangelical, these writers do not convey a simplistic fundamentalism plus BHS, but rather demonstrate a rich theology rooted in the Triune God. This results in an ontological ecclesiology of the </w:t>
      </w:r>
      <w:r w:rsidRPr="00FC7805">
        <w:rPr>
          <w:i/>
        </w:rPr>
        <w:t>Totus Christus</w:t>
      </w:r>
      <w:r w:rsidRPr="002353CE">
        <w:t xml:space="preserve">, which in turn paves the way for a concept of the concorporeal theosis of the church. </w:t>
      </w:r>
    </w:p>
    <w:p w:rsidR="002353CE" w:rsidRPr="002353CE" w:rsidRDefault="002353CE" w:rsidP="009370EA">
      <w:pPr>
        <w:spacing w:line="360" w:lineRule="auto"/>
        <w:jc w:val="both"/>
      </w:pPr>
      <w:r w:rsidRPr="002353CE">
        <w:t xml:space="preserve">Significantly, this research has shown that the ecclesiology of the early Apostolics was very much a Pentecostal ecclesiology. The Pentecostal experience of BHS was strongly linked with the Body of Christ. Thus, for the Apostolics, BHS was much more than simply power for evangelism. </w:t>
      </w:r>
    </w:p>
    <w:p w:rsidR="002353CE" w:rsidRPr="002353CE" w:rsidRDefault="002353CE" w:rsidP="009370EA">
      <w:pPr>
        <w:spacing w:line="360" w:lineRule="auto"/>
        <w:jc w:val="both"/>
      </w:pPr>
      <w:r w:rsidRPr="002353CE">
        <w:t xml:space="preserve">Furthermore, this dissertation has uncovered a rich vein of explicitly Trinitarian thought among these early British Pentecostals, in contrast to what is to be found in North American Pentecostalism. This is significant not only in terms of the locus of the Trinity, but also in terms of theological method. Such a Trinitarian underpinning to theology allowed the early Apostolics to think in explicitly theological terms, accentuating the inter-connections between theological loci and avoiding naïve prooftexting approaches. </w:t>
      </w:r>
    </w:p>
    <w:p w:rsidR="002353CE" w:rsidRPr="002353CE" w:rsidRDefault="002353CE" w:rsidP="009370EA">
      <w:pPr>
        <w:spacing w:line="360" w:lineRule="auto"/>
        <w:jc w:val="both"/>
      </w:pPr>
      <w:r w:rsidRPr="002353CE">
        <w:t xml:space="preserve">The early British Apostolics also demonstrate how forensic (justification) and personal (theosis) approaches to salvation are not mutually exclusive, but can comfortably sit together. Theosis is seen in an ecclesial context and in connection, not only with the ecclesiological doctrines of the </w:t>
      </w:r>
      <w:r w:rsidRPr="00FC7805">
        <w:rPr>
          <w:i/>
        </w:rPr>
        <w:t>Totus Christus</w:t>
      </w:r>
      <w:r w:rsidRPr="002353CE">
        <w:t xml:space="preserve"> and the sacrament of the Lord’s Supper, but also with the Pentecostal distinctive of BHS. This then paves the way to a theological understanding of BHS, beyond the common Pentecostal themes of subsequence, tongues, and power for witness. Rather, BHS is a prolepsis of the church’s eschatological experience of the love of the Triune God.</w:t>
      </w:r>
    </w:p>
    <w:p w:rsidR="002353CE" w:rsidRPr="002353CE" w:rsidRDefault="002353CE" w:rsidP="009370EA">
      <w:pPr>
        <w:spacing w:line="360" w:lineRule="auto"/>
        <w:jc w:val="both"/>
      </w:pPr>
      <w:r w:rsidRPr="002353CE">
        <w:t xml:space="preserve">Finally, this dissertation has established that the early British Apostolic emphasis on the Lord’s Supper was rooted in the sacrament’s role as a means of theosis through the partaking of the </w:t>
      </w:r>
      <w:r w:rsidRPr="002353CE">
        <w:lastRenderedPageBreak/>
        <w:t>Body and Blood of Christ. Thus Pentecostal theology and experience need not be antithetical to sacramental worship.</w:t>
      </w:r>
    </w:p>
    <w:p w:rsidR="002353CE" w:rsidRDefault="002353CE" w:rsidP="009370EA">
      <w:pPr>
        <w:spacing w:line="360" w:lineRule="auto"/>
        <w:rPr>
          <w:b/>
          <w:smallCaps/>
          <w:sz w:val="28"/>
        </w:rPr>
      </w:pPr>
    </w:p>
    <w:p w:rsidR="001B4EE1" w:rsidRDefault="001B4EE1" w:rsidP="009370EA">
      <w:pPr>
        <w:spacing w:line="360" w:lineRule="auto"/>
        <w:rPr>
          <w:b/>
          <w:smallCaps/>
          <w:sz w:val="28"/>
        </w:rPr>
      </w:pPr>
      <w:r>
        <w:rPr>
          <w:b/>
          <w:smallCaps/>
          <w:sz w:val="28"/>
        </w:rPr>
        <w:br w:type="page"/>
      </w:r>
    </w:p>
    <w:p w:rsidR="00062AED" w:rsidRDefault="006D7033" w:rsidP="009370EA">
      <w:pPr>
        <w:pStyle w:val="PhDChapterTitle"/>
        <w:spacing w:line="360" w:lineRule="auto"/>
      </w:pPr>
      <w:r>
        <w:lastRenderedPageBreak/>
        <w:t>Bibliography</w:t>
      </w:r>
    </w:p>
    <w:p w:rsidR="006D7033" w:rsidRDefault="006D7033" w:rsidP="009370EA">
      <w:pPr>
        <w:spacing w:line="360" w:lineRule="auto"/>
        <w:jc w:val="both"/>
      </w:pPr>
    </w:p>
    <w:p w:rsidR="00762E39" w:rsidRDefault="00762E39" w:rsidP="009370EA">
      <w:pPr>
        <w:spacing w:line="360" w:lineRule="auto"/>
        <w:jc w:val="center"/>
        <w:rPr>
          <w:b/>
          <w:i/>
          <w:u w:val="single"/>
        </w:rPr>
      </w:pPr>
      <w:r>
        <w:rPr>
          <w:b/>
          <w:i/>
          <w:u w:val="single"/>
        </w:rPr>
        <w:t>Apostolic Primary Sources</w:t>
      </w:r>
    </w:p>
    <w:p w:rsidR="00762E39" w:rsidRPr="00693280" w:rsidRDefault="00762E39" w:rsidP="009370EA">
      <w:pPr>
        <w:spacing w:line="360" w:lineRule="auto"/>
        <w:jc w:val="center"/>
        <w:rPr>
          <w:b/>
          <w:i/>
          <w:u w:val="single"/>
        </w:rPr>
      </w:pPr>
    </w:p>
    <w:p w:rsidR="00762E39" w:rsidRPr="0052082B" w:rsidRDefault="00762E39" w:rsidP="009370EA">
      <w:pPr>
        <w:spacing w:line="360" w:lineRule="auto"/>
        <w:rPr>
          <w:b/>
          <w:i/>
        </w:rPr>
      </w:pPr>
      <w:r w:rsidRPr="0052082B">
        <w:rPr>
          <w:b/>
          <w:i/>
        </w:rPr>
        <w:t>Periodicals:</w:t>
      </w:r>
    </w:p>
    <w:p w:rsidR="00762E39" w:rsidRDefault="00762E39" w:rsidP="009370EA">
      <w:pPr>
        <w:spacing w:line="360" w:lineRule="auto"/>
      </w:pPr>
      <w:r w:rsidRPr="0052082B">
        <w:rPr>
          <w:i/>
        </w:rPr>
        <w:t>Riches of Grace</w:t>
      </w:r>
      <w:r>
        <w:t xml:space="preserve"> (Penygroes: 1</w:t>
      </w:r>
      <w:r w:rsidRPr="00861583">
        <w:rPr>
          <w:vertAlign w:val="superscript"/>
        </w:rPr>
        <w:t>st</w:t>
      </w:r>
      <w:r>
        <w:t xml:space="preserve"> series: 1916-</w:t>
      </w:r>
      <w:r w:rsidRPr="00861583">
        <w:t>194</w:t>
      </w:r>
      <w:r>
        <w:t>0; 2</w:t>
      </w:r>
      <w:r w:rsidRPr="00861583">
        <w:rPr>
          <w:vertAlign w:val="superscript"/>
        </w:rPr>
        <w:t>nd</w:t>
      </w:r>
      <w:r>
        <w:t xml:space="preserve"> series: 1948-1973; 3</w:t>
      </w:r>
      <w:r w:rsidRPr="00861583">
        <w:rPr>
          <w:vertAlign w:val="superscript"/>
        </w:rPr>
        <w:t>rd</w:t>
      </w:r>
      <w:r>
        <w:t xml:space="preserve"> series: 1977)</w:t>
      </w:r>
    </w:p>
    <w:p w:rsidR="00762E39" w:rsidRPr="00861583" w:rsidRDefault="00762E39" w:rsidP="009370EA">
      <w:pPr>
        <w:spacing w:line="360" w:lineRule="auto"/>
      </w:pPr>
      <w:r w:rsidRPr="0052082B">
        <w:rPr>
          <w:i/>
        </w:rPr>
        <w:t>Apostolic Herald</w:t>
      </w:r>
      <w:r>
        <w:t xml:space="preserve"> (Bradford: 1922-1940)</w:t>
      </w:r>
    </w:p>
    <w:p w:rsidR="00762E39" w:rsidRDefault="00762E39" w:rsidP="009370EA">
      <w:pPr>
        <w:spacing w:line="360" w:lineRule="auto"/>
      </w:pPr>
      <w:r w:rsidRPr="0052082B">
        <w:rPr>
          <w:i/>
        </w:rPr>
        <w:t>Herald of Grace</w:t>
      </w:r>
      <w:r>
        <w:t xml:space="preserve"> (Bradford: 1</w:t>
      </w:r>
      <w:r w:rsidRPr="00861583">
        <w:rPr>
          <w:vertAlign w:val="superscript"/>
        </w:rPr>
        <w:t>st</w:t>
      </w:r>
      <w:r>
        <w:t xml:space="preserve"> series: </w:t>
      </w:r>
      <w:r w:rsidRPr="00861583">
        <w:t>1941-19</w:t>
      </w:r>
      <w:r>
        <w:t>47; 2</w:t>
      </w:r>
      <w:r w:rsidRPr="00861583">
        <w:rPr>
          <w:vertAlign w:val="superscript"/>
        </w:rPr>
        <w:t>nd</w:t>
      </w:r>
      <w:r>
        <w:t xml:space="preserve"> series: 1974-1976)</w:t>
      </w:r>
    </w:p>
    <w:p w:rsidR="00762E39" w:rsidRDefault="00762E39" w:rsidP="009370EA">
      <w:pPr>
        <w:spacing w:line="360" w:lineRule="auto"/>
      </w:pPr>
    </w:p>
    <w:p w:rsidR="00762E39" w:rsidRPr="0052082B" w:rsidRDefault="00762E39" w:rsidP="009370EA">
      <w:pPr>
        <w:spacing w:line="360" w:lineRule="auto"/>
        <w:rPr>
          <w:b/>
          <w:i/>
        </w:rPr>
      </w:pPr>
      <w:r w:rsidRPr="0052082B">
        <w:rPr>
          <w:b/>
          <w:i/>
        </w:rPr>
        <w:t>Hymnbooks:</w:t>
      </w:r>
    </w:p>
    <w:p w:rsidR="00762E39" w:rsidRDefault="00762E39" w:rsidP="009370EA">
      <w:pPr>
        <w:spacing w:line="360" w:lineRule="auto"/>
      </w:pPr>
      <w:r w:rsidRPr="0052082B">
        <w:rPr>
          <w:i/>
        </w:rPr>
        <w:t>Emynau at Wasaneath Y Cyssegr</w:t>
      </w:r>
      <w:r>
        <w:t>. Penygroes: Yr Eglwys Apostolaidd, 1926.</w:t>
      </w:r>
    </w:p>
    <w:p w:rsidR="00762E39" w:rsidRDefault="00762E39" w:rsidP="009370EA">
      <w:pPr>
        <w:spacing w:line="360" w:lineRule="auto"/>
      </w:pPr>
      <w:r w:rsidRPr="0052082B">
        <w:rPr>
          <w:i/>
        </w:rPr>
        <w:t>Gospel Quintet Choruses</w:t>
      </w:r>
      <w:r>
        <w:t xml:space="preserve">, vols. 1-12. Bradford: Apostolic Church </w:t>
      </w:r>
      <w:r w:rsidRPr="00331ED6">
        <w:t>1942-</w:t>
      </w:r>
      <w:r>
        <w:t>1954.</w:t>
      </w:r>
    </w:p>
    <w:p w:rsidR="00762E39" w:rsidRDefault="00762E39" w:rsidP="009370EA">
      <w:pPr>
        <w:spacing w:line="360" w:lineRule="auto"/>
      </w:pPr>
      <w:r w:rsidRPr="0052082B">
        <w:rPr>
          <w:i/>
        </w:rPr>
        <w:t>Hymns at the Holy Table</w:t>
      </w:r>
      <w:r>
        <w:rPr>
          <w:i/>
        </w:rPr>
        <w:t>.</w:t>
      </w:r>
      <w:r>
        <w:t xml:space="preserve"> London: Evangel Press, 1974.</w:t>
      </w:r>
    </w:p>
    <w:p w:rsidR="00762E39" w:rsidRDefault="00762E39" w:rsidP="009370EA">
      <w:pPr>
        <w:spacing w:line="360" w:lineRule="auto"/>
      </w:pPr>
      <w:r w:rsidRPr="0052082B">
        <w:rPr>
          <w:i/>
        </w:rPr>
        <w:t>Molwch Dduw</w:t>
      </w:r>
      <w:r>
        <w:rPr>
          <w:i/>
        </w:rPr>
        <w:t>.</w:t>
      </w:r>
      <w:r>
        <w:t xml:space="preserve"> Bradford/Penygroes: Puritan Press/Eglwys Apostolaidd, 1954.</w:t>
      </w:r>
    </w:p>
    <w:p w:rsidR="00762E39" w:rsidRDefault="00762E39" w:rsidP="009370EA">
      <w:pPr>
        <w:spacing w:line="360" w:lineRule="auto"/>
      </w:pPr>
      <w:r w:rsidRPr="0052082B">
        <w:rPr>
          <w:i/>
        </w:rPr>
        <w:t>Redemption Hymnal</w:t>
      </w:r>
      <w:r>
        <w:rPr>
          <w:i/>
        </w:rPr>
        <w:t>.</w:t>
      </w:r>
      <w:r>
        <w:t xml:space="preserve"> Bradford: Apostolic Church, 1951.</w:t>
      </w:r>
    </w:p>
    <w:p w:rsidR="00762E39" w:rsidRDefault="00762E39" w:rsidP="009370EA">
      <w:pPr>
        <w:spacing w:line="360" w:lineRule="auto"/>
      </w:pPr>
    </w:p>
    <w:p w:rsidR="00762E39" w:rsidRPr="0052082B" w:rsidRDefault="00762E39" w:rsidP="009370EA">
      <w:pPr>
        <w:spacing w:line="360" w:lineRule="auto"/>
        <w:rPr>
          <w:b/>
          <w:i/>
        </w:rPr>
      </w:pPr>
      <w:r w:rsidRPr="0052082B">
        <w:rPr>
          <w:b/>
          <w:i/>
        </w:rPr>
        <w:t>Works by D.P. Williams</w:t>
      </w:r>
      <w:r>
        <w:rPr>
          <w:b/>
          <w:i/>
        </w:rPr>
        <w:t>:</w:t>
      </w:r>
    </w:p>
    <w:p w:rsidR="00762E39" w:rsidRDefault="00762E39" w:rsidP="009370EA">
      <w:pPr>
        <w:spacing w:line="360" w:lineRule="auto"/>
      </w:pPr>
      <w:r w:rsidRPr="0052082B">
        <w:rPr>
          <w:i/>
        </w:rPr>
        <w:t>Anhebgorion Efengylwr Llwyddiannus</w:t>
      </w:r>
      <w:r>
        <w:t>. Penygroes: Eglwys Apostolaidd, 1920.</w:t>
      </w:r>
    </w:p>
    <w:p w:rsidR="00762E39" w:rsidRDefault="00762E39" w:rsidP="009370EA">
      <w:pPr>
        <w:spacing w:line="360" w:lineRule="auto"/>
      </w:pPr>
      <w:r w:rsidRPr="0052082B">
        <w:rPr>
          <w:i/>
        </w:rPr>
        <w:t>Athrawiaethau Sylfeinol Eglwys y Ffydd Apostolaidd yn Nghymru (Penygroes a'r Undeb)</w:t>
      </w:r>
      <w:r>
        <w:t>. Llanelli, 1914.</w:t>
      </w:r>
    </w:p>
    <w:p w:rsidR="00762E39" w:rsidRDefault="00762E39" w:rsidP="009370EA">
      <w:pPr>
        <w:spacing w:line="360" w:lineRule="auto"/>
      </w:pPr>
      <w:r w:rsidRPr="0052082B">
        <w:rPr>
          <w:i/>
        </w:rPr>
        <w:t>Cradle of Mystery: A Biography of Pastor W. Jones Williams</w:t>
      </w:r>
      <w:r>
        <w:t>. Ystradgynlais: Kingdom First, 2006.</w:t>
      </w:r>
    </w:p>
    <w:p w:rsidR="00762E39" w:rsidRDefault="00762E39" w:rsidP="009370EA">
      <w:pPr>
        <w:spacing w:line="360" w:lineRule="auto"/>
      </w:pPr>
      <w:r w:rsidRPr="0052082B">
        <w:rPr>
          <w:i/>
        </w:rPr>
        <w:t>The Gift of Tongues</w:t>
      </w:r>
      <w:r>
        <w:t>. Penygroes: The Apostolic Church, n.d.</w:t>
      </w:r>
    </w:p>
    <w:p w:rsidR="00762E39" w:rsidRDefault="00762E39" w:rsidP="009370EA">
      <w:pPr>
        <w:spacing w:after="0" w:line="360" w:lineRule="auto"/>
        <w:rPr>
          <w:rFonts w:ascii="Calibri" w:eastAsia="Times New Roman" w:hAnsi="Calibri" w:cs="Times New Roman"/>
          <w:color w:val="000000"/>
          <w:lang w:eastAsia="en-GB"/>
        </w:rPr>
      </w:pPr>
      <w:r>
        <w:rPr>
          <w:rFonts w:ascii="Calibri" w:eastAsia="Times New Roman" w:hAnsi="Calibri" w:cs="Times New Roman"/>
          <w:color w:val="000000"/>
          <w:lang w:eastAsia="en-GB"/>
        </w:rPr>
        <w:t>‘Justification’.</w:t>
      </w:r>
      <w:r w:rsidRPr="0052082B">
        <w:rPr>
          <w:rFonts w:ascii="Calibri" w:eastAsia="Times New Roman" w:hAnsi="Calibri" w:cs="Times New Roman"/>
          <w:color w:val="000000"/>
          <w:lang w:eastAsia="en-GB"/>
        </w:rPr>
        <w:t>Unpublished notebook. Apostolic Church Archives, formerly held at the Apostolic Church Bible College, Penygroes.</w:t>
      </w:r>
    </w:p>
    <w:p w:rsidR="00762E39" w:rsidRPr="0052082B" w:rsidRDefault="00762E39" w:rsidP="009370EA">
      <w:pPr>
        <w:spacing w:after="0" w:line="360" w:lineRule="auto"/>
        <w:rPr>
          <w:rFonts w:ascii="Calibri" w:eastAsia="Times New Roman" w:hAnsi="Calibri" w:cs="Times New Roman"/>
          <w:color w:val="000000"/>
          <w:lang w:eastAsia="en-GB"/>
        </w:rPr>
      </w:pPr>
    </w:p>
    <w:p w:rsidR="00762E39" w:rsidRDefault="00762E39" w:rsidP="009370EA">
      <w:pPr>
        <w:spacing w:line="360" w:lineRule="auto"/>
      </w:pPr>
      <w:r w:rsidRPr="0052082B">
        <w:rPr>
          <w:i/>
        </w:rPr>
        <w:t>Morning Meditations on the Lord's Prayer</w:t>
      </w:r>
      <w:r w:rsidRPr="0052082B">
        <w:t>. Penygroes: The Apostolic Church, 1923.</w:t>
      </w:r>
    </w:p>
    <w:p w:rsidR="00762E39" w:rsidRDefault="00762E39" w:rsidP="009370EA">
      <w:pPr>
        <w:spacing w:line="360" w:lineRule="auto"/>
      </w:pPr>
      <w:r w:rsidRPr="0052082B">
        <w:rPr>
          <w:i/>
        </w:rPr>
        <w:t>Odlau Hiraeth a Bywyd</w:t>
      </w:r>
      <w:r>
        <w:t>. Penygroes, n.d.</w:t>
      </w:r>
    </w:p>
    <w:p w:rsidR="00762E39" w:rsidRDefault="00762E39" w:rsidP="009370EA">
      <w:pPr>
        <w:spacing w:line="360" w:lineRule="auto"/>
      </w:pPr>
      <w:r w:rsidRPr="0052082B">
        <w:rPr>
          <w:i/>
        </w:rPr>
        <w:t>The Prophetical Ministry (or The Voice Gifts) in the Church</w:t>
      </w:r>
      <w:r>
        <w:t>. Penygroes: The Apostolic Church, 1931.</w:t>
      </w:r>
    </w:p>
    <w:p w:rsidR="00762E39" w:rsidRDefault="00762E39" w:rsidP="009370EA">
      <w:pPr>
        <w:spacing w:line="360" w:lineRule="auto"/>
      </w:pPr>
      <w:r w:rsidRPr="0052082B">
        <w:rPr>
          <w:i/>
        </w:rPr>
        <w:t>The Sanctuary of the Christian Life</w:t>
      </w:r>
      <w:r>
        <w:t>. Manchester: Puritan Press, 1948.</w:t>
      </w:r>
    </w:p>
    <w:p w:rsidR="00762E39" w:rsidRDefault="00762E39" w:rsidP="009370EA">
      <w:pPr>
        <w:spacing w:line="360" w:lineRule="auto"/>
      </w:pPr>
      <w:r w:rsidRPr="0052082B">
        <w:rPr>
          <w:i/>
        </w:rPr>
        <w:t>The Trinity</w:t>
      </w:r>
      <w:r>
        <w:t>. 2 vols. Publisher's Manuscripts, 1939.</w:t>
      </w:r>
    </w:p>
    <w:p w:rsidR="00762E39" w:rsidRDefault="00762E39" w:rsidP="009370EA">
      <w:pPr>
        <w:spacing w:line="360" w:lineRule="auto"/>
      </w:pPr>
      <w:r w:rsidRPr="0052082B">
        <w:rPr>
          <w:i/>
        </w:rPr>
        <w:t>The Work of an Evangelist</w:t>
      </w:r>
      <w:r>
        <w:t>. Penygroes: Apostolic Publications, 1928.</w:t>
      </w:r>
    </w:p>
    <w:p w:rsidR="00762E39" w:rsidRDefault="00762E39" w:rsidP="009370EA">
      <w:pPr>
        <w:spacing w:line="360" w:lineRule="auto"/>
      </w:pPr>
    </w:p>
    <w:p w:rsidR="00762E39" w:rsidRPr="0052082B" w:rsidRDefault="00762E39" w:rsidP="009370EA">
      <w:pPr>
        <w:spacing w:line="360" w:lineRule="auto"/>
        <w:rPr>
          <w:b/>
          <w:i/>
        </w:rPr>
      </w:pPr>
      <w:r w:rsidRPr="0052082B">
        <w:rPr>
          <w:b/>
          <w:i/>
        </w:rPr>
        <w:t>Other Apostolic Publications:</w:t>
      </w:r>
    </w:p>
    <w:p w:rsidR="00762E39" w:rsidRDefault="00762E39" w:rsidP="009370EA">
      <w:pPr>
        <w:spacing w:line="360" w:lineRule="auto"/>
      </w:pPr>
      <w:r w:rsidRPr="00A95770">
        <w:rPr>
          <w:i/>
        </w:rPr>
        <w:t>Amazing Love: Report of the Apostolic Church International Convention, Penygroes 1943</w:t>
      </w:r>
      <w:r w:rsidRPr="00A95770">
        <w:t>. Bradford: Apostolic Publications, 1943.</w:t>
      </w:r>
    </w:p>
    <w:p w:rsidR="00762E39" w:rsidRDefault="00762E39" w:rsidP="009370EA">
      <w:pPr>
        <w:spacing w:line="360" w:lineRule="auto"/>
        <w:rPr>
          <w:i/>
        </w:rPr>
      </w:pPr>
      <w:r w:rsidRPr="00B237AA">
        <w:rPr>
          <w:i/>
        </w:rPr>
        <w:t>The Apostolic Church: Its Principles and Practices</w:t>
      </w:r>
      <w:r>
        <w:t>. Penygroes: Apostolic Publications, 1937.</w:t>
      </w:r>
    </w:p>
    <w:p w:rsidR="00762E39" w:rsidRDefault="00762E39" w:rsidP="009370EA">
      <w:pPr>
        <w:spacing w:line="360" w:lineRule="auto"/>
      </w:pPr>
      <w:r w:rsidRPr="00B237AA">
        <w:rPr>
          <w:i/>
        </w:rPr>
        <w:t>The Apostolic Church: Its Principles and Practices</w:t>
      </w:r>
      <w:r>
        <w:t>. Rev. ed. Bradford: Puritan Press, 1961.</w:t>
      </w:r>
    </w:p>
    <w:p w:rsidR="00762E39" w:rsidRDefault="00762E39" w:rsidP="009370EA">
      <w:pPr>
        <w:spacing w:line="360" w:lineRule="auto"/>
      </w:pPr>
      <w:r>
        <w:t>Cathcart, William</w:t>
      </w:r>
      <w:r w:rsidRPr="00B237AA">
        <w:rPr>
          <w:i/>
        </w:rPr>
        <w:t>. Ministry Gifts to the Church</w:t>
      </w:r>
      <w:r>
        <w:t>. Toronto: The Apostolic Church, n.d.</w:t>
      </w:r>
    </w:p>
    <w:p w:rsidR="00762E39" w:rsidRDefault="00762E39" w:rsidP="009370EA">
      <w:pPr>
        <w:spacing w:line="360" w:lineRule="auto"/>
      </w:pPr>
      <w:r>
        <w:t xml:space="preserve">Clyne, J.B. </w:t>
      </w:r>
      <w:r w:rsidRPr="00B237AA">
        <w:rPr>
          <w:i/>
        </w:rPr>
        <w:t>Asked and Answered: A Catechism of Apostolic Principles</w:t>
      </w:r>
      <w:r>
        <w:t>. Bradford: Purtian Press, 1953.</w:t>
      </w:r>
    </w:p>
    <w:p w:rsidR="00762E39" w:rsidRDefault="00762E39" w:rsidP="009370EA">
      <w:pPr>
        <w:spacing w:line="360" w:lineRule="auto"/>
      </w:pPr>
      <w:r>
        <w:t xml:space="preserve">Dawson, Hugh. </w:t>
      </w:r>
      <w:r w:rsidRPr="00B237AA">
        <w:rPr>
          <w:i/>
        </w:rPr>
        <w:t>Through Analogy to Reality</w:t>
      </w:r>
      <w:r>
        <w:t>. Bradford: Puritan Press, 1968.</w:t>
      </w:r>
    </w:p>
    <w:p w:rsidR="00762E39" w:rsidRDefault="00762E39" w:rsidP="009370EA">
      <w:pPr>
        <w:spacing w:line="360" w:lineRule="auto"/>
      </w:pPr>
      <w:r w:rsidRPr="009A5E6F">
        <w:rPr>
          <w:i/>
        </w:rPr>
        <w:t>Dominion</w:t>
      </w:r>
      <w:r>
        <w:t>. Toronto: Apostolic Church, n.d.</w:t>
      </w:r>
    </w:p>
    <w:p w:rsidR="00762E39" w:rsidRDefault="00762E39" w:rsidP="009370EA">
      <w:pPr>
        <w:spacing w:line="360" w:lineRule="auto"/>
      </w:pPr>
      <w:r w:rsidRPr="00B237AA">
        <w:rPr>
          <w:i/>
        </w:rPr>
        <w:t>The Enduring Word: Penygroes Convention Report 1944</w:t>
      </w:r>
      <w:r>
        <w:t>. Bradford: Apostolic Publications, 1944.</w:t>
      </w:r>
    </w:p>
    <w:p w:rsidR="00762E39" w:rsidRDefault="00762E39" w:rsidP="009370EA">
      <w:pPr>
        <w:spacing w:line="360" w:lineRule="auto"/>
      </w:pPr>
      <w:r w:rsidRPr="00B237AA">
        <w:rPr>
          <w:i/>
        </w:rPr>
        <w:t>Floods Upon the Dry Ground:</w:t>
      </w:r>
      <w:r>
        <w:rPr>
          <w:i/>
        </w:rPr>
        <w:t xml:space="preserve"> </w:t>
      </w:r>
      <w:r w:rsidRPr="00B237AA">
        <w:rPr>
          <w:i/>
        </w:rPr>
        <w:t>Being a Report of the Apostolic Church International Convention held at Penygroes, Carmarthenshire, South Wales, August 5th over the 13th, 1939</w:t>
      </w:r>
      <w:r>
        <w:t>. Bradford: Apostolic Publications, 1939.</w:t>
      </w:r>
    </w:p>
    <w:p w:rsidR="00762E39" w:rsidRDefault="00762E39" w:rsidP="009370EA">
      <w:pPr>
        <w:spacing w:line="360" w:lineRule="auto"/>
      </w:pPr>
      <w:r w:rsidRPr="00B237AA">
        <w:rPr>
          <w:i/>
        </w:rPr>
        <w:t>Fundamentals: Being Things Most Surely Believed, A Brief Statement of Fundamental Truths Contained in the Scriptures and Believed and Taught by the Apostolic Church</w:t>
      </w:r>
      <w:r>
        <w:t>. Bradford: The Apostolic Church, n.d.</w:t>
      </w:r>
    </w:p>
    <w:p w:rsidR="00762E39" w:rsidRDefault="00762E39" w:rsidP="009370EA">
      <w:pPr>
        <w:spacing w:line="360" w:lineRule="auto"/>
      </w:pPr>
      <w:r>
        <w:lastRenderedPageBreak/>
        <w:t xml:space="preserve">‘Fundamental Truths’, in </w:t>
      </w:r>
      <w:r w:rsidRPr="00B237AA">
        <w:rPr>
          <w:i/>
        </w:rPr>
        <w:t>The Apostolic Church: Its Principles and Practices</w:t>
      </w:r>
      <w:r>
        <w:t>. Penygroes: Apostolic Publications, 1937.</w:t>
      </w:r>
    </w:p>
    <w:p w:rsidR="00762E39" w:rsidRDefault="00762E39" w:rsidP="009370EA">
      <w:pPr>
        <w:spacing w:line="360" w:lineRule="auto"/>
      </w:pPr>
      <w:r w:rsidRPr="00B237AA">
        <w:rPr>
          <w:i/>
        </w:rPr>
        <w:t>The Glorious Gospel: Being An Illustrated Report of the International Convention Penygroes 1940</w:t>
      </w:r>
      <w:r>
        <w:t>. Bradford: Apostolic Publications, 1940.</w:t>
      </w:r>
    </w:p>
    <w:p w:rsidR="00762E39" w:rsidRDefault="00762E39" w:rsidP="009370EA">
      <w:pPr>
        <w:spacing w:line="360" w:lineRule="auto"/>
      </w:pPr>
      <w:r w:rsidRPr="00B237AA">
        <w:rPr>
          <w:i/>
        </w:rPr>
        <w:t>The Guide Book of the Apostolic Church</w:t>
      </w:r>
      <w:r>
        <w:t>. Bradford: Puritan Press, n.d.</w:t>
      </w:r>
    </w:p>
    <w:p w:rsidR="00762E39" w:rsidRDefault="00762E39" w:rsidP="009370EA">
      <w:pPr>
        <w:spacing w:line="360" w:lineRule="auto"/>
      </w:pPr>
      <w:r>
        <w:t xml:space="preserve">‘Guiding Principles’, in </w:t>
      </w:r>
      <w:r w:rsidRPr="00B237AA">
        <w:rPr>
          <w:i/>
        </w:rPr>
        <w:t>The Apostolic Church: Its Principles and Practices</w:t>
      </w:r>
      <w:r>
        <w:t>. Penygroes: Apostolic Publications, 1937.</w:t>
      </w:r>
    </w:p>
    <w:p w:rsidR="00762E39" w:rsidRDefault="00762E39" w:rsidP="009370EA">
      <w:pPr>
        <w:spacing w:line="360" w:lineRule="auto"/>
      </w:pPr>
      <w:r w:rsidRPr="009760F1">
        <w:rPr>
          <w:i/>
        </w:rPr>
        <w:t>Introducing the Apostolic Church: A Manual of Belief, Practice and History.</w:t>
      </w:r>
      <w:r>
        <w:t xml:space="preserve"> Penygroes: The Apostolic Church, 1988.</w:t>
      </w:r>
    </w:p>
    <w:p w:rsidR="00762E39" w:rsidRDefault="00762E39" w:rsidP="009370EA">
      <w:pPr>
        <w:spacing w:line="360" w:lineRule="auto"/>
        <w:rPr>
          <w:lang w:val="cy-GB"/>
        </w:rPr>
      </w:pPr>
      <w:r w:rsidRPr="009E367A">
        <w:rPr>
          <w:lang w:val="cy-GB"/>
        </w:rPr>
        <w:t xml:space="preserve">Jones, David Congo.  </w:t>
      </w:r>
      <w:r w:rsidRPr="008C1960">
        <w:rPr>
          <w:i/>
          <w:lang w:val="cy-GB"/>
        </w:rPr>
        <w:t>Holwyddoreg</w:t>
      </w:r>
      <w:r w:rsidRPr="009E367A">
        <w:rPr>
          <w:i/>
          <w:lang w:val="cy-GB"/>
        </w:rPr>
        <w:t xml:space="preserve"> ar Fywyd ein Harglwydd Iesu Grist.</w:t>
      </w:r>
      <w:r w:rsidRPr="009E367A">
        <w:rPr>
          <w:lang w:val="cy-GB"/>
        </w:rPr>
        <w:t xml:space="preserve"> Penygroes: Eglwys Apostolaidd</w:t>
      </w:r>
      <w:r>
        <w:rPr>
          <w:lang w:val="cy-GB"/>
        </w:rPr>
        <w:t>, n.d.</w:t>
      </w:r>
    </w:p>
    <w:p w:rsidR="00762E39" w:rsidRDefault="00762E39" w:rsidP="009370EA">
      <w:pPr>
        <w:spacing w:line="360" w:lineRule="auto"/>
      </w:pPr>
      <w:r>
        <w:t xml:space="preserve">Lewis, W.H. </w:t>
      </w:r>
      <w:r w:rsidRPr="00B237AA">
        <w:rPr>
          <w:i/>
        </w:rPr>
        <w:t>The Body of Christ</w:t>
      </w:r>
      <w:r>
        <w:t>. Tenets of the Apostolic Church. Vol. 6.2. Bradford: Puritan Press, 1954.</w:t>
      </w:r>
    </w:p>
    <w:p w:rsidR="00762E39" w:rsidRDefault="00762E39" w:rsidP="009370EA">
      <w:pPr>
        <w:spacing w:line="360" w:lineRule="auto"/>
      </w:pPr>
      <w:r w:rsidRPr="002154DE">
        <w:rPr>
          <w:i/>
        </w:rPr>
        <w:t>Minister's Manual</w:t>
      </w:r>
      <w:r>
        <w:t>. Manchester: Apostolic Church, n.d.</w:t>
      </w:r>
    </w:p>
    <w:p w:rsidR="00762E39" w:rsidRPr="00280D92" w:rsidRDefault="00762E39" w:rsidP="009370EA">
      <w:pPr>
        <w:spacing w:line="360" w:lineRule="auto"/>
        <w:rPr>
          <w:i/>
        </w:rPr>
      </w:pPr>
      <w:r w:rsidRPr="00280D92">
        <w:rPr>
          <w:i/>
        </w:rPr>
        <w:t>Programme of Ceremony of Opening of the Apostolic Temple, Penygroes on Sunday, August 6th, 1933.</w:t>
      </w:r>
    </w:p>
    <w:p w:rsidR="00762E39" w:rsidRDefault="00762E39" w:rsidP="009370EA">
      <w:pPr>
        <w:spacing w:line="360" w:lineRule="auto"/>
      </w:pPr>
      <w:r>
        <w:t xml:space="preserve">Rees, Thomas. </w:t>
      </w:r>
      <w:r w:rsidRPr="00B237AA">
        <w:rPr>
          <w:i/>
        </w:rPr>
        <w:t>The Divine Masterpiece</w:t>
      </w:r>
      <w:r>
        <w:t>. Bradford: Apostolic Publications, n.d.</w:t>
      </w:r>
    </w:p>
    <w:p w:rsidR="00762E39" w:rsidRDefault="00762E39" w:rsidP="009370EA">
      <w:pPr>
        <w:spacing w:line="360" w:lineRule="auto"/>
      </w:pPr>
      <w:r>
        <w:t xml:space="preserve">Rowe, W.A.C. </w:t>
      </w:r>
      <w:r w:rsidRPr="00B237AA">
        <w:rPr>
          <w:i/>
        </w:rPr>
        <w:t>One Lord, One Faith</w:t>
      </w:r>
      <w:r>
        <w:t>. Bradford: Puritan Press, n.d.</w:t>
      </w:r>
    </w:p>
    <w:p w:rsidR="00762E39" w:rsidRDefault="00762E39" w:rsidP="009370EA">
      <w:pPr>
        <w:spacing w:line="360" w:lineRule="auto"/>
      </w:pPr>
      <w:r w:rsidRPr="00B237AA">
        <w:rPr>
          <w:i/>
        </w:rPr>
        <w:t>Souvenir Exhibiting the Movements of God in the Apostolic Church: Issued in Commemoration of the Opening of the Apostolic Temple, Penygroes.</w:t>
      </w:r>
      <w:r>
        <w:t xml:space="preserve"> Penygroes: The Apostolic Church, 1933.</w:t>
      </w:r>
    </w:p>
    <w:p w:rsidR="00762E39" w:rsidRDefault="00762E39" w:rsidP="009370EA">
      <w:pPr>
        <w:spacing w:line="360" w:lineRule="auto"/>
      </w:pPr>
      <w:r>
        <w:t xml:space="preserve">Thomas, W.R. </w:t>
      </w:r>
      <w:r w:rsidRPr="00B237AA">
        <w:rPr>
          <w:i/>
        </w:rPr>
        <w:t xml:space="preserve">The </w:t>
      </w:r>
      <w:r>
        <w:rPr>
          <w:i/>
        </w:rPr>
        <w:t>E</w:t>
      </w:r>
      <w:r w:rsidRPr="00B237AA">
        <w:rPr>
          <w:i/>
        </w:rPr>
        <w:t>mmanuel</w:t>
      </w:r>
      <w:r>
        <w:t xml:space="preserve">. Trans. Violetta Thomas. Cardiff, </w:t>
      </w:r>
      <w:r w:rsidRPr="00592D3C">
        <w:t>2005.</w:t>
      </w:r>
    </w:p>
    <w:p w:rsidR="00762E39" w:rsidRDefault="00762E39" w:rsidP="009370EA">
      <w:pPr>
        <w:spacing w:line="360" w:lineRule="auto"/>
      </w:pPr>
      <w:r>
        <w:t xml:space="preserve">Thomas, W.R. </w:t>
      </w:r>
      <w:r w:rsidRPr="00B237AA">
        <w:rPr>
          <w:i/>
        </w:rPr>
        <w:t>The Paraclete</w:t>
      </w:r>
      <w:r>
        <w:t>: The Person and Work of the Holy Spirit. Trans. V. Thomas. Cardiff, 2004.</w:t>
      </w:r>
      <w:r w:rsidRPr="00B237AA">
        <w:t xml:space="preserve"> </w:t>
      </w:r>
    </w:p>
    <w:p w:rsidR="00762E39" w:rsidRDefault="00762E39" w:rsidP="009370EA">
      <w:pPr>
        <w:spacing w:line="360" w:lineRule="auto"/>
      </w:pPr>
      <w:r>
        <w:t xml:space="preserve">Thomas, W.R. </w:t>
      </w:r>
      <w:r w:rsidRPr="00B237AA">
        <w:rPr>
          <w:i/>
        </w:rPr>
        <w:t>On Ephesians</w:t>
      </w:r>
      <w:r>
        <w:t>. Trans. Violetta Thomas. Cardiff, 2007.</w:t>
      </w:r>
    </w:p>
    <w:p w:rsidR="00762E39" w:rsidRDefault="00762E39" w:rsidP="009370EA">
      <w:pPr>
        <w:spacing w:line="360" w:lineRule="auto"/>
      </w:pPr>
      <w:r w:rsidRPr="00B237AA">
        <w:rPr>
          <w:i/>
        </w:rPr>
        <w:t>Through the Open Door: Report of the Penygroes Convention 1945</w:t>
      </w:r>
      <w:r>
        <w:t>. Bradford: Apostolic Publications, 1945.</w:t>
      </w:r>
    </w:p>
    <w:p w:rsidR="00762E39" w:rsidRDefault="00762E39" w:rsidP="009370EA">
      <w:pPr>
        <w:spacing w:line="360" w:lineRule="auto"/>
      </w:pPr>
      <w:r>
        <w:t xml:space="preserve">Turnbull, T.N. </w:t>
      </w:r>
      <w:r w:rsidRPr="00B237AA">
        <w:rPr>
          <w:i/>
        </w:rPr>
        <w:t>Prophecy in the Church Age</w:t>
      </w:r>
      <w:r>
        <w:t xml:space="preserve">. Bradford: Puritan Press, </w:t>
      </w:r>
      <w:r w:rsidRPr="004F639B">
        <w:t>1971.</w:t>
      </w:r>
    </w:p>
    <w:p w:rsidR="00762E39" w:rsidRDefault="00762E39" w:rsidP="009370EA">
      <w:pPr>
        <w:spacing w:line="360" w:lineRule="auto"/>
      </w:pPr>
    </w:p>
    <w:p w:rsidR="00762E39" w:rsidRPr="0052082B" w:rsidRDefault="00762E39" w:rsidP="009370EA">
      <w:pPr>
        <w:spacing w:line="360" w:lineRule="auto"/>
        <w:rPr>
          <w:b/>
          <w:i/>
        </w:rPr>
      </w:pPr>
      <w:r>
        <w:rPr>
          <w:b/>
          <w:i/>
        </w:rPr>
        <w:t>Minute Books:</w:t>
      </w:r>
    </w:p>
    <w:p w:rsidR="00762E39" w:rsidRDefault="00762E39" w:rsidP="009370EA">
      <w:pPr>
        <w:spacing w:line="360" w:lineRule="auto"/>
        <w:rPr>
          <w:lang w:val="cy-GB"/>
        </w:rPr>
      </w:pPr>
      <w:r w:rsidRPr="00861583">
        <w:rPr>
          <w:i/>
          <w:lang w:val="cy-GB"/>
        </w:rPr>
        <w:t>International Council of Apostles and Prophets, Jan. 19th over Jan. 25th, 1932, Great Horton Church Ante-Rooms, Bradford</w:t>
      </w:r>
      <w:r w:rsidRPr="00861583">
        <w:rPr>
          <w:lang w:val="cy-GB"/>
        </w:rPr>
        <w:t>.</w:t>
      </w:r>
    </w:p>
    <w:p w:rsidR="00762E39" w:rsidRDefault="00762E39" w:rsidP="009370EA">
      <w:pPr>
        <w:spacing w:line="360" w:lineRule="auto"/>
        <w:rPr>
          <w:lang w:val="cy-GB"/>
        </w:rPr>
      </w:pPr>
      <w:r w:rsidRPr="00D55DC3">
        <w:rPr>
          <w:i/>
          <w:lang w:val="cy-GB"/>
        </w:rPr>
        <w:t>Report of the Convocation of Apostles and Prophets, Bradford, Oct. 15th-18th 1929</w:t>
      </w:r>
      <w:r>
        <w:rPr>
          <w:lang w:val="cy-GB"/>
        </w:rPr>
        <w:t>.</w:t>
      </w:r>
    </w:p>
    <w:p w:rsidR="00762E39" w:rsidRDefault="00762E39" w:rsidP="009370EA">
      <w:pPr>
        <w:spacing w:line="360" w:lineRule="auto"/>
        <w:rPr>
          <w:lang w:val="cy-GB"/>
        </w:rPr>
      </w:pPr>
    </w:p>
    <w:p w:rsidR="00762E39" w:rsidRDefault="00762E39" w:rsidP="009370EA">
      <w:pPr>
        <w:spacing w:line="360" w:lineRule="auto"/>
        <w:rPr>
          <w:lang w:val="cy-GB"/>
        </w:rPr>
      </w:pPr>
    </w:p>
    <w:p w:rsidR="00762E39" w:rsidRDefault="00762E39" w:rsidP="009370EA">
      <w:pPr>
        <w:spacing w:line="360" w:lineRule="auto"/>
        <w:jc w:val="center"/>
        <w:rPr>
          <w:b/>
          <w:i/>
          <w:u w:val="single"/>
        </w:rPr>
      </w:pPr>
      <w:r w:rsidRPr="00FA41C3">
        <w:rPr>
          <w:b/>
          <w:i/>
          <w:u w:val="single"/>
        </w:rPr>
        <w:t>Secondary Sources</w:t>
      </w:r>
    </w:p>
    <w:p w:rsidR="00762E39" w:rsidRPr="00FA41C3" w:rsidRDefault="00762E39" w:rsidP="009370EA">
      <w:pPr>
        <w:spacing w:line="360" w:lineRule="auto"/>
        <w:jc w:val="center"/>
        <w:rPr>
          <w:b/>
          <w:i/>
          <w:u w:val="single"/>
        </w:rPr>
      </w:pPr>
    </w:p>
    <w:p w:rsidR="00762E39" w:rsidRDefault="00762E39" w:rsidP="009370EA">
      <w:pPr>
        <w:spacing w:line="360" w:lineRule="auto"/>
      </w:pPr>
      <w:r>
        <w:t xml:space="preserve">Alford, D.L. 'Music, Pentecostal and Charismatic,' in </w:t>
      </w:r>
      <w:r w:rsidRPr="00FA41C3">
        <w:rPr>
          <w:i/>
        </w:rPr>
        <w:t>NIDPCM</w:t>
      </w:r>
      <w:r>
        <w:t>, ed. Stanley M. Burgess and Eduard M. Van Der Maas, 911-920. Grand Rapids: Zondervan, 2002.</w:t>
      </w:r>
    </w:p>
    <w:p w:rsidR="00762E39" w:rsidRDefault="00762E39" w:rsidP="009370EA">
      <w:pPr>
        <w:spacing w:line="360" w:lineRule="auto"/>
      </w:pPr>
      <w:r>
        <w:t xml:space="preserve">Althaus, Paul. </w:t>
      </w:r>
      <w:r w:rsidRPr="00FA41C3">
        <w:rPr>
          <w:i/>
        </w:rPr>
        <w:t>The Theology of Martin Luther</w:t>
      </w:r>
      <w:r>
        <w:t>. Philadelphia: Fortress, 1966.</w:t>
      </w:r>
    </w:p>
    <w:p w:rsidR="00762E39" w:rsidRDefault="00762E39" w:rsidP="009370EA">
      <w:pPr>
        <w:spacing w:line="360" w:lineRule="auto"/>
      </w:pPr>
      <w:r>
        <w:t xml:space="preserve">Althouse, Peter. ‘Ascension – Pentecost – Eschaton: A Theological Framework for Pentecostal Ecclesiology’, in </w:t>
      </w:r>
      <w:r w:rsidRPr="00FA41C3">
        <w:rPr>
          <w:i/>
        </w:rPr>
        <w:t>Toward a Pentecostal Ecclesiology: The Church and the Fivefold Gospel</w:t>
      </w:r>
      <w:r>
        <w:t>, ed. John Christopher Thomas. Cleveland TN: CPT Press, 2010.</w:t>
      </w:r>
    </w:p>
    <w:p w:rsidR="00762E39" w:rsidRDefault="00762E39" w:rsidP="009370EA">
      <w:pPr>
        <w:spacing w:line="360" w:lineRule="auto"/>
      </w:pPr>
      <w:r>
        <w:t xml:space="preserve">Althouse, Peter. </w:t>
      </w:r>
      <w:r w:rsidRPr="00FA41C3">
        <w:rPr>
          <w:i/>
        </w:rPr>
        <w:t>Spirit of the Last Days: Pentecostal Eschatology In Conversation with Jürgen Moltmann</w:t>
      </w:r>
      <w:r>
        <w:t>. Journal of Pentecostal Theology Supplement Series, vol. 25. London: T&amp;T Clark, 2003.</w:t>
      </w:r>
    </w:p>
    <w:p w:rsidR="00762E39" w:rsidRDefault="00762E39" w:rsidP="009370EA">
      <w:pPr>
        <w:spacing w:line="360" w:lineRule="auto"/>
      </w:pPr>
      <w:r>
        <w:t xml:space="preserve">Anderson, Allan. </w:t>
      </w:r>
      <w:r w:rsidRPr="00FA41C3">
        <w:rPr>
          <w:i/>
        </w:rPr>
        <w:t>An Introduction to Pentecostalism</w:t>
      </w:r>
      <w:r>
        <w:rPr>
          <w:i/>
        </w:rPr>
        <w:t>.</w:t>
      </w:r>
      <w:r>
        <w:t xml:space="preserve"> Cambridge: Cambridge University Press, 2004.</w:t>
      </w:r>
    </w:p>
    <w:p w:rsidR="00762E39" w:rsidRDefault="00762E39" w:rsidP="009370EA">
      <w:pPr>
        <w:spacing w:line="360" w:lineRule="auto"/>
      </w:pPr>
      <w:r>
        <w:t xml:space="preserve">Anderson, Allan. </w:t>
      </w:r>
      <w:r w:rsidRPr="00FA41C3">
        <w:rPr>
          <w:i/>
        </w:rPr>
        <w:t>An Introduction to Pentecostalism: Global Charismatic Christianity</w:t>
      </w:r>
      <w:r>
        <w:t>. Cambridge: Cambridge University Press, 2013.</w:t>
      </w:r>
    </w:p>
    <w:p w:rsidR="00762E39" w:rsidRDefault="00762E39" w:rsidP="009370EA">
      <w:pPr>
        <w:spacing w:line="360" w:lineRule="auto"/>
      </w:pPr>
      <w:r w:rsidRPr="00F47530">
        <w:t xml:space="preserve">Anderson, Cynthia Peters. </w:t>
      </w:r>
      <w:r w:rsidRPr="00F47530">
        <w:rPr>
          <w:i/>
        </w:rPr>
        <w:t>Reclaiming Participation: Christ as God's Life for All</w:t>
      </w:r>
      <w:r w:rsidRPr="00F47530">
        <w:t>. Minneapolis: Fortress, 2014.</w:t>
      </w:r>
    </w:p>
    <w:p w:rsidR="00762E39" w:rsidRDefault="00762E39" w:rsidP="009370EA">
      <w:pPr>
        <w:spacing w:line="360" w:lineRule="auto"/>
      </w:pPr>
      <w:r>
        <w:t xml:space="preserve">Archer, Kenneth J. </w:t>
      </w:r>
      <w:r w:rsidRPr="00FA41C3">
        <w:rPr>
          <w:i/>
        </w:rPr>
        <w:t>The Gospel Revisited: Towards a Pentecostal Theology of Worship and Witness</w:t>
      </w:r>
      <w:r>
        <w:t>. Eugene: Pickwick, 2011.</w:t>
      </w:r>
    </w:p>
    <w:p w:rsidR="00762E39" w:rsidRDefault="00762E39" w:rsidP="009370EA">
      <w:pPr>
        <w:spacing w:line="360" w:lineRule="auto"/>
      </w:pPr>
      <w:r>
        <w:t xml:space="preserve">Arrington, French. </w:t>
      </w:r>
      <w:r w:rsidRPr="00FA41C3">
        <w:rPr>
          <w:i/>
        </w:rPr>
        <w:t>Christian Doctrine: A Pentecostal Perspective</w:t>
      </w:r>
      <w:r>
        <w:t>. 3 vols. Cleveland TN: Pathway, 1994.</w:t>
      </w:r>
    </w:p>
    <w:p w:rsidR="00762E39" w:rsidRDefault="00762E39" w:rsidP="009370EA">
      <w:pPr>
        <w:spacing w:line="360" w:lineRule="auto"/>
      </w:pPr>
      <w:r>
        <w:lastRenderedPageBreak/>
        <w:t xml:space="preserve">Atkinson, William P. </w:t>
      </w:r>
      <w:r w:rsidRPr="00FA41C3">
        <w:rPr>
          <w:i/>
        </w:rPr>
        <w:t>Trinity After Pentecost</w:t>
      </w:r>
      <w:r>
        <w:t>. Eugene: Wipf &amp; Stock, 2013.</w:t>
      </w:r>
    </w:p>
    <w:p w:rsidR="00762E39" w:rsidRDefault="00762E39" w:rsidP="009370EA">
      <w:pPr>
        <w:spacing w:line="360" w:lineRule="auto"/>
      </w:pPr>
      <w:r>
        <w:t xml:space="preserve">Barrett D.B. &amp; T.M. Johnson, ‘Global Statistics’, in Stanley M. Burgess ed., </w:t>
      </w:r>
      <w:r w:rsidRPr="00FA41C3">
        <w:rPr>
          <w:i/>
        </w:rPr>
        <w:t>NIDPCM</w:t>
      </w:r>
      <w:r>
        <w:t>. Grand Rapids: Zondervan, 2002.</w:t>
      </w:r>
    </w:p>
    <w:p w:rsidR="00762E39" w:rsidRDefault="00762E39" w:rsidP="009370EA">
      <w:pPr>
        <w:spacing w:line="360" w:lineRule="auto"/>
      </w:pPr>
      <w:r>
        <w:t xml:space="preserve">Bavinck, Herman. </w:t>
      </w:r>
      <w:r w:rsidRPr="00FA41C3">
        <w:rPr>
          <w:i/>
        </w:rPr>
        <w:t>Reformed Dogmatics</w:t>
      </w:r>
      <w:r>
        <w:t>. 4 Vols. Ed. John Bolt. Trans. John Vriend. Grand Rapids: Baker Academic, 2003-2008.</w:t>
      </w:r>
    </w:p>
    <w:p w:rsidR="00762E39" w:rsidRDefault="00762E39" w:rsidP="009370EA">
      <w:pPr>
        <w:spacing w:line="360" w:lineRule="auto"/>
      </w:pPr>
      <w:r>
        <w:t xml:space="preserve">Beasley-Murray, G.R. </w:t>
      </w:r>
      <w:r w:rsidRPr="00FA41C3">
        <w:rPr>
          <w:i/>
        </w:rPr>
        <w:t>Baptism in the New Testament</w:t>
      </w:r>
      <w:r>
        <w:t>. Grand Rapids: Eerdmans, 1973.</w:t>
      </w:r>
    </w:p>
    <w:p w:rsidR="00762E39" w:rsidRDefault="00762E39" w:rsidP="009370EA">
      <w:pPr>
        <w:spacing w:line="360" w:lineRule="auto"/>
      </w:pPr>
      <w:r>
        <w:t xml:space="preserve">Berkhof, Louis. </w:t>
      </w:r>
      <w:r w:rsidRPr="00FA41C3">
        <w:rPr>
          <w:i/>
        </w:rPr>
        <w:t>Systematic Theology</w:t>
      </w:r>
      <w:r>
        <w:t>. Edinburgh: Banner of Truth, 1958.</w:t>
      </w:r>
    </w:p>
    <w:p w:rsidR="00762E39" w:rsidRDefault="00762E39" w:rsidP="009370EA">
      <w:pPr>
        <w:spacing w:line="360" w:lineRule="auto"/>
      </w:pPr>
      <w:r>
        <w:t xml:space="preserve">Billings, J. Todd. </w:t>
      </w:r>
      <w:r w:rsidRPr="00FA41C3">
        <w:rPr>
          <w:i/>
        </w:rPr>
        <w:t>Union with Christ: Reforming Theology and Ministry for the Church</w:t>
      </w:r>
      <w:r>
        <w:t>. Grand Rapids: Baker Academic, 2012.</w:t>
      </w:r>
    </w:p>
    <w:p w:rsidR="00762E39" w:rsidRDefault="00762E39" w:rsidP="009370EA">
      <w:pPr>
        <w:spacing w:line="360" w:lineRule="auto"/>
      </w:pPr>
      <w:r>
        <w:t xml:space="preserve">Bird, Michael. 'Progressive Reformed Response,' to 'Deification View,' in </w:t>
      </w:r>
      <w:r w:rsidRPr="00FA41C3">
        <w:rPr>
          <w:i/>
        </w:rPr>
        <w:t>Justification: Five Views</w:t>
      </w:r>
      <w:r>
        <w:t>, ed. James K. Bielby and Paul R. Eddy. London: SPCK, 2012.</w:t>
      </w:r>
    </w:p>
    <w:p w:rsidR="00762E39" w:rsidRDefault="00762E39" w:rsidP="009370EA">
      <w:pPr>
        <w:spacing w:line="360" w:lineRule="auto"/>
      </w:pPr>
      <w:r>
        <w:t>Black, Jonathan. ‘Toward the Possibility of a Pentecostal Ecclesiology: Some Lessons from the British Apostolics,’ paper presented at the Pentecostal Theological Colloqium, Continental Theological Seminary, March 2009.</w:t>
      </w:r>
    </w:p>
    <w:p w:rsidR="00762E39" w:rsidRDefault="00762E39" w:rsidP="009370EA">
      <w:pPr>
        <w:spacing w:line="360" w:lineRule="auto"/>
      </w:pPr>
      <w:r>
        <w:t xml:space="preserve">Black, Jonathan. 'The Church as Eucharistic Fellowship: A British Apostolic Contribution Toward a Pentecostal Ecclesiology,' </w:t>
      </w:r>
      <w:r w:rsidRPr="00FA41C3">
        <w:rPr>
          <w:i/>
        </w:rPr>
        <w:t>Journal of the European Pentecostal Theological Association</w:t>
      </w:r>
      <w:r>
        <w:t xml:space="preserve"> 29.2 (2009): 78-89.</w:t>
      </w:r>
    </w:p>
    <w:p w:rsidR="00762E39" w:rsidRDefault="00762E39" w:rsidP="009370EA">
      <w:pPr>
        <w:spacing w:line="360" w:lineRule="auto"/>
      </w:pPr>
      <w:r>
        <w:t>Blackham, Paul. 'The Pneumatology of Thomas Goodwin.' PhD diss., University of London, 1995.</w:t>
      </w:r>
    </w:p>
    <w:p w:rsidR="00762E39" w:rsidRDefault="00762E39" w:rsidP="009370EA">
      <w:pPr>
        <w:spacing w:line="360" w:lineRule="auto"/>
      </w:pPr>
      <w:r>
        <w:t>Blackwell, Ben. C</w:t>
      </w:r>
      <w:r w:rsidRPr="00FA41C3">
        <w:rPr>
          <w:i/>
        </w:rPr>
        <w:t>. Christosis: Pauline Soteriology in Light of Deification in Irenaeus and Cyril of Alexandria</w:t>
      </w:r>
      <w:r>
        <w:t>. Tübingen: Mohr Siebeck, 2011.</w:t>
      </w:r>
    </w:p>
    <w:p w:rsidR="00762E39" w:rsidRDefault="00762E39" w:rsidP="009370EA">
      <w:pPr>
        <w:spacing w:line="360" w:lineRule="auto"/>
      </w:pPr>
      <w:r>
        <w:t>Braaten, Carl E. and Robert W. Jenson, ed.,</w:t>
      </w:r>
      <w:r w:rsidRPr="00FA41C3">
        <w:rPr>
          <w:i/>
        </w:rPr>
        <w:t xml:space="preserve"> Union with Christ: The New Finnish Interpretation of Luther</w:t>
      </w:r>
      <w:r>
        <w:t>. Grand Rapids: Eerdmans, 1998.</w:t>
      </w:r>
    </w:p>
    <w:p w:rsidR="00762E39" w:rsidRDefault="00762E39" w:rsidP="009370EA">
      <w:pPr>
        <w:spacing w:line="360" w:lineRule="auto"/>
      </w:pPr>
      <w:r>
        <w:t>Brandon, M. Jeff. '"The Heavenlies" in Ephesians: A Lexical, Exegetical and Conceptual Analysis.' PhD diss., University of Edinburgh, 2010.</w:t>
      </w:r>
    </w:p>
    <w:p w:rsidR="00762E39" w:rsidRDefault="00762E39" w:rsidP="009370EA">
      <w:pPr>
        <w:spacing w:line="360" w:lineRule="auto"/>
      </w:pPr>
      <w:r>
        <w:t>Bruner, Frederick Dale.</w:t>
      </w:r>
      <w:r w:rsidRPr="00FA41C3">
        <w:rPr>
          <w:i/>
        </w:rPr>
        <w:t xml:space="preserve"> A Theology of the Holy Spirit: The Pentecostal Experience and the New Testament Witness</w:t>
      </w:r>
      <w:r>
        <w:t>. London: Hodder and Stoughton, 1971.</w:t>
      </w:r>
    </w:p>
    <w:p w:rsidR="00762E39" w:rsidRDefault="00762E39" w:rsidP="009370EA">
      <w:pPr>
        <w:spacing w:line="360" w:lineRule="auto"/>
      </w:pPr>
      <w:r>
        <w:t xml:space="preserve">Bunday, D.D. 'Horton, Harold Lawrence Cuthbert,'  in </w:t>
      </w:r>
      <w:r w:rsidRPr="00FA41C3">
        <w:rPr>
          <w:i/>
        </w:rPr>
        <w:t>NIDPCM</w:t>
      </w:r>
      <w:r>
        <w:t>, ed. Stanley M. Burgess and Eduard M. Van Der Maas, 772. Grand Rapids: Zondervan, 2002.</w:t>
      </w:r>
    </w:p>
    <w:p w:rsidR="00762E39" w:rsidRDefault="00762E39" w:rsidP="009370EA">
      <w:pPr>
        <w:spacing w:line="360" w:lineRule="auto"/>
      </w:pPr>
      <w:r>
        <w:lastRenderedPageBreak/>
        <w:t xml:space="preserve">Burge, Gary M. 'The Gospel of John,' in </w:t>
      </w:r>
      <w:r w:rsidRPr="00FA41C3">
        <w:rPr>
          <w:i/>
        </w:rPr>
        <w:t>A Biblical Theology of the Holy Spirit</w:t>
      </w:r>
      <w:r>
        <w:t>, ed. Trevor J. Burke and Keith Warrington. London: SPCK, 2014.</w:t>
      </w:r>
    </w:p>
    <w:p w:rsidR="00762E39" w:rsidRDefault="00762E39" w:rsidP="009370EA">
      <w:pPr>
        <w:spacing w:line="360" w:lineRule="auto"/>
      </w:pPr>
      <w:r>
        <w:t xml:space="preserve">Burgess, S.M. 'Symeon the New Theologian,' </w:t>
      </w:r>
      <w:r w:rsidRPr="00FA41C3">
        <w:rPr>
          <w:i/>
        </w:rPr>
        <w:t>NIDPCM</w:t>
      </w:r>
      <w:r>
        <w:t xml:space="preserve">, ed. Stanley M. Burgess and Eduard M. Van Der Maas, 1112. Grand Rapids: Zondervan, 2002. </w:t>
      </w:r>
    </w:p>
    <w:p w:rsidR="00762E39" w:rsidRDefault="00762E39" w:rsidP="009370EA">
      <w:pPr>
        <w:spacing w:line="360" w:lineRule="auto"/>
      </w:pPr>
      <w:r>
        <w:t xml:space="preserve">Bushwell, J. Oliver. </w:t>
      </w:r>
      <w:r w:rsidRPr="00FA41C3">
        <w:rPr>
          <w:i/>
        </w:rPr>
        <w:t>A Systematic Theology of the Christian Religion</w:t>
      </w:r>
      <w:r>
        <w:t>. Grand Rapids: Zondervan, 1962.</w:t>
      </w:r>
    </w:p>
    <w:p w:rsidR="00762E39" w:rsidRDefault="00762E39" w:rsidP="009370EA">
      <w:pPr>
        <w:spacing w:line="360" w:lineRule="auto"/>
      </w:pPr>
      <w:r>
        <w:t>Calvin, John. 'Summary of Doctrine Concerning the Ministry of Word and Sacrament,' in Calvin: Theological Treatises, ed. J.K.S. Reid. Philadelphia: Westminster, 1964.</w:t>
      </w:r>
    </w:p>
    <w:p w:rsidR="00762E39" w:rsidRDefault="00762E39" w:rsidP="009370EA">
      <w:pPr>
        <w:spacing w:line="360" w:lineRule="auto"/>
      </w:pPr>
      <w:r>
        <w:t xml:space="preserve">Chan, Simon. 'Evidential Glossolalia and the Doctrine of Subsequence,' </w:t>
      </w:r>
      <w:r w:rsidRPr="00FA41C3">
        <w:rPr>
          <w:i/>
        </w:rPr>
        <w:t>Asian Journal of Pentecostal Studies</w:t>
      </w:r>
      <w:r>
        <w:t xml:space="preserve"> 2.2 (July 1999):195-211.</w:t>
      </w:r>
    </w:p>
    <w:p w:rsidR="00762E39" w:rsidRDefault="00762E39" w:rsidP="009370EA">
      <w:pPr>
        <w:spacing w:line="360" w:lineRule="auto"/>
      </w:pPr>
      <w:r>
        <w:t xml:space="preserve">Chan, Simon. </w:t>
      </w:r>
      <w:r w:rsidRPr="00FA41C3">
        <w:rPr>
          <w:i/>
        </w:rPr>
        <w:t>Grass Roots Asian Theology: Thinking the Faith from the Ground Up</w:t>
      </w:r>
      <w:r>
        <w:t>. Downers Grove: IVP, 2014.</w:t>
      </w:r>
    </w:p>
    <w:p w:rsidR="00762E39" w:rsidRDefault="00762E39" w:rsidP="009370EA">
      <w:pPr>
        <w:spacing w:line="360" w:lineRule="auto"/>
      </w:pPr>
      <w:r>
        <w:t xml:space="preserve">Chan, Simon. 'Jesus as Spirit-Baptizer: Its Significance for Pentecostal Ecclesiology,' in </w:t>
      </w:r>
      <w:r w:rsidRPr="00FA41C3">
        <w:rPr>
          <w:i/>
        </w:rPr>
        <w:t>Toward A Pentecostal Ecclesiology</w:t>
      </w:r>
      <w:r>
        <w:t>, ed. John Christopher Thomas. Cleveland: CPT Press, 2010.</w:t>
      </w:r>
    </w:p>
    <w:p w:rsidR="00762E39" w:rsidRDefault="00762E39" w:rsidP="009370EA">
      <w:pPr>
        <w:spacing w:line="360" w:lineRule="auto"/>
      </w:pPr>
      <w:r>
        <w:t xml:space="preserve">Chan, Simon. </w:t>
      </w:r>
      <w:r w:rsidRPr="00FA41C3">
        <w:rPr>
          <w:i/>
        </w:rPr>
        <w:t>Liturgical Theology: The Church as Worshipping Community</w:t>
      </w:r>
      <w:r>
        <w:t>. Downers Grove: IVP, 2006.</w:t>
      </w:r>
    </w:p>
    <w:p w:rsidR="00762E39" w:rsidRDefault="00762E39" w:rsidP="009370EA">
      <w:pPr>
        <w:spacing w:line="360" w:lineRule="auto"/>
      </w:pPr>
      <w:r>
        <w:t xml:space="preserve">Chan, Simon. 'Mother Church: Toward a Pentecostal Ecclesiology.' </w:t>
      </w:r>
      <w:r w:rsidRPr="00FA41C3">
        <w:rPr>
          <w:i/>
        </w:rPr>
        <w:t>Pneuma</w:t>
      </w:r>
      <w:r>
        <w:t xml:space="preserve"> 22.2 (2000): 177-208. </w:t>
      </w:r>
    </w:p>
    <w:p w:rsidR="00762E39" w:rsidRDefault="00762E39" w:rsidP="009370EA">
      <w:pPr>
        <w:spacing w:line="360" w:lineRule="auto"/>
      </w:pPr>
      <w:r>
        <w:t xml:space="preserve">Chan, Simon. </w:t>
      </w:r>
      <w:r w:rsidRPr="00FA41C3">
        <w:rPr>
          <w:i/>
        </w:rPr>
        <w:t>Pentecostal Ecclesiology: An Essay on the Development of Doctrine</w:t>
      </w:r>
      <w:r>
        <w:t>. Blandford Forum: Deo, 2011.</w:t>
      </w:r>
    </w:p>
    <w:p w:rsidR="00762E39" w:rsidRDefault="00762E39" w:rsidP="009370EA">
      <w:pPr>
        <w:spacing w:line="360" w:lineRule="auto"/>
      </w:pPr>
      <w:r>
        <w:t xml:space="preserve">Chan, Simon. </w:t>
      </w:r>
      <w:r w:rsidRPr="00FA41C3">
        <w:rPr>
          <w:i/>
        </w:rPr>
        <w:t>Pentecostal Theology and the Christian Spiritual Tradition</w:t>
      </w:r>
      <w:r>
        <w:t>. Reprint ed., Eugene: Wipf and Stock, 2011.</w:t>
      </w:r>
    </w:p>
    <w:p w:rsidR="00762E39" w:rsidRDefault="00762E39" w:rsidP="009370EA">
      <w:pPr>
        <w:spacing w:line="360" w:lineRule="auto"/>
      </w:pPr>
      <w:r>
        <w:t xml:space="preserve">Chan, Simon. 'The Language Game of Glossolalia, or Making Sense of the "Initial Evidence,"' in </w:t>
      </w:r>
      <w:r w:rsidRPr="00FA41C3">
        <w:rPr>
          <w:i/>
        </w:rPr>
        <w:t>Pentecostalism in Context: Essays in Honor of William P. Menzies</w:t>
      </w:r>
      <w:r>
        <w:t>, ed. Wonsuk Ma and Robert P. Menzies. Eugene: Wipf &amp; Stock, 2008.</w:t>
      </w:r>
    </w:p>
    <w:p w:rsidR="00762E39" w:rsidRDefault="00762E39" w:rsidP="009370EA">
      <w:pPr>
        <w:spacing w:line="360" w:lineRule="auto"/>
      </w:pPr>
      <w:r>
        <w:t xml:space="preserve">Chant, B. 'Cathcart, William,' in </w:t>
      </w:r>
      <w:r w:rsidRPr="00FA41C3">
        <w:rPr>
          <w:i/>
        </w:rPr>
        <w:t>NIDPCM</w:t>
      </w:r>
      <w:r>
        <w:t>, ed. Stanley M. Burgess and Eduard M. Van Der Maas, 458. Grand Rapids: Zondervan, 2002.</w:t>
      </w:r>
    </w:p>
    <w:p w:rsidR="00762E39" w:rsidRDefault="00762E39" w:rsidP="009370EA">
      <w:pPr>
        <w:spacing w:line="360" w:lineRule="auto"/>
      </w:pPr>
      <w:r>
        <w:lastRenderedPageBreak/>
        <w:t xml:space="preserve">Chant, Barry. ‘Waters to Swim in: Adelaide’s First Three Pentecostal Congregations – 1910-1935,’ </w:t>
      </w:r>
      <w:r w:rsidRPr="00FA41C3">
        <w:rPr>
          <w:i/>
        </w:rPr>
        <w:t>Australasian Pentecostal Studies</w:t>
      </w:r>
      <w:r>
        <w:t xml:space="preserve"> 8 (2004). http://aps-journal.com/aps/index.php/APS/article/view/74/71.</w:t>
      </w:r>
    </w:p>
    <w:p w:rsidR="00762E39" w:rsidRDefault="00762E39" w:rsidP="009370EA">
      <w:pPr>
        <w:spacing w:line="360" w:lineRule="auto"/>
      </w:pPr>
      <w:r>
        <w:t xml:space="preserve">Chemnitz, Martin. </w:t>
      </w:r>
      <w:r w:rsidRPr="00FA41C3">
        <w:rPr>
          <w:i/>
        </w:rPr>
        <w:t>The Lord's Supper</w:t>
      </w:r>
      <w:r>
        <w:t>, trans J.A.O. Preus, in Chemnitz's Works, vol. 5. St Louis: Concordia, 2007.</w:t>
      </w:r>
    </w:p>
    <w:p w:rsidR="00762E39" w:rsidRPr="00FA41C3" w:rsidRDefault="00762E39" w:rsidP="009370EA">
      <w:pPr>
        <w:spacing w:line="360" w:lineRule="auto"/>
        <w:rPr>
          <w:lang w:val="fr-BE"/>
        </w:rPr>
      </w:pPr>
      <w:r>
        <w:t xml:space="preserve">Chemnitz, Martin. </w:t>
      </w:r>
      <w:r w:rsidRPr="00FA41C3">
        <w:rPr>
          <w:i/>
        </w:rPr>
        <w:t>The Two Natures in Christ</w:t>
      </w:r>
      <w:r>
        <w:t xml:space="preserve">, trans. </w:t>
      </w:r>
      <w:r w:rsidRPr="00FA41C3">
        <w:rPr>
          <w:lang w:val="fr-BE"/>
        </w:rPr>
        <w:t>J.A.O. Preus. St Louis: Concordia, 1971.</w:t>
      </w:r>
    </w:p>
    <w:p w:rsidR="00762E39" w:rsidRDefault="00762E39" w:rsidP="009370EA">
      <w:pPr>
        <w:spacing w:line="360" w:lineRule="auto"/>
      </w:pPr>
      <w:r>
        <w:t xml:space="preserve">Cooper, Jordan. </w:t>
      </w:r>
      <w:r w:rsidRPr="00FA41C3">
        <w:rPr>
          <w:i/>
        </w:rPr>
        <w:t>Christification: A Lutheran Approach to Theosis</w:t>
      </w:r>
      <w:r>
        <w:t>. Eugene: Wipf and Stock, 2014.</w:t>
      </w:r>
    </w:p>
    <w:p w:rsidR="00762E39" w:rsidRDefault="00762E39" w:rsidP="009370EA">
      <w:pPr>
        <w:spacing w:line="360" w:lineRule="auto"/>
      </w:pPr>
      <w:r>
        <w:t>Courey, David</w:t>
      </w:r>
      <w:r w:rsidRPr="00FA41C3">
        <w:rPr>
          <w:i/>
        </w:rPr>
        <w:t>. What Has Wittenberg to do with Azusa?: Luther's Theology of the Cross and Pentecostal Triumphalism</w:t>
      </w:r>
      <w:r>
        <w:t>. London: Bloomsbury T&amp;T Clark, 2015.</w:t>
      </w:r>
    </w:p>
    <w:p w:rsidR="00762E39" w:rsidRDefault="00762E39" w:rsidP="009370EA">
      <w:pPr>
        <w:spacing w:line="360" w:lineRule="auto"/>
      </w:pPr>
      <w:r>
        <w:t>Cross, Anthony R</w:t>
      </w:r>
      <w:r w:rsidRPr="00FA41C3">
        <w:rPr>
          <w:i/>
        </w:rPr>
        <w:t>. Recovering the Evangelical Sacrament: Baptisma Semper Reformandum</w:t>
      </w:r>
      <w:r>
        <w:t>. Eugene: Pickwick, 2013.</w:t>
      </w:r>
    </w:p>
    <w:p w:rsidR="00762E39" w:rsidRDefault="00762E39" w:rsidP="009370EA">
      <w:pPr>
        <w:spacing w:line="360" w:lineRule="auto"/>
      </w:pPr>
      <w:r>
        <w:t>Currie, Thomas Christian. 'The Threefold Word of God in the Theology of Karl Barth.' PhD diss., University of Edinburgh, 2013</w:t>
      </w:r>
    </w:p>
    <w:p w:rsidR="00762E39" w:rsidRPr="009A5E6F" w:rsidRDefault="00762E39" w:rsidP="009370EA">
      <w:pPr>
        <w:spacing w:line="360" w:lineRule="auto"/>
      </w:pPr>
      <w:r w:rsidRPr="00527B45">
        <w:t xml:space="preserve">Cyril of Alexandria. </w:t>
      </w:r>
      <w:r w:rsidRPr="00527B45">
        <w:rPr>
          <w:i/>
        </w:rPr>
        <w:t>Commentary on John</w:t>
      </w:r>
      <w:r w:rsidRPr="00527B45">
        <w:t xml:space="preserve">. 2 vols. </w:t>
      </w:r>
      <w:r w:rsidRPr="009A5E6F">
        <w:t>David R. Maxwell, trans. Ancient</w:t>
      </w:r>
      <w:r w:rsidR="00D35D69">
        <w:t xml:space="preserve"> Christian Texts. Downers Grove</w:t>
      </w:r>
      <w:r w:rsidRPr="009A5E6F">
        <w:t>: IVP, 2013-2015.</w:t>
      </w:r>
    </w:p>
    <w:p w:rsidR="00762E39" w:rsidRPr="00762E39" w:rsidRDefault="00762E39" w:rsidP="009370EA">
      <w:pPr>
        <w:spacing w:line="360" w:lineRule="auto"/>
      </w:pPr>
      <w:r w:rsidRPr="00FA41C3">
        <w:rPr>
          <w:lang w:val="fr-BE"/>
        </w:rPr>
        <w:t>Cyrille d’Alexandrie</w:t>
      </w:r>
      <w:r>
        <w:rPr>
          <w:lang w:val="fr-BE"/>
        </w:rPr>
        <w:t>.</w:t>
      </w:r>
      <w:r w:rsidRPr="00FA41C3">
        <w:rPr>
          <w:lang w:val="fr-BE"/>
        </w:rPr>
        <w:t xml:space="preserve"> </w:t>
      </w:r>
      <w:r w:rsidRPr="00FA41C3">
        <w:rPr>
          <w:i/>
          <w:lang w:val="fr-BE"/>
        </w:rPr>
        <w:t>Dialogues Sur La Trinité I</w:t>
      </w:r>
      <w:r>
        <w:rPr>
          <w:lang w:val="fr-BE"/>
        </w:rPr>
        <w:t>,</w:t>
      </w:r>
      <w:r w:rsidRPr="00FA41C3">
        <w:rPr>
          <w:lang w:val="fr-BE"/>
        </w:rPr>
        <w:t xml:space="preserve"> Sources Chrétiennes 231</w:t>
      </w:r>
      <w:r>
        <w:rPr>
          <w:lang w:val="fr-BE"/>
        </w:rPr>
        <w:t>.</w:t>
      </w:r>
      <w:r w:rsidRPr="00FA41C3">
        <w:rPr>
          <w:lang w:val="fr-BE"/>
        </w:rPr>
        <w:t xml:space="preserve"> </w:t>
      </w:r>
      <w:r w:rsidRPr="00762E39">
        <w:t>Paris: Cerf, 1976.</w:t>
      </w:r>
    </w:p>
    <w:p w:rsidR="00762E39" w:rsidRDefault="00762E39" w:rsidP="009370EA">
      <w:pPr>
        <w:spacing w:line="360" w:lineRule="auto"/>
      </w:pPr>
      <w:r w:rsidRPr="009A5E6F">
        <w:t xml:space="preserve">Davidsson, Tommy. ‘Lewi Pethrus’ Ecclesiological Thought 1911-1974: A Transdenominational Pentecostal Ecclesiology.’ PhD diss., </w:t>
      </w:r>
      <w:r>
        <w:t>University of Birmingham, 2012.</w:t>
      </w:r>
    </w:p>
    <w:p w:rsidR="00762E39" w:rsidRDefault="00762E39" w:rsidP="009370EA">
      <w:pPr>
        <w:spacing w:line="360" w:lineRule="auto"/>
      </w:pPr>
      <w:r>
        <w:t xml:space="preserve">Davies, Tom &amp; Peter Yeoman. </w:t>
      </w:r>
      <w:r w:rsidRPr="00FA41C3">
        <w:rPr>
          <w:i/>
        </w:rPr>
        <w:t>Born in the Fire: A Biography of D.P. Williams</w:t>
      </w:r>
      <w:r>
        <w:t>. Ystradgynlais: Kingdom First Publishing, 2008.</w:t>
      </w:r>
    </w:p>
    <w:p w:rsidR="00762E39" w:rsidRDefault="00762E39" w:rsidP="009370EA">
      <w:pPr>
        <w:spacing w:line="360" w:lineRule="auto"/>
      </w:pPr>
      <w:r>
        <w:t xml:space="preserve">Dayton, Donald W. </w:t>
      </w:r>
      <w:r w:rsidRPr="00FA41C3">
        <w:rPr>
          <w:i/>
        </w:rPr>
        <w:t>Theological Roots of Pentecostalism</w:t>
      </w:r>
      <w:r>
        <w:t>. Peabody: Hendrickson, 2004.</w:t>
      </w:r>
    </w:p>
    <w:p w:rsidR="00762E39" w:rsidRDefault="00762E39" w:rsidP="009370EA">
      <w:pPr>
        <w:spacing w:line="360" w:lineRule="auto"/>
      </w:pPr>
      <w:r>
        <w:t xml:space="preserve">Duffield, Guy P. and Nathaniel M. VanCleave. </w:t>
      </w:r>
      <w:r w:rsidRPr="00FA41C3">
        <w:rPr>
          <w:i/>
        </w:rPr>
        <w:t>Foundations of Pentecostal Theology</w:t>
      </w:r>
      <w:r>
        <w:t>. San Dimas: LIFE Bible College, 1987.</w:t>
      </w:r>
    </w:p>
    <w:p w:rsidR="00762E39" w:rsidRDefault="00762E39" w:rsidP="009370EA">
      <w:pPr>
        <w:spacing w:line="360" w:lineRule="auto"/>
      </w:pPr>
      <w:r>
        <w:t>Dunn, James D.G</w:t>
      </w:r>
      <w:r w:rsidRPr="00FA41C3">
        <w:rPr>
          <w:i/>
        </w:rPr>
        <w:t>. Baptism in the Holy Spirit: A Re-examination of the New Testament Teaching on the Gift of the Spirit in Relation to Pentecostalism Today</w:t>
      </w:r>
      <w:r>
        <w:t>. Philadelphia: Westminster, 1970.</w:t>
      </w:r>
    </w:p>
    <w:p w:rsidR="00762E39" w:rsidRDefault="00762E39" w:rsidP="009370EA">
      <w:pPr>
        <w:spacing w:line="360" w:lineRule="auto"/>
      </w:pPr>
      <w:r>
        <w:t xml:space="preserve">Dunn, James D.G. 'Galatians,' in </w:t>
      </w:r>
      <w:r w:rsidRPr="00FA41C3">
        <w:rPr>
          <w:i/>
        </w:rPr>
        <w:t>A Biblical Theology of the Holy Spirit</w:t>
      </w:r>
      <w:r>
        <w:t>, ed. Trevor J. Burke and Keith Warrington. London: SPCK, 2014.</w:t>
      </w:r>
    </w:p>
    <w:p w:rsidR="00762E39" w:rsidRDefault="00762E39" w:rsidP="009370EA">
      <w:pPr>
        <w:spacing w:line="360" w:lineRule="auto"/>
      </w:pPr>
      <w:r>
        <w:lastRenderedPageBreak/>
        <w:t xml:space="preserve">Eaton, Michael A., </w:t>
      </w:r>
      <w:r w:rsidRPr="00FA41C3">
        <w:rPr>
          <w:i/>
        </w:rPr>
        <w:t>Baptism With the Spirit: The Teaching of Martyn Lloyd Jones</w:t>
      </w:r>
      <w:r>
        <w:t>. Leicester: IVP, 1989.</w:t>
      </w:r>
    </w:p>
    <w:p w:rsidR="00762E39" w:rsidRDefault="00762E39" w:rsidP="009370EA">
      <w:pPr>
        <w:spacing w:line="360" w:lineRule="auto"/>
      </w:pPr>
      <w:r>
        <w:t xml:space="preserve">Erickson, Millard. </w:t>
      </w:r>
      <w:r w:rsidRPr="00FA41C3">
        <w:rPr>
          <w:i/>
        </w:rPr>
        <w:t>Christian Theology</w:t>
      </w:r>
      <w:r>
        <w:t>, 2nd ed. Grand Rapids: Baker, 1998.</w:t>
      </w:r>
    </w:p>
    <w:p w:rsidR="00762E39" w:rsidRDefault="00762E39" w:rsidP="009370EA">
      <w:pPr>
        <w:spacing w:line="360" w:lineRule="auto"/>
      </w:pPr>
      <w:r>
        <w:t>Fairbairn, Donald</w:t>
      </w:r>
      <w:r w:rsidRPr="00FA41C3">
        <w:rPr>
          <w:i/>
        </w:rPr>
        <w:t>. Grace and Christology in the Early Church</w:t>
      </w:r>
      <w:r>
        <w:t>, Oxford Early Christian Studies. Oxford: Oxford University Press, 2003.</w:t>
      </w:r>
    </w:p>
    <w:p w:rsidR="00762E39" w:rsidRDefault="00762E39" w:rsidP="009370EA">
      <w:pPr>
        <w:spacing w:line="360" w:lineRule="auto"/>
      </w:pPr>
      <w:r>
        <w:t xml:space="preserve">Fairbairn, Donald. </w:t>
      </w:r>
      <w:r w:rsidRPr="00FA41C3">
        <w:rPr>
          <w:i/>
        </w:rPr>
        <w:t>Life in the Trinity</w:t>
      </w:r>
      <w:r>
        <w:t>. Downers Grove: IVP, 2009.</w:t>
      </w:r>
    </w:p>
    <w:p w:rsidR="00762E39" w:rsidRDefault="00762E39" w:rsidP="009370EA">
      <w:pPr>
        <w:spacing w:line="360" w:lineRule="auto"/>
      </w:pPr>
      <w:r>
        <w:t xml:space="preserve">Fairbairn, Donald. 'Patristic Soteriology: Three Trajectories,' </w:t>
      </w:r>
      <w:r w:rsidRPr="00FA41C3">
        <w:rPr>
          <w:i/>
        </w:rPr>
        <w:t>Journal of the Evangelical Theological Society</w:t>
      </w:r>
      <w:r>
        <w:t xml:space="preserve"> 50.2 (June 2007): 289-310.</w:t>
      </w:r>
    </w:p>
    <w:p w:rsidR="00762E39" w:rsidRDefault="00762E39" w:rsidP="009370EA">
      <w:pPr>
        <w:spacing w:line="360" w:lineRule="auto"/>
      </w:pPr>
      <w:r>
        <w:t xml:space="preserve">Fee, Gordon D. </w:t>
      </w:r>
      <w:r w:rsidRPr="00FA41C3">
        <w:rPr>
          <w:i/>
        </w:rPr>
        <w:t>The First Epistle to the Corinthians</w:t>
      </w:r>
      <w:r>
        <w:t>. New International Commentary on the New Testament. Grand Rapids: Eerdmans, 1987.</w:t>
      </w:r>
    </w:p>
    <w:p w:rsidR="00762E39" w:rsidRDefault="00762E39" w:rsidP="009370EA">
      <w:pPr>
        <w:spacing w:line="360" w:lineRule="auto"/>
      </w:pPr>
      <w:r>
        <w:t xml:space="preserve">Fee, Gordon. </w:t>
      </w:r>
      <w:r w:rsidRPr="00FA41C3">
        <w:rPr>
          <w:i/>
        </w:rPr>
        <w:t>God's Empowering Presence: The Holy Spirit in the Letters of Paul</w:t>
      </w:r>
      <w:r>
        <w:t>. Peabody: Hendrickson, 1994.</w:t>
      </w:r>
    </w:p>
    <w:p w:rsidR="00762E39" w:rsidRDefault="00762E39" w:rsidP="009370EA">
      <w:pPr>
        <w:spacing w:line="360" w:lineRule="auto"/>
      </w:pPr>
      <w:r>
        <w:t xml:space="preserve">Fowler, Stanley K. </w:t>
      </w:r>
      <w:r w:rsidRPr="00FA41C3">
        <w:rPr>
          <w:i/>
        </w:rPr>
        <w:t>More Than A Symbol: The British Baptist Recovery of Baptismal Sacramentalism</w:t>
      </w:r>
      <w:r>
        <w:rPr>
          <w:i/>
        </w:rPr>
        <w:t>,</w:t>
      </w:r>
      <w:r>
        <w:t xml:space="preserve"> Studies in Baptist History and Thought, vol. 2. Milton Keynes: Paternoster, 2002.</w:t>
      </w:r>
    </w:p>
    <w:p w:rsidR="00762E39" w:rsidRDefault="00762E39" w:rsidP="009370EA">
      <w:pPr>
        <w:spacing w:line="360" w:lineRule="auto"/>
      </w:pPr>
      <w:r>
        <w:t xml:space="preserve">Gebremedhin, Ezra. </w:t>
      </w:r>
      <w:r w:rsidRPr="00FA41C3">
        <w:rPr>
          <w:i/>
        </w:rPr>
        <w:t>Life-Giving Blessing: An Inquiry into the Eucharistic Doctrine of Cyril of Alexandria</w:t>
      </w:r>
      <w:r>
        <w:t>, Studia Doctrinae Christianae Upsaliensia, vol. 17. Uppsala: Acta Universitatis Upsaliensis, 1977.</w:t>
      </w:r>
    </w:p>
    <w:p w:rsidR="00762E39" w:rsidRDefault="00762E39" w:rsidP="009370EA">
      <w:pPr>
        <w:spacing w:line="360" w:lineRule="auto"/>
      </w:pPr>
      <w:r>
        <w:t xml:space="preserve">Gee, Donald. </w:t>
      </w:r>
      <w:r w:rsidRPr="00FA41C3">
        <w:rPr>
          <w:i/>
        </w:rPr>
        <w:t>The Pentecostal Movement</w:t>
      </w:r>
      <w:r>
        <w:t>. London: Victory Press, 1941.</w:t>
      </w:r>
    </w:p>
    <w:p w:rsidR="00762E39" w:rsidRDefault="00762E39" w:rsidP="009370EA">
      <w:pPr>
        <w:spacing w:line="360" w:lineRule="auto"/>
      </w:pPr>
      <w:r>
        <w:t xml:space="preserve">Gee, Donald. </w:t>
      </w:r>
      <w:r w:rsidRPr="00FA41C3">
        <w:rPr>
          <w:i/>
        </w:rPr>
        <w:t>Wind and Flame</w:t>
      </w:r>
      <w:r>
        <w:t>. Croydon: Heath Press, 1967.</w:t>
      </w:r>
    </w:p>
    <w:p w:rsidR="00762E39" w:rsidRDefault="00762E39" w:rsidP="009370EA">
      <w:pPr>
        <w:spacing w:line="360" w:lineRule="auto"/>
      </w:pPr>
      <w:r>
        <w:t xml:space="preserve">Gerhard, Johann. </w:t>
      </w:r>
      <w:r w:rsidRPr="00FA41C3">
        <w:rPr>
          <w:i/>
        </w:rPr>
        <w:t>A Comprehensive Explanation of Holy Baptism and the Lord's Supper (1610)</w:t>
      </w:r>
      <w:r>
        <w:t>, trans. Elmer Hohle. Malone: Repristination Press, 2014.</w:t>
      </w:r>
    </w:p>
    <w:p w:rsidR="00762E39" w:rsidRDefault="00762E39" w:rsidP="009370EA">
      <w:pPr>
        <w:spacing w:line="360" w:lineRule="auto"/>
      </w:pPr>
      <w:r>
        <w:t>Gohr, G.W. 'Pearlman, Myer,' in NIDPCM, ed. Stanley M. Burgess and Eduard M. Van Der Maas, 959. Grand Rapids: Zondervan, 2002.</w:t>
      </w:r>
    </w:p>
    <w:p w:rsidR="00762E39" w:rsidRDefault="00762E39" w:rsidP="009370EA">
      <w:pPr>
        <w:spacing w:line="360" w:lineRule="auto"/>
      </w:pPr>
      <w:r>
        <w:t xml:space="preserve">Grudem, Wayne. </w:t>
      </w:r>
      <w:r w:rsidRPr="00FA41C3">
        <w:rPr>
          <w:i/>
        </w:rPr>
        <w:t>Systematic Theology: An Introduction to Biblical Doctrine</w:t>
      </w:r>
      <w:r>
        <w:t>. Leicester: IVP, 1994.</w:t>
      </w:r>
    </w:p>
    <w:p w:rsidR="00762E39" w:rsidRDefault="00762E39" w:rsidP="009370EA">
      <w:pPr>
        <w:spacing w:line="360" w:lineRule="auto"/>
      </w:pPr>
      <w:r>
        <w:t xml:space="preserve">Grudem, Wayne. </w:t>
      </w:r>
      <w:r w:rsidRPr="00FA41C3">
        <w:rPr>
          <w:i/>
        </w:rPr>
        <w:t>The Gift of Prophecy in the New Testament and Today</w:t>
      </w:r>
      <w:r>
        <w:t>. Eastbourne: Kingsway, 1988, 2000.</w:t>
      </w:r>
    </w:p>
    <w:p w:rsidR="00762E39" w:rsidRDefault="00762E39" w:rsidP="009370EA">
      <w:pPr>
        <w:spacing w:line="360" w:lineRule="auto"/>
      </w:pPr>
      <w:r>
        <w:lastRenderedPageBreak/>
        <w:t xml:space="preserve">Habets, Myk. 'Reformed Theosis: A Response to Gannon Murphy,' </w:t>
      </w:r>
      <w:r w:rsidRPr="00FA41C3">
        <w:rPr>
          <w:i/>
        </w:rPr>
        <w:t>Theology Today</w:t>
      </w:r>
      <w:r>
        <w:t xml:space="preserve"> 65.4 (Jan. 2009): 489-498.</w:t>
      </w:r>
    </w:p>
    <w:p w:rsidR="00762E39" w:rsidRDefault="00762E39" w:rsidP="009370EA">
      <w:pPr>
        <w:spacing w:line="360" w:lineRule="auto"/>
      </w:pPr>
      <w:r>
        <w:t xml:space="preserve">Habets, Myk. </w:t>
      </w:r>
      <w:r w:rsidRPr="00FA41C3">
        <w:rPr>
          <w:i/>
        </w:rPr>
        <w:t>Theosis in the Theology of Thomas Torrance</w:t>
      </w:r>
      <w:r>
        <w:t>. Farnham: Ashgate, 2009.</w:t>
      </w:r>
    </w:p>
    <w:p w:rsidR="00762E39" w:rsidRDefault="00762E39" w:rsidP="009370EA">
      <w:pPr>
        <w:spacing w:line="360" w:lineRule="auto"/>
      </w:pPr>
      <w:r>
        <w:t xml:space="preserve">Hamilton, James M., Jr. </w:t>
      </w:r>
      <w:r w:rsidRPr="00FA41C3">
        <w:rPr>
          <w:i/>
        </w:rPr>
        <w:t>God's Glory in Salvation Through Judgment: A Biblical Theology</w:t>
      </w:r>
      <w:r>
        <w:t>. Wheaton: Crossway, 2010.</w:t>
      </w:r>
    </w:p>
    <w:p w:rsidR="00762E39" w:rsidRDefault="00762E39" w:rsidP="009370EA">
      <w:pPr>
        <w:spacing w:line="360" w:lineRule="auto"/>
      </w:pPr>
      <w:r>
        <w:t xml:space="preserve">Hathaway, Malcolm </w:t>
      </w:r>
      <w:r w:rsidR="003E29B5">
        <w:t>R. ‘The Elim Pentecostal Church</w:t>
      </w:r>
      <w:r>
        <w:t xml:space="preserve">: Orgins, Development and Distinctives,’ in </w:t>
      </w:r>
      <w:r w:rsidRPr="00FA41C3">
        <w:rPr>
          <w:i/>
        </w:rPr>
        <w:t>Pentecostal Perspectives</w:t>
      </w:r>
      <w:r>
        <w:t>, ed. Keith Warrington. Carlisle: Paternoster, 1998.</w:t>
      </w:r>
    </w:p>
    <w:p w:rsidR="00762E39" w:rsidRDefault="00762E39" w:rsidP="009370EA">
      <w:pPr>
        <w:spacing w:line="360" w:lineRule="auto"/>
      </w:pPr>
      <w:r>
        <w:t xml:space="preserve">Hathaway, Malcolm. ‘The Role of William Oliver Hutchinson and the Apostolic Faith Church in the formation of British Pentecostal Churches', </w:t>
      </w:r>
      <w:r w:rsidRPr="00FA41C3">
        <w:rPr>
          <w:i/>
        </w:rPr>
        <w:t>JEPTA</w:t>
      </w:r>
      <w:r>
        <w:t xml:space="preserve"> 16 (1996): 40-57.</w:t>
      </w:r>
    </w:p>
    <w:p w:rsidR="00762E39" w:rsidRDefault="00762E39" w:rsidP="009370EA">
      <w:pPr>
        <w:spacing w:line="360" w:lineRule="auto"/>
      </w:pPr>
      <w:r>
        <w:t xml:space="preserve">Hathaway, W.G. </w:t>
      </w:r>
      <w:r w:rsidRPr="00FA41C3">
        <w:rPr>
          <w:i/>
        </w:rPr>
        <w:t>The Gifts of the Spirit in the Church</w:t>
      </w:r>
      <w:r>
        <w:t>. rev. ed. London: Benhill Church Press, 1963.</w:t>
      </w:r>
    </w:p>
    <w:p w:rsidR="00762E39" w:rsidRDefault="00762E39" w:rsidP="009370EA">
      <w:pPr>
        <w:spacing w:line="360" w:lineRule="auto"/>
      </w:pPr>
      <w:r>
        <w:t xml:space="preserve">Hocken, Peter. </w:t>
      </w:r>
      <w:r w:rsidRPr="00FA41C3">
        <w:rPr>
          <w:i/>
        </w:rPr>
        <w:t>The Challenges of the Pentecostal, Charismatic and Messianic Jewish Movements: The Tensions of the Spirit</w:t>
      </w:r>
      <w:r>
        <w:t>. Farnham: Ashgate, 2009.</w:t>
      </w:r>
    </w:p>
    <w:p w:rsidR="00762E39" w:rsidRDefault="00762E39" w:rsidP="009370EA">
      <w:pPr>
        <w:spacing w:line="360" w:lineRule="auto"/>
      </w:pPr>
      <w:r>
        <w:t xml:space="preserve">Hodge, A.A. </w:t>
      </w:r>
      <w:r w:rsidRPr="00FA41C3">
        <w:rPr>
          <w:i/>
        </w:rPr>
        <w:t>Banau Duwinyddiaeth</w:t>
      </w:r>
      <w:r>
        <w:t>. Denbigh: Thomas Gee, 1878.</w:t>
      </w:r>
    </w:p>
    <w:p w:rsidR="00762E39" w:rsidRDefault="00762E39" w:rsidP="009370EA">
      <w:pPr>
        <w:spacing w:line="360" w:lineRule="auto"/>
      </w:pPr>
      <w:r>
        <w:t xml:space="preserve">Hodge, A.A. </w:t>
      </w:r>
      <w:r w:rsidRPr="00FA41C3">
        <w:rPr>
          <w:i/>
        </w:rPr>
        <w:t>Outlines of Theology</w:t>
      </w:r>
      <w:r>
        <w:t>. New York: Robert Carter &amp; Brothers, 1866.</w:t>
      </w:r>
    </w:p>
    <w:p w:rsidR="00762E39" w:rsidRDefault="00762E39" w:rsidP="009370EA">
      <w:pPr>
        <w:spacing w:line="360" w:lineRule="auto"/>
      </w:pPr>
      <w:r>
        <w:t xml:space="preserve">Hodge, Charles. </w:t>
      </w:r>
      <w:r w:rsidRPr="00FA41C3">
        <w:rPr>
          <w:i/>
        </w:rPr>
        <w:t>Systematic Theology</w:t>
      </w:r>
      <w:r>
        <w:t>. 3 Vols. Original Edition: Charles Scribner, 1871; Eerdmans edition, Grand Rapids: Eerdmans , 1940.</w:t>
      </w:r>
    </w:p>
    <w:p w:rsidR="00762E39" w:rsidRDefault="00762E39" w:rsidP="009370EA">
      <w:pPr>
        <w:spacing w:line="360" w:lineRule="auto"/>
      </w:pPr>
      <w:r>
        <w:t xml:space="preserve">Hollenweger, Walter J. 'Charismatic and Pentecostal Movements: A Challenge to the Churches,' in </w:t>
      </w:r>
      <w:r w:rsidRPr="00FA41C3">
        <w:rPr>
          <w:i/>
        </w:rPr>
        <w:t>The Holy Spirit</w:t>
      </w:r>
      <w:r>
        <w:t>, ed. Dow Kirkpatrick. Nashville: World Methodist Council Tidings, 1974.</w:t>
      </w:r>
    </w:p>
    <w:p w:rsidR="00762E39" w:rsidRDefault="00762E39" w:rsidP="009370EA">
      <w:pPr>
        <w:spacing w:line="360" w:lineRule="auto"/>
      </w:pPr>
      <w:r>
        <w:t xml:space="preserve">Hollenweger, Walter J. </w:t>
      </w:r>
      <w:r w:rsidRPr="00FA41C3">
        <w:rPr>
          <w:i/>
        </w:rPr>
        <w:t>Pentecostalism: Origins and Developments Worldwide</w:t>
      </w:r>
      <w:r>
        <w:t>. Peabody: Hendrickson, 1998.</w:t>
      </w:r>
    </w:p>
    <w:p w:rsidR="00762E39" w:rsidRDefault="00762E39" w:rsidP="009370EA">
      <w:pPr>
        <w:spacing w:line="360" w:lineRule="auto"/>
      </w:pPr>
      <w:r>
        <w:t xml:space="preserve">Hollenweger, Walter J. </w:t>
      </w:r>
      <w:r w:rsidRPr="00FA41C3">
        <w:rPr>
          <w:i/>
        </w:rPr>
        <w:t>The Pentecostals: The Charismatic Movement in the Churches</w:t>
      </w:r>
      <w:r>
        <w:t>. London: SCM, 1972.</w:t>
      </w:r>
    </w:p>
    <w:p w:rsidR="00762E39" w:rsidRDefault="00762E39" w:rsidP="009370EA">
      <w:pPr>
        <w:spacing w:line="360" w:lineRule="auto"/>
      </w:pPr>
      <w:r>
        <w:t xml:space="preserve">Horton, Harold. </w:t>
      </w:r>
      <w:r w:rsidRPr="00FA41C3">
        <w:rPr>
          <w:i/>
        </w:rPr>
        <w:t>The Baptism in the Holy Spirit</w:t>
      </w:r>
      <w:r>
        <w:t>. Nottingham: AoG, n.d.</w:t>
      </w:r>
    </w:p>
    <w:p w:rsidR="00762E39" w:rsidRDefault="00762E39" w:rsidP="009370EA">
      <w:pPr>
        <w:spacing w:line="360" w:lineRule="auto"/>
      </w:pPr>
      <w:r>
        <w:t xml:space="preserve">Horton, Harold. </w:t>
      </w:r>
      <w:r w:rsidRPr="00FA41C3">
        <w:rPr>
          <w:i/>
        </w:rPr>
        <w:t>The Gifts of the Spirit</w:t>
      </w:r>
      <w:r>
        <w:t>. Nottingham: AoG, 1934.</w:t>
      </w:r>
    </w:p>
    <w:p w:rsidR="00762E39" w:rsidRDefault="00762E39" w:rsidP="009370EA">
      <w:pPr>
        <w:spacing w:line="360" w:lineRule="auto"/>
      </w:pPr>
      <w:r>
        <w:t xml:space="preserve">Horton, Michael. </w:t>
      </w:r>
      <w:r w:rsidRPr="00FA41C3">
        <w:rPr>
          <w:i/>
        </w:rPr>
        <w:t>People and Place: A Covenant Ecclesiology</w:t>
      </w:r>
      <w:r>
        <w:t>. Louisville: Westminster John Knox, 2008.</w:t>
      </w:r>
    </w:p>
    <w:p w:rsidR="00762E39" w:rsidRDefault="00762E39" w:rsidP="009370EA">
      <w:pPr>
        <w:spacing w:line="360" w:lineRule="auto"/>
      </w:pPr>
      <w:r>
        <w:lastRenderedPageBreak/>
        <w:t xml:space="preserve">Horton, Stanley M. 'Spirit Baptism: A Pentecostal Perspective,' in </w:t>
      </w:r>
      <w:r w:rsidRPr="00C8332B">
        <w:rPr>
          <w:i/>
        </w:rPr>
        <w:t>Perspectives on Spirit Baptism</w:t>
      </w:r>
      <w:r>
        <w:t>, ed. Chad Brand. Nashville: Broadman and Holman, 2004.</w:t>
      </w:r>
    </w:p>
    <w:p w:rsidR="00762E39" w:rsidRDefault="00762E39" w:rsidP="009370EA">
      <w:pPr>
        <w:spacing w:line="360" w:lineRule="auto"/>
      </w:pPr>
      <w:r>
        <w:t xml:space="preserve">Horton, Stanley M. </w:t>
      </w:r>
      <w:r w:rsidRPr="00C8332B">
        <w:rPr>
          <w:i/>
        </w:rPr>
        <w:t>What the Bible Says About the Holy Spirit</w:t>
      </w:r>
      <w:r>
        <w:t>. Springfield: GPH, 1976.</w:t>
      </w:r>
    </w:p>
    <w:p w:rsidR="00762E39" w:rsidRDefault="00762E39" w:rsidP="009370EA">
      <w:pPr>
        <w:spacing w:line="360" w:lineRule="auto"/>
      </w:pPr>
      <w:r>
        <w:t xml:space="preserve">Horton, Stanley, ed. </w:t>
      </w:r>
      <w:r w:rsidRPr="00C8332B">
        <w:rPr>
          <w:i/>
        </w:rPr>
        <w:t>Systematic Theology</w:t>
      </w:r>
      <w:r>
        <w:t>. Rev. ed. Springfield: Logion, 1995.</w:t>
      </w:r>
    </w:p>
    <w:p w:rsidR="00762E39" w:rsidRDefault="00762E39" w:rsidP="009370EA">
      <w:pPr>
        <w:spacing w:line="360" w:lineRule="auto"/>
      </w:pPr>
      <w:r>
        <w:t>Hudson, David Neil. ‘A Schism and Its Aftermath: An Historical Analysis of Denominational Discerption in the Elim Pentecostal Church, 1939-1940.’ PhD diss., King’s College, London, 1999.</w:t>
      </w:r>
    </w:p>
    <w:p w:rsidR="00762E39" w:rsidRDefault="00762E39" w:rsidP="009370EA">
      <w:pPr>
        <w:spacing w:line="360" w:lineRule="auto"/>
      </w:pPr>
      <w:r>
        <w:t xml:space="preserve">Hudson, Neil. ‘The Development of British Pentecostalism,’ in </w:t>
      </w:r>
      <w:r w:rsidRPr="00C8332B">
        <w:rPr>
          <w:i/>
        </w:rPr>
        <w:t>European Pentecostalism</w:t>
      </w:r>
      <w:r>
        <w:t>, ed. William K. Kay and Anne Dyer, Global Pentecostal and Charismatic Studies, vol. 7 Leiden: Brill, 2011.</w:t>
      </w:r>
    </w:p>
    <w:p w:rsidR="00762E39" w:rsidRDefault="00762E39" w:rsidP="009370EA">
      <w:pPr>
        <w:spacing w:line="360" w:lineRule="auto"/>
      </w:pPr>
      <w:r>
        <w:t xml:space="preserve">Hunter, Harold D. </w:t>
      </w:r>
      <w:r w:rsidRPr="00C8332B">
        <w:rPr>
          <w:i/>
        </w:rPr>
        <w:t>Spirit Baptism: A Pentecostal Alternative</w:t>
      </w:r>
      <w:r>
        <w:t>. Eugene: Wipf and Stock, 2009.</w:t>
      </w:r>
    </w:p>
    <w:p w:rsidR="00762E39" w:rsidRDefault="00762E39" w:rsidP="009370EA">
      <w:pPr>
        <w:spacing w:line="360" w:lineRule="auto"/>
      </w:pPr>
      <w:r>
        <w:t>Irenaeus. Against the Heresies: Book 3.Dominic J. Unger, trans. Ancient Christian Writers. New York: Newman Press, 2012.</w:t>
      </w:r>
    </w:p>
    <w:p w:rsidR="00762E39" w:rsidRDefault="00762E39" w:rsidP="009370EA">
      <w:pPr>
        <w:spacing w:line="360" w:lineRule="auto"/>
      </w:pPr>
      <w:r>
        <w:t xml:space="preserve">Irenaeus. </w:t>
      </w:r>
      <w:r w:rsidRPr="00C8332B">
        <w:rPr>
          <w:i/>
        </w:rPr>
        <w:t>On the Apostolic Preaching</w:t>
      </w:r>
      <w:r>
        <w:t>. John Behr, trans. Crestwood: SVS, 1997.</w:t>
      </w:r>
    </w:p>
    <w:p w:rsidR="00762E39" w:rsidRDefault="00762E39" w:rsidP="009370EA">
      <w:pPr>
        <w:spacing w:line="360" w:lineRule="auto"/>
      </w:pPr>
      <w:r>
        <w:t>Jeffreys, George</w:t>
      </w:r>
      <w:r w:rsidRPr="00C8332B">
        <w:rPr>
          <w:i/>
        </w:rPr>
        <w:t>. Pentecostal Rays: The Baptism and Gifts of the Holy Spirit</w:t>
      </w:r>
      <w:r>
        <w:t>. Clapham: Elim, 1933.</w:t>
      </w:r>
    </w:p>
    <w:p w:rsidR="00762E39" w:rsidRDefault="00762E39" w:rsidP="009370EA">
      <w:pPr>
        <w:spacing w:line="360" w:lineRule="auto"/>
      </w:pPr>
      <w:r>
        <w:t>Jones, J. Cynddylan</w:t>
      </w:r>
      <w:r w:rsidRPr="00C8332B">
        <w:rPr>
          <w:i/>
        </w:rPr>
        <w:t>. Cysondeb y Ffydd: Duwinyddiaeth Athrawiaethol</w:t>
      </w:r>
      <w:r>
        <w:t>. 4 vols. Cardiff, 1905-1916.</w:t>
      </w:r>
    </w:p>
    <w:p w:rsidR="00762E39" w:rsidRDefault="00762E39" w:rsidP="009370EA">
      <w:pPr>
        <w:spacing w:line="360" w:lineRule="auto"/>
      </w:pPr>
      <w:r>
        <w:t xml:space="preserve">Jungkuntz, Theodore. 'Secularization Theory, Charismatic Renewal, and Luther's Theology of the Cross.' </w:t>
      </w:r>
      <w:r w:rsidRPr="00C8332B">
        <w:rPr>
          <w:i/>
        </w:rPr>
        <w:t>Concordia Theological Monthly</w:t>
      </w:r>
      <w:r>
        <w:t xml:space="preserve"> xlii.2 (Jan. 1971):5-24.</w:t>
      </w:r>
    </w:p>
    <w:p w:rsidR="00762E39" w:rsidRDefault="00762E39" w:rsidP="009370EA">
      <w:pPr>
        <w:spacing w:line="360" w:lineRule="auto"/>
      </w:pPr>
      <w:r>
        <w:t xml:space="preserve">Kärkkäinen, Veli-Matti. 'Grace and the Ecumenical Potential of Theosis,' in </w:t>
      </w:r>
      <w:r w:rsidRPr="00C8332B">
        <w:rPr>
          <w:i/>
        </w:rPr>
        <w:t>Toward a Pneumatological Theology: Pentecostal and Ecumenical Perspectives on Ecclesiology, Soteriology, and Theology of Mission</w:t>
      </w:r>
      <w:r>
        <w:t>. Lanham: University Press of America, 2002.</w:t>
      </w:r>
    </w:p>
    <w:p w:rsidR="00762E39" w:rsidRDefault="00762E39" w:rsidP="009370EA">
      <w:pPr>
        <w:spacing w:line="360" w:lineRule="auto"/>
      </w:pPr>
      <w:r>
        <w:t>Kärkkäinen, Veli-Matti</w:t>
      </w:r>
      <w:r w:rsidRPr="00C8332B">
        <w:rPr>
          <w:i/>
        </w:rPr>
        <w:t>. One with God: Salvation as Deification and Justification</w:t>
      </w:r>
      <w:r>
        <w:t>. Collegeville: Liturgical Press, 2004.</w:t>
      </w:r>
    </w:p>
    <w:p w:rsidR="00762E39" w:rsidRDefault="00762E39" w:rsidP="009370EA">
      <w:pPr>
        <w:spacing w:line="360" w:lineRule="auto"/>
      </w:pPr>
      <w:r>
        <w:t xml:space="preserve">Kärkkäinen, Veli-Matti. </w:t>
      </w:r>
      <w:r w:rsidRPr="00C8332B">
        <w:rPr>
          <w:i/>
        </w:rPr>
        <w:t>Toward a Pneumatological Theology: Pentecostal and Ecumenical Perspectives on Ecclesiology, Soteriology, and Theology of Mission</w:t>
      </w:r>
      <w:r>
        <w:t>. Lanham: University Press of America, 2002.</w:t>
      </w:r>
    </w:p>
    <w:p w:rsidR="00762E39" w:rsidRDefault="00762E39" w:rsidP="009370EA">
      <w:pPr>
        <w:spacing w:line="360" w:lineRule="auto"/>
      </w:pPr>
      <w:r>
        <w:t xml:space="preserve">Kärkkäinen, Veli-Matti. 'The Deification View,' in </w:t>
      </w:r>
      <w:r w:rsidRPr="00C8332B">
        <w:rPr>
          <w:i/>
        </w:rPr>
        <w:t>Justification: Five Views</w:t>
      </w:r>
      <w:r>
        <w:t>, ed. James. K. Beilby and Paul R. Eddy. London: SPCK, 2012.</w:t>
      </w:r>
    </w:p>
    <w:p w:rsidR="00762E39" w:rsidRDefault="00762E39" w:rsidP="009370EA">
      <w:pPr>
        <w:spacing w:line="360" w:lineRule="auto"/>
      </w:pPr>
      <w:r>
        <w:lastRenderedPageBreak/>
        <w:t xml:space="preserve">Kay, William K. ‘Assemblies of God: Distinctive Continuity and Distinctive Change,’ in </w:t>
      </w:r>
      <w:r w:rsidRPr="00C8332B">
        <w:rPr>
          <w:i/>
        </w:rPr>
        <w:t>Pentecostal Perspectives</w:t>
      </w:r>
      <w:r>
        <w:t>, ed. Keith Warrington. Carlisle: Paternoster, 1998.</w:t>
      </w:r>
    </w:p>
    <w:p w:rsidR="00762E39" w:rsidRDefault="00762E39" w:rsidP="009370EA">
      <w:pPr>
        <w:spacing w:line="360" w:lineRule="auto"/>
      </w:pPr>
      <w:r>
        <w:t xml:space="preserve">Kay, William K. </w:t>
      </w:r>
      <w:r w:rsidRPr="00C8332B">
        <w:rPr>
          <w:i/>
        </w:rPr>
        <w:t>Pentecostals in Britain</w:t>
      </w:r>
      <w:r>
        <w:t>. Carlisle: Paternoster, 2000.</w:t>
      </w:r>
    </w:p>
    <w:p w:rsidR="00762E39" w:rsidRDefault="00762E39" w:rsidP="009370EA">
      <w:pPr>
        <w:spacing w:line="360" w:lineRule="auto"/>
      </w:pPr>
      <w:r>
        <w:t xml:space="preserve">Keating, Daniel. </w:t>
      </w:r>
      <w:r w:rsidRPr="00C8332B">
        <w:rPr>
          <w:i/>
        </w:rPr>
        <w:t>The Appropriation of Divine Life in Cyril of Alexandria</w:t>
      </w:r>
      <w:r>
        <w:t>, Oxford Theological Monographs. Oxford: Oxford University Press, 2004.</w:t>
      </w:r>
    </w:p>
    <w:p w:rsidR="00762E39" w:rsidRDefault="00762E39" w:rsidP="009370EA">
      <w:pPr>
        <w:spacing w:line="360" w:lineRule="auto"/>
      </w:pPr>
      <w:r>
        <w:t xml:space="preserve">Kolb, Robert and Charles P. Arand. </w:t>
      </w:r>
      <w:r w:rsidRPr="00C8332B">
        <w:rPr>
          <w:i/>
        </w:rPr>
        <w:t>The Genius of Luther's Theology: A Wittenberg Way of Thinking for the Contemporary Church</w:t>
      </w:r>
      <w:r>
        <w:t>. Grand Rapids: Baker Academic, 2008.</w:t>
      </w:r>
    </w:p>
    <w:p w:rsidR="00762E39" w:rsidRDefault="00762E39" w:rsidP="009370EA">
      <w:pPr>
        <w:spacing w:line="360" w:lineRule="auto"/>
      </w:pPr>
      <w:r>
        <w:t xml:space="preserve">Köstenberger, Andreas, J. </w:t>
      </w:r>
      <w:r w:rsidRPr="00C8332B">
        <w:rPr>
          <w:i/>
        </w:rPr>
        <w:t>A Theology of John's Gospel and Letters</w:t>
      </w:r>
      <w:r>
        <w:t>. Grand Rapids: Zondervan, 2009.</w:t>
      </w:r>
    </w:p>
    <w:p w:rsidR="00762E39" w:rsidRDefault="00762E39" w:rsidP="009370EA">
      <w:pPr>
        <w:spacing w:line="360" w:lineRule="auto"/>
      </w:pPr>
      <w:r>
        <w:t xml:space="preserve">Ladd, George Eldon. </w:t>
      </w:r>
      <w:r w:rsidRPr="00C8332B">
        <w:rPr>
          <w:i/>
        </w:rPr>
        <w:t>The Presence of the Future</w:t>
      </w:r>
      <w:r>
        <w:t>. Grand Rapids: Eerdmans, 1974.</w:t>
      </w:r>
    </w:p>
    <w:p w:rsidR="00762E39" w:rsidRDefault="00762E39" w:rsidP="009370EA">
      <w:pPr>
        <w:spacing w:line="360" w:lineRule="auto"/>
      </w:pPr>
      <w:r>
        <w:t xml:space="preserve">Land, Steven J. </w:t>
      </w:r>
      <w:r w:rsidRPr="00C8332B">
        <w:rPr>
          <w:i/>
        </w:rPr>
        <w:t>Pentecostal Spirituality: A Passion for the Kingdom</w:t>
      </w:r>
      <w:r>
        <w:t>, Journal of Pentecostal Theology Supplement Series, vol. 1. Sheffield: Sheffield Academic Press, 1993.</w:t>
      </w:r>
    </w:p>
    <w:p w:rsidR="00762E39" w:rsidRDefault="00762E39" w:rsidP="009370EA">
      <w:pPr>
        <w:spacing w:line="360" w:lineRule="auto"/>
      </w:pPr>
      <w:r>
        <w:t xml:space="preserve">Lazareth, William Henry. </w:t>
      </w:r>
      <w:r w:rsidRPr="00C8332B">
        <w:rPr>
          <w:i/>
        </w:rPr>
        <w:t>Christians in Society: Luther, the Bible, and Social Ethics</w:t>
      </w:r>
      <w:r>
        <w:t>. Minneapolis: Fortress, 2001.</w:t>
      </w:r>
    </w:p>
    <w:p w:rsidR="00762E39" w:rsidRDefault="00762E39" w:rsidP="009370EA">
      <w:pPr>
        <w:spacing w:line="360" w:lineRule="auto"/>
      </w:pPr>
      <w:r>
        <w:t>Lederle, H.I</w:t>
      </w:r>
      <w:r w:rsidRPr="00C8332B">
        <w:rPr>
          <w:i/>
        </w:rPr>
        <w:t>. Treasures Old and New: Interpretations of Spirit-Baptism in the Charismatic Renewal Movement</w:t>
      </w:r>
      <w:r>
        <w:t>. Peabody: Hendrickson, 1988.</w:t>
      </w:r>
    </w:p>
    <w:p w:rsidR="00762E39" w:rsidRDefault="00762E39" w:rsidP="009370EA">
      <w:pPr>
        <w:spacing w:line="360" w:lineRule="auto"/>
      </w:pPr>
      <w:r>
        <w:t xml:space="preserve">Letham, Robert. </w:t>
      </w:r>
      <w:r w:rsidRPr="00C8332B">
        <w:rPr>
          <w:i/>
        </w:rPr>
        <w:t>Union with Christ: In Scripture, History and Theology</w:t>
      </w:r>
      <w:r>
        <w:t>. Phillipsburg: P&amp;R, 2011.</w:t>
      </w:r>
    </w:p>
    <w:p w:rsidR="00762E39" w:rsidRDefault="00762E39" w:rsidP="009370EA">
      <w:pPr>
        <w:spacing w:line="360" w:lineRule="auto"/>
      </w:pPr>
      <w:r>
        <w:t>Llewellyn, Henry Bryon. ‘A Study of the History and Thought of the Apostolic Church in Wales in the Context of Pentecostalism.’ MPhil diss., University of Wales, 1997.</w:t>
      </w:r>
    </w:p>
    <w:p w:rsidR="00762E39" w:rsidRDefault="00762E39" w:rsidP="009370EA">
      <w:pPr>
        <w:spacing w:line="360" w:lineRule="auto"/>
      </w:pPr>
      <w:r>
        <w:t xml:space="preserve">Lloyd-Jones, D.M. </w:t>
      </w:r>
      <w:r w:rsidRPr="00C8332B">
        <w:rPr>
          <w:i/>
        </w:rPr>
        <w:t>God's Ultimate Purpose: An Exposition of Ephesians One</w:t>
      </w:r>
      <w:r>
        <w:t>. Edinburgh: Banner of Truth, 1978.</w:t>
      </w:r>
    </w:p>
    <w:p w:rsidR="00762E39" w:rsidRDefault="00762E39" w:rsidP="009370EA">
      <w:pPr>
        <w:spacing w:line="360" w:lineRule="auto"/>
      </w:pPr>
      <w:r>
        <w:t xml:space="preserve">Luther, Martin. </w:t>
      </w:r>
      <w:r w:rsidRPr="00C8332B">
        <w:rPr>
          <w:i/>
        </w:rPr>
        <w:t>Traethodau'r Diwygiad</w:t>
      </w:r>
      <w:r>
        <w:t>. Wrexham: Hughs a'i Fab, 1926.</w:t>
      </w:r>
    </w:p>
    <w:p w:rsidR="00762E39" w:rsidRDefault="00762E39" w:rsidP="009370EA">
      <w:pPr>
        <w:spacing w:line="360" w:lineRule="auto"/>
      </w:pPr>
      <w:r>
        <w:t xml:space="preserve">Macchia, Frank D. </w:t>
      </w:r>
      <w:r w:rsidRPr="00C8332B">
        <w:rPr>
          <w:i/>
        </w:rPr>
        <w:t>Baptized in the Spirit: A Global Pentecostal Theology</w:t>
      </w:r>
      <w:r>
        <w:t>. Grand Rapids: Zondervan, 2006.</w:t>
      </w:r>
    </w:p>
    <w:p w:rsidR="00762E39" w:rsidRDefault="00762E39" w:rsidP="009370EA">
      <w:pPr>
        <w:spacing w:line="360" w:lineRule="auto"/>
      </w:pPr>
      <w:r>
        <w:t>Macchia, Frank D</w:t>
      </w:r>
      <w:r w:rsidRPr="00C8332B">
        <w:rPr>
          <w:i/>
        </w:rPr>
        <w:t>. Justified in the Spirit: Creation, Redemption, and the Triune God</w:t>
      </w:r>
      <w:r>
        <w:t>. Grand Rapids: Eerdmans, 2010.</w:t>
      </w:r>
    </w:p>
    <w:p w:rsidR="00762E39" w:rsidRDefault="00762E39" w:rsidP="009370EA">
      <w:pPr>
        <w:spacing w:line="360" w:lineRule="auto"/>
      </w:pPr>
      <w:r>
        <w:t xml:space="preserve">Mandryk, Jason. </w:t>
      </w:r>
      <w:r w:rsidRPr="00C8332B">
        <w:rPr>
          <w:i/>
        </w:rPr>
        <w:t>Operation World</w:t>
      </w:r>
      <w:r>
        <w:t>. 7th ed. Downers Grove: IVP, 2010.</w:t>
      </w:r>
    </w:p>
    <w:p w:rsidR="00762E39" w:rsidRDefault="00762E39" w:rsidP="009370EA">
      <w:pPr>
        <w:spacing w:line="360" w:lineRule="auto"/>
      </w:pPr>
      <w:r>
        <w:lastRenderedPageBreak/>
        <w:t>Massey, Richard D. ‘A Sound and Scriptural Union: An Examination of the Origins of the Assemblies of God of Great Britain and Ireland during the years 1920-125.’ PhD diss., University of Birmingham, 1987.</w:t>
      </w:r>
    </w:p>
    <w:p w:rsidR="00762E39" w:rsidRDefault="00762E39" w:rsidP="009370EA">
      <w:pPr>
        <w:spacing w:line="360" w:lineRule="auto"/>
      </w:pPr>
      <w:r w:rsidRPr="00527B45">
        <w:t xml:space="preserve">Mbakwe, Emmanuel. ‘Our Famous God’, Circular Letter to all </w:t>
      </w:r>
      <w:r w:rsidR="00F42C06">
        <w:t xml:space="preserve">Apostolic Church UK </w:t>
      </w:r>
      <w:r w:rsidRPr="00527B45">
        <w:t xml:space="preserve">Pastors, 7th January 2015. </w:t>
      </w:r>
    </w:p>
    <w:p w:rsidR="00762E39" w:rsidRDefault="00762E39" w:rsidP="009370EA">
      <w:pPr>
        <w:spacing w:line="360" w:lineRule="auto"/>
      </w:pPr>
      <w:r>
        <w:t xml:space="preserve">McDonnell, Kilian and George T. Montague. </w:t>
      </w:r>
      <w:r w:rsidRPr="00C8332B">
        <w:rPr>
          <w:i/>
        </w:rPr>
        <w:t>Christian Initiation and Baptism in the Holy Spirit: Evidence from the First Eight Centuries</w:t>
      </w:r>
      <w:r>
        <w:t>, 2nd rev. ed. Collegeville: Liturgial Press, 1994.</w:t>
      </w:r>
    </w:p>
    <w:p w:rsidR="00762E39" w:rsidRDefault="00762E39" w:rsidP="009370EA">
      <w:pPr>
        <w:spacing w:line="360" w:lineRule="auto"/>
      </w:pPr>
      <w:r>
        <w:t xml:space="preserve">McDonnell, Kilian. </w:t>
      </w:r>
      <w:r w:rsidRPr="00C8332B">
        <w:rPr>
          <w:i/>
        </w:rPr>
        <w:t>The Other Hand of God: The Holy Spirit as the Universal Touch and Goal</w:t>
      </w:r>
      <w:r>
        <w:t>. Collegeville: Liturgical Press, 2003.</w:t>
      </w:r>
    </w:p>
    <w:p w:rsidR="00762E39" w:rsidRDefault="00762E39" w:rsidP="009370EA">
      <w:pPr>
        <w:spacing w:line="360" w:lineRule="auto"/>
      </w:pPr>
      <w:r>
        <w:t xml:space="preserve">McNair Scott, Benjamin G. </w:t>
      </w:r>
      <w:r w:rsidRPr="00C8332B">
        <w:rPr>
          <w:i/>
        </w:rPr>
        <w:t>Apostles Today: Making Sense of Contemporary Charismatic Apostolates: A Historical and Theological Appraisal</w:t>
      </w:r>
      <w:r>
        <w:t>. Eugene: Pickwick, 2014.</w:t>
      </w:r>
    </w:p>
    <w:p w:rsidR="00762E39" w:rsidRDefault="00762E39" w:rsidP="009370EA">
      <w:pPr>
        <w:spacing w:line="360" w:lineRule="auto"/>
      </w:pPr>
      <w:r>
        <w:t xml:space="preserve">Menzies, Robert P. </w:t>
      </w:r>
      <w:r w:rsidRPr="00C8332B">
        <w:rPr>
          <w:i/>
        </w:rPr>
        <w:t>Empowered For Witness: The Spirit in Luke-Acts</w:t>
      </w:r>
      <w:r>
        <w:t>. London: T&amp;T Clark, 1994, 2004.</w:t>
      </w:r>
    </w:p>
    <w:p w:rsidR="00762E39" w:rsidRDefault="00762E39" w:rsidP="009370EA">
      <w:pPr>
        <w:spacing w:line="360" w:lineRule="auto"/>
      </w:pPr>
      <w:r>
        <w:t xml:space="preserve">Menzies, William W., and Robert P. Menzies. </w:t>
      </w:r>
      <w:r w:rsidRPr="00C8332B">
        <w:rPr>
          <w:i/>
        </w:rPr>
        <w:t>Spirit and Power: Foundations of Pentecostal Experience</w:t>
      </w:r>
      <w:r>
        <w:t>. Grand Rapids: Zondervan, 2000.</w:t>
      </w:r>
    </w:p>
    <w:p w:rsidR="00762E39" w:rsidRDefault="00762E39" w:rsidP="009370EA">
      <w:pPr>
        <w:spacing w:line="360" w:lineRule="auto"/>
      </w:pPr>
      <w:r>
        <w:t xml:space="preserve">Minear, Paul, S. </w:t>
      </w:r>
      <w:r w:rsidRPr="00C8332B">
        <w:rPr>
          <w:i/>
        </w:rPr>
        <w:t>Images of the Church in the New Testament</w:t>
      </w:r>
      <w:r>
        <w:t>. Louisville: Westminster John Knox, 1960, 2004.</w:t>
      </w:r>
    </w:p>
    <w:p w:rsidR="00762E39" w:rsidRDefault="00762E39" w:rsidP="009370EA">
      <w:pPr>
        <w:spacing w:line="360" w:lineRule="auto"/>
      </w:pPr>
      <w:r>
        <w:t xml:space="preserve">Mohr, Adam. </w:t>
      </w:r>
      <w:r w:rsidRPr="00C8332B">
        <w:rPr>
          <w:i/>
        </w:rPr>
        <w:t>Enchanted Calvinism: Labor Migration, Afflicting Spirits, and Christian Therapy in the Presbyterian Church of Ghana</w:t>
      </w:r>
      <w:r>
        <w:rPr>
          <w:i/>
        </w:rPr>
        <w:t>.</w:t>
      </w:r>
      <w:r>
        <w:t xml:space="preserve"> Woodbridge, Suffolk &amp; Rochester, NY: Boydell and Brewer &amp; University of Rochester Press, 2013.</w:t>
      </w:r>
    </w:p>
    <w:p w:rsidR="00762E39" w:rsidRDefault="00762E39" w:rsidP="009370EA">
      <w:pPr>
        <w:spacing w:line="360" w:lineRule="auto"/>
      </w:pPr>
      <w:r>
        <w:t xml:space="preserve">Molnar, Paul D. </w:t>
      </w:r>
      <w:r w:rsidRPr="00C8332B">
        <w:rPr>
          <w:i/>
        </w:rPr>
        <w:t>Thomas F. Torrance: Theologian of the Trinity</w:t>
      </w:r>
      <w:r>
        <w:t>. Farnham: Ashgate, 2009.</w:t>
      </w:r>
    </w:p>
    <w:p w:rsidR="00762E39" w:rsidRDefault="00762E39" w:rsidP="009370EA">
      <w:pPr>
        <w:spacing w:line="360" w:lineRule="auto"/>
      </w:pPr>
      <w:r>
        <w:t>Morgan, Angharad. ‘Agweddau ar gynnyrch llenyddol yr Eglwys Apostolaidd.’ BA diss., University of Cardiff, 2013.</w:t>
      </w:r>
    </w:p>
    <w:p w:rsidR="00762E39" w:rsidRDefault="00762E39" w:rsidP="009370EA">
      <w:pPr>
        <w:spacing w:line="360" w:lineRule="auto"/>
      </w:pPr>
      <w:r>
        <w:t>Murray, John</w:t>
      </w:r>
      <w:r w:rsidRPr="00C8332B">
        <w:rPr>
          <w:i/>
        </w:rPr>
        <w:t>. Lectures in Systematic Theology</w:t>
      </w:r>
      <w:r>
        <w:t>, Collected Writings of John Murray, vol. 2. Edinburgh: Banner of Truth, 1991.</w:t>
      </w:r>
    </w:p>
    <w:p w:rsidR="00762E39" w:rsidRDefault="00762E39" w:rsidP="009370EA">
      <w:pPr>
        <w:spacing w:line="360" w:lineRule="auto"/>
      </w:pPr>
      <w:r>
        <w:t xml:space="preserve">Musy, Meghan, 'Recitals of the Acts of God: Israelite and American Pentecostal Testimonies.' </w:t>
      </w:r>
      <w:r w:rsidRPr="00C8332B">
        <w:rPr>
          <w:i/>
        </w:rPr>
        <w:t>Encounter: Journal for Pentecostal Ministry</w:t>
      </w:r>
      <w:r>
        <w:t xml:space="preserve"> 7 (Summer 2010).</w:t>
      </w:r>
    </w:p>
    <w:p w:rsidR="00762E39" w:rsidRDefault="00762E39" w:rsidP="009370EA">
      <w:pPr>
        <w:spacing w:line="360" w:lineRule="auto"/>
      </w:pPr>
      <w:r>
        <w:lastRenderedPageBreak/>
        <w:t xml:space="preserve">Neumann, Peter D. </w:t>
      </w:r>
      <w:r w:rsidRPr="00C8332B">
        <w:rPr>
          <w:i/>
        </w:rPr>
        <w:t>Pentecostal Experience: An Ecumenical Encounter</w:t>
      </w:r>
      <w:r>
        <w:t>, Princeton Theological Monographs, vol. 187. Eugene: Pickwick, 2012.</w:t>
      </w:r>
    </w:p>
    <w:p w:rsidR="00762E39" w:rsidRDefault="00762E39" w:rsidP="009370EA">
      <w:pPr>
        <w:spacing w:line="360" w:lineRule="auto"/>
      </w:pPr>
      <w:r>
        <w:t xml:space="preserve">Newbigin, Lesslie. </w:t>
      </w:r>
      <w:r w:rsidRPr="00C8332B">
        <w:rPr>
          <w:i/>
        </w:rPr>
        <w:t>The Household of God: Lectures on the Nature of the Church</w:t>
      </w:r>
      <w:r>
        <w:t>. London: SCM, 1953.</w:t>
      </w:r>
    </w:p>
    <w:p w:rsidR="00762E39" w:rsidRDefault="00762E39" w:rsidP="009370EA">
      <w:pPr>
        <w:spacing w:line="360" w:lineRule="auto"/>
      </w:pPr>
      <w:r>
        <w:t>O’Donnell, Laurence R. ‘The Holy Spirit’s Role in John Owen’s “Covenant of the Mediator” Formulation: A Case Study in Reformed OrthodoxFormulations of the Pactum Salutis.</w:t>
      </w:r>
      <w:r w:rsidRPr="00C8332B">
        <w:rPr>
          <w:i/>
        </w:rPr>
        <w:t xml:space="preserve">’ Puritan Reformed Journal </w:t>
      </w:r>
      <w:r>
        <w:t>4.1 (2012): 91-115.</w:t>
      </w:r>
    </w:p>
    <w:p w:rsidR="00762E39" w:rsidRDefault="00762E39" w:rsidP="009370EA">
      <w:pPr>
        <w:spacing w:line="360" w:lineRule="auto"/>
      </w:pPr>
      <w:r>
        <w:t xml:space="preserve">O'Brien, Peter T. </w:t>
      </w:r>
      <w:r w:rsidRPr="00C8332B">
        <w:rPr>
          <w:i/>
        </w:rPr>
        <w:t>The Letter to the Hebrews</w:t>
      </w:r>
      <w:r>
        <w:t>, Pillar New Testament Commentary. Nottingham/Grand Rapids: Apollos/Eerdmans, 2010.</w:t>
      </w:r>
    </w:p>
    <w:p w:rsidR="00762E39" w:rsidRDefault="00762E39" w:rsidP="009370EA">
      <w:pPr>
        <w:spacing w:line="360" w:lineRule="auto"/>
      </w:pPr>
      <w:r>
        <w:t xml:space="preserve">Owen, John. </w:t>
      </w:r>
      <w:r w:rsidRPr="00C8332B">
        <w:rPr>
          <w:i/>
        </w:rPr>
        <w:t>The Death of Christ</w:t>
      </w:r>
      <w:r>
        <w:t>, Works of John Owen, vol. 10. Edinburgh: Banner of Truth, 1991.</w:t>
      </w:r>
    </w:p>
    <w:p w:rsidR="00762E39" w:rsidRDefault="00762E39" w:rsidP="009370EA">
      <w:pPr>
        <w:spacing w:line="360" w:lineRule="auto"/>
      </w:pPr>
      <w:r>
        <w:t xml:space="preserve">Palma, Anthony D. </w:t>
      </w:r>
      <w:r w:rsidRPr="00C8332B">
        <w:rPr>
          <w:i/>
        </w:rPr>
        <w:t>The Holy Spirit: A Pentecostal Perspective</w:t>
      </w:r>
      <w:r>
        <w:t>. Springfield: Logion, 2001.</w:t>
      </w:r>
    </w:p>
    <w:p w:rsidR="00762E39" w:rsidRDefault="00762E39" w:rsidP="009370EA">
      <w:pPr>
        <w:spacing w:line="360" w:lineRule="auto"/>
      </w:pPr>
      <w:r>
        <w:t xml:space="preserve">Parr, J. Nelson. </w:t>
      </w:r>
      <w:r w:rsidRPr="00C8332B">
        <w:rPr>
          <w:i/>
        </w:rPr>
        <w:t>The ‘Apostolic Church’ Error</w:t>
      </w:r>
      <w:r>
        <w:t>. Lewisham: AoG, n.d.</w:t>
      </w:r>
    </w:p>
    <w:p w:rsidR="00762E39" w:rsidRDefault="00762E39" w:rsidP="009370EA">
      <w:pPr>
        <w:spacing w:line="360" w:lineRule="auto"/>
      </w:pPr>
      <w:r>
        <w:t xml:space="preserve">Pawson, David. </w:t>
      </w:r>
      <w:r w:rsidRPr="00C8332B">
        <w:rPr>
          <w:i/>
        </w:rPr>
        <w:t>Jesus Baptises in One Holy Spirit</w:t>
      </w:r>
      <w:r>
        <w:t>. London: Hodder and Stoughton, 1997.</w:t>
      </w:r>
    </w:p>
    <w:p w:rsidR="00762E39" w:rsidRDefault="00762E39" w:rsidP="009370EA">
      <w:pPr>
        <w:spacing w:line="360" w:lineRule="auto"/>
      </w:pPr>
      <w:r>
        <w:t xml:space="preserve">Pearlman, Myer. </w:t>
      </w:r>
      <w:r w:rsidRPr="00C8332B">
        <w:rPr>
          <w:i/>
        </w:rPr>
        <w:t>Knowing the Doctrines of the Bible</w:t>
      </w:r>
      <w:r>
        <w:t>. Springfield: Gospel Publishing House, 1937, rev. ed. 1981.</w:t>
      </w:r>
    </w:p>
    <w:p w:rsidR="00762E39" w:rsidRDefault="00762E39" w:rsidP="009370EA">
      <w:pPr>
        <w:spacing w:line="360" w:lineRule="auto"/>
      </w:pPr>
      <w:r>
        <w:t>Petts, David. ‘The Baptism in the Holy Spirit and Christian Initiation.’ MTh diss. University of Nottingham, 1989.</w:t>
      </w:r>
    </w:p>
    <w:p w:rsidR="00762E39" w:rsidRDefault="00762E39" w:rsidP="009370EA">
      <w:pPr>
        <w:spacing w:line="360" w:lineRule="auto"/>
      </w:pPr>
      <w:r>
        <w:t xml:space="preserve">Petts, David. 'The Baptism in the Holy Spirit: The Theological Distinctive,' in </w:t>
      </w:r>
      <w:r w:rsidRPr="00C8332B">
        <w:rPr>
          <w:i/>
        </w:rPr>
        <w:t>Pentecostal Perspectives</w:t>
      </w:r>
      <w:r>
        <w:t>, ed. Keith Warrington, 98-119. Carlisle: Paternoster, 1998.</w:t>
      </w:r>
    </w:p>
    <w:p w:rsidR="00762E39" w:rsidRDefault="00762E39" w:rsidP="009370EA">
      <w:pPr>
        <w:spacing w:line="360" w:lineRule="auto"/>
      </w:pPr>
      <w:r>
        <w:t xml:space="preserve">Petts, David. </w:t>
      </w:r>
      <w:r w:rsidRPr="00C8332B">
        <w:rPr>
          <w:i/>
        </w:rPr>
        <w:t>The Holy Spirit: An Introduction</w:t>
      </w:r>
      <w:r>
        <w:t>. Mattersey: Mattersey Hall, 1998.</w:t>
      </w:r>
    </w:p>
    <w:p w:rsidR="00762E39" w:rsidRDefault="00762E39" w:rsidP="009370EA">
      <w:pPr>
        <w:spacing w:line="360" w:lineRule="auto"/>
      </w:pPr>
      <w:r>
        <w:t xml:space="preserve">Popov, Ivan. V. 'The Idea of Deification in the Early Church,' in </w:t>
      </w:r>
      <w:r w:rsidRPr="00C8332B">
        <w:rPr>
          <w:i/>
        </w:rPr>
        <w:t>Theosis: Deification in Christian Theology</w:t>
      </w:r>
      <w:r>
        <w:t>, ed. Vladimir Kharlamov, vol. 2, Princeton Theological Monograph Series, vol. 156. Eugene: Pickwick, 2011.</w:t>
      </w:r>
    </w:p>
    <w:p w:rsidR="00762E39" w:rsidRDefault="00762E39" w:rsidP="009370EA">
      <w:pPr>
        <w:spacing w:line="360" w:lineRule="auto"/>
      </w:pPr>
      <w:r>
        <w:t xml:space="preserve">Preus, Robert. </w:t>
      </w:r>
      <w:r w:rsidRPr="00C8332B">
        <w:rPr>
          <w:i/>
        </w:rPr>
        <w:t>The Inspiration of Scripture: A Study of the Theology of the 17th Century Lutheran Dogmaticians</w:t>
      </w:r>
      <w:r>
        <w:t>. St Louis: Concordia, 1955, 1957.</w:t>
      </w:r>
    </w:p>
    <w:p w:rsidR="00762E39" w:rsidRDefault="00762E39" w:rsidP="009370EA">
      <w:pPr>
        <w:spacing w:line="360" w:lineRule="auto"/>
      </w:pPr>
      <w:r>
        <w:t xml:space="preserve">Randall, Ian M. </w:t>
      </w:r>
      <w:r w:rsidRPr="00C8332B">
        <w:rPr>
          <w:i/>
        </w:rPr>
        <w:t>Evangelical Experiences: A Study in the Spirituality of English Evangelicalism 1918-1939</w:t>
      </w:r>
      <w:r>
        <w:t>, Studies in Evangelical History and Thought. Milton Keynes: Paternoster, 1999.</w:t>
      </w:r>
    </w:p>
    <w:p w:rsidR="00762E39" w:rsidRDefault="00762E39" w:rsidP="009370EA">
      <w:pPr>
        <w:spacing w:line="360" w:lineRule="auto"/>
      </w:pPr>
      <w:r>
        <w:lastRenderedPageBreak/>
        <w:t xml:space="preserve">Riggs, Ralph M. </w:t>
      </w:r>
      <w:r w:rsidRPr="00C8332B">
        <w:rPr>
          <w:i/>
        </w:rPr>
        <w:t>The Spirit Himself</w:t>
      </w:r>
      <w:r>
        <w:t>. Springfield: Gospel Publishing House, 1937; rev. ed., 1981.</w:t>
      </w:r>
    </w:p>
    <w:p w:rsidR="00762E39" w:rsidRDefault="00762E39" w:rsidP="009370EA">
      <w:pPr>
        <w:spacing w:line="360" w:lineRule="auto"/>
      </w:pPr>
      <w:r>
        <w:t xml:space="preserve">Robinson, James. </w:t>
      </w:r>
      <w:r w:rsidRPr="00C8332B">
        <w:rPr>
          <w:i/>
        </w:rPr>
        <w:t>Pentecostal Origins: Early Pentecostalism in Ireland in the Context of the British Isles</w:t>
      </w:r>
      <w:r>
        <w:t>. Studies in Evangelical History and Thought. Milton Keynes: Paternoster, 2005.</w:t>
      </w:r>
    </w:p>
    <w:p w:rsidR="00762E39" w:rsidRDefault="00762E39" w:rsidP="009370EA">
      <w:pPr>
        <w:spacing w:line="360" w:lineRule="auto"/>
      </w:pPr>
      <w:r w:rsidRPr="00527B45">
        <w:t xml:space="preserve">Ross, Ian. </w:t>
      </w:r>
      <w:r w:rsidRPr="00527B45">
        <w:rPr>
          <w:i/>
        </w:rPr>
        <w:t>Going on to Know about the Church and its Purpose</w:t>
      </w:r>
      <w:r w:rsidRPr="00527B45">
        <w:t>. Swansea: Christian Lifestyle Publications, 1993.</w:t>
      </w:r>
    </w:p>
    <w:p w:rsidR="00762E39" w:rsidRDefault="00762E39" w:rsidP="009370EA">
      <w:pPr>
        <w:spacing w:line="360" w:lineRule="auto"/>
      </w:pPr>
      <w:r>
        <w:t xml:space="preserve">Russell, Norman. </w:t>
      </w:r>
      <w:r w:rsidRPr="00C8332B">
        <w:rPr>
          <w:i/>
        </w:rPr>
        <w:t>The Doctrine of Deification in the Greek Patristic Tradition</w:t>
      </w:r>
      <w:r>
        <w:t>. Oxford: Oxford University Press, 2004.</w:t>
      </w:r>
    </w:p>
    <w:p w:rsidR="00762E39" w:rsidRDefault="00762E39" w:rsidP="009370EA">
      <w:pPr>
        <w:spacing w:line="360" w:lineRule="auto"/>
      </w:pPr>
      <w:r>
        <w:t xml:space="preserve">Ryrie, Charles. </w:t>
      </w:r>
      <w:r w:rsidRPr="00C8332B">
        <w:rPr>
          <w:i/>
        </w:rPr>
        <w:t>Dispensationalism</w:t>
      </w:r>
      <w:r>
        <w:t>. Chicago: Moody, 1995.</w:t>
      </w:r>
    </w:p>
    <w:p w:rsidR="00762E39" w:rsidRDefault="00762E39" w:rsidP="009370EA">
      <w:pPr>
        <w:spacing w:line="360" w:lineRule="auto"/>
      </w:pPr>
      <w:r>
        <w:t>Sasse, Hermann</w:t>
      </w:r>
      <w:r w:rsidRPr="00C8332B">
        <w:rPr>
          <w:i/>
        </w:rPr>
        <w:t>. This is My Body: Luther's Contention for the Real Presence in the Sacrament of the Altar</w:t>
      </w:r>
      <w:r>
        <w:t>. Minneapolis: Augsburg, 1959.</w:t>
      </w:r>
    </w:p>
    <w:p w:rsidR="00762E39" w:rsidRDefault="00762E39" w:rsidP="009370EA">
      <w:pPr>
        <w:spacing w:line="360" w:lineRule="auto"/>
      </w:pPr>
      <w:r>
        <w:t xml:space="preserve">Smail, Thomas A. </w:t>
      </w:r>
      <w:r w:rsidRPr="00C8332B">
        <w:rPr>
          <w:i/>
        </w:rPr>
        <w:t>Reflected Glory: The Spirit in Christ and Christians</w:t>
      </w:r>
      <w:r>
        <w:t>. London: Hodder and Stoughton, 1975.</w:t>
      </w:r>
    </w:p>
    <w:p w:rsidR="00762E39" w:rsidRDefault="00762E39" w:rsidP="009370EA">
      <w:pPr>
        <w:spacing w:line="360" w:lineRule="auto"/>
      </w:pPr>
      <w:r>
        <w:t xml:space="preserve">Smail, Thomas A. </w:t>
      </w:r>
      <w:r w:rsidRPr="00C8332B">
        <w:rPr>
          <w:i/>
        </w:rPr>
        <w:t>The Forgotten Father</w:t>
      </w:r>
      <w:r>
        <w:t>. London: Hodder and Stoughton, 1980; reprint ed., Eugene: Wipf and Stock, 2001.</w:t>
      </w:r>
    </w:p>
    <w:p w:rsidR="00762E39" w:rsidRDefault="00762E39" w:rsidP="009370EA">
      <w:pPr>
        <w:spacing w:line="360" w:lineRule="auto"/>
      </w:pPr>
      <w:r>
        <w:t xml:space="preserve">Stanley, Brian. </w:t>
      </w:r>
      <w:r w:rsidRPr="00C8332B">
        <w:rPr>
          <w:i/>
        </w:rPr>
        <w:t>The Global Diffusion of Evangelicalism: The Age of Billy Graham and John Stott</w:t>
      </w:r>
      <w:r>
        <w:t>. History of Evangelicalism, vol. 5. Downers Grove: IVP, 2013.</w:t>
      </w:r>
    </w:p>
    <w:p w:rsidR="00762E39" w:rsidRDefault="00762E39" w:rsidP="009370EA">
      <w:pPr>
        <w:spacing w:line="360" w:lineRule="auto"/>
      </w:pPr>
      <w:r>
        <w:t xml:space="preserve">Stephenson, John R. </w:t>
      </w:r>
      <w:r w:rsidRPr="00C8332B">
        <w:rPr>
          <w:i/>
        </w:rPr>
        <w:t>The Lord’s Supper</w:t>
      </w:r>
      <w:r>
        <w:t>, Confessional Lutheran Dogmatics, vol. xii. Northville, SD: Luther Academy, 2003.</w:t>
      </w:r>
    </w:p>
    <w:p w:rsidR="00762E39" w:rsidRDefault="00762E39" w:rsidP="009370EA">
      <w:pPr>
        <w:spacing w:line="360" w:lineRule="auto"/>
      </w:pPr>
      <w:r>
        <w:t xml:space="preserve">Stevenson, Christopher A. </w:t>
      </w:r>
      <w:r w:rsidRPr="00C8332B">
        <w:rPr>
          <w:i/>
        </w:rPr>
        <w:t>Types of Pentecostal Theology: Method, System, Spirit</w:t>
      </w:r>
      <w:r>
        <w:t>. New York: Oxford University Press, 2013.</w:t>
      </w:r>
    </w:p>
    <w:p w:rsidR="00762E39" w:rsidRDefault="00762E39" w:rsidP="009370EA">
      <w:pPr>
        <w:spacing w:line="360" w:lineRule="auto"/>
      </w:pPr>
      <w:r>
        <w:t xml:space="preserve">Stronstad, Roger. </w:t>
      </w:r>
      <w:r w:rsidRPr="00C8332B">
        <w:rPr>
          <w:i/>
        </w:rPr>
        <w:t>The Charismatic Theology of St Luke</w:t>
      </w:r>
      <w:r>
        <w:t>. Peabody: Hendrickson, 1984.</w:t>
      </w:r>
    </w:p>
    <w:p w:rsidR="00762E39" w:rsidRDefault="00762E39" w:rsidP="009370EA">
      <w:pPr>
        <w:spacing w:line="360" w:lineRule="auto"/>
      </w:pPr>
      <w:r>
        <w:t xml:space="preserve">Stronstad, Roger. </w:t>
      </w:r>
      <w:r w:rsidRPr="00C8332B">
        <w:rPr>
          <w:i/>
        </w:rPr>
        <w:t>The Prophethood of All Believers: A Study in Luke's Charismatic Theology</w:t>
      </w:r>
      <w:r>
        <w:t>. Journal of Pentecostal Theology Supplement Series 16. Sheffield: Sheffield Academic Press, 1999.</w:t>
      </w:r>
    </w:p>
    <w:p w:rsidR="00A11387" w:rsidRDefault="00A11387" w:rsidP="009370EA">
      <w:pPr>
        <w:spacing w:line="360" w:lineRule="auto"/>
      </w:pPr>
      <w:r>
        <w:t>Thomas, Brynmor. ‘</w:t>
      </w:r>
      <w:r w:rsidRPr="00A62043">
        <w:rPr>
          <w:bCs/>
        </w:rPr>
        <w:t>The influence of the Latter Rain Movement of the early 1950’s on the history and development of the Apostolic Church</w:t>
      </w:r>
      <w:r>
        <w:rPr>
          <w:bCs/>
        </w:rPr>
        <w:t>.’ MTh diss., University of Wales, Bangor, 2004.</w:t>
      </w:r>
    </w:p>
    <w:p w:rsidR="00762E39" w:rsidRDefault="00762E39" w:rsidP="009370EA">
      <w:pPr>
        <w:spacing w:line="360" w:lineRule="auto"/>
      </w:pPr>
      <w:r>
        <w:t xml:space="preserve">Torrance, T.F. </w:t>
      </w:r>
      <w:r w:rsidRPr="00C8332B">
        <w:rPr>
          <w:i/>
        </w:rPr>
        <w:t>Atonement: The Person and Work of Christ</w:t>
      </w:r>
      <w:r>
        <w:t>. Milton Keynes: Paternoster, 2009.</w:t>
      </w:r>
    </w:p>
    <w:p w:rsidR="00762E39" w:rsidRDefault="00762E39" w:rsidP="009370EA">
      <w:pPr>
        <w:spacing w:line="360" w:lineRule="auto"/>
      </w:pPr>
      <w:r>
        <w:t xml:space="preserve">Tugwell, Simon. </w:t>
      </w:r>
      <w:r w:rsidRPr="00C8332B">
        <w:rPr>
          <w:i/>
        </w:rPr>
        <w:t>Did You Receive the Spirit</w:t>
      </w:r>
      <w:r>
        <w:t>? London: Dartman, Longman &amp; Todd, 1972.</w:t>
      </w:r>
    </w:p>
    <w:p w:rsidR="00762E39" w:rsidRPr="00527B45" w:rsidRDefault="00762E39" w:rsidP="009370EA">
      <w:pPr>
        <w:spacing w:line="360" w:lineRule="auto"/>
      </w:pPr>
      <w:r w:rsidRPr="00527B45">
        <w:lastRenderedPageBreak/>
        <w:t xml:space="preserve">Turnbull, T.N., </w:t>
      </w:r>
      <w:r w:rsidRPr="00527B45">
        <w:rPr>
          <w:i/>
        </w:rPr>
        <w:t>Brothers in Arms</w:t>
      </w:r>
      <w:r w:rsidRPr="00527B45">
        <w:t>. Bradford: Puritan Press, 1963.</w:t>
      </w:r>
    </w:p>
    <w:p w:rsidR="00762E39" w:rsidRDefault="00762E39" w:rsidP="009370EA">
      <w:pPr>
        <w:spacing w:line="360" w:lineRule="auto"/>
      </w:pPr>
      <w:r w:rsidRPr="00527B45">
        <w:t xml:space="preserve">Turnbull, T.N., </w:t>
      </w:r>
      <w:r w:rsidRPr="00527B45">
        <w:rPr>
          <w:i/>
        </w:rPr>
        <w:t>What God Hath Wrought: A Short History of the Apostolic Church</w:t>
      </w:r>
      <w:r w:rsidRPr="00527B45">
        <w:t>. Bradford: Puritan Press, 1959.</w:t>
      </w:r>
    </w:p>
    <w:p w:rsidR="00762E39" w:rsidRDefault="00762E39" w:rsidP="009370EA">
      <w:pPr>
        <w:spacing w:line="360" w:lineRule="auto"/>
      </w:pPr>
      <w:r>
        <w:t xml:space="preserve">Turner, Max. </w:t>
      </w:r>
      <w:r w:rsidRPr="00C8332B">
        <w:rPr>
          <w:i/>
        </w:rPr>
        <w:t>Power From On High: The Spirit in Israel's Restoration and Witness in Luke-Acts</w:t>
      </w:r>
      <w:r>
        <w:t>. Sheffield: Sheffield Academic Press, 1996.</w:t>
      </w:r>
    </w:p>
    <w:p w:rsidR="00762E39" w:rsidRDefault="00762E39" w:rsidP="009370EA">
      <w:pPr>
        <w:spacing w:line="360" w:lineRule="auto"/>
      </w:pPr>
      <w:r>
        <w:t xml:space="preserve">Turner, Max. </w:t>
      </w:r>
      <w:r w:rsidRPr="00C8332B">
        <w:rPr>
          <w:i/>
        </w:rPr>
        <w:t>The Holy Spirit and Spiritual Gifts Then and Now</w:t>
      </w:r>
      <w:r>
        <w:t>. Carlisle: Paternoster, 1996.</w:t>
      </w:r>
    </w:p>
    <w:p w:rsidR="00762E39" w:rsidRDefault="00762E39" w:rsidP="009370EA">
      <w:pPr>
        <w:spacing w:line="360" w:lineRule="auto"/>
      </w:pPr>
      <w:r>
        <w:t xml:space="preserve">Turretin, Francis. </w:t>
      </w:r>
      <w:r w:rsidRPr="00C8332B">
        <w:rPr>
          <w:i/>
        </w:rPr>
        <w:t>Institutes of Elenctic Theology</w:t>
      </w:r>
      <w:r>
        <w:t>, trans. George Musgrave Giger, ed. James T. Dennison, Jr. Phillipsburg: P&amp;R, 1992.</w:t>
      </w:r>
    </w:p>
    <w:p w:rsidR="00762E39" w:rsidRDefault="00762E39" w:rsidP="009370EA">
      <w:pPr>
        <w:spacing w:line="360" w:lineRule="auto"/>
      </w:pPr>
      <w:r>
        <w:t xml:space="preserve">Ursinus, Zacharias. </w:t>
      </w:r>
      <w:r w:rsidRPr="00C8332B">
        <w:rPr>
          <w:i/>
        </w:rPr>
        <w:t>The Commentary of Zacharius Ursinus on the Heidelberg Catechism</w:t>
      </w:r>
      <w:r>
        <w:t>, trans. G.W. Williard. Phillipsburg: P&amp;R, 1992.</w:t>
      </w:r>
    </w:p>
    <w:p w:rsidR="00762E39" w:rsidRDefault="00762E39" w:rsidP="009370EA">
      <w:pPr>
        <w:spacing w:line="360" w:lineRule="auto"/>
      </w:pPr>
      <w:r>
        <w:t xml:space="preserve">Vermigli, Peter Martyr. </w:t>
      </w:r>
      <w:r w:rsidRPr="00C8332B">
        <w:rPr>
          <w:i/>
        </w:rPr>
        <w:t>Dialogue on the Two Natures in Christ</w:t>
      </w:r>
      <w:r>
        <w:t>, trans. John Patrick Donnelly. The Peter Martyr Library, vol.2. Sixteenth Century Essays and Studies, vol. 31. Kirksville: Sixteenth Century Journal Publishers, 1995.</w:t>
      </w:r>
    </w:p>
    <w:p w:rsidR="00762E39" w:rsidRDefault="00762E39" w:rsidP="009370EA">
      <w:pPr>
        <w:spacing w:line="360" w:lineRule="auto"/>
      </w:pPr>
      <w:r>
        <w:t xml:space="preserve">Vermigli, Peter Martyr. </w:t>
      </w:r>
      <w:r w:rsidRPr="00C8332B">
        <w:rPr>
          <w:i/>
        </w:rPr>
        <w:t>The Oxford Treatise and Disputation on the Eucharist, 1549</w:t>
      </w:r>
      <w:r>
        <w:t>. Kirksville: Truman State University Press, 2000.</w:t>
      </w:r>
    </w:p>
    <w:p w:rsidR="00762E39" w:rsidRDefault="00762E39" w:rsidP="009370EA">
      <w:pPr>
        <w:spacing w:line="360" w:lineRule="auto"/>
      </w:pPr>
      <w:r>
        <w:t xml:space="preserve">Walker, Andrew. </w:t>
      </w:r>
      <w:r w:rsidRPr="00C8332B">
        <w:rPr>
          <w:i/>
        </w:rPr>
        <w:t>Restoring the Kingdom: The Radical Christianity of the House Church Movement</w:t>
      </w:r>
      <w:r>
        <w:t>. rev. ed. Guildford: Eagle, 1998.</w:t>
      </w:r>
    </w:p>
    <w:p w:rsidR="00762E39" w:rsidRDefault="00762E39" w:rsidP="009370EA">
      <w:pPr>
        <w:spacing w:line="360" w:lineRule="auto"/>
      </w:pPr>
      <w:r>
        <w:t xml:space="preserve">Walsh, Timothy B. </w:t>
      </w:r>
      <w:r w:rsidRPr="00C8332B">
        <w:rPr>
          <w:i/>
        </w:rPr>
        <w:t>To Meet and Satisfy a Very Hungry People: The Origins and Fortunes of English Pentecostalism, 1907-1925</w:t>
      </w:r>
      <w:r>
        <w:t>. Studies in Evangelical History and Thought. Milton Keynes: Paternoster, 2012.</w:t>
      </w:r>
    </w:p>
    <w:p w:rsidR="00762E39" w:rsidRDefault="00762E39" w:rsidP="009370EA">
      <w:pPr>
        <w:spacing w:line="360" w:lineRule="auto"/>
      </w:pPr>
      <w:r>
        <w:t xml:space="preserve">Warrington, Keith. </w:t>
      </w:r>
      <w:r w:rsidRPr="00C8332B">
        <w:rPr>
          <w:i/>
        </w:rPr>
        <w:t>Pentecostal Theology: A Theology of Encounter</w:t>
      </w:r>
      <w:r>
        <w:t>. London: T&amp;T Clark, 2008.</w:t>
      </w:r>
    </w:p>
    <w:p w:rsidR="00762E39" w:rsidRDefault="00762E39" w:rsidP="009370EA">
      <w:pPr>
        <w:spacing w:line="360" w:lineRule="auto"/>
      </w:pPr>
      <w:r>
        <w:t xml:space="preserve">Warrington, Keith. 'The Synoptic Gospels,' in </w:t>
      </w:r>
      <w:r w:rsidRPr="00C8332B">
        <w:rPr>
          <w:i/>
        </w:rPr>
        <w:t>A Biblical Theology of the Holy Spirit</w:t>
      </w:r>
      <w:r>
        <w:t xml:space="preserve">, ed. Trevor J. Burke and Keith Warrington. London: SPCK, 2014. </w:t>
      </w:r>
    </w:p>
    <w:p w:rsidR="00762E39" w:rsidRDefault="00762E39" w:rsidP="009370EA">
      <w:pPr>
        <w:spacing w:line="360" w:lineRule="auto"/>
      </w:pPr>
      <w:r>
        <w:t xml:space="preserve">Weeks, Gordon. </w:t>
      </w:r>
      <w:r w:rsidRPr="00C8332B">
        <w:rPr>
          <w:i/>
        </w:rPr>
        <w:t>Chapter Thirty-Two: A History of the Apostolic Church 1900-2000</w:t>
      </w:r>
      <w:r>
        <w:t>. Barnsley: 2003.</w:t>
      </w:r>
    </w:p>
    <w:p w:rsidR="00762E39" w:rsidRDefault="00762E39" w:rsidP="009370EA">
      <w:pPr>
        <w:spacing w:line="360" w:lineRule="auto"/>
      </w:pPr>
      <w:r>
        <w:t xml:space="preserve">Wenk, Matthias. 'Acts,' in </w:t>
      </w:r>
      <w:r w:rsidRPr="00C8332B">
        <w:rPr>
          <w:i/>
        </w:rPr>
        <w:t>A Biblical Theology of the Holy Spirit</w:t>
      </w:r>
      <w:r>
        <w:t xml:space="preserve">, ed. Trevor J. Burke and Keith Warrington. London: SPCK, 2014. </w:t>
      </w:r>
    </w:p>
    <w:p w:rsidR="00762E39" w:rsidRDefault="00762E39" w:rsidP="009370EA">
      <w:pPr>
        <w:spacing w:line="360" w:lineRule="auto"/>
      </w:pPr>
      <w:r>
        <w:t xml:space="preserve">Whittaker, Colin. </w:t>
      </w:r>
      <w:r w:rsidRPr="00C8332B">
        <w:rPr>
          <w:i/>
        </w:rPr>
        <w:t>Seven Pentecostal Pioneers</w:t>
      </w:r>
      <w:r>
        <w:t>. Basingstoke: Marshall Pickering, 1983.</w:t>
      </w:r>
    </w:p>
    <w:p w:rsidR="00762E39" w:rsidRDefault="00762E39" w:rsidP="009370EA">
      <w:pPr>
        <w:spacing w:line="360" w:lineRule="auto"/>
      </w:pPr>
      <w:r>
        <w:lastRenderedPageBreak/>
        <w:t xml:space="preserve">Williams, E.S. </w:t>
      </w:r>
      <w:r w:rsidRPr="00C8332B">
        <w:rPr>
          <w:i/>
        </w:rPr>
        <w:t>Systematic Theology</w:t>
      </w:r>
      <w:r>
        <w:t>. 3 vols. Springfield: GPH, 1953.</w:t>
      </w:r>
    </w:p>
    <w:p w:rsidR="00762E39" w:rsidRDefault="00762E39" w:rsidP="009370EA">
      <w:pPr>
        <w:spacing w:line="360" w:lineRule="auto"/>
      </w:pPr>
      <w:r>
        <w:t xml:space="preserve">Wilson, L.F. 'Riggs, Ralph Meredith,' in </w:t>
      </w:r>
      <w:r w:rsidRPr="00C8332B">
        <w:rPr>
          <w:i/>
        </w:rPr>
        <w:t>NIDPCM</w:t>
      </w:r>
      <w:r>
        <w:t>, ed. Stanley M. Burgess and Eduard M. Van Der Maas, 1022-1023. Grand Rapids: Zondervan, 2002.</w:t>
      </w:r>
    </w:p>
    <w:p w:rsidR="00762E39" w:rsidRDefault="00762E39" w:rsidP="009370EA">
      <w:pPr>
        <w:spacing w:line="360" w:lineRule="auto"/>
      </w:pPr>
      <w:r>
        <w:t xml:space="preserve">Worsfold, James E. </w:t>
      </w:r>
      <w:r w:rsidRPr="00C8332B">
        <w:rPr>
          <w:i/>
        </w:rPr>
        <w:t>A History of the Charismatic Movements in New Zealand including a Pentecostal Perspective and a Breviate of the Catholic Apostolic Church in Great Britain</w:t>
      </w:r>
      <w:r>
        <w:t>. Wellington: Julian Literature Trust, 1974.</w:t>
      </w:r>
    </w:p>
    <w:p w:rsidR="00762E39" w:rsidRDefault="00762E39" w:rsidP="009370EA">
      <w:pPr>
        <w:spacing w:line="360" w:lineRule="auto"/>
      </w:pPr>
      <w:r>
        <w:t xml:space="preserve">Worsfold, James E. </w:t>
      </w:r>
      <w:r w:rsidRPr="00C8332B">
        <w:rPr>
          <w:i/>
        </w:rPr>
        <w:t>The Catholic and Apostolic Ministry of the Apostle and Prophet: The Paul and Silas Ministry</w:t>
      </w:r>
      <w:r>
        <w:t>. Paraparaumu, New Zealand: Kataritzo, 1981.</w:t>
      </w:r>
    </w:p>
    <w:p w:rsidR="00762E39" w:rsidRDefault="00762E39" w:rsidP="009370EA">
      <w:pPr>
        <w:spacing w:line="360" w:lineRule="auto"/>
      </w:pPr>
      <w:r>
        <w:t xml:space="preserve">Worsfold, James E. </w:t>
      </w:r>
      <w:r w:rsidRPr="00C8332B">
        <w:rPr>
          <w:i/>
        </w:rPr>
        <w:t>The Origins of the Apostolic Church in Great Britain with a Breviate of its Early Missionary Endeavours</w:t>
      </w:r>
      <w:r>
        <w:t>. Wellington: Julian Literature Trust, 1991.</w:t>
      </w:r>
    </w:p>
    <w:p w:rsidR="00762E39" w:rsidRDefault="00762E39" w:rsidP="009370EA">
      <w:pPr>
        <w:spacing w:line="360" w:lineRule="auto"/>
      </w:pPr>
      <w:r>
        <w:t>Worsfold, Luke W. ‘Subsequence, Prophecy and Church Order in the Apostolic Church, New Zealand.’ PhD diss., Victoria University of Wellington, 2004.</w:t>
      </w:r>
    </w:p>
    <w:p w:rsidR="00762E39" w:rsidRDefault="00762E39" w:rsidP="009370EA">
      <w:pPr>
        <w:spacing w:line="360" w:lineRule="auto"/>
      </w:pPr>
      <w:r>
        <w:t xml:space="preserve">Wyckoff, John W. 'The Baptism in the Holy Spirit,' in </w:t>
      </w:r>
      <w:r w:rsidRPr="00C8332B">
        <w:rPr>
          <w:i/>
        </w:rPr>
        <w:t>Systematic Theology</w:t>
      </w:r>
      <w:r>
        <w:t>, rev. ed., ed. Stanley Horton. Springfield: Logion, 1995.</w:t>
      </w:r>
    </w:p>
    <w:p w:rsidR="00762E39" w:rsidRDefault="00762E39" w:rsidP="009370EA">
      <w:pPr>
        <w:spacing w:line="360" w:lineRule="auto"/>
      </w:pPr>
      <w:r>
        <w:t xml:space="preserve">Yong, Amos. </w:t>
      </w:r>
      <w:r w:rsidRPr="00C8332B">
        <w:rPr>
          <w:i/>
        </w:rPr>
        <w:t>Renewing Christian Theology: Systematics for a Global Christianity</w:t>
      </w:r>
      <w:r>
        <w:t>. Waco: Baylor University Press, 2014.</w:t>
      </w:r>
    </w:p>
    <w:p w:rsidR="00762E39" w:rsidRDefault="00762E39" w:rsidP="009370EA">
      <w:pPr>
        <w:spacing w:line="360" w:lineRule="auto"/>
      </w:pPr>
      <w:r>
        <w:t xml:space="preserve">Yong, Amos. </w:t>
      </w:r>
      <w:r w:rsidRPr="00C8332B">
        <w:rPr>
          <w:i/>
        </w:rPr>
        <w:t>The Missiological Spirit: Christian Mission in the Third Millennium Global Context</w:t>
      </w:r>
      <w:r>
        <w:t>. Eugene: Cascade, 2014.</w:t>
      </w:r>
    </w:p>
    <w:p w:rsidR="00762E39" w:rsidRDefault="00762E39" w:rsidP="009370EA">
      <w:pPr>
        <w:spacing w:line="360" w:lineRule="auto"/>
      </w:pPr>
      <w:r>
        <w:t xml:space="preserve">Yong, Amos. </w:t>
      </w:r>
      <w:r w:rsidRPr="00C8332B">
        <w:rPr>
          <w:i/>
        </w:rPr>
        <w:t>The Spirit Poured Out On All Flesh: Pentecostalism and the Possibility of Global Theology</w:t>
      </w:r>
      <w:r>
        <w:t>. Grand Rapids: Baker Academic, 2005.</w:t>
      </w:r>
    </w:p>
    <w:p w:rsidR="00762E39" w:rsidRDefault="00762E39" w:rsidP="009370EA">
      <w:pPr>
        <w:spacing w:line="360" w:lineRule="auto"/>
      </w:pPr>
      <w:r>
        <w:t xml:space="preserve">Zuidema, Jason. </w:t>
      </w:r>
      <w:r w:rsidRPr="00C8332B">
        <w:rPr>
          <w:i/>
        </w:rPr>
        <w:t>Peter Martyr Vermigli (1499-1562) and the Outward Instruments of Divine Grace</w:t>
      </w:r>
      <w:r>
        <w:t>. Göttingen: Vanderhoeck &amp; Ruprecht, 2008.</w:t>
      </w:r>
    </w:p>
    <w:p w:rsidR="00062AED" w:rsidRPr="00026E06" w:rsidRDefault="00062AED" w:rsidP="009370EA">
      <w:pPr>
        <w:spacing w:line="360" w:lineRule="auto"/>
        <w:jc w:val="both"/>
      </w:pPr>
    </w:p>
    <w:p w:rsidR="00062AED" w:rsidRPr="00436916" w:rsidRDefault="00062AED" w:rsidP="009370EA">
      <w:pPr>
        <w:spacing w:line="360" w:lineRule="auto"/>
        <w:jc w:val="both"/>
      </w:pPr>
    </w:p>
    <w:p w:rsidR="00062AED" w:rsidRPr="009324C7" w:rsidRDefault="00062AED" w:rsidP="009370EA">
      <w:pPr>
        <w:spacing w:line="360" w:lineRule="auto"/>
        <w:jc w:val="both"/>
      </w:pPr>
    </w:p>
    <w:p w:rsidR="00123700" w:rsidRDefault="00123700" w:rsidP="009370EA">
      <w:pPr>
        <w:spacing w:line="360" w:lineRule="auto"/>
        <w:jc w:val="both"/>
      </w:pPr>
    </w:p>
    <w:p w:rsidR="00C01E57" w:rsidRPr="002F7333" w:rsidRDefault="00C01E57" w:rsidP="009370EA">
      <w:pPr>
        <w:spacing w:line="360" w:lineRule="auto"/>
        <w:jc w:val="both"/>
      </w:pPr>
    </w:p>
    <w:sectPr w:rsidR="00C01E57" w:rsidRPr="002F7333" w:rsidSect="00E573D6">
      <w:footerReference w:type="default" r:id="rId8"/>
      <w:pgSz w:w="11906" w:h="16838" w:code="9"/>
      <w:pgMar w:top="1440" w:right="1440" w:bottom="1440" w:left="1440" w:header="709" w:footer="709" w:gutter="28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52C0" w:rsidRDefault="004B52C0" w:rsidP="00F66EA7">
      <w:pPr>
        <w:spacing w:after="0" w:line="240" w:lineRule="auto"/>
      </w:pPr>
      <w:r>
        <w:separator/>
      </w:r>
    </w:p>
  </w:endnote>
  <w:endnote w:type="continuationSeparator" w:id="0">
    <w:p w:rsidR="004B52C0" w:rsidRDefault="004B52C0" w:rsidP="00F6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ekniaGreek">
    <w:altName w:val="Bell MT"/>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3525632"/>
      <w:docPartObj>
        <w:docPartGallery w:val="Page Numbers (Bottom of Page)"/>
        <w:docPartUnique/>
      </w:docPartObj>
    </w:sdtPr>
    <w:sdtEndPr>
      <w:rPr>
        <w:noProof/>
      </w:rPr>
    </w:sdtEndPr>
    <w:sdtContent>
      <w:p w:rsidR="00AB3F05" w:rsidRDefault="00AB3F05">
        <w:pPr>
          <w:pStyle w:val="Footer"/>
          <w:jc w:val="right"/>
        </w:pPr>
        <w:r>
          <w:fldChar w:fldCharType="begin"/>
        </w:r>
        <w:r>
          <w:instrText xml:space="preserve"> PAGE   \* MERGEFORMAT </w:instrText>
        </w:r>
        <w:r>
          <w:fldChar w:fldCharType="separate"/>
        </w:r>
        <w:r w:rsidR="000E06DA">
          <w:rPr>
            <w:noProof/>
          </w:rPr>
          <w:t>3</w:t>
        </w:r>
        <w:r>
          <w:rPr>
            <w:noProof/>
          </w:rPr>
          <w:fldChar w:fldCharType="end"/>
        </w:r>
      </w:p>
    </w:sdtContent>
  </w:sdt>
  <w:p w:rsidR="00AB3F05" w:rsidRDefault="00AB3F0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52C0" w:rsidRDefault="004B52C0" w:rsidP="00F66EA7">
      <w:pPr>
        <w:spacing w:after="0" w:line="240" w:lineRule="auto"/>
      </w:pPr>
      <w:r>
        <w:separator/>
      </w:r>
    </w:p>
  </w:footnote>
  <w:footnote w:type="continuationSeparator" w:id="0">
    <w:p w:rsidR="004B52C0" w:rsidRDefault="004B52C0" w:rsidP="00F66EA7">
      <w:pPr>
        <w:spacing w:after="0" w:line="240" w:lineRule="auto"/>
      </w:pPr>
      <w:r>
        <w:continuationSeparator/>
      </w:r>
    </w:p>
  </w:footnote>
  <w:footnote w:id="1">
    <w:p w:rsidR="00AB3F05" w:rsidRPr="00D92F9E" w:rsidRDefault="00AB3F05" w:rsidP="00062AED">
      <w:pPr>
        <w:pStyle w:val="FootnoteText"/>
      </w:pPr>
      <w:r w:rsidRPr="00D92F9E">
        <w:rPr>
          <w:rStyle w:val="FootnoteReference"/>
        </w:rPr>
        <w:footnoteRef/>
      </w:r>
      <w:r w:rsidRPr="00D92F9E">
        <w:t xml:space="preserve"> Peter Althouse, ‘Ascension – Pentecost – Eschaton: A Theological Framework for Pentecostal Ecclesiology’, in </w:t>
      </w:r>
      <w:r w:rsidRPr="00D92F9E">
        <w:rPr>
          <w:i/>
        </w:rPr>
        <w:t>Toward a Pentecostal Ecclesiology: The Church and the Fivefold Gospel</w:t>
      </w:r>
      <w:r w:rsidRPr="00D92F9E">
        <w:t>, ed. John Christopher Thomas (Cleveland TN: CPT Press, 2010), 227.</w:t>
      </w:r>
    </w:p>
  </w:footnote>
  <w:footnote w:id="2">
    <w:p w:rsidR="00AB3F05" w:rsidRPr="00D92F9E" w:rsidRDefault="00AB3F05" w:rsidP="00062AED">
      <w:pPr>
        <w:pStyle w:val="FootnoteText"/>
      </w:pPr>
      <w:r w:rsidRPr="00D92F9E">
        <w:rPr>
          <w:rStyle w:val="FootnoteReference"/>
        </w:rPr>
        <w:footnoteRef/>
      </w:r>
      <w:r w:rsidRPr="00D92F9E">
        <w:t xml:space="preserve"> Simon Chan, </w:t>
      </w:r>
      <w:r w:rsidRPr="00D92F9E">
        <w:rPr>
          <w:i/>
        </w:rPr>
        <w:t>Grassroots Asian Theology: Thinking the Faith from the Ground Up</w:t>
      </w:r>
      <w:r w:rsidRPr="00D92F9E">
        <w:t xml:space="preserve"> (Downers Grove: IVP, 2014), 8; see also, </w:t>
      </w:r>
      <w:r>
        <w:t>idem</w:t>
      </w:r>
      <w:r w:rsidRPr="00D92F9E">
        <w:t xml:space="preserve">, </w:t>
      </w:r>
      <w:r w:rsidRPr="00D92F9E">
        <w:rPr>
          <w:i/>
        </w:rPr>
        <w:t>Pentecostal Ecclesiology: An Essay on the Development of Doctrine</w:t>
      </w:r>
      <w:r w:rsidRPr="00D92F9E">
        <w:t>, Journal of Pentecostal Theology Supplement Series, vol.38 (Blandford Forum: Deo, 2011), 1-2.</w:t>
      </w:r>
    </w:p>
  </w:footnote>
  <w:footnote w:id="3">
    <w:p w:rsidR="00AB3F05" w:rsidRPr="00D92F9E" w:rsidRDefault="00AB3F05" w:rsidP="00062AED">
      <w:pPr>
        <w:pStyle w:val="FootnoteText"/>
      </w:pPr>
      <w:r w:rsidRPr="00D92F9E">
        <w:rPr>
          <w:rStyle w:val="FootnoteReference"/>
        </w:rPr>
        <w:footnoteRef/>
      </w:r>
      <w:r w:rsidRPr="00D92F9E">
        <w:t xml:space="preserve"> Chan, </w:t>
      </w:r>
      <w:r w:rsidRPr="00D92F9E">
        <w:rPr>
          <w:i/>
        </w:rPr>
        <w:t>Pentecostal Ecclesiology</w:t>
      </w:r>
      <w:r w:rsidRPr="00D92F9E">
        <w:t>, 8. He particularly points to the world of Orthodoxy.</w:t>
      </w:r>
    </w:p>
  </w:footnote>
  <w:footnote w:id="4">
    <w:p w:rsidR="00AB3F05" w:rsidRPr="00D92F9E" w:rsidRDefault="00AB3F05" w:rsidP="00062AED">
      <w:pPr>
        <w:pStyle w:val="FootnoteText"/>
      </w:pPr>
      <w:r w:rsidRPr="00D92F9E">
        <w:rPr>
          <w:rStyle w:val="FootnoteReference"/>
        </w:rPr>
        <w:footnoteRef/>
      </w:r>
      <w:r w:rsidRPr="00D92F9E">
        <w:t xml:space="preserve"> Ibid., 5.</w:t>
      </w:r>
    </w:p>
  </w:footnote>
  <w:footnote w:id="5">
    <w:p w:rsidR="00AB3F05" w:rsidRPr="00D92F9E" w:rsidRDefault="00AB3F05" w:rsidP="00062AED">
      <w:pPr>
        <w:pStyle w:val="FootnoteText"/>
      </w:pPr>
      <w:r w:rsidRPr="00D92F9E">
        <w:rPr>
          <w:rStyle w:val="FootnoteReference"/>
        </w:rPr>
        <w:footnoteRef/>
      </w:r>
      <w:r w:rsidRPr="00D92F9E">
        <w:t xml:space="preserve"> Ibid., 6.</w:t>
      </w:r>
    </w:p>
  </w:footnote>
  <w:footnote w:id="6">
    <w:p w:rsidR="00AB3F05" w:rsidRPr="00D92F9E" w:rsidRDefault="00AB3F05" w:rsidP="00062AED">
      <w:pPr>
        <w:pStyle w:val="FootnoteText"/>
      </w:pPr>
      <w:r w:rsidRPr="00D92F9E">
        <w:rPr>
          <w:rStyle w:val="FootnoteReference"/>
        </w:rPr>
        <w:footnoteRef/>
      </w:r>
      <w:r w:rsidRPr="00D92F9E">
        <w:t xml:space="preserve"> </w:t>
      </w:r>
      <w:r>
        <w:t xml:space="preserve">Gordon </w:t>
      </w:r>
      <w:r w:rsidRPr="00D92F9E">
        <w:t xml:space="preserve">Weeks, </w:t>
      </w:r>
      <w:r>
        <w:rPr>
          <w:i/>
        </w:rPr>
        <w:t>Chapter Thirty-</w:t>
      </w:r>
      <w:r w:rsidRPr="00D92F9E">
        <w:rPr>
          <w:i/>
        </w:rPr>
        <w:t>Two</w:t>
      </w:r>
      <w:r w:rsidRPr="00B52256">
        <w:rPr>
          <w:i/>
        </w:rPr>
        <w:t xml:space="preserve">: A History of the Apostolic Church 1900-2000 </w:t>
      </w:r>
      <w:r w:rsidRPr="00C66AB1">
        <w:t>(Barnsley, 2003)</w:t>
      </w:r>
      <w:r w:rsidRPr="00D92F9E">
        <w:t>, 25-26.</w:t>
      </w:r>
    </w:p>
  </w:footnote>
  <w:footnote w:id="7">
    <w:p w:rsidR="00AB3F05" w:rsidRPr="00D92F9E" w:rsidRDefault="00AB3F05" w:rsidP="00062AED">
      <w:pPr>
        <w:pStyle w:val="FootnoteText"/>
        <w:rPr>
          <w:rFonts w:cstheme="minorHAnsi"/>
        </w:rPr>
      </w:pPr>
      <w:r w:rsidRPr="00D92F9E">
        <w:rPr>
          <w:rStyle w:val="FootnoteReference"/>
          <w:rFonts w:cstheme="minorHAnsi"/>
        </w:rPr>
        <w:footnoteRef/>
      </w:r>
      <w:r w:rsidRPr="00D92F9E">
        <w:rPr>
          <w:rFonts w:cstheme="minorHAnsi"/>
        </w:rPr>
        <w:t xml:space="preserve"> See James E. Worsfold, </w:t>
      </w:r>
      <w:r w:rsidRPr="00D92F9E">
        <w:rPr>
          <w:rFonts w:cstheme="minorHAnsi"/>
          <w:i/>
          <w:iCs/>
        </w:rPr>
        <w:t>The Origins of the Apostolic Church in Great Britain with a Breviate of its Early Missionary Endeavours</w:t>
      </w:r>
      <w:r>
        <w:rPr>
          <w:rFonts w:cstheme="minorHAnsi"/>
        </w:rPr>
        <w:t xml:space="preserve"> (Wellington, NZ: Ju</w:t>
      </w:r>
      <w:r w:rsidRPr="00D92F9E">
        <w:rPr>
          <w:rFonts w:cstheme="minorHAnsi"/>
        </w:rPr>
        <w:t xml:space="preserve">lian Literature Trust, 1991), 151-164; Weeks, </w:t>
      </w:r>
      <w:r w:rsidRPr="00D92F9E">
        <w:rPr>
          <w:rFonts w:cstheme="minorHAnsi"/>
          <w:i/>
          <w:iCs/>
        </w:rPr>
        <w:t>Chapter Thirty-Two</w:t>
      </w:r>
      <w:r w:rsidRPr="00D92F9E">
        <w:rPr>
          <w:rFonts w:cstheme="minorHAnsi"/>
        </w:rPr>
        <w:t xml:space="preserve">, 45-49; </w:t>
      </w:r>
      <w:r>
        <w:rPr>
          <w:rFonts w:cstheme="minorHAnsi"/>
        </w:rPr>
        <w:t xml:space="preserve">William </w:t>
      </w:r>
      <w:r w:rsidRPr="00D92F9E">
        <w:rPr>
          <w:rFonts w:cstheme="minorHAnsi"/>
        </w:rPr>
        <w:t xml:space="preserve">Kay, </w:t>
      </w:r>
      <w:r w:rsidRPr="00D92F9E">
        <w:rPr>
          <w:rFonts w:cstheme="minorHAnsi"/>
          <w:i/>
          <w:iCs/>
        </w:rPr>
        <w:t>Pentecostals in Britain</w:t>
      </w:r>
      <w:r>
        <w:rPr>
          <w:rFonts w:cstheme="minorHAnsi"/>
          <w:iCs/>
        </w:rPr>
        <w:t xml:space="preserve"> (Carlisle: Paternoster, 2000)</w:t>
      </w:r>
      <w:r w:rsidRPr="00D92F9E">
        <w:rPr>
          <w:rFonts w:cstheme="minorHAnsi"/>
        </w:rPr>
        <w:t xml:space="preserve">, 18-19; T.N. Turnbull, </w:t>
      </w:r>
      <w:r w:rsidRPr="00D92F9E">
        <w:rPr>
          <w:rFonts w:cstheme="minorHAnsi"/>
          <w:i/>
          <w:iCs/>
        </w:rPr>
        <w:t>What God Hath Wrought: A Short History of the Apostolic Church</w:t>
      </w:r>
      <w:r w:rsidRPr="00D92F9E">
        <w:rPr>
          <w:rFonts w:cstheme="minorHAnsi"/>
        </w:rPr>
        <w:t xml:space="preserve"> (Bradford: Puritan Press, 1959), 20. As Massey points out, the beginnings of the Apostolic Church are in Wales, not Bournemouth and the AFC. Although the two were closely linked for a period, they emerged in parallel. Richard D. Massey, ‘A Sound and Scriptural Union: An Examination of the Origins of the Assemblies of God of Great Britain and Ireland during the years 1920-125’ (PhD diss., University of Birmingham, 1987), 280.</w:t>
      </w:r>
    </w:p>
  </w:footnote>
  <w:footnote w:id="8">
    <w:p w:rsidR="00AB3F05" w:rsidRPr="00D92F9E" w:rsidRDefault="00AB3F05" w:rsidP="00062AED">
      <w:pPr>
        <w:pStyle w:val="FootnoteText"/>
      </w:pPr>
      <w:r w:rsidRPr="00D92F9E">
        <w:rPr>
          <w:rStyle w:val="FootnoteReference"/>
        </w:rPr>
        <w:footnoteRef/>
      </w:r>
      <w:r w:rsidRPr="00D92F9E">
        <w:t xml:space="preserve"> James Robinson, </w:t>
      </w:r>
      <w:r w:rsidRPr="00D92F9E">
        <w:rPr>
          <w:i/>
        </w:rPr>
        <w:t>Pentecostal Origins: Early Pentecostalism in Ireland in the Context of the British Isles</w:t>
      </w:r>
      <w:r w:rsidRPr="00D92F9E">
        <w:t xml:space="preserve">, Studies in Evangelical History and Thought, (Milton Keynes: Paternoster, 2005), 14. Elim’s first church was established in 1915 and the denomination formed in 1918; see Robinson, </w:t>
      </w:r>
      <w:r w:rsidRPr="00C66AB1">
        <w:rPr>
          <w:i/>
        </w:rPr>
        <w:t>Pentecostal Origins</w:t>
      </w:r>
      <w:r w:rsidRPr="00D92F9E">
        <w:t>, 142-145; Malcolm R. Hathawa</w:t>
      </w:r>
      <w:r>
        <w:t>y, ‘The Elim Pentecostal Church</w:t>
      </w:r>
      <w:r w:rsidRPr="00D92F9E">
        <w:t xml:space="preserve">: Orgins, Development and Distinctives,’ in </w:t>
      </w:r>
      <w:r w:rsidRPr="00D92F9E">
        <w:rPr>
          <w:i/>
        </w:rPr>
        <w:t>Pentecostal Perspectives</w:t>
      </w:r>
      <w:r w:rsidRPr="00D92F9E">
        <w:t xml:space="preserve">, ed. Keith Warrington, (Carlisle: Paternoster, 1998), 13; David Neil Hudson, ‘A Schism and Its Aftermath: An Historical Analysis of Denominational Discerption in the Elim Pentecostal Church, 1939-1940’ (PhD diss., King’s College, London, 1999), 161. AoG was established in 1924; see Kay, </w:t>
      </w:r>
      <w:r w:rsidRPr="00D92F9E">
        <w:rPr>
          <w:i/>
        </w:rPr>
        <w:t>Pentecostals in Britain</w:t>
      </w:r>
      <w:r w:rsidRPr="00D92F9E">
        <w:t xml:space="preserve">, 29-30 ; William K. Kay, ‘Assemblies of God: Distinctive Continuity and Distinctive Change,’ in </w:t>
      </w:r>
      <w:r w:rsidRPr="00C66AB1">
        <w:rPr>
          <w:i/>
        </w:rPr>
        <w:t>Pentecostal Perspectives</w:t>
      </w:r>
      <w:r w:rsidRPr="00D92F9E">
        <w:t xml:space="preserve">, ed. Keith Warrington, (Carlisle: Paternoster, 1998), 44; </w:t>
      </w:r>
      <w:r>
        <w:t xml:space="preserve">Walter J. </w:t>
      </w:r>
      <w:r w:rsidRPr="00D92F9E">
        <w:t xml:space="preserve">Hollenweger, </w:t>
      </w:r>
      <w:r w:rsidRPr="00D92F9E">
        <w:rPr>
          <w:i/>
        </w:rPr>
        <w:t>The Pentecostals</w:t>
      </w:r>
      <w:r w:rsidRPr="00D92F9E">
        <w:t xml:space="preserve">, </w:t>
      </w:r>
      <w:r>
        <w:t>(London: SCM, 1972),</w:t>
      </w:r>
      <w:r w:rsidRPr="00D92F9E">
        <w:t>206-207.</w:t>
      </w:r>
    </w:p>
  </w:footnote>
  <w:footnote w:id="9">
    <w:p w:rsidR="00AB3F05" w:rsidRPr="00D92F9E" w:rsidRDefault="00AB3F05" w:rsidP="00062AED">
      <w:pPr>
        <w:pStyle w:val="FootnoteText"/>
        <w:rPr>
          <w:rFonts w:cstheme="minorHAnsi"/>
        </w:rPr>
      </w:pPr>
      <w:r w:rsidRPr="00D92F9E">
        <w:rPr>
          <w:rStyle w:val="FootnoteReference"/>
          <w:rFonts w:cstheme="minorHAnsi"/>
        </w:rPr>
        <w:footnoteRef/>
      </w:r>
      <w:r w:rsidRPr="00D92F9E">
        <w:rPr>
          <w:rFonts w:cstheme="minorHAnsi"/>
        </w:rPr>
        <w:t xml:space="preserve"> Worsfold, </w:t>
      </w:r>
      <w:r w:rsidRPr="00D92F9E">
        <w:rPr>
          <w:rFonts w:cstheme="minorHAnsi"/>
          <w:i/>
          <w:iCs/>
        </w:rPr>
        <w:t>Origins</w:t>
      </w:r>
      <w:r w:rsidRPr="00D92F9E">
        <w:rPr>
          <w:rFonts w:cstheme="minorHAnsi"/>
        </w:rPr>
        <w:t xml:space="preserve">, 154-155 (although it should be noted that Worsfold is generally considered to have overplayed the language issue in the separation of the Welsh assemblies from the AFC). See also </w:t>
      </w:r>
      <w:r w:rsidRPr="00D92F9E">
        <w:rPr>
          <w:rFonts w:cstheme="minorHAnsi"/>
          <w:i/>
          <w:iCs/>
        </w:rPr>
        <w:t>Riches of Grace</w:t>
      </w:r>
      <w:r w:rsidRPr="00D92F9E">
        <w:rPr>
          <w:rFonts w:cstheme="minorHAnsi"/>
        </w:rPr>
        <w:t xml:space="preserve"> </w:t>
      </w:r>
      <w:r>
        <w:rPr>
          <w:rFonts w:cstheme="minorHAnsi"/>
        </w:rPr>
        <w:t>i.1</w:t>
      </w:r>
      <w:r w:rsidRPr="00D92F9E">
        <w:rPr>
          <w:rFonts w:cstheme="minorHAnsi"/>
        </w:rPr>
        <w:t xml:space="preserve"> </w:t>
      </w:r>
      <w:r>
        <w:rPr>
          <w:rFonts w:cstheme="minorHAnsi"/>
        </w:rPr>
        <w:t>(</w:t>
      </w:r>
      <w:r w:rsidRPr="00D92F9E">
        <w:rPr>
          <w:rFonts w:cstheme="minorHAnsi"/>
        </w:rPr>
        <w:t>April 1916</w:t>
      </w:r>
      <w:r>
        <w:rPr>
          <w:rFonts w:cstheme="minorHAnsi"/>
        </w:rPr>
        <w:t>)</w:t>
      </w:r>
      <w:r w:rsidRPr="00D92F9E">
        <w:rPr>
          <w:rFonts w:cstheme="minorHAnsi"/>
        </w:rPr>
        <w:t xml:space="preserve"> (here even the title </w:t>
      </w:r>
      <w:r w:rsidRPr="00D92F9E">
        <w:rPr>
          <w:rFonts w:cstheme="minorHAnsi"/>
          <w:i/>
          <w:iCs/>
        </w:rPr>
        <w:t>Riches of Grace</w:t>
      </w:r>
      <w:r w:rsidRPr="00D92F9E">
        <w:rPr>
          <w:rFonts w:cstheme="minorHAnsi"/>
        </w:rPr>
        <w:t xml:space="preserve"> only appears in small print in brackets under the large Welsh title </w:t>
      </w:r>
      <w:r w:rsidRPr="00D92F9E">
        <w:rPr>
          <w:rFonts w:cstheme="minorHAnsi"/>
          <w:i/>
          <w:iCs/>
        </w:rPr>
        <w:t>Cyfoeth y Gras</w:t>
      </w:r>
      <w:r w:rsidRPr="00D92F9E">
        <w:rPr>
          <w:rFonts w:cstheme="minorHAnsi"/>
        </w:rPr>
        <w:t xml:space="preserve"> and the vast majority of the content is written in Welsh). Most assemblies, even in Welsh-speaking areas of Wales now use the English language.</w:t>
      </w:r>
    </w:p>
  </w:footnote>
  <w:footnote w:id="10">
    <w:p w:rsidR="00AB3F05" w:rsidRPr="00D92F9E" w:rsidRDefault="00AB3F05" w:rsidP="00062AED">
      <w:pPr>
        <w:pStyle w:val="FootnoteText"/>
      </w:pPr>
      <w:r w:rsidRPr="00D92F9E">
        <w:rPr>
          <w:rStyle w:val="FootnoteReference"/>
        </w:rPr>
        <w:footnoteRef/>
      </w:r>
      <w:r w:rsidRPr="00D92F9E">
        <w:t xml:space="preserve"> For biographies of D.P. Williams, see Thomas Napier Turnbull, </w:t>
      </w:r>
      <w:r w:rsidRPr="00D92F9E">
        <w:rPr>
          <w:i/>
        </w:rPr>
        <w:t>Brothers in Arms</w:t>
      </w:r>
      <w:r w:rsidRPr="00D92F9E">
        <w:t>,</w:t>
      </w:r>
      <w:r>
        <w:t xml:space="preserve"> (Bradford: Puritan Press, 1963</w:t>
      </w:r>
      <w:r w:rsidRPr="00D92F9E">
        <w:t xml:space="preserve">); Tom Davies &amp; Peter Yeoman, </w:t>
      </w:r>
      <w:r w:rsidRPr="00D92F9E">
        <w:rPr>
          <w:i/>
        </w:rPr>
        <w:t>Born in the Fire: A Biography of D.P. Williams</w:t>
      </w:r>
      <w:r w:rsidRPr="00D92F9E">
        <w:t xml:space="preserve"> (Ystradgynlais: Kingdom First Publishing, 2008).</w:t>
      </w:r>
    </w:p>
  </w:footnote>
  <w:footnote w:id="11">
    <w:p w:rsidR="00AB3F05" w:rsidRPr="00D92F9E" w:rsidRDefault="00AB3F05" w:rsidP="00062AED">
      <w:pPr>
        <w:pStyle w:val="FootnoteText"/>
      </w:pPr>
      <w:r w:rsidRPr="00D92F9E">
        <w:rPr>
          <w:rStyle w:val="FootnoteReference"/>
        </w:rPr>
        <w:footnoteRef/>
      </w:r>
      <w:r w:rsidRPr="00D92F9E">
        <w:t xml:space="preserve"> Turnbull, </w:t>
      </w:r>
      <w:r>
        <w:rPr>
          <w:i/>
        </w:rPr>
        <w:t>Brothers</w:t>
      </w:r>
      <w:r w:rsidRPr="00D92F9E">
        <w:t>, 13-14.</w:t>
      </w:r>
    </w:p>
  </w:footnote>
  <w:footnote w:id="12">
    <w:p w:rsidR="00AB3F05" w:rsidRPr="00D92F9E" w:rsidRDefault="00AB3F05" w:rsidP="00062AED">
      <w:pPr>
        <w:pStyle w:val="FootnoteText"/>
      </w:pPr>
      <w:r w:rsidRPr="00D92F9E">
        <w:rPr>
          <w:rStyle w:val="FootnoteReference"/>
        </w:rPr>
        <w:footnoteRef/>
      </w:r>
      <w:r w:rsidRPr="00D92F9E">
        <w:t xml:space="preserve"> Specifically, Believer’s Baptism.</w:t>
      </w:r>
    </w:p>
  </w:footnote>
  <w:footnote w:id="13">
    <w:p w:rsidR="00AB3F05" w:rsidRPr="00D92F9E" w:rsidRDefault="00AB3F05" w:rsidP="00062AED">
      <w:pPr>
        <w:pStyle w:val="FootnoteText"/>
      </w:pPr>
      <w:r w:rsidRPr="00D92F9E">
        <w:rPr>
          <w:rStyle w:val="FootnoteReference"/>
        </w:rPr>
        <w:footnoteRef/>
      </w:r>
      <w:r w:rsidRPr="00D92F9E">
        <w:t xml:space="preserve"> Worsfold, </w:t>
      </w:r>
      <w:r w:rsidRPr="00D92F9E">
        <w:rPr>
          <w:i/>
        </w:rPr>
        <w:t>Origins</w:t>
      </w:r>
      <w:r w:rsidRPr="00D92F9E">
        <w:t>, 56.</w:t>
      </w:r>
    </w:p>
  </w:footnote>
  <w:footnote w:id="14">
    <w:p w:rsidR="00AB3F05" w:rsidRPr="00D92F9E" w:rsidRDefault="00AB3F05" w:rsidP="00062AED">
      <w:pPr>
        <w:pStyle w:val="FootnoteText"/>
      </w:pPr>
      <w:r w:rsidRPr="00D92F9E">
        <w:rPr>
          <w:rStyle w:val="FootnoteReference"/>
        </w:rPr>
        <w:footnoteRef/>
      </w:r>
      <w:r w:rsidRPr="00D92F9E">
        <w:t xml:space="preserve"> For the history of this parting of ways, see Worsfold, </w:t>
      </w:r>
      <w:r w:rsidRPr="00D92F9E">
        <w:rPr>
          <w:i/>
        </w:rPr>
        <w:t>Origins</w:t>
      </w:r>
      <w:r w:rsidRPr="00D92F9E">
        <w:t xml:space="preserve">, 151-164; Weeks, </w:t>
      </w:r>
      <w:r w:rsidRPr="00D92F9E">
        <w:rPr>
          <w:i/>
        </w:rPr>
        <w:t>Chapter Thirty-Two</w:t>
      </w:r>
      <w:r w:rsidRPr="00D92F9E">
        <w:t xml:space="preserve">, 45-49; Turnbull, </w:t>
      </w:r>
      <w:r w:rsidRPr="00D92F9E">
        <w:rPr>
          <w:i/>
        </w:rPr>
        <w:t>What God Hath Wrought</w:t>
      </w:r>
      <w:r w:rsidRPr="00D92F9E">
        <w:t>, 20.</w:t>
      </w:r>
    </w:p>
  </w:footnote>
  <w:footnote w:id="15">
    <w:p w:rsidR="00AB3F05" w:rsidRPr="00D92F9E" w:rsidRDefault="00AB3F05" w:rsidP="00062AED">
      <w:pPr>
        <w:pStyle w:val="FootnoteText"/>
      </w:pPr>
      <w:r w:rsidRPr="00D92F9E">
        <w:rPr>
          <w:rStyle w:val="FootnoteReference"/>
        </w:rPr>
        <w:footnoteRef/>
      </w:r>
      <w:r w:rsidRPr="00D92F9E">
        <w:t xml:space="preserve"> Worsfold, </w:t>
      </w:r>
      <w:r w:rsidRPr="00D92F9E">
        <w:rPr>
          <w:i/>
        </w:rPr>
        <w:t>Origns</w:t>
      </w:r>
      <w:r w:rsidRPr="00D92F9E">
        <w:t>, 170-172. Worsfold argues that Williams’ written ministry, particularly in RoG, was ‘his most end</w:t>
      </w:r>
      <w:r>
        <w:t xml:space="preserve">uring achievement’, that he was </w:t>
      </w:r>
      <w:r w:rsidRPr="00D92F9E">
        <w:t>‘a very spiritual and constructive thinker and writer’ of ‘theological substance’, and that his work ‘should be required reading for all ordinands in the Apostolic Church.’</w:t>
      </w:r>
    </w:p>
  </w:footnote>
  <w:footnote w:id="16">
    <w:p w:rsidR="00AB3F05" w:rsidRPr="00D92F9E" w:rsidRDefault="00AB3F05" w:rsidP="00062AED">
      <w:pPr>
        <w:pStyle w:val="FootnoteText"/>
      </w:pPr>
      <w:r w:rsidRPr="00D92F9E">
        <w:rPr>
          <w:rStyle w:val="FootnoteReference"/>
        </w:rPr>
        <w:footnoteRef/>
      </w:r>
      <w:r w:rsidRPr="00D92F9E">
        <w:t xml:space="preserve"> Scholarly attention has been limited to W. Luke Worsfold, ‘Subsequence, Prophecy and Church Order in the Apostolic Church, New Zealand’ (PhD diss., Victoria University of Wellington, 2004); Henry Bryon Llewellyn, ‘A Study of the History and Thought of the Apostolic Church in Wales in the Context of Pentecostalism’ (MPhil diss., University of Wales, 1997); </w:t>
      </w:r>
      <w:r>
        <w:t>Brynmor Thomas, ‘</w:t>
      </w:r>
      <w:r w:rsidRPr="00EB64DA">
        <w:rPr>
          <w:bCs/>
        </w:rPr>
        <w:t>The influence of the Latter Rain Movement of the early 1950’s on the history and development of the Apostolic Church</w:t>
      </w:r>
      <w:r>
        <w:rPr>
          <w:bCs/>
        </w:rPr>
        <w:t xml:space="preserve">’, (MTh diss., University of Wales, Bangor, 2004); </w:t>
      </w:r>
      <w:r w:rsidRPr="00D92F9E">
        <w:t xml:space="preserve">Hollenweger, </w:t>
      </w:r>
      <w:r w:rsidRPr="00D52387">
        <w:rPr>
          <w:i/>
        </w:rPr>
        <w:t>Pentecostals</w:t>
      </w:r>
      <w:r w:rsidRPr="00D92F9E">
        <w:t xml:space="preserve">, 191-193. Kay, </w:t>
      </w:r>
      <w:r w:rsidRPr="00D92F9E">
        <w:rPr>
          <w:i/>
        </w:rPr>
        <w:t>Pentecostal</w:t>
      </w:r>
      <w:r>
        <w:rPr>
          <w:i/>
        </w:rPr>
        <w:t>s</w:t>
      </w:r>
      <w:r w:rsidRPr="00D92F9E">
        <w:rPr>
          <w:i/>
        </w:rPr>
        <w:t xml:space="preserve"> in Britain</w:t>
      </w:r>
      <w:r w:rsidRPr="00D92F9E">
        <w:t xml:space="preserve">; Robinson, </w:t>
      </w:r>
      <w:r>
        <w:rPr>
          <w:i/>
        </w:rPr>
        <w:t>Pentecostal Origins</w:t>
      </w:r>
      <w:r w:rsidRPr="00D92F9E">
        <w:t xml:space="preserve">; Jonathan Black, ‘Toward the Possibility of a Pentecostal Ecclesiology: Some Lessons from the British Apostolics,’ paper presented at the Pentecostal Theological Colloqium, Continental Theological Seminary, March 2009; </w:t>
      </w:r>
      <w:r>
        <w:t>idem</w:t>
      </w:r>
      <w:r w:rsidRPr="00D92F9E">
        <w:t xml:space="preserve">, ‘The Church as Eucharistic Fellowship: A British Apostolic Contribution toward a Pentecostal Ecclesiology,’ </w:t>
      </w:r>
      <w:r w:rsidRPr="00D92F9E">
        <w:rPr>
          <w:i/>
        </w:rPr>
        <w:t>JEPTA</w:t>
      </w:r>
      <w:r w:rsidRPr="00D92F9E">
        <w:t xml:space="preserve"> 29.2 (2009). </w:t>
      </w:r>
    </w:p>
  </w:footnote>
  <w:footnote w:id="17">
    <w:p w:rsidR="00AB3F05" w:rsidRPr="00D92F9E" w:rsidRDefault="00AB3F05" w:rsidP="00062AED">
      <w:pPr>
        <w:pStyle w:val="FootnoteText"/>
      </w:pPr>
      <w:r w:rsidRPr="00D92F9E">
        <w:rPr>
          <w:rStyle w:val="FootnoteReference"/>
        </w:rPr>
        <w:footnoteRef/>
      </w:r>
      <w:r w:rsidRPr="00D92F9E">
        <w:t xml:space="preserve"> Neil Hudson, ‘The Development of British Pentecostalism,’ in </w:t>
      </w:r>
      <w:r w:rsidRPr="00D92F9E">
        <w:rPr>
          <w:i/>
        </w:rPr>
        <w:t>European Pentecostalism</w:t>
      </w:r>
      <w:r w:rsidRPr="00D92F9E">
        <w:t>, ed. William K. Kay and Anne Dyer, Global Pentecostal and Charismatic Studies, vol. 7 (Leiden: Brill, 2011), 41.</w:t>
      </w:r>
    </w:p>
  </w:footnote>
  <w:footnote w:id="18">
    <w:p w:rsidR="00AB3F05" w:rsidRPr="00D92F9E" w:rsidRDefault="00AB3F05" w:rsidP="00062AED">
      <w:pPr>
        <w:pStyle w:val="FootnoteText"/>
      </w:pPr>
      <w:r w:rsidRPr="00D92F9E">
        <w:rPr>
          <w:rStyle w:val="FootnoteReference"/>
        </w:rPr>
        <w:footnoteRef/>
      </w:r>
      <w:r w:rsidRPr="00D92F9E">
        <w:t xml:space="preserve"> For an asse</w:t>
      </w:r>
      <w:r>
        <w:t>ss</w:t>
      </w:r>
      <w:r w:rsidRPr="00D92F9E">
        <w:t>ment of the role of the Apostolic Church and its theology in the formation AoG, see Massey, ‘A Sound and Scriptural Union</w:t>
      </w:r>
      <w:r>
        <w:t>’,</w:t>
      </w:r>
      <w:r w:rsidRPr="00D92F9E">
        <w:t xml:space="preserve"> 279-288. For AoG reactions to Apostolic ecclesiology, see J. Nelson Parr, </w:t>
      </w:r>
      <w:r w:rsidRPr="00D92F9E">
        <w:rPr>
          <w:i/>
        </w:rPr>
        <w:t>The ‘Apostolic Church’ Error</w:t>
      </w:r>
      <w:r w:rsidRPr="00D92F9E">
        <w:t xml:space="preserve"> (Lewisham: AoG, n.d.);</w:t>
      </w:r>
      <w:r>
        <w:t xml:space="preserve"> </w:t>
      </w:r>
      <w:r w:rsidRPr="00D92F9E">
        <w:t xml:space="preserve">Donald Gee, </w:t>
      </w:r>
      <w:r w:rsidRPr="00D92F9E">
        <w:rPr>
          <w:i/>
        </w:rPr>
        <w:t>Wind and Flame</w:t>
      </w:r>
      <w:r w:rsidRPr="00D92F9E">
        <w:t xml:space="preserve"> (Croydon: Heath Press, 1967), 105-106; </w:t>
      </w:r>
      <w:r>
        <w:t>idem</w:t>
      </w:r>
      <w:r w:rsidRPr="00D92F9E">
        <w:t xml:space="preserve">, </w:t>
      </w:r>
      <w:r w:rsidRPr="00D92F9E">
        <w:rPr>
          <w:i/>
        </w:rPr>
        <w:t>The Pentecostal Movement</w:t>
      </w:r>
      <w:r w:rsidRPr="00D92F9E">
        <w:t xml:space="preserve"> (London: Victory Press, 1941), 117-119. Robinson also refers to a pamphlet by Donald Gee entitled ‘</w:t>
      </w:r>
      <w:r w:rsidRPr="00D92F9E">
        <w:rPr>
          <w:i/>
        </w:rPr>
        <w:t>Apostolic Church’ Error</w:t>
      </w:r>
      <w:r w:rsidRPr="00D92F9E">
        <w:t xml:space="preserve">; Robinson, </w:t>
      </w:r>
      <w:r w:rsidRPr="00D92F9E">
        <w:rPr>
          <w:i/>
        </w:rPr>
        <w:t>Pentecostal Origins</w:t>
      </w:r>
      <w:r w:rsidRPr="00D92F9E">
        <w:t xml:space="preserve">, 350. For Elim reactions to Apostolic ecclesiology, see George Jeffreys, </w:t>
      </w:r>
      <w:r w:rsidRPr="00D92F9E">
        <w:rPr>
          <w:i/>
        </w:rPr>
        <w:t>Pentecostal Rays: The Baptism and Gifts of the Holy Spirit</w:t>
      </w:r>
      <w:r w:rsidRPr="00D92F9E">
        <w:t xml:space="preserve"> (Clapham: Elim, 1933), 172-180; W.G. Hathaway, </w:t>
      </w:r>
      <w:r w:rsidRPr="00D92F9E">
        <w:rPr>
          <w:i/>
        </w:rPr>
        <w:t>The Gifts of the Spirit in the Church</w:t>
      </w:r>
      <w:r w:rsidRPr="00D92F9E">
        <w:t xml:space="preserve"> (London: 1933; rev. ed. Benhill Church Press, 1963), 66-73. Hathaway’s particularly extreme reaction to (his understanding of) the Apostolic teaching on prophecy was undoubtedly influenced by his own background in the AFC before joining Elim; see Malcolm Hathaway, ‘The Role of William Oliver Hutchinson and the Apostolic Faith Church in the formation of British Pentecostal Churches’, </w:t>
      </w:r>
      <w:r w:rsidRPr="00D92F9E">
        <w:rPr>
          <w:i/>
        </w:rPr>
        <w:t>JEPTA</w:t>
      </w:r>
      <w:r w:rsidRPr="00D92F9E">
        <w:t xml:space="preserve"> 16 (1996), 53-54. Australian Pentecostals reacted against the Apostolics by producing pamphlets entitled </w:t>
      </w:r>
      <w:r w:rsidRPr="00D92F9E">
        <w:rPr>
          <w:i/>
        </w:rPr>
        <w:t>The Blasphemous Lie of the ‘Set Prophet’</w:t>
      </w:r>
      <w:r w:rsidRPr="00D92F9E">
        <w:t xml:space="preserve"> and </w:t>
      </w:r>
      <w:r w:rsidRPr="00D92F9E">
        <w:rPr>
          <w:i/>
        </w:rPr>
        <w:t>The Apostolic Church Error</w:t>
      </w:r>
      <w:r w:rsidRPr="00D92F9E">
        <w:t xml:space="preserve">; see Barry Chant, ‘Waters to Swim in: Adelaide’s First Three Pentecostal Congregations – 1910-1935,’ </w:t>
      </w:r>
      <w:r w:rsidRPr="00D92F9E">
        <w:rPr>
          <w:i/>
        </w:rPr>
        <w:t>Australasian Pentecostal Studies</w:t>
      </w:r>
      <w:r w:rsidRPr="00D92F9E">
        <w:t>, 8 (2004). For Lewi Pethrus’ Scandinavian Pentecostal reaction to Apostolic Ecclesiology, see Tommy Davidsson, ‘Lewi Pethrus’ Ecclesiological Thought 1911-1974: A Transdenominational Pentecostal Ecclesiology’ (PhD diss., University of Birmingham, 2012), 114. See also, Black, ‘Toward the Possibility of a Pentecostal Ecclesiology</w:t>
      </w:r>
      <w:r>
        <w:t>’</w:t>
      </w:r>
      <w:r w:rsidRPr="00D92F9E">
        <w:t xml:space="preserve">, 3; William K. Kay, </w:t>
      </w:r>
      <w:r w:rsidRPr="00D92F9E">
        <w:rPr>
          <w:i/>
        </w:rPr>
        <w:t>Inside Story: A History of British Assemblies of God</w:t>
      </w:r>
      <w:r w:rsidRPr="00D92F9E">
        <w:t xml:space="preserve"> (Mattersey: Mattersey Hall, 1990), 71, 78.</w:t>
      </w:r>
    </w:p>
  </w:footnote>
  <w:footnote w:id="19">
    <w:p w:rsidR="00AB3F05" w:rsidRPr="00D92F9E" w:rsidRDefault="00AB3F05" w:rsidP="00062AED">
      <w:pPr>
        <w:pStyle w:val="FootnoteText"/>
      </w:pPr>
      <w:r w:rsidRPr="00D92F9E">
        <w:rPr>
          <w:rStyle w:val="FootnoteReference"/>
        </w:rPr>
        <w:footnoteRef/>
      </w:r>
      <w:r w:rsidRPr="00D92F9E">
        <w:t xml:space="preserve"> Timothy B. Walsh, </w:t>
      </w:r>
      <w:r w:rsidRPr="00D92F9E">
        <w:rPr>
          <w:i/>
        </w:rPr>
        <w:t>To Meet and Satisfy a Very Hungry People: The Origins and Fortunes of English Pentecostalism, 1907-1925</w:t>
      </w:r>
      <w:r w:rsidRPr="00D92F9E">
        <w:t>, Studies in Evangelical History and Thought (Milton Keynes: Paternoster, 2012), 22.</w:t>
      </w:r>
    </w:p>
  </w:footnote>
  <w:footnote w:id="20">
    <w:p w:rsidR="00AB3F05" w:rsidRPr="00D92F9E" w:rsidRDefault="00AB3F05" w:rsidP="00062AED">
      <w:pPr>
        <w:pStyle w:val="FootnoteText"/>
        <w:rPr>
          <w:rFonts w:cstheme="minorHAnsi"/>
        </w:rPr>
      </w:pPr>
      <w:r w:rsidRPr="00D92F9E">
        <w:rPr>
          <w:rStyle w:val="FootnoteReference"/>
          <w:rFonts w:cstheme="minorHAnsi"/>
        </w:rPr>
        <w:footnoteRef/>
      </w:r>
      <w:r w:rsidRPr="00D92F9E">
        <w:rPr>
          <w:rFonts w:cstheme="minorHAnsi"/>
        </w:rPr>
        <w:t xml:space="preserve"> Note that the first series to be printed in </w:t>
      </w:r>
      <w:r w:rsidRPr="00D92F9E">
        <w:rPr>
          <w:rFonts w:cstheme="minorHAnsi"/>
          <w:i/>
          <w:iCs/>
        </w:rPr>
        <w:t>Riches of Grace</w:t>
      </w:r>
      <w:r w:rsidRPr="00D92F9E">
        <w:rPr>
          <w:rFonts w:cstheme="minorHAnsi"/>
        </w:rPr>
        <w:t xml:space="preserve"> (the doctrinal magazine of the Apostolic Church) was entitled ‘Eglwys Iesu Grist’ (‘The Church of Jesus Christ’). See </w:t>
      </w:r>
      <w:r w:rsidRPr="00D92F9E">
        <w:rPr>
          <w:rFonts w:cstheme="minorHAnsi"/>
          <w:i/>
          <w:iCs/>
        </w:rPr>
        <w:t>Riches of Grace</w:t>
      </w:r>
      <w:r w:rsidRPr="00D92F9E">
        <w:rPr>
          <w:rFonts w:cstheme="minorHAnsi"/>
        </w:rPr>
        <w:t>, Vol 1.</w:t>
      </w:r>
    </w:p>
  </w:footnote>
  <w:footnote w:id="21">
    <w:p w:rsidR="00AB3F05" w:rsidRPr="00D92F9E" w:rsidRDefault="00AB3F05" w:rsidP="00062AED">
      <w:pPr>
        <w:pStyle w:val="FootnoteText"/>
      </w:pPr>
      <w:r w:rsidRPr="00D92F9E">
        <w:rPr>
          <w:rStyle w:val="FootnoteReference"/>
        </w:rPr>
        <w:footnoteRef/>
      </w:r>
      <w:r w:rsidRPr="00D92F9E">
        <w:t xml:space="preserve"> </w:t>
      </w:r>
      <w:r w:rsidRPr="00D92F9E">
        <w:rPr>
          <w:rFonts w:cstheme="minorHAnsi"/>
        </w:rPr>
        <w:t xml:space="preserve">Amos Yong, </w:t>
      </w:r>
      <w:r w:rsidRPr="00D92F9E">
        <w:rPr>
          <w:rFonts w:cstheme="minorHAnsi"/>
          <w:i/>
          <w:iCs/>
        </w:rPr>
        <w:t>The Spirit Poured Out on All Flesh: Pentecostalism and the Possibility of Global Theology</w:t>
      </w:r>
      <w:r w:rsidRPr="00D92F9E">
        <w:rPr>
          <w:rFonts w:cstheme="minorHAnsi"/>
        </w:rPr>
        <w:t xml:space="preserve"> (Grand Rapids: Baker Academic, 2005), 121.</w:t>
      </w:r>
    </w:p>
  </w:footnote>
  <w:footnote w:id="22">
    <w:p w:rsidR="00AB3F05" w:rsidRPr="00D92F9E" w:rsidRDefault="00AB3F05" w:rsidP="00062AED">
      <w:pPr>
        <w:pStyle w:val="FootnoteText"/>
        <w:rPr>
          <w:bCs/>
        </w:rPr>
      </w:pPr>
      <w:r w:rsidRPr="00D92F9E">
        <w:rPr>
          <w:rStyle w:val="FootnoteReference"/>
        </w:rPr>
        <w:footnoteRef/>
      </w:r>
      <w:r w:rsidRPr="00D92F9E">
        <w:t xml:space="preserve"> Allan Anderson</w:t>
      </w:r>
      <w:r w:rsidRPr="00D92F9E">
        <w:rPr>
          <w:i/>
        </w:rPr>
        <w:t>, An Introduction to Pentecostalism</w:t>
      </w:r>
      <w:r w:rsidRPr="00D92F9E">
        <w:t xml:space="preserve"> (Cambridge: Cambridge University Press, 2004), 116-121; Adam Mohr, </w:t>
      </w:r>
      <w:r w:rsidRPr="00D92F9E">
        <w:rPr>
          <w:i/>
        </w:rPr>
        <w:t>Enchanted Calvinism: Labor Migration, Afflicting Spirits, and Christian Therapy in the Presbyterian Church of Ghana</w:t>
      </w:r>
      <w:r w:rsidRPr="00D92F9E">
        <w:t xml:space="preserve"> (Woodbridge, Suffolk &amp; Rochester, NY: Boydell and Brewer &amp; University of Rochester Press, 2013)</w:t>
      </w:r>
      <w:r w:rsidRPr="00D92F9E">
        <w:rPr>
          <w:bCs/>
        </w:rPr>
        <w:t xml:space="preserve">, 77-79; Walter Hollenweger, preface to James E. Worsfold, </w:t>
      </w:r>
      <w:r w:rsidRPr="00D92F9E">
        <w:rPr>
          <w:bCs/>
          <w:i/>
        </w:rPr>
        <w:t>The Catholic and Apostolic Ministry of the Apostle and Prophet: The Paul and Silas Ministry</w:t>
      </w:r>
      <w:r w:rsidRPr="00D92F9E">
        <w:rPr>
          <w:bCs/>
        </w:rPr>
        <w:t xml:space="preserve"> (Paraparaumu, New Zealand: Kataritzo, 1981), 4.</w:t>
      </w:r>
    </w:p>
  </w:footnote>
  <w:footnote w:id="23">
    <w:p w:rsidR="00AB3F05" w:rsidRPr="00D92F9E" w:rsidRDefault="00AB3F05" w:rsidP="00062AED">
      <w:pPr>
        <w:pStyle w:val="FootnoteText"/>
      </w:pPr>
      <w:r w:rsidRPr="00D92F9E">
        <w:rPr>
          <w:rStyle w:val="FootnoteReference"/>
        </w:rPr>
        <w:footnoteRef/>
      </w:r>
      <w:r w:rsidRPr="00D92F9E">
        <w:t xml:space="preserve"> Andrew Walker, </w:t>
      </w:r>
      <w:r w:rsidRPr="00D92F9E">
        <w:rPr>
          <w:i/>
        </w:rPr>
        <w:t>Restoring the Kingdom: The Radical Christianity of the House Church Movement</w:t>
      </w:r>
      <w:r w:rsidRPr="00D92F9E">
        <w:t xml:space="preserve">, rev. ed. (Guildford: Eagle, 1998), 252; Peter Hocken, </w:t>
      </w:r>
      <w:r w:rsidRPr="00D92F9E">
        <w:rPr>
          <w:i/>
        </w:rPr>
        <w:t>The Challenges of the Pentecostal, Charismatic and Messianic Jewish Movements: The Tensions of the Spirit</w:t>
      </w:r>
      <w:r w:rsidRPr="00D92F9E">
        <w:t xml:space="preserve"> (Farnham: Ashgate, 2009), 43-44; Brian Stanley, </w:t>
      </w:r>
      <w:r w:rsidRPr="00D92F9E">
        <w:rPr>
          <w:i/>
        </w:rPr>
        <w:t>The Global Diffusion of Evangelicalism: The Age of Billy Graham and John Stott</w:t>
      </w:r>
      <w:r w:rsidRPr="00D92F9E">
        <w:t xml:space="preserve">, History of Evangelicalism, vol. 5 (Downers Grove: IVP, 2013), 186. The former Apostolic pastor, Cecil Cousen’s influence even extended beyond the ‘new churches’ as far as Tom Smail; Thomas A. Smail, </w:t>
      </w:r>
      <w:r w:rsidRPr="00D92F9E">
        <w:rPr>
          <w:i/>
        </w:rPr>
        <w:t>The Forgotten Father</w:t>
      </w:r>
      <w:r w:rsidRPr="00D92F9E">
        <w:t xml:space="preserve"> (London: Hodder and Stoughton, 1980; reprint ed., Eugene: Wipf and Stock, 2001), 27.</w:t>
      </w:r>
    </w:p>
  </w:footnote>
  <w:footnote w:id="24">
    <w:p w:rsidR="00AB3F05" w:rsidRPr="00D92F9E" w:rsidRDefault="00AB3F05" w:rsidP="00062AED">
      <w:pPr>
        <w:pStyle w:val="FootnoteText"/>
      </w:pPr>
      <w:r w:rsidRPr="00D92F9E">
        <w:rPr>
          <w:rStyle w:val="FootnoteReference"/>
        </w:rPr>
        <w:footnoteRef/>
      </w:r>
      <w:r w:rsidRPr="00D92F9E">
        <w:t xml:space="preserve"> Peter Althouse, </w:t>
      </w:r>
      <w:r w:rsidRPr="00D92F9E">
        <w:rPr>
          <w:i/>
        </w:rPr>
        <w:t>Spirit of the Last Days: Pentecostal Eschatology In Conversation with Jürgen Moltmann</w:t>
      </w:r>
      <w:r w:rsidRPr="00D92F9E">
        <w:t>, Journal of Pentecostal Theology Supplement Series, vol. 25 (London: T&amp;T Clark, 2003), 51. Althouse notes the role of the Latter Rain in the connection between Apostolic thought and North American charismatics, but seems to have mistaken the direction of influence, writing that ‘Latter Rain beliefs and practices made their mark on the Apostolic Church, particularly the belief that apostles and prophets were restored to the church.’ Ibid., 50. On the contrary, the Apostolic Church believed in the restoration of apostles and prophets (and ordainded such) from its earliest days, long before the outbreak of the Latter Rain.</w:t>
      </w:r>
    </w:p>
  </w:footnote>
  <w:footnote w:id="25">
    <w:p w:rsidR="00AB3F05" w:rsidRPr="00D92F9E" w:rsidRDefault="00AB3F05" w:rsidP="00062AED">
      <w:pPr>
        <w:pStyle w:val="FootnoteText"/>
        <w:rPr>
          <w:rFonts w:cstheme="minorHAnsi"/>
        </w:rPr>
      </w:pPr>
      <w:r w:rsidRPr="00D92F9E">
        <w:rPr>
          <w:rStyle w:val="FootnoteReference"/>
          <w:rFonts w:cstheme="minorHAnsi"/>
        </w:rPr>
        <w:footnoteRef/>
      </w:r>
      <w:r w:rsidRPr="00D92F9E">
        <w:rPr>
          <w:rFonts w:cstheme="minorHAnsi"/>
        </w:rPr>
        <w:t xml:space="preserve"> </w:t>
      </w:r>
      <w:r w:rsidRPr="00D92F9E">
        <w:t>Emmanuel Mbakwe, National Leader, Apostolic Church UK, ‘Our Famous God’, Circular Letter to all Pastors, 7</w:t>
      </w:r>
      <w:r w:rsidRPr="00D92F9E">
        <w:rPr>
          <w:vertAlign w:val="superscript"/>
        </w:rPr>
        <w:t>th</w:t>
      </w:r>
      <w:r w:rsidRPr="00D92F9E">
        <w:t xml:space="preserve"> January 2015. This global perspective stands in contrast to Hudson’s assessment based solely on the UK that ‘in 2009, the Apostolic Church is a small grouping … largely invisible to the rest of the British church, let alone wider society.’ Hudson, ‘The Development of British Pentecostalism’</w:t>
      </w:r>
      <w:r>
        <w:t>,</w:t>
      </w:r>
      <w:r w:rsidRPr="00D92F9E">
        <w:t xml:space="preserve"> 41. Cf. Walker, </w:t>
      </w:r>
      <w:r>
        <w:rPr>
          <w:i/>
        </w:rPr>
        <w:t>Restoring the Kingdom</w:t>
      </w:r>
      <w:r w:rsidRPr="00D92F9E">
        <w:t>, 253.</w:t>
      </w:r>
    </w:p>
  </w:footnote>
  <w:footnote w:id="26">
    <w:p w:rsidR="00AB3F05" w:rsidRPr="00D92F9E" w:rsidRDefault="00AB3F05" w:rsidP="00062AED">
      <w:pPr>
        <w:pStyle w:val="FootnoteText"/>
      </w:pPr>
      <w:r w:rsidRPr="00D92F9E">
        <w:rPr>
          <w:rStyle w:val="FootnoteReference"/>
        </w:rPr>
        <w:footnoteRef/>
      </w:r>
      <w:r w:rsidRPr="00D92F9E">
        <w:t xml:space="preserve"> Allan Anderson, </w:t>
      </w:r>
      <w:r w:rsidRPr="00D92F9E">
        <w:rPr>
          <w:i/>
        </w:rPr>
        <w:t>An Introduction to Pentecostalism: Global Charismatic Christianity</w:t>
      </w:r>
      <w:r w:rsidRPr="00D92F9E">
        <w:t xml:space="preserve"> (Cambridge: Cambridge University Press, 2013), 4.</w:t>
      </w:r>
    </w:p>
  </w:footnote>
  <w:footnote w:id="27">
    <w:p w:rsidR="00AB3F05" w:rsidRPr="00D92F9E" w:rsidRDefault="00AB3F05" w:rsidP="00062AED">
      <w:pPr>
        <w:pStyle w:val="FootnoteText"/>
      </w:pPr>
      <w:r w:rsidRPr="00D92F9E">
        <w:rPr>
          <w:rStyle w:val="FootnoteReference"/>
        </w:rPr>
        <w:footnoteRef/>
      </w:r>
      <w:r w:rsidRPr="00D92F9E">
        <w:t xml:space="preserve"> Ibid.</w:t>
      </w:r>
    </w:p>
  </w:footnote>
  <w:footnote w:id="28">
    <w:p w:rsidR="00AB3F05" w:rsidRPr="00D92F9E" w:rsidRDefault="00AB3F05" w:rsidP="00062AED">
      <w:pPr>
        <w:pStyle w:val="FootnoteText"/>
      </w:pPr>
      <w:r w:rsidRPr="00D92F9E">
        <w:rPr>
          <w:rStyle w:val="FootnoteReference"/>
        </w:rPr>
        <w:footnoteRef/>
      </w:r>
      <w:r w:rsidRPr="00D92F9E">
        <w:t xml:space="preserve"> Jason Mandryk, </w:t>
      </w:r>
      <w:r w:rsidRPr="00D92F9E">
        <w:rPr>
          <w:i/>
        </w:rPr>
        <w:t>Operation World</w:t>
      </w:r>
      <w:r w:rsidRPr="00D92F9E">
        <w:t>, 7</w:t>
      </w:r>
      <w:r w:rsidRPr="00D92F9E">
        <w:rPr>
          <w:vertAlign w:val="superscript"/>
        </w:rPr>
        <w:t>th</w:t>
      </w:r>
      <w:r w:rsidRPr="00D92F9E">
        <w:t xml:space="preserve"> ed. (Downers Grove: IVP, 2010), 3.</w:t>
      </w:r>
    </w:p>
  </w:footnote>
  <w:footnote w:id="29">
    <w:p w:rsidR="00AB3F05" w:rsidRPr="00D92F9E" w:rsidRDefault="00AB3F05" w:rsidP="00062AED">
      <w:pPr>
        <w:pStyle w:val="FootnoteText"/>
      </w:pPr>
      <w:r w:rsidRPr="00D92F9E">
        <w:rPr>
          <w:rStyle w:val="FootnoteReference"/>
        </w:rPr>
        <w:footnoteRef/>
      </w:r>
      <w:r w:rsidRPr="00D92F9E">
        <w:t xml:space="preserve"> Given the difficulty in both defining and counting global Pentecostals, this would appear rather consistent with the 2000 statistic of the Apostolic Church as 10% of world-wide classical Pentecostals based on the figures given by </w:t>
      </w:r>
      <w:r w:rsidRPr="00D92F9E">
        <w:rPr>
          <w:rFonts w:cstheme="minorHAnsi"/>
        </w:rPr>
        <w:t xml:space="preserve">D.B. Barrett &amp; T.M. Johnson, ‘Global Statistics’, in Stanley M. Burgess ed., </w:t>
      </w:r>
      <w:r>
        <w:rPr>
          <w:rFonts w:cstheme="minorHAnsi"/>
          <w:i/>
          <w:iCs/>
        </w:rPr>
        <w:t>NIDPCM</w:t>
      </w:r>
      <w:r w:rsidRPr="00D92F9E">
        <w:rPr>
          <w:rFonts w:cstheme="minorHAnsi"/>
        </w:rPr>
        <w:t xml:space="preserve"> (Grand Rapids: Zondervan, 2002), 286, and Gordon Weeks, </w:t>
      </w:r>
      <w:r w:rsidRPr="00D92F9E">
        <w:rPr>
          <w:rFonts w:cstheme="minorHAnsi"/>
          <w:i/>
        </w:rPr>
        <w:t>Chapter Thirty-Two</w:t>
      </w:r>
      <w:r w:rsidRPr="00D92F9E">
        <w:rPr>
          <w:rFonts w:cstheme="minorHAnsi"/>
        </w:rPr>
        <w:t>, 227; see Black, ‘</w:t>
      </w:r>
      <w:r w:rsidRPr="00D92F9E">
        <w:t>Toward the Possibility of a Pentecostal Ecclesiology’, 3.</w:t>
      </w:r>
    </w:p>
  </w:footnote>
  <w:footnote w:id="30">
    <w:p w:rsidR="00AB3F05" w:rsidRPr="00D92F9E" w:rsidRDefault="00AB3F05" w:rsidP="00062AED">
      <w:pPr>
        <w:pStyle w:val="FootnoteText"/>
      </w:pPr>
      <w:r w:rsidRPr="00D92F9E">
        <w:rPr>
          <w:rStyle w:val="FootnoteReference"/>
        </w:rPr>
        <w:footnoteRef/>
      </w:r>
      <w:r w:rsidRPr="00D92F9E">
        <w:t xml:space="preserve"> In some countries and parts of the world the Apostolic Church is even more significant. This is especially true of Nigeria, Ghana and other parts of West Africa, where, not only does the Apostolic Church have a very large membership, but many of the other main Pentecostal denominations have come out of, and thus been heavily influenced by, the work of the Apostolic Church and its missionaries. See </w:t>
      </w:r>
      <w:r w:rsidRPr="00D92F9E">
        <w:rPr>
          <w:rFonts w:cstheme="minorHAnsi"/>
        </w:rPr>
        <w:t xml:space="preserve">Anderson, </w:t>
      </w:r>
      <w:r w:rsidRPr="00D92F9E">
        <w:rPr>
          <w:rFonts w:cstheme="minorHAnsi"/>
          <w:i/>
          <w:iCs/>
        </w:rPr>
        <w:t>An Introduction to Pentecostalism</w:t>
      </w:r>
      <w:r w:rsidRPr="00D92F9E">
        <w:rPr>
          <w:rFonts w:cstheme="minorHAnsi"/>
        </w:rPr>
        <w:t xml:space="preserve"> (2004), 116-121.</w:t>
      </w:r>
    </w:p>
  </w:footnote>
  <w:footnote w:id="31">
    <w:p w:rsidR="00AB3F05" w:rsidRPr="00D92F9E" w:rsidRDefault="00AB3F05" w:rsidP="00062AED">
      <w:pPr>
        <w:pStyle w:val="FootnoteText"/>
      </w:pPr>
      <w:r w:rsidRPr="00D92F9E">
        <w:rPr>
          <w:rStyle w:val="FootnoteReference"/>
        </w:rPr>
        <w:footnoteRef/>
      </w:r>
      <w:r w:rsidRPr="00D92F9E">
        <w:t xml:space="preserve"> Worsfold, ‘Subsequence, Prophecy and Church Order in the Apostolic Church, New Zealand’, 213.</w:t>
      </w:r>
    </w:p>
  </w:footnote>
  <w:footnote w:id="32">
    <w:p w:rsidR="00AB3F05" w:rsidRPr="00D92F9E" w:rsidRDefault="00AB3F05" w:rsidP="00062AED">
      <w:pPr>
        <w:pStyle w:val="FootnoteText"/>
      </w:pPr>
      <w:r w:rsidRPr="00D92F9E">
        <w:rPr>
          <w:rStyle w:val="FootnoteReference"/>
        </w:rPr>
        <w:footnoteRef/>
      </w:r>
      <w:r w:rsidRPr="00D92F9E">
        <w:t xml:space="preserve"> For this research I have managed to assemble a near-complete collection of Apostolic doctrinal magazines and books for the period </w:t>
      </w:r>
      <w:r>
        <w:t xml:space="preserve">from 1916 </w:t>
      </w:r>
      <w:r w:rsidRPr="00D92F9E">
        <w:t>until the death of D.P. Williams in 1947. From then until the close of the research period in 1977 there may be some more gaps in the material. Certainty over an exhaustive collection of materials is impossible due to the lack of a list of what existed. Undiscovered materials have regularly come to light over the course of the research.</w:t>
      </w:r>
    </w:p>
  </w:footnote>
  <w:footnote w:id="33">
    <w:p w:rsidR="00AB3F05" w:rsidRPr="00D92F9E" w:rsidRDefault="00AB3F05" w:rsidP="00062AED">
      <w:pPr>
        <w:pStyle w:val="FootnoteText"/>
      </w:pPr>
      <w:r w:rsidRPr="00D92F9E">
        <w:rPr>
          <w:rStyle w:val="FootnoteReference"/>
        </w:rPr>
        <w:footnoteRef/>
      </w:r>
      <w:r w:rsidRPr="00D92F9E">
        <w:t xml:space="preserve"> Except for one document, which continued to be used and printed after 1916, although written earlier, namely D.P. Williams, </w:t>
      </w:r>
      <w:r w:rsidRPr="00D92F9E">
        <w:rPr>
          <w:i/>
        </w:rPr>
        <w:t>Athrawiaethau Sylfeinol yr Eglwys y Ffydd Apostolaidd yn Nghymru</w:t>
      </w:r>
      <w:r w:rsidRPr="00D92F9E">
        <w:t xml:space="preserve"> (Llanelli, 1914).</w:t>
      </w:r>
    </w:p>
  </w:footnote>
  <w:footnote w:id="34">
    <w:p w:rsidR="00AB3F05" w:rsidRPr="00D02F38" w:rsidRDefault="00AB3F05">
      <w:pPr>
        <w:pStyle w:val="FootnoteText"/>
      </w:pPr>
      <w:r>
        <w:rPr>
          <w:rStyle w:val="FootnoteReference"/>
        </w:rPr>
        <w:footnoteRef/>
      </w:r>
      <w:r>
        <w:t xml:space="preserve"> Frank D. Macchia, </w:t>
      </w:r>
      <w:r w:rsidRPr="00D02F38">
        <w:rPr>
          <w:i/>
        </w:rPr>
        <w:t>Baptized in the Spirit: A Global Pentecostal Theology</w:t>
      </w:r>
      <w:r>
        <w:t xml:space="preserve"> (Grand Rapids: Zondervan, 2006), 19-60.</w:t>
      </w:r>
    </w:p>
  </w:footnote>
  <w:footnote w:id="35">
    <w:p w:rsidR="00AB3F05" w:rsidRPr="002073A0" w:rsidRDefault="00AB3F05">
      <w:pPr>
        <w:pStyle w:val="FootnoteText"/>
      </w:pPr>
      <w:r>
        <w:rPr>
          <w:rStyle w:val="FootnoteReference"/>
        </w:rPr>
        <w:footnoteRef/>
      </w:r>
      <w:r>
        <w:t xml:space="preserve"> Ibid., 21.</w:t>
      </w:r>
    </w:p>
  </w:footnote>
  <w:footnote w:id="36">
    <w:p w:rsidR="00AB3F05" w:rsidRPr="00F5249B" w:rsidRDefault="00AB3F05">
      <w:pPr>
        <w:pStyle w:val="FootnoteText"/>
      </w:pPr>
      <w:r>
        <w:rPr>
          <w:rStyle w:val="FootnoteReference"/>
        </w:rPr>
        <w:footnoteRef/>
      </w:r>
      <w:r>
        <w:t xml:space="preserve"> Ibid., 20.</w:t>
      </w:r>
    </w:p>
  </w:footnote>
  <w:footnote w:id="37">
    <w:p w:rsidR="00AB3F05" w:rsidRPr="00F5249B" w:rsidRDefault="00AB3F05">
      <w:pPr>
        <w:pStyle w:val="FootnoteText"/>
      </w:pPr>
      <w:r>
        <w:rPr>
          <w:rStyle w:val="FootnoteReference"/>
        </w:rPr>
        <w:footnoteRef/>
      </w:r>
      <w:r>
        <w:t xml:space="preserve"> Chan, </w:t>
      </w:r>
      <w:r w:rsidRPr="00F5249B">
        <w:rPr>
          <w:i/>
        </w:rPr>
        <w:t>Pentecostal Ecclesiology</w:t>
      </w:r>
      <w:r>
        <w:t>, 2, 94.</w:t>
      </w:r>
    </w:p>
  </w:footnote>
  <w:footnote w:id="38">
    <w:p w:rsidR="00AB3F05" w:rsidRPr="00F66EA7" w:rsidRDefault="00AB3F05">
      <w:pPr>
        <w:pStyle w:val="FootnoteText"/>
        <w:rPr>
          <w:lang w:val="cy-GB"/>
        </w:rPr>
      </w:pPr>
      <w:r>
        <w:rPr>
          <w:rStyle w:val="FootnoteReference"/>
        </w:rPr>
        <w:footnoteRef/>
      </w:r>
      <w:r>
        <w:t xml:space="preserve"> G.W. Gohr, </w:t>
      </w:r>
      <w:r>
        <w:rPr>
          <w:lang w:val="cy-GB"/>
        </w:rPr>
        <w:t xml:space="preserve">‘Pearlman, Myer’, in Stanley M. Burgess and Eduard M. Van Der Maas, ed., </w:t>
      </w:r>
      <w:r>
        <w:rPr>
          <w:i/>
          <w:lang w:val="cy-GB"/>
        </w:rPr>
        <w:t>NIDPCM</w:t>
      </w:r>
      <w:r>
        <w:rPr>
          <w:lang w:val="cy-GB"/>
        </w:rPr>
        <w:t xml:space="preserve"> (Grand Rapids: Zondervan, 2002), 959.</w:t>
      </w:r>
    </w:p>
  </w:footnote>
  <w:footnote w:id="39">
    <w:p w:rsidR="00AB3F05" w:rsidRPr="00F66EA7" w:rsidRDefault="00AB3F05">
      <w:pPr>
        <w:pStyle w:val="FootnoteText"/>
        <w:rPr>
          <w:lang w:val="cy-GB"/>
        </w:rPr>
      </w:pPr>
      <w:r>
        <w:rPr>
          <w:rStyle w:val="FootnoteReference"/>
        </w:rPr>
        <w:footnoteRef/>
      </w:r>
      <w:r>
        <w:t xml:space="preserve"> </w:t>
      </w:r>
      <w:r>
        <w:rPr>
          <w:lang w:val="cy-GB"/>
        </w:rPr>
        <w:t xml:space="preserve">Myer Pearlman, </w:t>
      </w:r>
      <w:r w:rsidRPr="00F66EA7">
        <w:rPr>
          <w:i/>
          <w:lang w:val="cy-GB"/>
        </w:rPr>
        <w:t>Knowing the Doctrines of the Bible</w:t>
      </w:r>
      <w:r>
        <w:rPr>
          <w:lang w:val="cy-GB"/>
        </w:rPr>
        <w:t xml:space="preserve"> (Springfield: Gospel Publishing House, 1937, rev. 1981)</w:t>
      </w:r>
    </w:p>
  </w:footnote>
  <w:footnote w:id="40">
    <w:p w:rsidR="00AB3F05" w:rsidRPr="00F66EA7" w:rsidRDefault="00AB3F05">
      <w:pPr>
        <w:pStyle w:val="FootnoteText"/>
        <w:rPr>
          <w:lang w:val="cy-GB"/>
        </w:rPr>
      </w:pPr>
      <w:r>
        <w:rPr>
          <w:rStyle w:val="FootnoteReference"/>
        </w:rPr>
        <w:footnoteRef/>
      </w:r>
      <w:r>
        <w:t xml:space="preserve"> Christopher A. Stevenson, </w:t>
      </w:r>
      <w:r w:rsidRPr="00F66EA7">
        <w:rPr>
          <w:i/>
        </w:rPr>
        <w:t>Types of Pentecostal Theology: Method, System, Spirit</w:t>
      </w:r>
      <w:r>
        <w:t xml:space="preserve"> (New York: Oxford University Press, 2013), </w:t>
      </w:r>
      <w:r>
        <w:rPr>
          <w:lang w:val="cy-GB"/>
        </w:rPr>
        <w:t>11.</w:t>
      </w:r>
    </w:p>
  </w:footnote>
  <w:footnote w:id="41">
    <w:p w:rsidR="00AB3F05" w:rsidRPr="0049664F" w:rsidRDefault="00AB3F05">
      <w:pPr>
        <w:pStyle w:val="FootnoteText"/>
        <w:rPr>
          <w:lang w:val="cy-GB"/>
        </w:rPr>
      </w:pPr>
      <w:r>
        <w:rPr>
          <w:rStyle w:val="FootnoteReference"/>
        </w:rPr>
        <w:footnoteRef/>
      </w:r>
      <w:r>
        <w:t xml:space="preserve"> </w:t>
      </w:r>
      <w:r>
        <w:rPr>
          <w:lang w:val="cy-GB"/>
        </w:rPr>
        <w:t>Ibid., 12.</w:t>
      </w:r>
    </w:p>
  </w:footnote>
  <w:footnote w:id="42">
    <w:p w:rsidR="00AB3F05" w:rsidRPr="0049664F" w:rsidRDefault="00AB3F05">
      <w:pPr>
        <w:pStyle w:val="FootnoteText"/>
        <w:rPr>
          <w:lang w:val="cy-GB"/>
        </w:rPr>
      </w:pPr>
      <w:r>
        <w:rPr>
          <w:rStyle w:val="FootnoteReference"/>
        </w:rPr>
        <w:footnoteRef/>
      </w:r>
      <w:r>
        <w:t xml:space="preserve"> </w:t>
      </w:r>
      <w:r>
        <w:rPr>
          <w:lang w:val="cy-GB"/>
        </w:rPr>
        <w:t>Ibid., 11.</w:t>
      </w:r>
    </w:p>
  </w:footnote>
  <w:footnote w:id="43">
    <w:p w:rsidR="00AB3F05" w:rsidRPr="009A4F4C" w:rsidRDefault="00AB3F05">
      <w:pPr>
        <w:pStyle w:val="FootnoteText"/>
        <w:rPr>
          <w:lang w:val="cy-GB"/>
        </w:rPr>
      </w:pPr>
      <w:r>
        <w:rPr>
          <w:rStyle w:val="FootnoteReference"/>
        </w:rPr>
        <w:footnoteRef/>
      </w:r>
      <w:r>
        <w:t xml:space="preserve"> </w:t>
      </w:r>
      <w:r>
        <w:rPr>
          <w:lang w:val="cy-GB"/>
        </w:rPr>
        <w:t xml:space="preserve">L.F. Wilson, ‘Riggs, Ralph Meredith’, in Stanley M. Burgess and Eduard M. Van Der Maas, ed., </w:t>
      </w:r>
      <w:r>
        <w:rPr>
          <w:i/>
          <w:lang w:val="cy-GB"/>
        </w:rPr>
        <w:t>NIDPCM</w:t>
      </w:r>
      <w:r>
        <w:rPr>
          <w:lang w:val="cy-GB"/>
        </w:rPr>
        <w:t xml:space="preserve"> (Grand Rapids: Zondervan, 2002), 1022-23. </w:t>
      </w:r>
    </w:p>
  </w:footnote>
  <w:footnote w:id="44">
    <w:p w:rsidR="00AB3F05" w:rsidRPr="0023390C" w:rsidRDefault="00AB3F05">
      <w:pPr>
        <w:pStyle w:val="FootnoteText"/>
        <w:rPr>
          <w:lang w:val="cy-GB"/>
        </w:rPr>
      </w:pPr>
      <w:r>
        <w:rPr>
          <w:rStyle w:val="FootnoteReference"/>
        </w:rPr>
        <w:footnoteRef/>
      </w:r>
      <w:r>
        <w:t xml:space="preserve"> </w:t>
      </w:r>
      <w:r>
        <w:rPr>
          <w:lang w:val="cy-GB"/>
        </w:rPr>
        <w:t xml:space="preserve">Ralph M. Riggs, </w:t>
      </w:r>
      <w:r w:rsidRPr="0023390C">
        <w:rPr>
          <w:i/>
          <w:lang w:val="cy-GB"/>
        </w:rPr>
        <w:t>The Spirit Himself</w:t>
      </w:r>
      <w:r>
        <w:rPr>
          <w:lang w:val="cy-GB"/>
        </w:rPr>
        <w:t xml:space="preserve"> (Springfield: Gospel Publishing House, 1949, 1977).</w:t>
      </w:r>
    </w:p>
  </w:footnote>
  <w:footnote w:id="45">
    <w:p w:rsidR="00AB3F05" w:rsidRPr="0023390C" w:rsidRDefault="00AB3F05">
      <w:pPr>
        <w:pStyle w:val="FootnoteText"/>
        <w:rPr>
          <w:lang w:val="cy-GB"/>
        </w:rPr>
      </w:pPr>
      <w:r>
        <w:rPr>
          <w:rStyle w:val="FootnoteReference"/>
        </w:rPr>
        <w:footnoteRef/>
      </w:r>
      <w:r>
        <w:t xml:space="preserve"> </w:t>
      </w:r>
      <w:r>
        <w:rPr>
          <w:lang w:val="cy-GB"/>
        </w:rPr>
        <w:t>L.F. Wilson, ‘Riggs’, 1022.</w:t>
      </w:r>
    </w:p>
  </w:footnote>
  <w:footnote w:id="46">
    <w:p w:rsidR="00AB3F05" w:rsidRPr="00C96AD4" w:rsidRDefault="00AB3F05">
      <w:pPr>
        <w:pStyle w:val="FootnoteText"/>
        <w:rPr>
          <w:lang w:val="cy-GB"/>
        </w:rPr>
      </w:pPr>
      <w:r>
        <w:rPr>
          <w:rStyle w:val="FootnoteReference"/>
        </w:rPr>
        <w:footnoteRef/>
      </w:r>
      <w:r>
        <w:t xml:space="preserve"> </w:t>
      </w:r>
      <w:r>
        <w:rPr>
          <w:lang w:val="cy-GB"/>
        </w:rPr>
        <w:t xml:space="preserve">Frederick Dale Bruner, </w:t>
      </w:r>
      <w:r w:rsidRPr="00C96AD4">
        <w:rPr>
          <w:i/>
          <w:lang w:val="cy-GB"/>
        </w:rPr>
        <w:t>A Theology of the Holy Spirit: The Pentecostal Experience and the New Testament Witness</w:t>
      </w:r>
      <w:r>
        <w:rPr>
          <w:lang w:val="cy-GB"/>
        </w:rPr>
        <w:t xml:space="preserve"> (London: Hodder and Stoughton, 1971), 342.</w:t>
      </w:r>
    </w:p>
  </w:footnote>
  <w:footnote w:id="47">
    <w:p w:rsidR="00AB3F05" w:rsidRPr="00B574BE" w:rsidRDefault="00AB3F05">
      <w:pPr>
        <w:pStyle w:val="FootnoteText"/>
      </w:pPr>
      <w:r>
        <w:rPr>
          <w:rStyle w:val="FootnoteReference"/>
        </w:rPr>
        <w:footnoteRef/>
      </w:r>
      <w:r>
        <w:t xml:space="preserve"> Colin Whittaker, </w:t>
      </w:r>
      <w:r w:rsidRPr="00B574BE">
        <w:rPr>
          <w:i/>
        </w:rPr>
        <w:t>Seven Pentecostal Pioneers</w:t>
      </w:r>
      <w:r>
        <w:t xml:space="preserve"> (Basingstoke: Marshall Pickering, 1983), 131-132.</w:t>
      </w:r>
    </w:p>
  </w:footnote>
  <w:footnote w:id="48">
    <w:p w:rsidR="00AB3F05" w:rsidRPr="00386EE7" w:rsidRDefault="00AB3F05">
      <w:pPr>
        <w:pStyle w:val="FootnoteText"/>
        <w:rPr>
          <w:lang w:val="cy-GB"/>
        </w:rPr>
      </w:pPr>
      <w:r>
        <w:rPr>
          <w:rStyle w:val="FootnoteReference"/>
        </w:rPr>
        <w:footnoteRef/>
      </w:r>
      <w:r>
        <w:t xml:space="preserve"> </w:t>
      </w:r>
      <w:r>
        <w:rPr>
          <w:lang w:val="cy-GB"/>
        </w:rPr>
        <w:t xml:space="preserve">D.D. Bundy, ‘Horton, Harold Lawrence Cuthbert’, in Stanley M. Burgess and Eduard M. Van Der Maas, ed., </w:t>
      </w:r>
      <w:r>
        <w:rPr>
          <w:i/>
          <w:lang w:val="cy-GB"/>
        </w:rPr>
        <w:t>NIDPCM</w:t>
      </w:r>
      <w:r>
        <w:rPr>
          <w:lang w:val="cy-GB"/>
        </w:rPr>
        <w:t xml:space="preserve"> (Grand Rapids: Zondervan, 2002), 772.</w:t>
      </w:r>
    </w:p>
  </w:footnote>
  <w:footnote w:id="49">
    <w:p w:rsidR="00AB3F05" w:rsidRPr="001319FD" w:rsidRDefault="00AB3F05">
      <w:pPr>
        <w:pStyle w:val="FootnoteText"/>
        <w:rPr>
          <w:lang w:val="cy-GB"/>
        </w:rPr>
      </w:pPr>
      <w:r>
        <w:rPr>
          <w:rStyle w:val="FootnoteReference"/>
        </w:rPr>
        <w:footnoteRef/>
      </w:r>
      <w:r>
        <w:t xml:space="preserve"> </w:t>
      </w:r>
      <w:r>
        <w:rPr>
          <w:lang w:val="cy-GB"/>
        </w:rPr>
        <w:t xml:space="preserve">Whittaker, </w:t>
      </w:r>
      <w:r w:rsidRPr="002047A4">
        <w:rPr>
          <w:i/>
          <w:lang w:val="cy-GB"/>
        </w:rPr>
        <w:t>Seven Pentecostal Pioneers</w:t>
      </w:r>
      <w:r>
        <w:rPr>
          <w:lang w:val="cy-GB"/>
        </w:rPr>
        <w:t>, 134-145.</w:t>
      </w:r>
    </w:p>
  </w:footnote>
  <w:footnote w:id="50">
    <w:p w:rsidR="00AB3F05" w:rsidRPr="002B4669" w:rsidRDefault="00AB3F05">
      <w:pPr>
        <w:pStyle w:val="FootnoteText"/>
      </w:pPr>
      <w:r>
        <w:rPr>
          <w:rStyle w:val="FootnoteReference"/>
        </w:rPr>
        <w:footnoteRef/>
      </w:r>
      <w:r>
        <w:t xml:space="preserve"> Harold Horton, </w:t>
      </w:r>
      <w:r w:rsidRPr="00E95D17">
        <w:rPr>
          <w:i/>
        </w:rPr>
        <w:t>The Gifts of the Spirit</w:t>
      </w:r>
      <w:r>
        <w:t xml:space="preserve"> (Nottingham: AoG Publishing House, 1934). Part of the significance of this work is found in Horton’s differences from Donald Gee’s views on certain of the gifts. Broadly speaking, Gee’s views were more influential in the United States and Horton’s in the United Kingdom. This is subtly acknowledged in a note from the publishers on the American edition of Horton’s book highlighting ‘some minor differences.’ Harold Horton, </w:t>
      </w:r>
      <w:r w:rsidRPr="00066BC8">
        <w:rPr>
          <w:i/>
        </w:rPr>
        <w:t>The Gifts of the Spirit</w:t>
      </w:r>
      <w:r>
        <w:t xml:space="preserve"> (Springfield: Gospel Publishing House, 1934); the note is on the copyright page of the 7</w:t>
      </w:r>
      <w:r w:rsidRPr="00106D73">
        <w:rPr>
          <w:vertAlign w:val="superscript"/>
        </w:rPr>
        <w:t>th</w:t>
      </w:r>
      <w:r>
        <w:t xml:space="preserve"> printing, 2002.</w:t>
      </w:r>
    </w:p>
  </w:footnote>
  <w:footnote w:id="51">
    <w:p w:rsidR="00AB3F05" w:rsidRPr="002B4669" w:rsidRDefault="00AB3F05">
      <w:pPr>
        <w:pStyle w:val="FootnoteText"/>
        <w:rPr>
          <w:lang w:val="cy-GB"/>
        </w:rPr>
      </w:pPr>
      <w:r>
        <w:rPr>
          <w:rStyle w:val="FootnoteReference"/>
        </w:rPr>
        <w:footnoteRef/>
      </w:r>
      <w:r>
        <w:t xml:space="preserve"> </w:t>
      </w:r>
      <w:r>
        <w:rPr>
          <w:lang w:val="cy-GB"/>
        </w:rPr>
        <w:t xml:space="preserve">Whittaker, </w:t>
      </w:r>
      <w:r w:rsidRPr="002047A4">
        <w:rPr>
          <w:i/>
          <w:lang w:val="cy-GB"/>
        </w:rPr>
        <w:t>Seven Pentecostal Pioneers</w:t>
      </w:r>
      <w:r>
        <w:rPr>
          <w:lang w:val="cy-GB"/>
        </w:rPr>
        <w:t>, 136.</w:t>
      </w:r>
    </w:p>
  </w:footnote>
  <w:footnote w:id="52">
    <w:p w:rsidR="00AB3F05" w:rsidRPr="007D184A" w:rsidRDefault="00AB3F05">
      <w:pPr>
        <w:pStyle w:val="FootnoteText"/>
        <w:rPr>
          <w:lang w:val="cy-GB"/>
        </w:rPr>
      </w:pPr>
      <w:r>
        <w:rPr>
          <w:rStyle w:val="FootnoteReference"/>
        </w:rPr>
        <w:footnoteRef/>
      </w:r>
      <w:r>
        <w:t xml:space="preserve"> </w:t>
      </w:r>
      <w:r>
        <w:rPr>
          <w:lang w:val="cy-GB"/>
        </w:rPr>
        <w:t xml:space="preserve">Pearlman, </w:t>
      </w:r>
      <w:r w:rsidRPr="007D184A">
        <w:rPr>
          <w:i/>
          <w:lang w:val="cy-GB"/>
        </w:rPr>
        <w:t>Knowing the</w:t>
      </w:r>
      <w:r>
        <w:rPr>
          <w:i/>
          <w:lang w:val="cy-GB"/>
        </w:rPr>
        <w:t xml:space="preserve"> Doctrines</w:t>
      </w:r>
      <w:r>
        <w:rPr>
          <w:lang w:val="cy-GB"/>
        </w:rPr>
        <w:t>, 308-319.</w:t>
      </w:r>
    </w:p>
  </w:footnote>
  <w:footnote w:id="53">
    <w:p w:rsidR="00AB3F05" w:rsidRPr="001D6289" w:rsidRDefault="00AB3F05">
      <w:pPr>
        <w:pStyle w:val="FootnoteText"/>
        <w:rPr>
          <w:lang w:val="cy-GB"/>
        </w:rPr>
      </w:pPr>
      <w:r>
        <w:rPr>
          <w:rStyle w:val="FootnoteReference"/>
        </w:rPr>
        <w:footnoteRef/>
      </w:r>
      <w:r>
        <w:t xml:space="preserve"> </w:t>
      </w:r>
      <w:r>
        <w:rPr>
          <w:lang w:val="cy-GB"/>
        </w:rPr>
        <w:t>Ibid., 309.</w:t>
      </w:r>
    </w:p>
  </w:footnote>
  <w:footnote w:id="54">
    <w:p w:rsidR="00AB3F05" w:rsidRPr="001D6289" w:rsidRDefault="00AB3F05">
      <w:pPr>
        <w:pStyle w:val="FootnoteText"/>
        <w:rPr>
          <w:lang w:val="cy-GB"/>
        </w:rPr>
      </w:pPr>
      <w:r>
        <w:rPr>
          <w:rStyle w:val="FootnoteReference"/>
        </w:rPr>
        <w:footnoteRef/>
      </w:r>
      <w:r>
        <w:t xml:space="preserve"> </w:t>
      </w:r>
      <w:r>
        <w:rPr>
          <w:lang w:val="cy-GB"/>
        </w:rPr>
        <w:t>Ibid.</w:t>
      </w:r>
    </w:p>
  </w:footnote>
  <w:footnote w:id="55">
    <w:p w:rsidR="00AB3F05" w:rsidRPr="001D6289" w:rsidRDefault="00AB3F05">
      <w:pPr>
        <w:pStyle w:val="FootnoteText"/>
        <w:rPr>
          <w:lang w:val="cy-GB"/>
        </w:rPr>
      </w:pPr>
      <w:r>
        <w:rPr>
          <w:rStyle w:val="FootnoteReference"/>
        </w:rPr>
        <w:footnoteRef/>
      </w:r>
      <w:r>
        <w:t xml:space="preserve"> </w:t>
      </w:r>
      <w:r>
        <w:rPr>
          <w:lang w:val="cy-GB"/>
        </w:rPr>
        <w:t>Ibid., 310.</w:t>
      </w:r>
    </w:p>
  </w:footnote>
  <w:footnote w:id="56">
    <w:p w:rsidR="00AB3F05" w:rsidRPr="00384D74" w:rsidRDefault="00AB3F05">
      <w:pPr>
        <w:pStyle w:val="FootnoteText"/>
        <w:rPr>
          <w:lang w:val="cy-GB"/>
        </w:rPr>
      </w:pPr>
      <w:r>
        <w:rPr>
          <w:rStyle w:val="FootnoteReference"/>
        </w:rPr>
        <w:footnoteRef/>
      </w:r>
      <w:r>
        <w:t xml:space="preserve"> </w:t>
      </w:r>
      <w:r>
        <w:rPr>
          <w:lang w:val="cy-GB"/>
        </w:rPr>
        <w:t>Ibid.</w:t>
      </w:r>
    </w:p>
  </w:footnote>
  <w:footnote w:id="57">
    <w:p w:rsidR="00AB3F05" w:rsidRPr="00384D74" w:rsidRDefault="00AB3F05">
      <w:pPr>
        <w:pStyle w:val="FootnoteText"/>
        <w:rPr>
          <w:lang w:val="cy-GB"/>
        </w:rPr>
      </w:pPr>
      <w:r>
        <w:rPr>
          <w:rStyle w:val="FootnoteReference"/>
        </w:rPr>
        <w:footnoteRef/>
      </w:r>
      <w:r>
        <w:t xml:space="preserve"> </w:t>
      </w:r>
      <w:r>
        <w:rPr>
          <w:lang w:val="cy-GB"/>
        </w:rPr>
        <w:t>Ibid.</w:t>
      </w:r>
    </w:p>
  </w:footnote>
  <w:footnote w:id="58">
    <w:p w:rsidR="00AB3F05" w:rsidRPr="008B04E9" w:rsidRDefault="00AB3F05">
      <w:pPr>
        <w:pStyle w:val="FootnoteText"/>
        <w:rPr>
          <w:lang w:val="cy-GB"/>
        </w:rPr>
      </w:pPr>
      <w:r>
        <w:rPr>
          <w:rStyle w:val="FootnoteReference"/>
        </w:rPr>
        <w:footnoteRef/>
      </w:r>
      <w:r>
        <w:t xml:space="preserve"> </w:t>
      </w:r>
      <w:r>
        <w:rPr>
          <w:lang w:val="cy-GB"/>
        </w:rPr>
        <w:t>Ibid., 312.</w:t>
      </w:r>
    </w:p>
  </w:footnote>
  <w:footnote w:id="59">
    <w:p w:rsidR="00AB3F05" w:rsidRPr="00FB6B22" w:rsidRDefault="00AB3F05">
      <w:pPr>
        <w:pStyle w:val="FootnoteText"/>
        <w:rPr>
          <w:lang w:val="cy-GB"/>
        </w:rPr>
      </w:pPr>
      <w:r>
        <w:rPr>
          <w:rStyle w:val="FootnoteReference"/>
        </w:rPr>
        <w:footnoteRef/>
      </w:r>
      <w:r>
        <w:t xml:space="preserve"> </w:t>
      </w:r>
      <w:r>
        <w:rPr>
          <w:lang w:val="cy-GB"/>
        </w:rPr>
        <w:t xml:space="preserve">Riggs, </w:t>
      </w:r>
      <w:r w:rsidRPr="00066BC8">
        <w:rPr>
          <w:i/>
          <w:lang w:val="cy-GB"/>
        </w:rPr>
        <w:t>Spirit Himself</w:t>
      </w:r>
      <w:r>
        <w:rPr>
          <w:lang w:val="cy-GB"/>
        </w:rPr>
        <w:t>, 79-80.</w:t>
      </w:r>
    </w:p>
  </w:footnote>
  <w:footnote w:id="60">
    <w:p w:rsidR="00AB3F05" w:rsidRPr="00CA3C78" w:rsidRDefault="00AB3F05">
      <w:pPr>
        <w:pStyle w:val="FootnoteText"/>
        <w:rPr>
          <w:lang w:val="cy-GB"/>
        </w:rPr>
      </w:pPr>
      <w:r>
        <w:rPr>
          <w:rStyle w:val="FootnoteReference"/>
        </w:rPr>
        <w:footnoteRef/>
      </w:r>
      <w:r>
        <w:t xml:space="preserve"> </w:t>
      </w:r>
      <w:r>
        <w:rPr>
          <w:lang w:val="cy-GB"/>
        </w:rPr>
        <w:t>Ibid., 77.</w:t>
      </w:r>
    </w:p>
  </w:footnote>
  <w:footnote w:id="61">
    <w:p w:rsidR="00AB3F05" w:rsidRPr="00CA3C78" w:rsidRDefault="00AB3F05">
      <w:pPr>
        <w:pStyle w:val="FootnoteText"/>
        <w:rPr>
          <w:lang w:val="cy-GB"/>
        </w:rPr>
      </w:pPr>
      <w:r>
        <w:rPr>
          <w:rStyle w:val="FootnoteReference"/>
        </w:rPr>
        <w:footnoteRef/>
      </w:r>
      <w:r>
        <w:t xml:space="preserve"> </w:t>
      </w:r>
      <w:r>
        <w:rPr>
          <w:lang w:val="cy-GB"/>
        </w:rPr>
        <w:t>Ibid., 73.</w:t>
      </w:r>
    </w:p>
  </w:footnote>
  <w:footnote w:id="62">
    <w:p w:rsidR="00AB3F05" w:rsidRPr="00CA3C78" w:rsidRDefault="00AB3F05">
      <w:pPr>
        <w:pStyle w:val="FootnoteText"/>
        <w:rPr>
          <w:lang w:val="cy-GB"/>
        </w:rPr>
      </w:pPr>
      <w:r>
        <w:rPr>
          <w:rStyle w:val="FootnoteReference"/>
        </w:rPr>
        <w:footnoteRef/>
      </w:r>
      <w:r>
        <w:t xml:space="preserve"> </w:t>
      </w:r>
      <w:r>
        <w:rPr>
          <w:lang w:val="cy-GB"/>
        </w:rPr>
        <w:t>Ibid., 72. Note how Riggs reads the annointing of the Spirit as our consecration and dedication as prophets, priests and kings.</w:t>
      </w:r>
    </w:p>
  </w:footnote>
  <w:footnote w:id="63">
    <w:p w:rsidR="00AB3F05" w:rsidRPr="00CA3C78" w:rsidRDefault="00AB3F05">
      <w:pPr>
        <w:pStyle w:val="FootnoteText"/>
        <w:rPr>
          <w:lang w:val="cy-GB"/>
        </w:rPr>
      </w:pPr>
      <w:r>
        <w:rPr>
          <w:rStyle w:val="FootnoteReference"/>
        </w:rPr>
        <w:footnoteRef/>
      </w:r>
      <w:r>
        <w:t xml:space="preserve"> </w:t>
      </w:r>
      <w:r>
        <w:rPr>
          <w:lang w:val="cy-GB"/>
        </w:rPr>
        <w:t>Ibid., 75; see also 188-189.</w:t>
      </w:r>
    </w:p>
  </w:footnote>
  <w:footnote w:id="64">
    <w:p w:rsidR="00AB3F05" w:rsidRPr="00AD3372" w:rsidRDefault="00AB3F05">
      <w:pPr>
        <w:pStyle w:val="FootnoteText"/>
        <w:rPr>
          <w:lang w:val="cy-GB"/>
        </w:rPr>
      </w:pPr>
      <w:r>
        <w:rPr>
          <w:rStyle w:val="FootnoteReference"/>
        </w:rPr>
        <w:footnoteRef/>
      </w:r>
      <w:r>
        <w:t xml:space="preserve"> </w:t>
      </w:r>
      <w:r>
        <w:rPr>
          <w:lang w:val="cy-GB"/>
        </w:rPr>
        <w:t>Ibid., 81-82.</w:t>
      </w:r>
    </w:p>
  </w:footnote>
  <w:footnote w:id="65">
    <w:p w:rsidR="00AB3F05" w:rsidRPr="00BD3CAD" w:rsidRDefault="00AB3F05">
      <w:pPr>
        <w:pStyle w:val="FootnoteText"/>
        <w:rPr>
          <w:lang w:val="cy-GB"/>
        </w:rPr>
      </w:pPr>
      <w:r>
        <w:rPr>
          <w:rStyle w:val="FootnoteReference"/>
        </w:rPr>
        <w:footnoteRef/>
      </w:r>
      <w:r>
        <w:t xml:space="preserve"> </w:t>
      </w:r>
      <w:r>
        <w:rPr>
          <w:lang w:val="cy-GB"/>
        </w:rPr>
        <w:t>Ibid., 84.</w:t>
      </w:r>
    </w:p>
  </w:footnote>
  <w:footnote w:id="66">
    <w:p w:rsidR="00AB3F05" w:rsidRPr="00AB61D3" w:rsidRDefault="00AB3F05">
      <w:pPr>
        <w:pStyle w:val="FootnoteText"/>
        <w:rPr>
          <w:lang w:val="cy-GB"/>
        </w:rPr>
      </w:pPr>
      <w:r>
        <w:rPr>
          <w:rStyle w:val="FootnoteReference"/>
        </w:rPr>
        <w:footnoteRef/>
      </w:r>
      <w:r>
        <w:t xml:space="preserve"> </w:t>
      </w:r>
      <w:r>
        <w:rPr>
          <w:lang w:val="cy-GB"/>
        </w:rPr>
        <w:t>Ibid., 80.</w:t>
      </w:r>
    </w:p>
  </w:footnote>
  <w:footnote w:id="67">
    <w:p w:rsidR="00AB3F05" w:rsidRPr="000A30EA" w:rsidRDefault="00AB3F05">
      <w:pPr>
        <w:pStyle w:val="FootnoteText"/>
        <w:rPr>
          <w:lang w:val="cy-GB"/>
        </w:rPr>
      </w:pPr>
      <w:r>
        <w:rPr>
          <w:rStyle w:val="FootnoteReference"/>
        </w:rPr>
        <w:footnoteRef/>
      </w:r>
      <w:r>
        <w:t xml:space="preserve"> </w:t>
      </w:r>
      <w:r>
        <w:rPr>
          <w:lang w:val="cy-GB"/>
        </w:rPr>
        <w:t>Ibid.</w:t>
      </w:r>
    </w:p>
  </w:footnote>
  <w:footnote w:id="68">
    <w:p w:rsidR="00AB3F05" w:rsidRPr="006A647B" w:rsidRDefault="00AB3F05">
      <w:pPr>
        <w:pStyle w:val="FootnoteText"/>
        <w:rPr>
          <w:lang w:val="cy-GB"/>
        </w:rPr>
      </w:pPr>
      <w:r>
        <w:rPr>
          <w:rStyle w:val="FootnoteReference"/>
        </w:rPr>
        <w:footnoteRef/>
      </w:r>
      <w:r>
        <w:t xml:space="preserve"> </w:t>
      </w:r>
      <w:r>
        <w:rPr>
          <w:lang w:val="cy-GB"/>
        </w:rPr>
        <w:t>Ibid., 79-80.</w:t>
      </w:r>
    </w:p>
  </w:footnote>
  <w:footnote w:id="69">
    <w:p w:rsidR="00AB3F05" w:rsidRPr="006E7674" w:rsidRDefault="00AB3F05">
      <w:pPr>
        <w:pStyle w:val="FootnoteText"/>
        <w:rPr>
          <w:lang w:val="cy-GB"/>
        </w:rPr>
      </w:pPr>
      <w:r>
        <w:rPr>
          <w:rStyle w:val="FootnoteReference"/>
        </w:rPr>
        <w:footnoteRef/>
      </w:r>
      <w:r>
        <w:t xml:space="preserve"> </w:t>
      </w:r>
      <w:r>
        <w:rPr>
          <w:lang w:val="cy-GB"/>
        </w:rPr>
        <w:t xml:space="preserve">Harold Horton, </w:t>
      </w:r>
      <w:r w:rsidRPr="006E7674">
        <w:rPr>
          <w:i/>
          <w:lang w:val="cy-GB"/>
        </w:rPr>
        <w:t>The Baptism in the Holy Spirit</w:t>
      </w:r>
      <w:r>
        <w:rPr>
          <w:lang w:val="cy-GB"/>
        </w:rPr>
        <w:t xml:space="preserve"> (Nottingham: AoG Publishing House, n.d.)</w:t>
      </w:r>
    </w:p>
  </w:footnote>
  <w:footnote w:id="70">
    <w:p w:rsidR="00AB3F05" w:rsidRPr="006E7674" w:rsidRDefault="00AB3F05">
      <w:pPr>
        <w:pStyle w:val="FootnoteText"/>
        <w:rPr>
          <w:lang w:val="cy-GB"/>
        </w:rPr>
      </w:pPr>
      <w:r>
        <w:rPr>
          <w:rStyle w:val="FootnoteReference"/>
        </w:rPr>
        <w:footnoteRef/>
      </w:r>
      <w:r>
        <w:t xml:space="preserve"> </w:t>
      </w:r>
      <w:r>
        <w:rPr>
          <w:lang w:val="cy-GB"/>
        </w:rPr>
        <w:t>Ibid., 3.</w:t>
      </w:r>
    </w:p>
  </w:footnote>
  <w:footnote w:id="71">
    <w:p w:rsidR="00AB3F05" w:rsidRPr="00B01A1F" w:rsidRDefault="00AB3F05">
      <w:pPr>
        <w:pStyle w:val="FootnoteText"/>
        <w:rPr>
          <w:lang w:val="cy-GB"/>
        </w:rPr>
      </w:pPr>
      <w:r>
        <w:rPr>
          <w:rStyle w:val="FootnoteReference"/>
        </w:rPr>
        <w:footnoteRef/>
      </w:r>
      <w:r>
        <w:t xml:space="preserve"> </w:t>
      </w:r>
      <w:r>
        <w:rPr>
          <w:lang w:val="cy-GB"/>
        </w:rPr>
        <w:t>Ibid., 5.</w:t>
      </w:r>
    </w:p>
  </w:footnote>
  <w:footnote w:id="72">
    <w:p w:rsidR="00AB3F05" w:rsidRPr="0090058E" w:rsidRDefault="00AB3F05">
      <w:pPr>
        <w:pStyle w:val="FootnoteText"/>
        <w:rPr>
          <w:lang w:val="cy-GB"/>
        </w:rPr>
      </w:pPr>
      <w:r>
        <w:rPr>
          <w:rStyle w:val="FootnoteReference"/>
        </w:rPr>
        <w:footnoteRef/>
      </w:r>
      <w:r>
        <w:t xml:space="preserve"> </w:t>
      </w:r>
      <w:r>
        <w:rPr>
          <w:lang w:val="cy-GB"/>
        </w:rPr>
        <w:t>Ibid., 7.</w:t>
      </w:r>
    </w:p>
  </w:footnote>
  <w:footnote w:id="73">
    <w:p w:rsidR="00AB3F05" w:rsidRPr="0090058E" w:rsidRDefault="00AB3F05">
      <w:pPr>
        <w:pStyle w:val="FootnoteText"/>
        <w:rPr>
          <w:lang w:val="cy-GB"/>
        </w:rPr>
      </w:pPr>
      <w:r>
        <w:rPr>
          <w:rStyle w:val="FootnoteReference"/>
        </w:rPr>
        <w:footnoteRef/>
      </w:r>
      <w:r>
        <w:t xml:space="preserve"> </w:t>
      </w:r>
      <w:r>
        <w:rPr>
          <w:lang w:val="cy-GB"/>
        </w:rPr>
        <w:t>Ibid., 7.</w:t>
      </w:r>
    </w:p>
  </w:footnote>
  <w:footnote w:id="74">
    <w:p w:rsidR="00AB3F05" w:rsidRPr="0090058E" w:rsidRDefault="00AB3F05">
      <w:pPr>
        <w:pStyle w:val="FootnoteText"/>
        <w:rPr>
          <w:lang w:val="cy-GB"/>
        </w:rPr>
      </w:pPr>
      <w:r>
        <w:rPr>
          <w:rStyle w:val="FootnoteReference"/>
        </w:rPr>
        <w:footnoteRef/>
      </w:r>
      <w:r>
        <w:t xml:space="preserve"> </w:t>
      </w:r>
      <w:r>
        <w:rPr>
          <w:lang w:val="cy-GB"/>
        </w:rPr>
        <w:t>Ibid., 8.</w:t>
      </w:r>
    </w:p>
  </w:footnote>
  <w:footnote w:id="75">
    <w:p w:rsidR="00AB3F05" w:rsidRPr="00100529" w:rsidRDefault="00AB3F05">
      <w:pPr>
        <w:pStyle w:val="FootnoteText"/>
        <w:rPr>
          <w:lang w:val="cy-GB"/>
        </w:rPr>
      </w:pPr>
      <w:r>
        <w:rPr>
          <w:rStyle w:val="FootnoteReference"/>
        </w:rPr>
        <w:footnoteRef/>
      </w:r>
      <w:r>
        <w:t xml:space="preserve"> </w:t>
      </w:r>
      <w:r>
        <w:rPr>
          <w:lang w:val="cy-GB"/>
        </w:rPr>
        <w:t>Ibid., 9-14.</w:t>
      </w:r>
    </w:p>
  </w:footnote>
  <w:footnote w:id="76">
    <w:p w:rsidR="00AB3F05" w:rsidRPr="00B32F7D" w:rsidRDefault="00AB3F05">
      <w:pPr>
        <w:pStyle w:val="FootnoteText"/>
        <w:rPr>
          <w:lang w:val="cy-GB"/>
        </w:rPr>
      </w:pPr>
      <w:r>
        <w:rPr>
          <w:rStyle w:val="FootnoteReference"/>
        </w:rPr>
        <w:footnoteRef/>
      </w:r>
      <w:r>
        <w:t xml:space="preserve"> </w:t>
      </w:r>
      <w:r>
        <w:rPr>
          <w:lang w:val="cy-GB"/>
        </w:rPr>
        <w:t>Ibid., 9.</w:t>
      </w:r>
    </w:p>
  </w:footnote>
  <w:footnote w:id="77">
    <w:p w:rsidR="00AB3F05" w:rsidRPr="002D141C" w:rsidRDefault="00AB3F05">
      <w:pPr>
        <w:pStyle w:val="FootnoteText"/>
        <w:rPr>
          <w:lang w:val="cy-GB"/>
        </w:rPr>
      </w:pPr>
      <w:r>
        <w:rPr>
          <w:rStyle w:val="FootnoteReference"/>
        </w:rPr>
        <w:footnoteRef/>
      </w:r>
      <w:r>
        <w:t xml:space="preserve"> </w:t>
      </w:r>
      <w:r>
        <w:rPr>
          <w:lang w:val="cy-GB"/>
        </w:rPr>
        <w:t>Ibid., 10.</w:t>
      </w:r>
    </w:p>
  </w:footnote>
  <w:footnote w:id="78">
    <w:p w:rsidR="00AB3F05" w:rsidRPr="002D141C" w:rsidRDefault="00AB3F05">
      <w:pPr>
        <w:pStyle w:val="FootnoteText"/>
        <w:rPr>
          <w:lang w:val="cy-GB"/>
        </w:rPr>
      </w:pPr>
      <w:r>
        <w:rPr>
          <w:rStyle w:val="FootnoteReference"/>
        </w:rPr>
        <w:footnoteRef/>
      </w:r>
      <w:r>
        <w:t xml:space="preserve"> </w:t>
      </w:r>
      <w:r>
        <w:rPr>
          <w:lang w:val="cy-GB"/>
        </w:rPr>
        <w:t>Ibid., 11.</w:t>
      </w:r>
    </w:p>
  </w:footnote>
  <w:footnote w:id="79">
    <w:p w:rsidR="00AB3F05" w:rsidRPr="002D141C" w:rsidRDefault="00AB3F05">
      <w:pPr>
        <w:pStyle w:val="FootnoteText"/>
        <w:rPr>
          <w:lang w:val="cy-GB"/>
        </w:rPr>
      </w:pPr>
      <w:r>
        <w:rPr>
          <w:rStyle w:val="FootnoteReference"/>
        </w:rPr>
        <w:footnoteRef/>
      </w:r>
      <w:r>
        <w:t xml:space="preserve"> </w:t>
      </w:r>
      <w:r>
        <w:rPr>
          <w:lang w:val="cy-GB"/>
        </w:rPr>
        <w:t>Ibid.</w:t>
      </w:r>
    </w:p>
  </w:footnote>
  <w:footnote w:id="80">
    <w:p w:rsidR="00AB3F05" w:rsidRPr="00B83EA8" w:rsidRDefault="00AB3F05">
      <w:pPr>
        <w:pStyle w:val="FootnoteText"/>
        <w:rPr>
          <w:lang w:val="cy-GB"/>
        </w:rPr>
      </w:pPr>
      <w:r>
        <w:rPr>
          <w:rStyle w:val="FootnoteReference"/>
        </w:rPr>
        <w:footnoteRef/>
      </w:r>
      <w:r>
        <w:t xml:space="preserve"> </w:t>
      </w:r>
      <w:r>
        <w:rPr>
          <w:lang w:val="cy-GB"/>
        </w:rPr>
        <w:t>Ibid., 13.</w:t>
      </w:r>
    </w:p>
  </w:footnote>
  <w:footnote w:id="81">
    <w:p w:rsidR="00AB3F05" w:rsidRPr="00B83EA8" w:rsidRDefault="00AB3F05">
      <w:pPr>
        <w:pStyle w:val="FootnoteText"/>
        <w:rPr>
          <w:lang w:val="cy-GB"/>
        </w:rPr>
      </w:pPr>
      <w:r>
        <w:rPr>
          <w:rStyle w:val="FootnoteReference"/>
        </w:rPr>
        <w:footnoteRef/>
      </w:r>
      <w:r>
        <w:t xml:space="preserve"> </w:t>
      </w:r>
      <w:r>
        <w:rPr>
          <w:lang w:val="cy-GB"/>
        </w:rPr>
        <w:t>Ibid.</w:t>
      </w:r>
    </w:p>
  </w:footnote>
  <w:footnote w:id="82">
    <w:p w:rsidR="00AB3F05" w:rsidRPr="00190D3B" w:rsidRDefault="00AB3F05">
      <w:pPr>
        <w:pStyle w:val="FootnoteText"/>
        <w:rPr>
          <w:lang w:val="cy-GB"/>
        </w:rPr>
      </w:pPr>
      <w:r>
        <w:rPr>
          <w:rStyle w:val="FootnoteReference"/>
        </w:rPr>
        <w:footnoteRef/>
      </w:r>
      <w:r>
        <w:t xml:space="preserve"> </w:t>
      </w:r>
      <w:r>
        <w:rPr>
          <w:lang w:val="cy-GB"/>
        </w:rPr>
        <w:t>Ibid., 19-21.</w:t>
      </w:r>
    </w:p>
  </w:footnote>
  <w:footnote w:id="83">
    <w:p w:rsidR="00AB3F05" w:rsidRPr="00190D3B" w:rsidRDefault="00AB3F05">
      <w:pPr>
        <w:pStyle w:val="FootnoteText"/>
        <w:rPr>
          <w:lang w:val="cy-GB"/>
        </w:rPr>
      </w:pPr>
      <w:r>
        <w:rPr>
          <w:rStyle w:val="FootnoteReference"/>
        </w:rPr>
        <w:footnoteRef/>
      </w:r>
      <w:r>
        <w:t xml:space="preserve"> </w:t>
      </w:r>
      <w:r>
        <w:rPr>
          <w:lang w:val="cy-GB"/>
        </w:rPr>
        <w:t>Ibid., 22.</w:t>
      </w:r>
    </w:p>
  </w:footnote>
  <w:footnote w:id="84">
    <w:p w:rsidR="00AB3F05" w:rsidRPr="00190D3B" w:rsidRDefault="00AB3F05">
      <w:pPr>
        <w:pStyle w:val="FootnoteText"/>
        <w:rPr>
          <w:lang w:val="cy-GB"/>
        </w:rPr>
      </w:pPr>
      <w:r>
        <w:rPr>
          <w:rStyle w:val="FootnoteReference"/>
        </w:rPr>
        <w:footnoteRef/>
      </w:r>
      <w:r>
        <w:t xml:space="preserve"> </w:t>
      </w:r>
      <w:r>
        <w:rPr>
          <w:lang w:val="cy-GB"/>
        </w:rPr>
        <w:t>Ibid.</w:t>
      </w:r>
    </w:p>
  </w:footnote>
  <w:footnote w:id="85">
    <w:p w:rsidR="00AB3F05" w:rsidRPr="004E6E5B" w:rsidRDefault="00AB3F05">
      <w:pPr>
        <w:pStyle w:val="FootnoteText"/>
        <w:rPr>
          <w:lang w:val="cy-GB"/>
        </w:rPr>
      </w:pPr>
      <w:r>
        <w:rPr>
          <w:rStyle w:val="FootnoteReference"/>
        </w:rPr>
        <w:footnoteRef/>
      </w:r>
      <w:r>
        <w:t xml:space="preserve"> </w:t>
      </w:r>
      <w:r>
        <w:rPr>
          <w:lang w:val="cy-GB"/>
        </w:rPr>
        <w:t>Ibid. Note here that, for Horton, the goal of preaching is merely to persuade and convince.</w:t>
      </w:r>
    </w:p>
  </w:footnote>
  <w:footnote w:id="86">
    <w:p w:rsidR="00AB3F05" w:rsidRPr="000A7859" w:rsidRDefault="00AB3F05">
      <w:pPr>
        <w:pStyle w:val="FootnoteText"/>
        <w:rPr>
          <w:lang w:val="cy-GB"/>
        </w:rPr>
      </w:pPr>
      <w:r>
        <w:rPr>
          <w:rStyle w:val="FootnoteReference"/>
        </w:rPr>
        <w:footnoteRef/>
      </w:r>
      <w:r>
        <w:t xml:space="preserve"> </w:t>
      </w:r>
      <w:r>
        <w:rPr>
          <w:lang w:val="cy-GB"/>
        </w:rPr>
        <w:t>Ibid., 24.</w:t>
      </w:r>
    </w:p>
  </w:footnote>
  <w:footnote w:id="87">
    <w:p w:rsidR="00AB3F05" w:rsidRPr="000A7859" w:rsidRDefault="00AB3F05">
      <w:pPr>
        <w:pStyle w:val="FootnoteText"/>
        <w:rPr>
          <w:lang w:val="cy-GB"/>
        </w:rPr>
      </w:pPr>
      <w:r>
        <w:rPr>
          <w:rStyle w:val="FootnoteReference"/>
        </w:rPr>
        <w:footnoteRef/>
      </w:r>
      <w:r>
        <w:t xml:space="preserve"> </w:t>
      </w:r>
      <w:r>
        <w:rPr>
          <w:lang w:val="cy-GB"/>
        </w:rPr>
        <w:t>Ibid., 23.</w:t>
      </w:r>
    </w:p>
  </w:footnote>
  <w:footnote w:id="88">
    <w:p w:rsidR="00AB3F05" w:rsidRPr="00860AB8" w:rsidRDefault="00AB3F05">
      <w:pPr>
        <w:pStyle w:val="FootnoteText"/>
        <w:rPr>
          <w:lang w:val="cy-GB"/>
        </w:rPr>
      </w:pPr>
      <w:r>
        <w:rPr>
          <w:rStyle w:val="FootnoteReference"/>
        </w:rPr>
        <w:footnoteRef/>
      </w:r>
      <w:r>
        <w:t xml:space="preserve"> ‘Constitution for the British Isles’, </w:t>
      </w:r>
      <w:r w:rsidRPr="00860AB8">
        <w:rPr>
          <w:i/>
          <w:lang w:val="cy-GB"/>
        </w:rPr>
        <w:t>The Apostolic Church: Its Principles and Practices</w:t>
      </w:r>
      <w:r>
        <w:rPr>
          <w:lang w:val="cy-GB"/>
        </w:rPr>
        <w:t xml:space="preserve"> (Penygroes: Apostolic Publications, 1937), 18-19.</w:t>
      </w:r>
    </w:p>
  </w:footnote>
  <w:footnote w:id="89">
    <w:p w:rsidR="00AB3F05" w:rsidRPr="00FD7561" w:rsidRDefault="00AB3F05">
      <w:pPr>
        <w:pStyle w:val="FootnoteText"/>
        <w:rPr>
          <w:lang w:val="cy-GB"/>
        </w:rPr>
      </w:pPr>
      <w:r>
        <w:rPr>
          <w:rStyle w:val="FootnoteReference"/>
        </w:rPr>
        <w:footnoteRef/>
      </w:r>
      <w:r>
        <w:t xml:space="preserve"> </w:t>
      </w:r>
      <w:r>
        <w:rPr>
          <w:lang w:val="cy-GB"/>
        </w:rPr>
        <w:t xml:space="preserve">‘Guiding Principles for the Apostolic Church’, </w:t>
      </w:r>
      <w:r w:rsidRPr="00FD7561">
        <w:rPr>
          <w:i/>
          <w:lang w:val="cy-GB"/>
        </w:rPr>
        <w:t>The Apostolic Church, Its Princip</w:t>
      </w:r>
      <w:r>
        <w:rPr>
          <w:i/>
          <w:lang w:val="cy-GB"/>
        </w:rPr>
        <w:t>les</w:t>
      </w:r>
      <w:r w:rsidRPr="00FD7561">
        <w:rPr>
          <w:i/>
          <w:lang w:val="cy-GB"/>
        </w:rPr>
        <w:t xml:space="preserve"> and Practices</w:t>
      </w:r>
      <w:r>
        <w:rPr>
          <w:lang w:val="cy-GB"/>
        </w:rPr>
        <w:t xml:space="preserve"> (Penygroes: Apostolic Publications, 1937), 255.</w:t>
      </w:r>
    </w:p>
  </w:footnote>
  <w:footnote w:id="90">
    <w:p w:rsidR="00AB3F05" w:rsidRPr="004711E1" w:rsidRDefault="00AB3F05">
      <w:pPr>
        <w:pStyle w:val="FootnoteText"/>
        <w:rPr>
          <w:lang w:val="cy-GB"/>
        </w:rPr>
      </w:pPr>
      <w:r>
        <w:rPr>
          <w:rStyle w:val="FootnoteReference"/>
        </w:rPr>
        <w:footnoteRef/>
      </w:r>
      <w:r>
        <w:t xml:space="preserve"> Ibid., 185-243.</w:t>
      </w:r>
    </w:p>
  </w:footnote>
  <w:footnote w:id="91">
    <w:p w:rsidR="00AB3F05" w:rsidRPr="00D52920" w:rsidRDefault="00AB3F05">
      <w:pPr>
        <w:pStyle w:val="FootnoteText"/>
        <w:rPr>
          <w:lang w:val="cy-GB"/>
        </w:rPr>
      </w:pPr>
      <w:r>
        <w:rPr>
          <w:rStyle w:val="FootnoteReference"/>
        </w:rPr>
        <w:footnoteRef/>
      </w:r>
      <w:r>
        <w:t xml:space="preserve"> </w:t>
      </w:r>
      <w:r w:rsidRPr="00D52920">
        <w:rPr>
          <w:i/>
          <w:lang w:val="cy-GB"/>
        </w:rPr>
        <w:t>The Apostolic Church: Its Principles and Practices</w:t>
      </w:r>
      <w:r>
        <w:rPr>
          <w:lang w:val="cy-GB"/>
        </w:rPr>
        <w:t xml:space="preserve"> (Penygroes: Apostolic Publications, 1937)</w:t>
      </w:r>
    </w:p>
  </w:footnote>
  <w:footnote w:id="92">
    <w:p w:rsidR="00AB3F05" w:rsidRPr="00D52920" w:rsidRDefault="00AB3F05">
      <w:pPr>
        <w:pStyle w:val="FootnoteText"/>
        <w:rPr>
          <w:lang w:val="cy-GB"/>
        </w:rPr>
      </w:pPr>
      <w:r>
        <w:rPr>
          <w:rStyle w:val="FootnoteReference"/>
        </w:rPr>
        <w:footnoteRef/>
      </w:r>
      <w:r>
        <w:t xml:space="preserve"> ‘Constitution for the British Isles’, </w:t>
      </w:r>
      <w:r w:rsidRPr="00860AB8">
        <w:rPr>
          <w:i/>
          <w:lang w:val="cy-GB"/>
        </w:rPr>
        <w:t>The Apostolic Church: Its Principles and Practices</w:t>
      </w:r>
      <w:r>
        <w:rPr>
          <w:lang w:val="cy-GB"/>
        </w:rPr>
        <w:t>, 20.</w:t>
      </w:r>
    </w:p>
  </w:footnote>
  <w:footnote w:id="93">
    <w:p w:rsidR="00AB3F05" w:rsidRPr="00C20505" w:rsidRDefault="00AB3F05">
      <w:pPr>
        <w:pStyle w:val="FootnoteText"/>
        <w:rPr>
          <w:lang w:val="cy-GB"/>
        </w:rPr>
      </w:pPr>
      <w:r>
        <w:rPr>
          <w:rStyle w:val="FootnoteReference"/>
        </w:rPr>
        <w:footnoteRef/>
      </w:r>
      <w:r>
        <w:t xml:space="preserve"> </w:t>
      </w:r>
      <w:r w:rsidRPr="00C20505">
        <w:rPr>
          <w:i/>
          <w:lang w:val="cy-GB"/>
        </w:rPr>
        <w:t>The Guidebook of the Apostolic Church</w:t>
      </w:r>
      <w:r>
        <w:rPr>
          <w:lang w:val="cy-GB"/>
        </w:rPr>
        <w:t xml:space="preserve"> (Bradford: Puritan Press, n.d.), p.1. The Guidebook is undated, yet the copy in my possession was inscribed April 1962 by its original owner, and it was published during the presidency of D.T. Rennie, which began in 1957. Furthermore, it includes details of the Swiss churches for 1959 in the past tense. Thus we can date the Guidebook with certainty to the period 1960-1962.</w:t>
      </w:r>
    </w:p>
  </w:footnote>
  <w:footnote w:id="94">
    <w:p w:rsidR="00AB3F05" w:rsidRPr="002A3811" w:rsidRDefault="00AB3F05">
      <w:pPr>
        <w:pStyle w:val="FootnoteText"/>
        <w:rPr>
          <w:lang w:val="cy-GB"/>
        </w:rPr>
      </w:pPr>
      <w:r>
        <w:rPr>
          <w:rStyle w:val="FootnoteReference"/>
        </w:rPr>
        <w:footnoteRef/>
      </w:r>
      <w:r>
        <w:t xml:space="preserve"> </w:t>
      </w:r>
      <w:r w:rsidRPr="002A3811">
        <w:rPr>
          <w:i/>
        </w:rPr>
        <w:t>Fundamentals (Being Things Most Surely Believed): A Brief Statement of Fundamental Truths Contained in the Scriptures and Believed and Taught by the Apostolic Church</w:t>
      </w:r>
      <w:r>
        <w:t xml:space="preserve"> (Bradford: Apostolic Publications, n.d.). </w:t>
      </w:r>
    </w:p>
  </w:footnote>
  <w:footnote w:id="95">
    <w:p w:rsidR="00AB3F05" w:rsidRPr="002A3811" w:rsidRDefault="00AB3F05">
      <w:pPr>
        <w:pStyle w:val="FootnoteText"/>
        <w:rPr>
          <w:lang w:val="cy-GB"/>
        </w:rPr>
      </w:pPr>
      <w:r>
        <w:rPr>
          <w:rStyle w:val="FootnoteReference"/>
        </w:rPr>
        <w:footnoteRef/>
      </w:r>
      <w:r>
        <w:t xml:space="preserve"> </w:t>
      </w:r>
      <w:r>
        <w:rPr>
          <w:lang w:val="cy-GB"/>
        </w:rPr>
        <w:t>I have reprint editions from the 1980s and 2000s, as well as what could be a copy from the orignial printrun, but undated. The only indication of a date here is that the Apostolic Church’s press had moved to Bradford, but had not yet been renamed the Puritan Press.</w:t>
      </w:r>
    </w:p>
  </w:footnote>
  <w:footnote w:id="96">
    <w:p w:rsidR="00AB3F05" w:rsidRPr="008B3121" w:rsidRDefault="00AB3F05">
      <w:pPr>
        <w:pStyle w:val="FootnoteText"/>
        <w:rPr>
          <w:lang w:val="cy-GB"/>
        </w:rPr>
      </w:pPr>
      <w:r>
        <w:rPr>
          <w:rStyle w:val="FootnoteReference"/>
        </w:rPr>
        <w:footnoteRef/>
      </w:r>
      <w:r w:rsidRPr="008B3121">
        <w:rPr>
          <w:lang w:val="cy-GB"/>
        </w:rPr>
        <w:t xml:space="preserve"> </w:t>
      </w:r>
      <w:r>
        <w:rPr>
          <w:lang w:val="cy-GB"/>
        </w:rPr>
        <w:t xml:space="preserve">D.P. Williams, </w:t>
      </w:r>
      <w:r w:rsidRPr="008B3121">
        <w:rPr>
          <w:i/>
          <w:lang w:val="cy-GB"/>
        </w:rPr>
        <w:t>Athrawiaethau Sylfeinol Eglwys y Fydd Apostolaidd yn Nghymru</w:t>
      </w:r>
      <w:r>
        <w:rPr>
          <w:lang w:val="cy-GB"/>
        </w:rPr>
        <w:t xml:space="preserve"> (Llanelli: 1914).</w:t>
      </w:r>
    </w:p>
  </w:footnote>
  <w:footnote w:id="97">
    <w:p w:rsidR="00AB3F05" w:rsidRPr="009457C7" w:rsidRDefault="00AB3F05">
      <w:pPr>
        <w:pStyle w:val="FootnoteText"/>
        <w:rPr>
          <w:lang w:val="cy-GB"/>
        </w:rPr>
      </w:pPr>
      <w:r>
        <w:rPr>
          <w:rStyle w:val="FootnoteReference"/>
        </w:rPr>
        <w:footnoteRef/>
      </w:r>
      <w:r>
        <w:t xml:space="preserve"> </w:t>
      </w:r>
      <w:r>
        <w:rPr>
          <w:lang w:val="cy-GB"/>
        </w:rPr>
        <w:t>Traditionally Pentecostal theology has used the term ‘subsequence’ to refer to the baptism in the Holy Spirit as an experience subsequent to conversion. More recently the term ‘separability’ has been suggested to place the emphasis on the difference in nature between regeneration and Spirit baptism rather than on chronological subsequence. The two terms, however, refer to the same doctrine.</w:t>
      </w:r>
    </w:p>
  </w:footnote>
  <w:footnote w:id="98">
    <w:p w:rsidR="00AB3F05" w:rsidRPr="002D6A0D" w:rsidRDefault="00AB3F05">
      <w:pPr>
        <w:pStyle w:val="FootnoteText"/>
        <w:rPr>
          <w:lang w:val="cy-GB"/>
        </w:rPr>
      </w:pPr>
      <w:r>
        <w:rPr>
          <w:rStyle w:val="FootnoteReference"/>
        </w:rPr>
        <w:footnoteRef/>
      </w:r>
      <w:r>
        <w:t xml:space="preserve"> </w:t>
      </w:r>
      <w:r>
        <w:rPr>
          <w:lang w:val="cy-GB"/>
        </w:rPr>
        <w:t>Contra the stance of AoG, which insisted that speaking with tongues would be the Initial Physical Evidence of the baptism in the Spirit. Although many works on Pentecostal theology (particularly those from a North American background) insist that tongues as Initial Physical Evidence is a distinctive feature of Pentecostalism, this was never the case in Britain, where, although the AoG shared with thier North American counterparts an insistence on tongues, the other two original British Pentecostal movements (the Elim Pentecostal Church and the Apostolic Church) did not.</w:t>
      </w:r>
    </w:p>
  </w:footnote>
  <w:footnote w:id="99">
    <w:p w:rsidR="00AB3F05" w:rsidRPr="00507776" w:rsidRDefault="00AB3F05">
      <w:pPr>
        <w:pStyle w:val="FootnoteText"/>
        <w:rPr>
          <w:lang w:val="cy-GB"/>
        </w:rPr>
      </w:pPr>
      <w:r>
        <w:rPr>
          <w:rStyle w:val="FootnoteReference"/>
        </w:rPr>
        <w:footnoteRef/>
      </w:r>
      <w:r>
        <w:t xml:space="preserve"> </w:t>
      </w:r>
      <w:r>
        <w:rPr>
          <w:lang w:val="cy-GB"/>
        </w:rPr>
        <w:t>‘Guiding Principles’, 198.</w:t>
      </w:r>
    </w:p>
  </w:footnote>
  <w:footnote w:id="100">
    <w:p w:rsidR="00AB3F05" w:rsidRPr="00204783" w:rsidRDefault="00AB3F05">
      <w:pPr>
        <w:pStyle w:val="FootnoteText"/>
        <w:rPr>
          <w:lang w:val="cy-GB"/>
        </w:rPr>
      </w:pPr>
      <w:r>
        <w:rPr>
          <w:rStyle w:val="FootnoteReference"/>
        </w:rPr>
        <w:footnoteRef/>
      </w:r>
      <w:r>
        <w:t xml:space="preserve"> </w:t>
      </w:r>
      <w:r>
        <w:rPr>
          <w:lang w:val="cy-GB"/>
        </w:rPr>
        <w:t>‘Prophetical Ministry, Glasgow, Sept. 1927’, quoted in ibid., 198-199.</w:t>
      </w:r>
    </w:p>
  </w:footnote>
  <w:footnote w:id="101">
    <w:p w:rsidR="00AB3F05" w:rsidRPr="000C5F7C" w:rsidRDefault="00AB3F05">
      <w:pPr>
        <w:pStyle w:val="FootnoteText"/>
        <w:rPr>
          <w:lang w:val="cy-GB"/>
        </w:rPr>
      </w:pPr>
      <w:r>
        <w:rPr>
          <w:rStyle w:val="FootnoteReference"/>
        </w:rPr>
        <w:footnoteRef/>
      </w:r>
      <w:r>
        <w:t xml:space="preserve"> Ibid., 199.</w:t>
      </w:r>
    </w:p>
  </w:footnote>
  <w:footnote w:id="102">
    <w:p w:rsidR="00AB3F05" w:rsidRPr="00877DA7" w:rsidRDefault="00AB3F05">
      <w:pPr>
        <w:pStyle w:val="FootnoteText"/>
        <w:rPr>
          <w:lang w:val="cy-GB"/>
        </w:rPr>
      </w:pPr>
      <w:r>
        <w:rPr>
          <w:rStyle w:val="FootnoteReference"/>
        </w:rPr>
        <w:footnoteRef/>
      </w:r>
      <w:r>
        <w:t xml:space="preserve"> </w:t>
      </w:r>
      <w:r>
        <w:rPr>
          <w:lang w:val="cy-GB"/>
        </w:rPr>
        <w:t>Ibid., 201.</w:t>
      </w:r>
    </w:p>
  </w:footnote>
  <w:footnote w:id="103">
    <w:p w:rsidR="00AB3F05" w:rsidRPr="0077387D" w:rsidRDefault="00AB3F05">
      <w:pPr>
        <w:pStyle w:val="FootnoteText"/>
        <w:rPr>
          <w:lang w:val="cy-GB"/>
        </w:rPr>
      </w:pPr>
      <w:r>
        <w:rPr>
          <w:rStyle w:val="FootnoteReference"/>
        </w:rPr>
        <w:footnoteRef/>
      </w:r>
      <w:r>
        <w:t xml:space="preserve"> </w:t>
      </w:r>
      <w:r>
        <w:rPr>
          <w:lang w:val="cy-GB"/>
        </w:rPr>
        <w:t xml:space="preserve">J.G. McCabe, ‘How to Receive Your Baptism’ Part 1, </w:t>
      </w:r>
      <w:r>
        <w:rPr>
          <w:i/>
          <w:lang w:val="cy-GB"/>
        </w:rPr>
        <w:t>RoG</w:t>
      </w:r>
      <w:r>
        <w:rPr>
          <w:lang w:val="cy-GB"/>
        </w:rPr>
        <w:t>, 12.7 (July 1959), 205.</w:t>
      </w:r>
    </w:p>
  </w:footnote>
  <w:footnote w:id="104">
    <w:p w:rsidR="00AB3F05" w:rsidRPr="00071202" w:rsidRDefault="00AB3F05">
      <w:pPr>
        <w:pStyle w:val="FootnoteText"/>
        <w:rPr>
          <w:lang w:val="cy-GB"/>
        </w:rPr>
      </w:pPr>
      <w:r>
        <w:rPr>
          <w:rStyle w:val="FootnoteReference"/>
        </w:rPr>
        <w:footnoteRef/>
      </w:r>
      <w:r>
        <w:t xml:space="preserve"> </w:t>
      </w:r>
      <w:r>
        <w:rPr>
          <w:lang w:val="cy-GB"/>
        </w:rPr>
        <w:t xml:space="preserve">Amos Yong, </w:t>
      </w:r>
      <w:r w:rsidRPr="00471FB7">
        <w:rPr>
          <w:i/>
          <w:lang w:val="cy-GB"/>
        </w:rPr>
        <w:t>Renewing Christian Theology: Systematics for a Global Christianity</w:t>
      </w:r>
      <w:r>
        <w:rPr>
          <w:lang w:val="cy-GB"/>
        </w:rPr>
        <w:t xml:space="preserve"> (Waco: Baylor University Press, 2014), 97.</w:t>
      </w:r>
    </w:p>
  </w:footnote>
  <w:footnote w:id="105">
    <w:p w:rsidR="00AB3F05" w:rsidRPr="00071202" w:rsidRDefault="00AB3F05">
      <w:pPr>
        <w:pStyle w:val="FootnoteText"/>
        <w:rPr>
          <w:lang w:val="cy-GB"/>
        </w:rPr>
      </w:pPr>
      <w:r>
        <w:rPr>
          <w:rStyle w:val="FootnoteReference"/>
        </w:rPr>
        <w:footnoteRef/>
      </w:r>
      <w:r>
        <w:t xml:space="preserve"> </w:t>
      </w:r>
      <w:r>
        <w:rPr>
          <w:lang w:val="cy-GB"/>
        </w:rPr>
        <w:t>‘Guiding Principles’, 198.</w:t>
      </w:r>
    </w:p>
  </w:footnote>
  <w:footnote w:id="106">
    <w:p w:rsidR="00AB3F05" w:rsidRPr="00E74634" w:rsidRDefault="00AB3F05">
      <w:pPr>
        <w:pStyle w:val="FootnoteText"/>
        <w:rPr>
          <w:lang w:val="cy-GB"/>
        </w:rPr>
      </w:pPr>
      <w:r>
        <w:rPr>
          <w:rStyle w:val="FootnoteReference"/>
        </w:rPr>
        <w:footnoteRef/>
      </w:r>
      <w:r>
        <w:t xml:space="preserve"> </w:t>
      </w:r>
      <w:r>
        <w:rPr>
          <w:lang w:val="cy-GB"/>
        </w:rPr>
        <w:t>Ibid., 200.</w:t>
      </w:r>
    </w:p>
  </w:footnote>
  <w:footnote w:id="107">
    <w:p w:rsidR="00AB3F05" w:rsidRPr="00E74634" w:rsidRDefault="00AB3F05">
      <w:pPr>
        <w:pStyle w:val="FootnoteText"/>
        <w:rPr>
          <w:lang w:val="cy-GB"/>
        </w:rPr>
      </w:pPr>
      <w:r>
        <w:rPr>
          <w:rStyle w:val="FootnoteReference"/>
        </w:rPr>
        <w:footnoteRef/>
      </w:r>
      <w:r>
        <w:t xml:space="preserve"> </w:t>
      </w:r>
      <w:r>
        <w:rPr>
          <w:lang w:val="cy-GB"/>
        </w:rPr>
        <w:t>Ibid.</w:t>
      </w:r>
    </w:p>
  </w:footnote>
  <w:footnote w:id="108">
    <w:p w:rsidR="00AB3F05" w:rsidRPr="00E74634" w:rsidRDefault="00AB3F05">
      <w:pPr>
        <w:pStyle w:val="FootnoteText"/>
        <w:rPr>
          <w:lang w:val="cy-GB"/>
        </w:rPr>
      </w:pPr>
      <w:r>
        <w:rPr>
          <w:rStyle w:val="FootnoteReference"/>
        </w:rPr>
        <w:footnoteRef/>
      </w:r>
      <w:r>
        <w:t xml:space="preserve"> </w:t>
      </w:r>
      <w:r>
        <w:rPr>
          <w:lang w:val="cy-GB"/>
        </w:rPr>
        <w:t>Ibid., 201.</w:t>
      </w:r>
    </w:p>
  </w:footnote>
  <w:footnote w:id="109">
    <w:p w:rsidR="00AB3F05" w:rsidRPr="00E74634" w:rsidRDefault="00AB3F05">
      <w:pPr>
        <w:pStyle w:val="FootnoteText"/>
        <w:rPr>
          <w:lang w:val="cy-GB"/>
        </w:rPr>
      </w:pPr>
      <w:r>
        <w:rPr>
          <w:rStyle w:val="FootnoteReference"/>
        </w:rPr>
        <w:footnoteRef/>
      </w:r>
      <w:r>
        <w:t xml:space="preserve"> </w:t>
      </w:r>
      <w:r>
        <w:rPr>
          <w:lang w:val="cy-GB"/>
        </w:rPr>
        <w:t>Ibid., 200.</w:t>
      </w:r>
    </w:p>
  </w:footnote>
  <w:footnote w:id="110">
    <w:p w:rsidR="00AB3F05" w:rsidRPr="00E74634" w:rsidRDefault="00AB3F05">
      <w:pPr>
        <w:pStyle w:val="FootnoteText"/>
        <w:rPr>
          <w:lang w:val="cy-GB"/>
        </w:rPr>
      </w:pPr>
      <w:r>
        <w:rPr>
          <w:rStyle w:val="FootnoteReference"/>
        </w:rPr>
        <w:footnoteRef/>
      </w:r>
      <w:r>
        <w:t xml:space="preserve"> </w:t>
      </w:r>
      <w:r>
        <w:rPr>
          <w:lang w:val="cy-GB"/>
        </w:rPr>
        <w:t>Ibid., 201.</w:t>
      </w:r>
    </w:p>
  </w:footnote>
  <w:footnote w:id="111">
    <w:p w:rsidR="00AB3F05" w:rsidRPr="00EC2768" w:rsidRDefault="00AB3F05">
      <w:pPr>
        <w:pStyle w:val="FootnoteText"/>
        <w:rPr>
          <w:lang w:val="cy-GB"/>
        </w:rPr>
      </w:pPr>
      <w:r>
        <w:rPr>
          <w:rStyle w:val="FootnoteReference"/>
        </w:rPr>
        <w:footnoteRef/>
      </w:r>
      <w:r>
        <w:t xml:space="preserve"> </w:t>
      </w:r>
      <w:r>
        <w:rPr>
          <w:lang w:val="cy-GB"/>
        </w:rPr>
        <w:t>Ibid.</w:t>
      </w:r>
    </w:p>
  </w:footnote>
  <w:footnote w:id="112">
    <w:p w:rsidR="00AB3F05" w:rsidRPr="00591AE4" w:rsidRDefault="00AB3F05">
      <w:pPr>
        <w:pStyle w:val="FootnoteText"/>
        <w:rPr>
          <w:lang w:val="cy-GB"/>
        </w:rPr>
      </w:pPr>
      <w:r>
        <w:rPr>
          <w:rStyle w:val="FootnoteReference"/>
        </w:rPr>
        <w:footnoteRef/>
      </w:r>
      <w:r>
        <w:t xml:space="preserve"> </w:t>
      </w:r>
      <w:r>
        <w:rPr>
          <w:lang w:val="cy-GB"/>
        </w:rPr>
        <w:t>Ibid., 198.</w:t>
      </w:r>
    </w:p>
  </w:footnote>
  <w:footnote w:id="113">
    <w:p w:rsidR="00AB3F05" w:rsidRPr="00B713DB" w:rsidRDefault="00AB3F05">
      <w:pPr>
        <w:pStyle w:val="FootnoteText"/>
        <w:rPr>
          <w:lang w:val="cy-GB"/>
        </w:rPr>
      </w:pPr>
      <w:r>
        <w:rPr>
          <w:rStyle w:val="FootnoteReference"/>
        </w:rPr>
        <w:footnoteRef/>
      </w:r>
      <w:r>
        <w:t xml:space="preserve"> </w:t>
      </w:r>
      <w:r>
        <w:rPr>
          <w:lang w:val="cy-GB"/>
        </w:rPr>
        <w:t>Ibid., 200.</w:t>
      </w:r>
    </w:p>
  </w:footnote>
  <w:footnote w:id="114">
    <w:p w:rsidR="00AB3F05" w:rsidRPr="00B713DB" w:rsidRDefault="00AB3F05">
      <w:pPr>
        <w:pStyle w:val="FootnoteText"/>
        <w:rPr>
          <w:lang w:val="cy-GB"/>
        </w:rPr>
      </w:pPr>
      <w:r>
        <w:rPr>
          <w:rStyle w:val="FootnoteReference"/>
        </w:rPr>
        <w:footnoteRef/>
      </w:r>
      <w:r>
        <w:t xml:space="preserve"> </w:t>
      </w:r>
      <w:r>
        <w:rPr>
          <w:lang w:val="cy-GB"/>
        </w:rPr>
        <w:t>Ibid., 202.</w:t>
      </w:r>
    </w:p>
  </w:footnote>
  <w:footnote w:id="115">
    <w:p w:rsidR="00AB3F05" w:rsidRPr="00A32F8F" w:rsidRDefault="00AB3F05">
      <w:pPr>
        <w:pStyle w:val="FootnoteText"/>
        <w:rPr>
          <w:lang w:val="cy-GB"/>
        </w:rPr>
      </w:pPr>
      <w:r>
        <w:rPr>
          <w:rStyle w:val="FootnoteReference"/>
        </w:rPr>
        <w:footnoteRef/>
      </w:r>
      <w:r>
        <w:t xml:space="preserve"> </w:t>
      </w:r>
      <w:r w:rsidRPr="00A32F8F">
        <w:rPr>
          <w:i/>
          <w:lang w:val="cy-GB"/>
        </w:rPr>
        <w:t>Guidebook</w:t>
      </w:r>
      <w:r>
        <w:rPr>
          <w:lang w:val="cy-GB"/>
        </w:rPr>
        <w:t>, 1. This section is from D.T. Rennie’s introduction.</w:t>
      </w:r>
    </w:p>
  </w:footnote>
  <w:footnote w:id="116">
    <w:p w:rsidR="00AB3F05" w:rsidRPr="008A3773" w:rsidRDefault="00AB3F05">
      <w:pPr>
        <w:pStyle w:val="FootnoteText"/>
      </w:pPr>
      <w:r>
        <w:rPr>
          <w:rStyle w:val="FootnoteReference"/>
        </w:rPr>
        <w:footnoteRef/>
      </w:r>
      <w:r>
        <w:t xml:space="preserve"> Ibid., 3.</w:t>
      </w:r>
    </w:p>
  </w:footnote>
  <w:footnote w:id="117">
    <w:p w:rsidR="00AB3F05" w:rsidRPr="00435AC0" w:rsidRDefault="00AB3F05">
      <w:pPr>
        <w:pStyle w:val="FootnoteText"/>
      </w:pPr>
      <w:r>
        <w:rPr>
          <w:rStyle w:val="FootnoteReference"/>
        </w:rPr>
        <w:footnoteRef/>
      </w:r>
      <w:r>
        <w:t xml:space="preserve"> </w:t>
      </w:r>
      <w:r>
        <w:rPr>
          <w:i/>
        </w:rPr>
        <w:t>Fundamentals</w:t>
      </w:r>
      <w:r>
        <w:t>, 17. References to this work are to the original edition, unless stated otherwise.</w:t>
      </w:r>
    </w:p>
  </w:footnote>
  <w:footnote w:id="118">
    <w:p w:rsidR="00AB3F05" w:rsidRPr="00C435E9" w:rsidRDefault="00AB3F05">
      <w:pPr>
        <w:pStyle w:val="FootnoteText"/>
      </w:pPr>
      <w:r>
        <w:rPr>
          <w:rStyle w:val="FootnoteReference"/>
        </w:rPr>
        <w:footnoteRef/>
      </w:r>
      <w:r>
        <w:t xml:space="preserve"> Ibid.</w:t>
      </w:r>
    </w:p>
  </w:footnote>
  <w:footnote w:id="119">
    <w:p w:rsidR="00AB3F05" w:rsidRPr="00C435E9" w:rsidRDefault="00AB3F05">
      <w:pPr>
        <w:pStyle w:val="FootnoteText"/>
      </w:pPr>
      <w:r>
        <w:rPr>
          <w:rStyle w:val="FootnoteReference"/>
        </w:rPr>
        <w:footnoteRef/>
      </w:r>
      <w:r>
        <w:t xml:space="preserve"> Ibid., 18.</w:t>
      </w:r>
    </w:p>
  </w:footnote>
  <w:footnote w:id="120">
    <w:p w:rsidR="00AB3F05" w:rsidRPr="0099387C" w:rsidRDefault="00AB3F05">
      <w:pPr>
        <w:pStyle w:val="FootnoteText"/>
      </w:pPr>
      <w:r>
        <w:rPr>
          <w:rStyle w:val="FootnoteReference"/>
        </w:rPr>
        <w:footnoteRef/>
      </w:r>
      <w:r>
        <w:t xml:space="preserve"> Ibid., 19.</w:t>
      </w:r>
    </w:p>
  </w:footnote>
  <w:footnote w:id="121">
    <w:p w:rsidR="00AB3F05" w:rsidRPr="00610796" w:rsidRDefault="00AB3F05">
      <w:pPr>
        <w:pStyle w:val="FootnoteText"/>
      </w:pPr>
      <w:r>
        <w:rPr>
          <w:rStyle w:val="FootnoteReference"/>
        </w:rPr>
        <w:footnoteRef/>
      </w:r>
      <w:r>
        <w:t xml:space="preserve"> Worsfold, </w:t>
      </w:r>
      <w:r w:rsidRPr="005A22AF">
        <w:rPr>
          <w:i/>
        </w:rPr>
        <w:t>Origins</w:t>
      </w:r>
      <w:r>
        <w:t>, 95-102. Worsfold did not translate the document himself, as he was a New Zealander and did not speak Welsh.</w:t>
      </w:r>
    </w:p>
  </w:footnote>
  <w:footnote w:id="122">
    <w:p w:rsidR="00AB3F05" w:rsidRPr="00650824" w:rsidRDefault="00AB3F05">
      <w:pPr>
        <w:pStyle w:val="FootnoteText"/>
      </w:pPr>
      <w:r>
        <w:rPr>
          <w:rStyle w:val="FootnoteReference"/>
        </w:rPr>
        <w:footnoteRef/>
      </w:r>
      <w:r>
        <w:t xml:space="preserve"> ‘Ar sail y gwaed a gollwyd a’r Iawn a roddwyd’. </w:t>
      </w:r>
      <w:r>
        <w:rPr>
          <w:lang w:val="cy-GB"/>
        </w:rPr>
        <w:t xml:space="preserve">Williams, </w:t>
      </w:r>
      <w:r w:rsidRPr="008B3121">
        <w:rPr>
          <w:i/>
          <w:lang w:val="cy-GB"/>
        </w:rPr>
        <w:t>Athrawiaethau Sylfeinol</w:t>
      </w:r>
      <w:r>
        <w:rPr>
          <w:lang w:val="cy-GB"/>
        </w:rPr>
        <w:t>, 7.</w:t>
      </w:r>
    </w:p>
  </w:footnote>
  <w:footnote w:id="123">
    <w:p w:rsidR="00AB3F05" w:rsidRPr="00EC374D" w:rsidRDefault="00AB3F05">
      <w:pPr>
        <w:pStyle w:val="FootnoteText"/>
      </w:pPr>
      <w:r>
        <w:rPr>
          <w:rStyle w:val="FootnoteReference"/>
        </w:rPr>
        <w:footnoteRef/>
      </w:r>
      <w:r>
        <w:t xml:space="preserve"> ‘O’i fawr gariad’. Ibid., 8.</w:t>
      </w:r>
    </w:p>
  </w:footnote>
  <w:footnote w:id="124">
    <w:p w:rsidR="00AB3F05" w:rsidRPr="004E6BD4" w:rsidRDefault="00AB3F05">
      <w:pPr>
        <w:pStyle w:val="FootnoteText"/>
      </w:pPr>
      <w:r>
        <w:rPr>
          <w:rStyle w:val="FootnoteReference"/>
        </w:rPr>
        <w:footnoteRef/>
      </w:r>
      <w:r>
        <w:t xml:space="preserve"> Ibid.</w:t>
      </w:r>
    </w:p>
  </w:footnote>
  <w:footnote w:id="125">
    <w:p w:rsidR="00AB3F05" w:rsidRPr="003A6D94" w:rsidRDefault="00AB3F05">
      <w:pPr>
        <w:pStyle w:val="FootnoteText"/>
      </w:pPr>
      <w:r>
        <w:rPr>
          <w:rStyle w:val="FootnoteReference"/>
        </w:rPr>
        <w:footnoteRef/>
      </w:r>
      <w:r>
        <w:t xml:space="preserve"> ‘Yr Yspryd Glân yn arwain y saint’. Ibid.</w:t>
      </w:r>
    </w:p>
  </w:footnote>
  <w:footnote w:id="126">
    <w:p w:rsidR="00AB3F05" w:rsidRPr="003A6D94" w:rsidRDefault="00AB3F05">
      <w:pPr>
        <w:pStyle w:val="FootnoteText"/>
      </w:pPr>
      <w:r>
        <w:rPr>
          <w:rStyle w:val="FootnoteReference"/>
        </w:rPr>
        <w:footnoteRef/>
      </w:r>
      <w:r>
        <w:t xml:space="preserve"> ‘yn tywys i bob gwirionedd’. Ibid.</w:t>
      </w:r>
    </w:p>
  </w:footnote>
  <w:footnote w:id="127">
    <w:p w:rsidR="00AB3F05" w:rsidRPr="009228AA" w:rsidRDefault="00AB3F05">
      <w:pPr>
        <w:pStyle w:val="FootnoteText"/>
      </w:pPr>
      <w:r>
        <w:rPr>
          <w:rStyle w:val="FootnoteReference"/>
        </w:rPr>
        <w:footnoteRef/>
      </w:r>
      <w:r>
        <w:t xml:space="preserve"> ‘ac yn gwarafun i’w bobl i wneuthur dim ond sydd yn mherffaith ewyllys y Tad’. Ibid.</w:t>
      </w:r>
    </w:p>
  </w:footnote>
  <w:footnote w:id="128">
    <w:p w:rsidR="00AB3F05" w:rsidRPr="009228AA" w:rsidRDefault="00AB3F05">
      <w:pPr>
        <w:pStyle w:val="FootnoteText"/>
      </w:pPr>
      <w:r>
        <w:rPr>
          <w:rStyle w:val="FootnoteReference"/>
        </w:rPr>
        <w:footnoteRef/>
      </w:r>
      <w:r>
        <w:t xml:space="preserve"> ‘yn brawf i’r byd anghrediniol fod y Gair y digelwyddog Dduw yn aros yr un, ac yn byw, ac yn parhau yn dragywydd, fel y byddo pawb yn ddiesgus.’ Ibid.</w:t>
      </w:r>
    </w:p>
  </w:footnote>
  <w:footnote w:id="129">
    <w:p w:rsidR="00AB3F05" w:rsidRPr="004B548D" w:rsidRDefault="00AB3F05">
      <w:pPr>
        <w:pStyle w:val="FootnoteText"/>
      </w:pPr>
      <w:r>
        <w:rPr>
          <w:rStyle w:val="FootnoteReference"/>
        </w:rPr>
        <w:footnoteRef/>
      </w:r>
      <w:r>
        <w:t xml:space="preserve"> I am using </w:t>
      </w:r>
      <w:r w:rsidRPr="004B548D">
        <w:rPr>
          <w:i/>
        </w:rPr>
        <w:t>donum superadditum</w:t>
      </w:r>
      <w:r>
        <w:t xml:space="preserve"> in the sense which the expression has taken on in discussions of Pentecostal theology, rather than in the classical sense it had in medieval theology. See e.g. Simon Chan, </w:t>
      </w:r>
      <w:r w:rsidRPr="004B548D">
        <w:rPr>
          <w:i/>
        </w:rPr>
        <w:t>Pentecostal Theology and the Christian Spiritual Tradition</w:t>
      </w:r>
      <w:r>
        <w:t>, Reprint ed.,</w:t>
      </w:r>
      <w:r w:rsidRPr="00103702">
        <w:t xml:space="preserve"> </w:t>
      </w:r>
      <w:r>
        <w:t>(</w:t>
      </w:r>
      <w:r w:rsidRPr="00103702">
        <w:t>Eugene: Wipf and Stock, 2011</w:t>
      </w:r>
      <w:r>
        <w:t>), 47n.22.</w:t>
      </w:r>
    </w:p>
  </w:footnote>
  <w:footnote w:id="130">
    <w:p w:rsidR="00AB3F05" w:rsidRPr="00E476C0" w:rsidRDefault="00AB3F05">
      <w:pPr>
        <w:pStyle w:val="FootnoteText"/>
      </w:pPr>
      <w:r>
        <w:rPr>
          <w:rStyle w:val="FootnoteReference"/>
        </w:rPr>
        <w:footnoteRef/>
      </w:r>
      <w:r>
        <w:t xml:space="preserve"> Davies and Yeoman, </w:t>
      </w:r>
      <w:r w:rsidRPr="00E476C0">
        <w:rPr>
          <w:i/>
        </w:rPr>
        <w:t>Born in the Fire</w:t>
      </w:r>
      <w:r>
        <w:t xml:space="preserve">, 76;  Turnbull, </w:t>
      </w:r>
      <w:r w:rsidRPr="002D70FA">
        <w:rPr>
          <w:i/>
        </w:rPr>
        <w:t>What God Hath Wrought</w:t>
      </w:r>
      <w:r>
        <w:t xml:space="preserve">, 18; Turnbull, </w:t>
      </w:r>
      <w:r w:rsidRPr="002D70FA">
        <w:rPr>
          <w:i/>
        </w:rPr>
        <w:t>Brothers</w:t>
      </w:r>
      <w:r>
        <w:t>, 33-34.</w:t>
      </w:r>
    </w:p>
  </w:footnote>
  <w:footnote w:id="131">
    <w:p w:rsidR="00AB3F05" w:rsidRPr="00FF7D4B" w:rsidRDefault="00AB3F05">
      <w:pPr>
        <w:pStyle w:val="FootnoteText"/>
      </w:pPr>
      <w:r>
        <w:rPr>
          <w:rStyle w:val="FootnoteReference"/>
        </w:rPr>
        <w:footnoteRef/>
      </w:r>
      <w:r>
        <w:t xml:space="preserve"> D.P. Williams, ‘Editorial: Church Unity’, </w:t>
      </w:r>
      <w:r>
        <w:rPr>
          <w:i/>
        </w:rPr>
        <w:t>RoG</w:t>
      </w:r>
      <w:r>
        <w:t xml:space="preserve"> xii.2 (Nov. 1936), 242. </w:t>
      </w:r>
    </w:p>
  </w:footnote>
  <w:footnote w:id="132">
    <w:p w:rsidR="00AB3F05" w:rsidRPr="001E1818" w:rsidRDefault="00AB3F05">
      <w:pPr>
        <w:pStyle w:val="FootnoteText"/>
      </w:pPr>
      <w:r>
        <w:rPr>
          <w:rStyle w:val="FootnoteReference"/>
        </w:rPr>
        <w:footnoteRef/>
      </w:r>
      <w:r>
        <w:t xml:space="preserve"> D.P. Williams, ‘Human Temples for God’, </w:t>
      </w:r>
      <w:r>
        <w:rPr>
          <w:i/>
        </w:rPr>
        <w:t>RoG</w:t>
      </w:r>
      <w:r>
        <w:t xml:space="preserve"> xiii.3 (Jan. 1938), 308.</w:t>
      </w:r>
    </w:p>
  </w:footnote>
  <w:footnote w:id="133">
    <w:p w:rsidR="00AB3F05" w:rsidRPr="00EC32ED" w:rsidRDefault="00AB3F05">
      <w:pPr>
        <w:pStyle w:val="FootnoteText"/>
      </w:pPr>
      <w:r>
        <w:rPr>
          <w:rStyle w:val="FootnoteReference"/>
        </w:rPr>
        <w:footnoteRef/>
      </w:r>
      <w:r>
        <w:t xml:space="preserve"> D.P. Williams, </w:t>
      </w:r>
      <w:r w:rsidRPr="005F21B9">
        <w:rPr>
          <w:i/>
        </w:rPr>
        <w:t>The Gift of Tongues</w:t>
      </w:r>
      <w:r>
        <w:t xml:space="preserve"> (Penygroes: The Apostolic Church, n.d.). This would appear to be a translation and slight expansion of a work which appears in </w:t>
      </w:r>
      <w:r>
        <w:rPr>
          <w:i/>
        </w:rPr>
        <w:t>RoG</w:t>
      </w:r>
      <w:r>
        <w:t xml:space="preserve"> in Welsh in 1917: D.P. Williams, ‘Y Tafodau Dieithr’, </w:t>
      </w:r>
      <w:r w:rsidRPr="00EC32ED">
        <w:rPr>
          <w:i/>
        </w:rPr>
        <w:t>Cyfoeth Gras</w:t>
      </w:r>
      <w:r>
        <w:rPr>
          <w:i/>
        </w:rPr>
        <w:t xml:space="preserve"> (RoG)</w:t>
      </w:r>
      <w:r>
        <w:t>, i.5 (Dec. 1917), 1-5.</w:t>
      </w:r>
    </w:p>
  </w:footnote>
  <w:footnote w:id="134">
    <w:p w:rsidR="00AB3F05" w:rsidRPr="005F21B9" w:rsidRDefault="00AB3F05">
      <w:pPr>
        <w:pStyle w:val="FootnoteText"/>
      </w:pPr>
      <w:r>
        <w:rPr>
          <w:rStyle w:val="FootnoteReference"/>
        </w:rPr>
        <w:footnoteRef/>
      </w:r>
      <w:r>
        <w:t xml:space="preserve"> Williams, ‘Human Temples’, 308.</w:t>
      </w:r>
    </w:p>
  </w:footnote>
  <w:footnote w:id="135">
    <w:p w:rsidR="00AB3F05" w:rsidRPr="00783E08" w:rsidRDefault="00AB3F05">
      <w:pPr>
        <w:pStyle w:val="FootnoteText"/>
      </w:pPr>
      <w:r>
        <w:rPr>
          <w:rStyle w:val="FootnoteReference"/>
        </w:rPr>
        <w:footnoteRef/>
      </w:r>
      <w:r>
        <w:t xml:space="preserve"> D.P. Williams, ‘Liberty in the Holy Spirit (A Summary of Conventional Expositions)’, </w:t>
      </w:r>
      <w:r w:rsidRPr="00783E08">
        <w:rPr>
          <w:i/>
        </w:rPr>
        <w:t>in Amazing Love: Report of the Apostolic Church International Convention, Penygroes 1943</w:t>
      </w:r>
      <w:r>
        <w:t xml:space="preserve"> (Penygroes: Apostolic Publications, 1943), 46.</w:t>
      </w:r>
    </w:p>
  </w:footnote>
  <w:footnote w:id="136">
    <w:p w:rsidR="00AB3F05" w:rsidRPr="005A42E8" w:rsidRDefault="00AB3F05">
      <w:pPr>
        <w:pStyle w:val="FootnoteText"/>
      </w:pPr>
      <w:r>
        <w:rPr>
          <w:rStyle w:val="FootnoteReference"/>
        </w:rPr>
        <w:footnoteRef/>
      </w:r>
      <w:r>
        <w:t xml:space="preserve"> D.P. Williams, ‘Editorial’, </w:t>
      </w:r>
      <w:r w:rsidRPr="00576D79">
        <w:rPr>
          <w:i/>
        </w:rPr>
        <w:t>Herald of Grace</w:t>
      </w:r>
      <w:r>
        <w:t>, 4.7 (July 1944), 82.</w:t>
      </w:r>
    </w:p>
  </w:footnote>
  <w:footnote w:id="137">
    <w:p w:rsidR="00AB3F05" w:rsidRPr="00654002" w:rsidRDefault="00AB3F05">
      <w:pPr>
        <w:pStyle w:val="FootnoteText"/>
      </w:pPr>
      <w:r>
        <w:rPr>
          <w:rStyle w:val="FootnoteReference"/>
        </w:rPr>
        <w:footnoteRef/>
      </w:r>
      <w:r>
        <w:t xml:space="preserve"> D.P. Williams, ‘The Ministry of the Word’, in </w:t>
      </w:r>
      <w:r w:rsidRPr="00654002">
        <w:rPr>
          <w:i/>
        </w:rPr>
        <w:t>The Enduring Word</w:t>
      </w:r>
      <w:r>
        <w:rPr>
          <w:i/>
        </w:rPr>
        <w:t xml:space="preserve"> – Incarnate, Written, Spoken: A Report of the Apostolic Church International Convention, 5</w:t>
      </w:r>
      <w:r w:rsidRPr="009A7F22">
        <w:rPr>
          <w:i/>
          <w:vertAlign w:val="superscript"/>
        </w:rPr>
        <w:t>th</w:t>
      </w:r>
      <w:r>
        <w:rPr>
          <w:i/>
        </w:rPr>
        <w:t>-13</w:t>
      </w:r>
      <w:r w:rsidRPr="009A7F22">
        <w:rPr>
          <w:i/>
          <w:vertAlign w:val="superscript"/>
        </w:rPr>
        <w:t>th</w:t>
      </w:r>
      <w:r>
        <w:rPr>
          <w:i/>
        </w:rPr>
        <w:t xml:space="preserve"> August </w:t>
      </w:r>
      <w:r w:rsidRPr="00654002">
        <w:rPr>
          <w:i/>
        </w:rPr>
        <w:t>1944</w:t>
      </w:r>
      <w:r>
        <w:t xml:space="preserve"> (Penygroes: Apostolic Publications, 1944), 171.</w:t>
      </w:r>
    </w:p>
  </w:footnote>
  <w:footnote w:id="138">
    <w:p w:rsidR="00AB3F05" w:rsidRPr="003A0684" w:rsidRDefault="00AB3F05">
      <w:pPr>
        <w:pStyle w:val="FootnoteText"/>
      </w:pPr>
      <w:r>
        <w:rPr>
          <w:rStyle w:val="FootnoteReference"/>
        </w:rPr>
        <w:footnoteRef/>
      </w:r>
      <w:r>
        <w:t xml:space="preserve"> D.P. Williams, ‘The Body of Christ: Exposition’, </w:t>
      </w:r>
      <w:r>
        <w:rPr>
          <w:i/>
        </w:rPr>
        <w:t>RoG,</w:t>
      </w:r>
      <w:r>
        <w:t xml:space="preserve"> iv.2 (Nov. 1928), 63-64.</w:t>
      </w:r>
    </w:p>
  </w:footnote>
  <w:footnote w:id="139">
    <w:p w:rsidR="00AB3F05" w:rsidRPr="00654002" w:rsidRDefault="00AB3F05">
      <w:pPr>
        <w:pStyle w:val="FootnoteText"/>
      </w:pPr>
      <w:r>
        <w:rPr>
          <w:rStyle w:val="FootnoteReference"/>
        </w:rPr>
        <w:footnoteRef/>
      </w:r>
      <w:r>
        <w:t xml:space="preserve"> D.P. Williams, ‘The Godhead’, </w:t>
      </w:r>
      <w:r>
        <w:rPr>
          <w:i/>
        </w:rPr>
        <w:t>RoG</w:t>
      </w:r>
      <w:r>
        <w:t>, vii.1 (Sept. 1931), 5.</w:t>
      </w:r>
    </w:p>
  </w:footnote>
  <w:footnote w:id="140">
    <w:p w:rsidR="00AB3F05" w:rsidRPr="00654002" w:rsidRDefault="00AB3F05">
      <w:pPr>
        <w:pStyle w:val="FootnoteText"/>
      </w:pPr>
      <w:r>
        <w:rPr>
          <w:rStyle w:val="FootnoteReference"/>
        </w:rPr>
        <w:footnoteRef/>
      </w:r>
      <w:r>
        <w:t xml:space="preserve"> D.P. Williams, ‘The Unique Child’, </w:t>
      </w:r>
      <w:r>
        <w:rPr>
          <w:i/>
        </w:rPr>
        <w:t>RoG</w:t>
      </w:r>
      <w:r>
        <w:t>, 12.12 (Dec. 1959), 370.</w:t>
      </w:r>
    </w:p>
  </w:footnote>
  <w:footnote w:id="141">
    <w:p w:rsidR="00AB3F05" w:rsidRPr="00231C66" w:rsidRDefault="00AB3F05">
      <w:pPr>
        <w:pStyle w:val="FootnoteText"/>
      </w:pPr>
      <w:r>
        <w:rPr>
          <w:rStyle w:val="FootnoteReference"/>
        </w:rPr>
        <w:footnoteRef/>
      </w:r>
      <w:r>
        <w:t xml:space="preserve"> Williams, ‘The Ministry of the Word’, 173.</w:t>
      </w:r>
    </w:p>
  </w:footnote>
  <w:footnote w:id="142">
    <w:p w:rsidR="00AB3F05" w:rsidRPr="000C1F04" w:rsidRDefault="00AB3F05">
      <w:pPr>
        <w:pStyle w:val="FootnoteText"/>
      </w:pPr>
      <w:r>
        <w:rPr>
          <w:rStyle w:val="FootnoteReference"/>
        </w:rPr>
        <w:footnoteRef/>
      </w:r>
      <w:r>
        <w:t xml:space="preserve"> Williams, ‘Editorial: Church Unity’, 242.</w:t>
      </w:r>
    </w:p>
  </w:footnote>
  <w:footnote w:id="143">
    <w:p w:rsidR="00AB3F05" w:rsidRPr="00376A60" w:rsidRDefault="00AB3F05">
      <w:pPr>
        <w:pStyle w:val="FootnoteText"/>
      </w:pPr>
      <w:r>
        <w:rPr>
          <w:rStyle w:val="FootnoteReference"/>
        </w:rPr>
        <w:footnoteRef/>
      </w:r>
      <w:r>
        <w:t xml:space="preserve"> Williams, ‘Human Temples’, 308.</w:t>
      </w:r>
    </w:p>
  </w:footnote>
  <w:footnote w:id="144">
    <w:p w:rsidR="00AB3F05" w:rsidRPr="0090058E" w:rsidRDefault="00AB3F05" w:rsidP="00C75606">
      <w:pPr>
        <w:pStyle w:val="FootnoteText"/>
        <w:rPr>
          <w:lang w:val="cy-GB"/>
        </w:rPr>
      </w:pPr>
      <w:r>
        <w:rPr>
          <w:rStyle w:val="FootnoteReference"/>
        </w:rPr>
        <w:footnoteRef/>
      </w:r>
      <w:r>
        <w:t xml:space="preserve"> Horton, </w:t>
      </w:r>
      <w:r w:rsidRPr="00E95D17">
        <w:rPr>
          <w:i/>
        </w:rPr>
        <w:t>Gifts of the Spirit</w:t>
      </w:r>
      <w:r>
        <w:rPr>
          <w:lang w:val="cy-GB"/>
        </w:rPr>
        <w:t>, 8. See above.</w:t>
      </w:r>
    </w:p>
  </w:footnote>
  <w:footnote w:id="145">
    <w:p w:rsidR="00AB3F05" w:rsidRPr="006642DB" w:rsidRDefault="00AB3F05">
      <w:pPr>
        <w:pStyle w:val="FootnoteText"/>
      </w:pPr>
      <w:r>
        <w:rPr>
          <w:rStyle w:val="FootnoteReference"/>
        </w:rPr>
        <w:footnoteRef/>
      </w:r>
      <w:r>
        <w:t xml:space="preserve"> Michael A. Eaton, </w:t>
      </w:r>
      <w:r w:rsidRPr="006642DB">
        <w:rPr>
          <w:i/>
        </w:rPr>
        <w:t>Baptism with the Spiri</w:t>
      </w:r>
      <w:r>
        <w:rPr>
          <w:i/>
        </w:rPr>
        <w:t>t: The Teaching of Martyn Lloyd-</w:t>
      </w:r>
      <w:r w:rsidRPr="006642DB">
        <w:rPr>
          <w:i/>
        </w:rPr>
        <w:t>Jones</w:t>
      </w:r>
      <w:r>
        <w:t xml:space="preserve"> (Leicester: IVP, 1989), 13.</w:t>
      </w:r>
    </w:p>
  </w:footnote>
  <w:footnote w:id="146">
    <w:p w:rsidR="00AB3F05" w:rsidRPr="00122743" w:rsidRDefault="00AB3F05">
      <w:pPr>
        <w:pStyle w:val="FootnoteText"/>
      </w:pPr>
      <w:r>
        <w:rPr>
          <w:rStyle w:val="FootnoteReference"/>
        </w:rPr>
        <w:footnoteRef/>
      </w:r>
      <w:r>
        <w:t xml:space="preserve"> Ibid., 130-132.</w:t>
      </w:r>
    </w:p>
  </w:footnote>
  <w:footnote w:id="147">
    <w:p w:rsidR="00AB3F05" w:rsidRPr="00454D26" w:rsidRDefault="00AB3F05">
      <w:pPr>
        <w:pStyle w:val="FootnoteText"/>
      </w:pPr>
      <w:r>
        <w:rPr>
          <w:rStyle w:val="FootnoteReference"/>
        </w:rPr>
        <w:footnoteRef/>
      </w:r>
      <w:r>
        <w:t xml:space="preserve"> Williams, ‘Human Temples’, 308.</w:t>
      </w:r>
    </w:p>
  </w:footnote>
  <w:footnote w:id="148">
    <w:p w:rsidR="00AB3F05" w:rsidRPr="00F53177" w:rsidRDefault="00AB3F05">
      <w:pPr>
        <w:pStyle w:val="FootnoteText"/>
        <w:rPr>
          <w:lang w:val="cy-GB"/>
        </w:rPr>
      </w:pPr>
      <w:r>
        <w:rPr>
          <w:rStyle w:val="FootnoteReference"/>
        </w:rPr>
        <w:footnoteRef/>
      </w:r>
      <w:r>
        <w:t xml:space="preserve"> </w:t>
      </w:r>
      <w:r>
        <w:rPr>
          <w:lang w:val="cy-GB"/>
        </w:rPr>
        <w:t>Translation below, 3.2.1.</w:t>
      </w:r>
    </w:p>
  </w:footnote>
  <w:footnote w:id="149">
    <w:p w:rsidR="00AB3F05" w:rsidRPr="009C3532" w:rsidRDefault="00AB3F05" w:rsidP="00F53177">
      <w:pPr>
        <w:pStyle w:val="FootnoteText"/>
      </w:pPr>
      <w:r>
        <w:rPr>
          <w:rStyle w:val="FootnoteReference"/>
        </w:rPr>
        <w:footnoteRef/>
      </w:r>
      <w:r>
        <w:t xml:space="preserve"> See below, 3.2.1.</w:t>
      </w:r>
    </w:p>
  </w:footnote>
  <w:footnote w:id="150">
    <w:p w:rsidR="00AB3F05" w:rsidRPr="005B05D2" w:rsidRDefault="00AB3F05">
      <w:pPr>
        <w:pStyle w:val="FootnoteText"/>
      </w:pPr>
      <w:r>
        <w:rPr>
          <w:rStyle w:val="FootnoteReference"/>
        </w:rPr>
        <w:footnoteRef/>
      </w:r>
      <w:r>
        <w:t xml:space="preserve"> D.P. Williams, ‘The Glory of the Lord’, </w:t>
      </w:r>
      <w:r w:rsidRPr="005B05D2">
        <w:rPr>
          <w:i/>
        </w:rPr>
        <w:t>Herald of Grace</w:t>
      </w:r>
      <w:r>
        <w:t>, 5.2 (Feb. 1945), 33.</w:t>
      </w:r>
    </w:p>
  </w:footnote>
  <w:footnote w:id="151">
    <w:p w:rsidR="00AB3F05" w:rsidRPr="005B05D2" w:rsidRDefault="00AB3F05">
      <w:pPr>
        <w:pStyle w:val="FootnoteText"/>
      </w:pPr>
      <w:r>
        <w:rPr>
          <w:rStyle w:val="FootnoteReference"/>
        </w:rPr>
        <w:footnoteRef/>
      </w:r>
      <w:r>
        <w:t xml:space="preserve"> D.P. Williams, ‘The Transformed Life and Its Imparting Power’, </w:t>
      </w:r>
      <w:r>
        <w:rPr>
          <w:i/>
        </w:rPr>
        <w:t>RoG</w:t>
      </w:r>
      <w:r>
        <w:t>, xv.10 (Nov. 1940), 110.</w:t>
      </w:r>
    </w:p>
  </w:footnote>
  <w:footnote w:id="152">
    <w:p w:rsidR="00AB3F05" w:rsidRPr="00EE41E5" w:rsidRDefault="00AB3F05">
      <w:pPr>
        <w:pStyle w:val="FootnoteText"/>
      </w:pPr>
      <w:r>
        <w:rPr>
          <w:rStyle w:val="FootnoteReference"/>
        </w:rPr>
        <w:footnoteRef/>
      </w:r>
      <w:r>
        <w:t xml:space="preserve"> Ibid.</w:t>
      </w:r>
    </w:p>
  </w:footnote>
  <w:footnote w:id="153">
    <w:p w:rsidR="00AB3F05" w:rsidRPr="00B81E80" w:rsidRDefault="00AB3F05">
      <w:pPr>
        <w:pStyle w:val="FootnoteText"/>
      </w:pPr>
      <w:r>
        <w:rPr>
          <w:rStyle w:val="FootnoteReference"/>
        </w:rPr>
        <w:footnoteRef/>
      </w:r>
      <w:r>
        <w:t xml:space="preserve"> Ibid.</w:t>
      </w:r>
    </w:p>
  </w:footnote>
  <w:footnote w:id="154">
    <w:p w:rsidR="00AB3F05" w:rsidRPr="00B81E80" w:rsidRDefault="00AB3F05">
      <w:pPr>
        <w:pStyle w:val="FootnoteText"/>
      </w:pPr>
      <w:r>
        <w:rPr>
          <w:rStyle w:val="FootnoteReference"/>
        </w:rPr>
        <w:footnoteRef/>
      </w:r>
      <w:r>
        <w:t xml:space="preserve"> Ibid., 111.</w:t>
      </w:r>
    </w:p>
  </w:footnote>
  <w:footnote w:id="155">
    <w:p w:rsidR="00AB3F05" w:rsidRPr="00860253" w:rsidRDefault="00AB3F05" w:rsidP="00860253">
      <w:pPr>
        <w:pStyle w:val="FootnoteText"/>
      </w:pPr>
      <w:r>
        <w:rPr>
          <w:rStyle w:val="FootnoteReference"/>
        </w:rPr>
        <w:footnoteRef/>
      </w:r>
      <w:r>
        <w:t xml:space="preserve"> Ibid.</w:t>
      </w:r>
    </w:p>
  </w:footnote>
  <w:footnote w:id="156">
    <w:p w:rsidR="00AB3F05" w:rsidRPr="00860253" w:rsidRDefault="00AB3F05">
      <w:pPr>
        <w:pStyle w:val="FootnoteText"/>
      </w:pPr>
      <w:r>
        <w:rPr>
          <w:rStyle w:val="FootnoteReference"/>
        </w:rPr>
        <w:footnoteRef/>
      </w:r>
      <w:r>
        <w:t xml:space="preserve"> Ibid.</w:t>
      </w:r>
    </w:p>
  </w:footnote>
  <w:footnote w:id="157">
    <w:p w:rsidR="00AB3F05" w:rsidRPr="00BE007B" w:rsidRDefault="00AB3F05">
      <w:pPr>
        <w:pStyle w:val="FootnoteText"/>
      </w:pPr>
      <w:r>
        <w:rPr>
          <w:rStyle w:val="FootnoteReference"/>
        </w:rPr>
        <w:footnoteRef/>
      </w:r>
      <w:r>
        <w:t xml:space="preserve"> Ibid.</w:t>
      </w:r>
    </w:p>
  </w:footnote>
  <w:footnote w:id="158">
    <w:p w:rsidR="00AB3F05" w:rsidRPr="00AA032A" w:rsidRDefault="00AB3F05">
      <w:pPr>
        <w:pStyle w:val="FootnoteText"/>
      </w:pPr>
      <w:r>
        <w:rPr>
          <w:rStyle w:val="FootnoteReference"/>
        </w:rPr>
        <w:footnoteRef/>
      </w:r>
      <w:r>
        <w:t xml:space="preserve"> Martin Luther, </w:t>
      </w:r>
      <w:r w:rsidRPr="003B30A6">
        <w:rPr>
          <w:i/>
        </w:rPr>
        <w:t>Heidelberg Disputation</w:t>
      </w:r>
      <w:r>
        <w:t>, Thesis 19</w:t>
      </w:r>
    </w:p>
  </w:footnote>
  <w:footnote w:id="159">
    <w:p w:rsidR="00AB3F05" w:rsidRPr="00AA032A" w:rsidRDefault="00AB3F05">
      <w:pPr>
        <w:pStyle w:val="FootnoteText"/>
      </w:pPr>
      <w:r>
        <w:rPr>
          <w:rStyle w:val="FootnoteReference"/>
        </w:rPr>
        <w:footnoteRef/>
      </w:r>
      <w:r>
        <w:t xml:space="preserve"> Ibid., Thesis 20</w:t>
      </w:r>
    </w:p>
  </w:footnote>
  <w:footnote w:id="160">
    <w:p w:rsidR="00AB3F05" w:rsidRPr="00345EE6" w:rsidRDefault="00AB3F05">
      <w:pPr>
        <w:pStyle w:val="FootnoteText"/>
      </w:pPr>
      <w:r>
        <w:rPr>
          <w:rStyle w:val="FootnoteReference"/>
        </w:rPr>
        <w:footnoteRef/>
      </w:r>
      <w:r>
        <w:t xml:space="preserve"> William Phillips is quoted here in Davies and Yeoman, </w:t>
      </w:r>
      <w:r w:rsidRPr="00345EE6">
        <w:rPr>
          <w:i/>
        </w:rPr>
        <w:t>Born in the Fire</w:t>
      </w:r>
      <w:r>
        <w:t xml:space="preserve">, 76. The authors then immediately add: ‘He descended the mountain baptised in the Holy Ghost and speaking in tongues.’ Another account from William Phillips does mention speaking in tongues; Turnbull, </w:t>
      </w:r>
      <w:r w:rsidRPr="0026528E">
        <w:rPr>
          <w:i/>
        </w:rPr>
        <w:t>Brothers</w:t>
      </w:r>
      <w:r>
        <w:t>, 33.</w:t>
      </w:r>
    </w:p>
  </w:footnote>
  <w:footnote w:id="161">
    <w:p w:rsidR="00AB3F05" w:rsidRPr="00D620A0" w:rsidRDefault="00AB3F05">
      <w:pPr>
        <w:pStyle w:val="FootnoteText"/>
      </w:pPr>
      <w:r>
        <w:rPr>
          <w:rStyle w:val="FootnoteReference"/>
        </w:rPr>
        <w:footnoteRef/>
      </w:r>
      <w:r>
        <w:t xml:space="preserve"> See e.g. Kenneth J. Archer, </w:t>
      </w:r>
      <w:r w:rsidRPr="00D16D01">
        <w:rPr>
          <w:i/>
        </w:rPr>
        <w:t>The Gospel Revisited: Towards a Pentecostal Theology of Worship and Witness</w:t>
      </w:r>
      <w:r>
        <w:t xml:space="preserve"> (Eugene: Pickwick, 2011), 7; Keith Warrington, </w:t>
      </w:r>
      <w:r w:rsidRPr="00B809E6">
        <w:rPr>
          <w:i/>
        </w:rPr>
        <w:t>Pentecostal Theology: A Theology of Encounter</w:t>
      </w:r>
      <w:r>
        <w:t xml:space="preserve"> (London: T&amp;T Clark, 2008), 15-16; Walter J. Hollenweger, </w:t>
      </w:r>
      <w:r w:rsidRPr="00F240D4">
        <w:rPr>
          <w:i/>
        </w:rPr>
        <w:t>Pentecostalism: Origins and Developments Worldwide</w:t>
      </w:r>
      <w:r>
        <w:t xml:space="preserve"> (Peabody: Hendrickson, 1998), 196.</w:t>
      </w:r>
    </w:p>
  </w:footnote>
  <w:footnote w:id="162">
    <w:p w:rsidR="00AB3F05" w:rsidRPr="005E69DA" w:rsidRDefault="00AB3F05">
      <w:pPr>
        <w:pStyle w:val="FootnoteText"/>
      </w:pPr>
      <w:r>
        <w:rPr>
          <w:rStyle w:val="FootnoteReference"/>
        </w:rPr>
        <w:footnoteRef/>
      </w:r>
      <w:r>
        <w:t xml:space="preserve"> Williams, ‘Liberty in the Holy Spirit’, 45.</w:t>
      </w:r>
    </w:p>
  </w:footnote>
  <w:footnote w:id="163">
    <w:p w:rsidR="00AB3F05" w:rsidRPr="00E675C4" w:rsidRDefault="00AB3F05">
      <w:pPr>
        <w:pStyle w:val="FootnoteText"/>
      </w:pPr>
      <w:r>
        <w:rPr>
          <w:rStyle w:val="FootnoteReference"/>
        </w:rPr>
        <w:footnoteRef/>
      </w:r>
      <w:r>
        <w:t xml:space="preserve"> W.A.C Rowe, </w:t>
      </w:r>
      <w:r w:rsidRPr="00E675C4">
        <w:rPr>
          <w:i/>
        </w:rPr>
        <w:t>One Lord One Faith</w:t>
      </w:r>
      <w:r>
        <w:t xml:space="preserve"> (Puritan Press: Bradford, n.d.), 81.</w:t>
      </w:r>
    </w:p>
  </w:footnote>
  <w:footnote w:id="164">
    <w:p w:rsidR="00AB3F05" w:rsidRPr="002D3964" w:rsidRDefault="00AB3F05">
      <w:pPr>
        <w:pStyle w:val="FootnoteText"/>
      </w:pPr>
      <w:r>
        <w:rPr>
          <w:rStyle w:val="FootnoteReference"/>
        </w:rPr>
        <w:footnoteRef/>
      </w:r>
      <w:r>
        <w:t xml:space="preserve"> ‘mae yn rhodd Duw i bob credadyn unigol.’ D.P. Williams, ‘Doniau Duw’, </w:t>
      </w:r>
      <w:r w:rsidRPr="002D3964">
        <w:rPr>
          <w:i/>
        </w:rPr>
        <w:t>Cyfoeth Gras</w:t>
      </w:r>
      <w:r>
        <w:t xml:space="preserve"> (</w:t>
      </w:r>
      <w:r>
        <w:rPr>
          <w:i/>
        </w:rPr>
        <w:t>RoG</w:t>
      </w:r>
      <w:r>
        <w:t>), i.2 (May 1916), 19.</w:t>
      </w:r>
    </w:p>
  </w:footnote>
  <w:footnote w:id="165">
    <w:p w:rsidR="00AB3F05" w:rsidRPr="009D671D" w:rsidRDefault="00AB3F05">
      <w:pPr>
        <w:pStyle w:val="FootnoteText"/>
      </w:pPr>
      <w:r>
        <w:rPr>
          <w:rStyle w:val="FootnoteReference"/>
        </w:rPr>
        <w:footnoteRef/>
      </w:r>
      <w:r>
        <w:t xml:space="preserve"> ‘Yr Yspryd Glân, o’i dderbyn felly, sydd yn ein gosod yn Ei gorph dirgeledig Ef (I. Cor. xii. 13).’ Ibid.</w:t>
      </w:r>
    </w:p>
  </w:footnote>
  <w:footnote w:id="166">
    <w:p w:rsidR="00AB3F05" w:rsidRPr="000B556F" w:rsidRDefault="00AB3F05">
      <w:pPr>
        <w:pStyle w:val="FootnoteText"/>
      </w:pPr>
      <w:r>
        <w:rPr>
          <w:rStyle w:val="FootnoteReference"/>
        </w:rPr>
        <w:footnoteRef/>
      </w:r>
      <w:r>
        <w:t xml:space="preserve"> ‘nad oes Eglwys i’w chael ond lle mae y Crist yn cael ei ogoneddu ynddi trwy yr Yspryd Glân.’ Ibid.</w:t>
      </w:r>
    </w:p>
  </w:footnote>
  <w:footnote w:id="167">
    <w:p w:rsidR="00AB3F05" w:rsidRPr="00AD7A7D" w:rsidRDefault="00AB3F05">
      <w:pPr>
        <w:pStyle w:val="FootnoteText"/>
      </w:pPr>
      <w:r>
        <w:rPr>
          <w:rStyle w:val="FootnoteReference"/>
        </w:rPr>
        <w:footnoteRef/>
      </w:r>
      <w:r>
        <w:t xml:space="preserve"> ‘Dyma waith yr Yspryd Glân yn Ei Eglwys, gogoneddu y Crist ar y ddaear fel mae y Tad wedi Ei ogoneddu yn y Nef.’ Ibid.</w:t>
      </w:r>
    </w:p>
  </w:footnote>
  <w:footnote w:id="168">
    <w:p w:rsidR="00AB3F05" w:rsidRPr="00722B69" w:rsidRDefault="00AB3F05">
      <w:pPr>
        <w:pStyle w:val="FootnoteText"/>
      </w:pPr>
      <w:r>
        <w:rPr>
          <w:rStyle w:val="FootnoteReference"/>
        </w:rPr>
        <w:footnoteRef/>
      </w:r>
      <w:r>
        <w:t xml:space="preserve"> D.P. Williams, ‘Exposition: My Church’, </w:t>
      </w:r>
      <w:r>
        <w:rPr>
          <w:i/>
        </w:rPr>
        <w:t>RoG</w:t>
      </w:r>
      <w:r>
        <w:t>, xi.1 (Sept. 1935), 83.</w:t>
      </w:r>
    </w:p>
  </w:footnote>
  <w:footnote w:id="169">
    <w:p w:rsidR="00AB3F05" w:rsidRPr="00ED7D5D" w:rsidRDefault="00AB3F05">
      <w:pPr>
        <w:pStyle w:val="FootnoteText"/>
      </w:pPr>
      <w:r>
        <w:rPr>
          <w:rStyle w:val="FootnoteReference"/>
        </w:rPr>
        <w:footnoteRef/>
      </w:r>
      <w:r>
        <w:t xml:space="preserve"> Williams, ‘Editorial: Church Unity’, 242.</w:t>
      </w:r>
    </w:p>
  </w:footnote>
  <w:footnote w:id="170">
    <w:p w:rsidR="00AB3F05" w:rsidRPr="004D4BD7" w:rsidRDefault="00AB3F05">
      <w:pPr>
        <w:pStyle w:val="FootnoteText"/>
      </w:pPr>
      <w:r>
        <w:rPr>
          <w:rStyle w:val="FootnoteReference"/>
        </w:rPr>
        <w:footnoteRef/>
      </w:r>
      <w:r>
        <w:t xml:space="preserve"> ‘nid porth i’r Eglwys ydyw’. Williams, </w:t>
      </w:r>
      <w:r w:rsidRPr="004D4BD7">
        <w:rPr>
          <w:i/>
        </w:rPr>
        <w:t>Athrawiaethau Sylfeinol</w:t>
      </w:r>
      <w:r>
        <w:t>, 12.</w:t>
      </w:r>
    </w:p>
  </w:footnote>
  <w:footnote w:id="171">
    <w:p w:rsidR="00AB3F05" w:rsidRPr="00772261" w:rsidRDefault="00AB3F05">
      <w:pPr>
        <w:pStyle w:val="FootnoteText"/>
      </w:pPr>
      <w:r>
        <w:rPr>
          <w:rStyle w:val="FootnoteReference"/>
        </w:rPr>
        <w:footnoteRef/>
      </w:r>
      <w:r>
        <w:t xml:space="preserve"> Williams, ‘Editorial: Church Unity’, 243.</w:t>
      </w:r>
    </w:p>
  </w:footnote>
  <w:footnote w:id="172">
    <w:p w:rsidR="00AB3F05" w:rsidRPr="003A6D94" w:rsidRDefault="00AB3F05" w:rsidP="000C48A1">
      <w:pPr>
        <w:pStyle w:val="FootnoteText"/>
      </w:pPr>
      <w:r>
        <w:rPr>
          <w:rStyle w:val="FootnoteReference"/>
        </w:rPr>
        <w:footnoteRef/>
      </w:r>
      <w:r>
        <w:t xml:space="preserve"> Williams, </w:t>
      </w:r>
      <w:r w:rsidRPr="0016578B">
        <w:rPr>
          <w:i/>
        </w:rPr>
        <w:t>Athrawiaethau Sylfeinol</w:t>
      </w:r>
      <w:r>
        <w:t>, 8.</w:t>
      </w:r>
    </w:p>
  </w:footnote>
  <w:footnote w:id="173">
    <w:p w:rsidR="00AB3F05" w:rsidRPr="003D08EA" w:rsidRDefault="00AB3F05">
      <w:pPr>
        <w:pStyle w:val="FootnoteText"/>
      </w:pPr>
      <w:r>
        <w:rPr>
          <w:rStyle w:val="FootnoteReference"/>
        </w:rPr>
        <w:footnoteRef/>
      </w:r>
      <w:r>
        <w:t xml:space="preserve"> Williams, ‘The Glory of the Lord’, 31-33.</w:t>
      </w:r>
    </w:p>
  </w:footnote>
  <w:footnote w:id="174">
    <w:p w:rsidR="00AB3F05" w:rsidRPr="009D6527" w:rsidRDefault="00AB3F05">
      <w:pPr>
        <w:pStyle w:val="FootnoteText"/>
        <w:rPr>
          <w:lang w:val="cy-GB"/>
        </w:rPr>
      </w:pPr>
      <w:r>
        <w:rPr>
          <w:rStyle w:val="FootnoteReference"/>
        </w:rPr>
        <w:footnoteRef/>
      </w:r>
      <w:r>
        <w:t xml:space="preserve"> </w:t>
      </w:r>
      <w:r>
        <w:rPr>
          <w:lang w:val="cy-GB"/>
        </w:rPr>
        <w:t>Williams, ‘The Transformed Life and Its Imparting Power’, 109.</w:t>
      </w:r>
    </w:p>
  </w:footnote>
  <w:footnote w:id="175">
    <w:p w:rsidR="00AB3F05" w:rsidRPr="00334831" w:rsidRDefault="00AB3F05">
      <w:pPr>
        <w:pStyle w:val="FootnoteText"/>
      </w:pPr>
      <w:r>
        <w:rPr>
          <w:rStyle w:val="FootnoteReference"/>
        </w:rPr>
        <w:footnoteRef/>
      </w:r>
      <w:r>
        <w:t xml:space="preserve"> Williams, ‘The Glory of the Lord’, 32.</w:t>
      </w:r>
    </w:p>
  </w:footnote>
  <w:footnote w:id="176">
    <w:p w:rsidR="00AB3F05" w:rsidRPr="009515FA" w:rsidRDefault="00AB3F05">
      <w:pPr>
        <w:pStyle w:val="FootnoteText"/>
      </w:pPr>
      <w:r>
        <w:rPr>
          <w:rStyle w:val="FootnoteReference"/>
        </w:rPr>
        <w:footnoteRef/>
      </w:r>
      <w:r>
        <w:t xml:space="preserve"> Ibid., 33.</w:t>
      </w:r>
    </w:p>
  </w:footnote>
  <w:footnote w:id="177">
    <w:p w:rsidR="00AB3F05" w:rsidRPr="00007795" w:rsidRDefault="00AB3F05" w:rsidP="00E56D7E">
      <w:pPr>
        <w:pStyle w:val="FootnoteText"/>
      </w:pPr>
      <w:r>
        <w:rPr>
          <w:rStyle w:val="FootnoteReference"/>
        </w:rPr>
        <w:footnoteRef/>
      </w:r>
      <w:r>
        <w:t xml:space="preserve"> Weeks, </w:t>
      </w:r>
      <w:r>
        <w:rPr>
          <w:i/>
        </w:rPr>
        <w:t>Chapter Thirty-</w:t>
      </w:r>
      <w:r w:rsidRPr="009F02D0">
        <w:rPr>
          <w:i/>
        </w:rPr>
        <w:t>Two</w:t>
      </w:r>
      <w:r>
        <w:t xml:space="preserve">, 5; Turnbull, </w:t>
      </w:r>
      <w:r w:rsidRPr="009F02D0">
        <w:rPr>
          <w:i/>
        </w:rPr>
        <w:t>What God Hath Wrought</w:t>
      </w:r>
      <w:r>
        <w:t xml:space="preserve">, 23-25; Worsfold, </w:t>
      </w:r>
      <w:r w:rsidRPr="009F02D0">
        <w:rPr>
          <w:i/>
        </w:rPr>
        <w:t>Origins</w:t>
      </w:r>
      <w:r>
        <w:t>, 201-202.</w:t>
      </w:r>
    </w:p>
  </w:footnote>
  <w:footnote w:id="178">
    <w:p w:rsidR="00AB3F05" w:rsidRPr="00A40E59" w:rsidRDefault="00AB3F05">
      <w:pPr>
        <w:pStyle w:val="FootnoteText"/>
      </w:pPr>
      <w:r>
        <w:rPr>
          <w:rStyle w:val="FootnoteReference"/>
        </w:rPr>
        <w:footnoteRef/>
      </w:r>
      <w:r>
        <w:t xml:space="preserve"> Worsfold, </w:t>
      </w:r>
      <w:r w:rsidRPr="00591D2D">
        <w:rPr>
          <w:i/>
        </w:rPr>
        <w:t>Origins</w:t>
      </w:r>
      <w:r>
        <w:t>, 201.</w:t>
      </w:r>
    </w:p>
  </w:footnote>
  <w:footnote w:id="179">
    <w:p w:rsidR="00AB3F05" w:rsidRPr="003D5674" w:rsidRDefault="00AB3F05">
      <w:pPr>
        <w:pStyle w:val="FootnoteText"/>
      </w:pPr>
      <w:r>
        <w:rPr>
          <w:rStyle w:val="FootnoteReference"/>
        </w:rPr>
        <w:footnoteRef/>
      </w:r>
      <w:r>
        <w:t xml:space="preserve"> Frank Hodges, ‘Divine Love’, </w:t>
      </w:r>
      <w:r>
        <w:rPr>
          <w:i/>
        </w:rPr>
        <w:t>RoG</w:t>
      </w:r>
      <w:r>
        <w:t>, iii.5&amp;6 (Jan. &amp; Mar. 1928), 243-247.</w:t>
      </w:r>
    </w:p>
  </w:footnote>
  <w:footnote w:id="180">
    <w:p w:rsidR="00AB3F05" w:rsidRPr="001940A1" w:rsidRDefault="00AB3F05">
      <w:pPr>
        <w:pStyle w:val="FootnoteText"/>
      </w:pPr>
      <w:r>
        <w:rPr>
          <w:rStyle w:val="FootnoteReference"/>
        </w:rPr>
        <w:footnoteRef/>
      </w:r>
      <w:r>
        <w:t xml:space="preserve"> Ibid., 243, 245.</w:t>
      </w:r>
    </w:p>
  </w:footnote>
  <w:footnote w:id="181">
    <w:p w:rsidR="00AB3F05" w:rsidRPr="00AF0F3D" w:rsidRDefault="00AB3F05">
      <w:pPr>
        <w:pStyle w:val="FootnoteText"/>
      </w:pPr>
      <w:r>
        <w:rPr>
          <w:rStyle w:val="FootnoteReference"/>
        </w:rPr>
        <w:footnoteRef/>
      </w:r>
      <w:r>
        <w:t xml:space="preserve"> Ibid., 245.</w:t>
      </w:r>
    </w:p>
  </w:footnote>
  <w:footnote w:id="182">
    <w:p w:rsidR="00AB3F05" w:rsidRPr="00AF0F3D" w:rsidRDefault="00AB3F05">
      <w:pPr>
        <w:pStyle w:val="FootnoteText"/>
      </w:pPr>
      <w:r>
        <w:rPr>
          <w:rStyle w:val="FootnoteReference"/>
        </w:rPr>
        <w:footnoteRef/>
      </w:r>
      <w:r>
        <w:t xml:space="preserve"> Ibid., 247.</w:t>
      </w:r>
    </w:p>
  </w:footnote>
  <w:footnote w:id="183">
    <w:p w:rsidR="00AB3F05" w:rsidRPr="00AF0F3D" w:rsidRDefault="00AB3F05" w:rsidP="00C41745">
      <w:pPr>
        <w:pStyle w:val="FootnoteText"/>
      </w:pPr>
      <w:r>
        <w:rPr>
          <w:rStyle w:val="FootnoteReference"/>
        </w:rPr>
        <w:footnoteRef/>
      </w:r>
      <w:r>
        <w:t xml:space="preserve"> Ibid., 245-6.</w:t>
      </w:r>
    </w:p>
  </w:footnote>
  <w:footnote w:id="184">
    <w:p w:rsidR="00AB3F05" w:rsidRPr="00D87858" w:rsidRDefault="00AB3F05">
      <w:pPr>
        <w:pStyle w:val="FootnoteText"/>
      </w:pPr>
      <w:r>
        <w:rPr>
          <w:rStyle w:val="FootnoteReference"/>
        </w:rPr>
        <w:footnoteRef/>
      </w:r>
      <w:r>
        <w:t xml:space="preserve"> Ibid., 244.</w:t>
      </w:r>
    </w:p>
  </w:footnote>
  <w:footnote w:id="185">
    <w:p w:rsidR="00AB3F05" w:rsidRPr="00C34F58" w:rsidRDefault="00AB3F05">
      <w:pPr>
        <w:pStyle w:val="FootnoteText"/>
      </w:pPr>
      <w:r>
        <w:rPr>
          <w:rStyle w:val="FootnoteReference"/>
        </w:rPr>
        <w:footnoteRef/>
      </w:r>
      <w:r>
        <w:t xml:space="preserve"> Ibid., 244, 246.</w:t>
      </w:r>
    </w:p>
  </w:footnote>
  <w:footnote w:id="186">
    <w:p w:rsidR="00AB3F05" w:rsidRPr="00273AEE" w:rsidRDefault="00AB3F05">
      <w:pPr>
        <w:pStyle w:val="FootnoteText"/>
      </w:pPr>
      <w:r>
        <w:rPr>
          <w:rStyle w:val="FootnoteReference"/>
        </w:rPr>
        <w:footnoteRef/>
      </w:r>
      <w:r>
        <w:t xml:space="preserve"> Ibid., 246.</w:t>
      </w:r>
    </w:p>
  </w:footnote>
  <w:footnote w:id="187">
    <w:p w:rsidR="00AB3F05" w:rsidRPr="00032BBE" w:rsidRDefault="00AB3F05">
      <w:pPr>
        <w:pStyle w:val="FootnoteText"/>
      </w:pPr>
      <w:r>
        <w:rPr>
          <w:rStyle w:val="FootnoteReference"/>
        </w:rPr>
        <w:footnoteRef/>
      </w:r>
      <w:r>
        <w:t xml:space="preserve"> Ibid., 247.</w:t>
      </w:r>
    </w:p>
  </w:footnote>
  <w:footnote w:id="188">
    <w:p w:rsidR="00AB3F05" w:rsidRPr="00D6006C" w:rsidRDefault="00AB3F05">
      <w:pPr>
        <w:pStyle w:val="FootnoteText"/>
      </w:pPr>
      <w:r>
        <w:rPr>
          <w:rStyle w:val="FootnoteReference"/>
        </w:rPr>
        <w:footnoteRef/>
      </w:r>
      <w:r>
        <w:t xml:space="preserve"> Ibid., 246.</w:t>
      </w:r>
    </w:p>
  </w:footnote>
  <w:footnote w:id="189">
    <w:p w:rsidR="00AB3F05" w:rsidRPr="00F91D05" w:rsidRDefault="00AB3F05">
      <w:pPr>
        <w:pStyle w:val="FootnoteText"/>
      </w:pPr>
      <w:r>
        <w:rPr>
          <w:rStyle w:val="FootnoteReference"/>
        </w:rPr>
        <w:footnoteRef/>
      </w:r>
      <w:r>
        <w:t xml:space="preserve"> Ibid.</w:t>
      </w:r>
    </w:p>
  </w:footnote>
  <w:footnote w:id="190">
    <w:p w:rsidR="00AB3F05" w:rsidRPr="00835F0E" w:rsidRDefault="00AB3F05">
      <w:pPr>
        <w:pStyle w:val="FootnoteText"/>
      </w:pPr>
      <w:r>
        <w:rPr>
          <w:rStyle w:val="FootnoteReference"/>
        </w:rPr>
        <w:footnoteRef/>
      </w:r>
      <w:r>
        <w:t xml:space="preserve"> Ibid.</w:t>
      </w:r>
    </w:p>
  </w:footnote>
  <w:footnote w:id="191">
    <w:p w:rsidR="00AB3F05" w:rsidRPr="00BC070F" w:rsidRDefault="00AB3F05">
      <w:pPr>
        <w:pStyle w:val="FootnoteText"/>
      </w:pPr>
      <w:r>
        <w:rPr>
          <w:rStyle w:val="FootnoteReference"/>
        </w:rPr>
        <w:footnoteRef/>
      </w:r>
      <w:r>
        <w:t xml:space="preserve"> Ibid.</w:t>
      </w:r>
    </w:p>
  </w:footnote>
  <w:footnote w:id="192">
    <w:p w:rsidR="00AB3F05" w:rsidRPr="00BC070F" w:rsidRDefault="00AB3F05">
      <w:pPr>
        <w:pStyle w:val="FootnoteText"/>
      </w:pPr>
      <w:r>
        <w:rPr>
          <w:rStyle w:val="FootnoteReference"/>
        </w:rPr>
        <w:footnoteRef/>
      </w:r>
      <w:r>
        <w:t xml:space="preserve"> Ibid., 245.</w:t>
      </w:r>
    </w:p>
  </w:footnote>
  <w:footnote w:id="193">
    <w:p w:rsidR="00AB3F05" w:rsidRPr="00BC070F" w:rsidRDefault="00AB3F05">
      <w:pPr>
        <w:pStyle w:val="FootnoteText"/>
      </w:pPr>
      <w:r>
        <w:rPr>
          <w:rStyle w:val="FootnoteReference"/>
        </w:rPr>
        <w:footnoteRef/>
      </w:r>
      <w:r>
        <w:t xml:space="preserve"> Ibid., 244.</w:t>
      </w:r>
    </w:p>
  </w:footnote>
  <w:footnote w:id="194">
    <w:p w:rsidR="00AB3F05" w:rsidRPr="00C13BAC" w:rsidRDefault="00AB3F05" w:rsidP="00A53AE1">
      <w:pPr>
        <w:pStyle w:val="FootnoteText"/>
      </w:pPr>
      <w:r>
        <w:rPr>
          <w:rStyle w:val="FootnoteReference"/>
        </w:rPr>
        <w:footnoteRef/>
      </w:r>
      <w:r>
        <w:t xml:space="preserve"> Ibid., 245.</w:t>
      </w:r>
    </w:p>
  </w:footnote>
  <w:footnote w:id="195">
    <w:p w:rsidR="00AB3F05" w:rsidRPr="00970D26" w:rsidRDefault="00AB3F05">
      <w:pPr>
        <w:pStyle w:val="FootnoteText"/>
      </w:pPr>
      <w:r>
        <w:rPr>
          <w:rStyle w:val="FootnoteReference"/>
        </w:rPr>
        <w:footnoteRef/>
      </w:r>
      <w:r>
        <w:t xml:space="preserve"> Weeks, </w:t>
      </w:r>
      <w:r>
        <w:rPr>
          <w:i/>
        </w:rPr>
        <w:t>Chapter Thirty-</w:t>
      </w:r>
      <w:r w:rsidRPr="00970D26">
        <w:rPr>
          <w:i/>
        </w:rPr>
        <w:t>Two</w:t>
      </w:r>
      <w:r>
        <w:t xml:space="preserve">, 41; Worsfold, </w:t>
      </w:r>
      <w:r w:rsidRPr="00195618">
        <w:rPr>
          <w:i/>
        </w:rPr>
        <w:t>Origins</w:t>
      </w:r>
      <w:r>
        <w:t xml:space="preserve">,  200, 213, 216; Turnbull’s name, and so his personal involvement, is not mentioned in his own account of the history. Turnbull, </w:t>
      </w:r>
      <w:r w:rsidRPr="00970D26">
        <w:rPr>
          <w:i/>
        </w:rPr>
        <w:t>What God Hath Wrought</w:t>
      </w:r>
      <w:r>
        <w:t>, 22-23.</w:t>
      </w:r>
    </w:p>
  </w:footnote>
  <w:footnote w:id="196">
    <w:p w:rsidR="00AB3F05" w:rsidRPr="00C6768E" w:rsidRDefault="00AB3F05">
      <w:pPr>
        <w:pStyle w:val="FootnoteText"/>
      </w:pPr>
      <w:r>
        <w:rPr>
          <w:rStyle w:val="FootnoteReference"/>
        </w:rPr>
        <w:footnoteRef/>
      </w:r>
      <w:r>
        <w:t xml:space="preserve"> T.N. Turnbull, ‘The Conditions of Receiving an Outpouring of the Spirit’, </w:t>
      </w:r>
      <w:r>
        <w:rPr>
          <w:i/>
        </w:rPr>
        <w:t>RoG</w:t>
      </w:r>
      <w:r>
        <w:t xml:space="preserve">, xv.9 (Oct. 1940), 102; idem, ‘The Deity and Personality of the Holy Spirit: The Promise and Power of the Holy Spirit’, </w:t>
      </w:r>
      <w:r>
        <w:rPr>
          <w:i/>
        </w:rPr>
        <w:t>RoG</w:t>
      </w:r>
      <w:r>
        <w:t xml:space="preserve">, 14.2 (Feb. 1961), 58; idem, ‘The Deity and Personality of the Holy Spirit: The Preparation and Expectation of the Holy Spirit’, </w:t>
      </w:r>
      <w:r>
        <w:rPr>
          <w:i/>
        </w:rPr>
        <w:t>RoG</w:t>
      </w:r>
      <w:r>
        <w:t>, 14.3 (Mar. 1961), 90.</w:t>
      </w:r>
    </w:p>
  </w:footnote>
  <w:footnote w:id="197">
    <w:p w:rsidR="00AB3F05" w:rsidRPr="004E0515" w:rsidRDefault="00AB3F05">
      <w:pPr>
        <w:pStyle w:val="FootnoteText"/>
      </w:pPr>
      <w:r>
        <w:rPr>
          <w:rStyle w:val="FootnoteReference"/>
        </w:rPr>
        <w:footnoteRef/>
      </w:r>
      <w:r>
        <w:t xml:space="preserve"> Turnbull, ‘Conditions of Receiving’, 104.</w:t>
      </w:r>
    </w:p>
  </w:footnote>
  <w:footnote w:id="198">
    <w:p w:rsidR="00AB3F05" w:rsidRPr="00C61384" w:rsidRDefault="00AB3F05">
      <w:pPr>
        <w:pStyle w:val="FootnoteText"/>
      </w:pPr>
      <w:r>
        <w:rPr>
          <w:rStyle w:val="FootnoteReference"/>
        </w:rPr>
        <w:footnoteRef/>
      </w:r>
      <w:r>
        <w:t xml:space="preserve"> Ibid. </w:t>
      </w:r>
      <w:r w:rsidRPr="001C4F07">
        <w:t>This understanding of tongues (and also prophecy) as an expression of the personality of the Holy Spirit w</w:t>
      </w:r>
      <w:r>
        <w:t xml:space="preserve">as also expressed by J.B. Clyne; J.B. Clyne, ‘Editorial – Points of Interest to Our Readers: The Holy Ghost Whom the Father Will Send in My Name (John 14:26)’, </w:t>
      </w:r>
      <w:r>
        <w:rPr>
          <w:i/>
        </w:rPr>
        <w:t>RoG</w:t>
      </w:r>
      <w:r>
        <w:t>, 12.5 (May 1959), 131.</w:t>
      </w:r>
    </w:p>
  </w:footnote>
  <w:footnote w:id="199">
    <w:p w:rsidR="00AB3F05" w:rsidRPr="00810C61" w:rsidRDefault="00AB3F05">
      <w:pPr>
        <w:pStyle w:val="FootnoteText"/>
      </w:pPr>
      <w:r>
        <w:rPr>
          <w:rStyle w:val="FootnoteReference"/>
        </w:rPr>
        <w:footnoteRef/>
      </w:r>
      <w:r>
        <w:t xml:space="preserve"> Turnbull, ‘Deity and Personality of the Holy Spirit: Promise and Power’, 59.</w:t>
      </w:r>
    </w:p>
  </w:footnote>
  <w:footnote w:id="200">
    <w:p w:rsidR="00AB3F05" w:rsidRPr="00DE4259" w:rsidRDefault="00AB3F05">
      <w:pPr>
        <w:pStyle w:val="FootnoteText"/>
      </w:pPr>
      <w:r>
        <w:rPr>
          <w:rStyle w:val="FootnoteReference"/>
        </w:rPr>
        <w:footnoteRef/>
      </w:r>
      <w:r>
        <w:t xml:space="preserve"> T.N. Turnbull, ‘The Deity and Personality of the Holy Spirit: The Holy Spirit and the Body of Christ’, </w:t>
      </w:r>
      <w:r w:rsidRPr="006F0E65">
        <w:rPr>
          <w:i/>
        </w:rPr>
        <w:t>RoG</w:t>
      </w:r>
      <w:r>
        <w:t xml:space="preserve"> 14.7 (Jul. 1961), 218.</w:t>
      </w:r>
    </w:p>
  </w:footnote>
  <w:footnote w:id="201">
    <w:p w:rsidR="00AB3F05" w:rsidRPr="00810C61" w:rsidRDefault="00AB3F05">
      <w:pPr>
        <w:pStyle w:val="FootnoteText"/>
      </w:pPr>
      <w:r>
        <w:rPr>
          <w:rStyle w:val="FootnoteReference"/>
        </w:rPr>
        <w:footnoteRef/>
      </w:r>
      <w:r>
        <w:t xml:space="preserve"> Turnbull, ‘Deity and Personality of the Holy Spirit: Preparation and Expectation’, 90.</w:t>
      </w:r>
    </w:p>
  </w:footnote>
  <w:footnote w:id="202">
    <w:p w:rsidR="00AB3F05" w:rsidRPr="00C60ED5" w:rsidRDefault="00AB3F05">
      <w:pPr>
        <w:pStyle w:val="FootnoteText"/>
      </w:pPr>
      <w:r>
        <w:rPr>
          <w:rStyle w:val="FootnoteReference"/>
        </w:rPr>
        <w:footnoteRef/>
      </w:r>
      <w:r>
        <w:t xml:space="preserve"> Turnbull, ‘Deity and Personality of the Holy Spirit: The Holy Spirit and the Body of Christ’, 219.</w:t>
      </w:r>
    </w:p>
  </w:footnote>
  <w:footnote w:id="203">
    <w:p w:rsidR="00AB3F05" w:rsidRPr="000D40D5" w:rsidRDefault="00AB3F05">
      <w:pPr>
        <w:pStyle w:val="FootnoteText"/>
      </w:pPr>
      <w:r>
        <w:rPr>
          <w:rStyle w:val="FootnoteReference"/>
        </w:rPr>
        <w:footnoteRef/>
      </w:r>
      <w:r>
        <w:t xml:space="preserve"> Ibid.</w:t>
      </w:r>
    </w:p>
  </w:footnote>
  <w:footnote w:id="204">
    <w:p w:rsidR="00AB3F05" w:rsidRPr="000D40D5" w:rsidRDefault="00AB3F05">
      <w:pPr>
        <w:pStyle w:val="FootnoteText"/>
      </w:pPr>
      <w:r>
        <w:rPr>
          <w:rStyle w:val="FootnoteReference"/>
        </w:rPr>
        <w:footnoteRef/>
      </w:r>
      <w:r>
        <w:t xml:space="preserve"> Ibid.</w:t>
      </w:r>
    </w:p>
  </w:footnote>
  <w:footnote w:id="205">
    <w:p w:rsidR="00AB3F05" w:rsidRPr="00BB4332" w:rsidRDefault="00AB3F05">
      <w:pPr>
        <w:pStyle w:val="FootnoteText"/>
      </w:pPr>
      <w:r>
        <w:rPr>
          <w:rStyle w:val="FootnoteReference"/>
        </w:rPr>
        <w:footnoteRef/>
      </w:r>
      <w:r>
        <w:t xml:space="preserve"> Ibid.</w:t>
      </w:r>
    </w:p>
  </w:footnote>
  <w:footnote w:id="206">
    <w:p w:rsidR="00AB3F05" w:rsidRPr="00BB4332" w:rsidRDefault="00AB3F05">
      <w:pPr>
        <w:pStyle w:val="FootnoteText"/>
      </w:pPr>
      <w:r>
        <w:rPr>
          <w:rStyle w:val="FootnoteReference"/>
        </w:rPr>
        <w:footnoteRef/>
      </w:r>
      <w:r>
        <w:t xml:space="preserve"> Ibid., 220.</w:t>
      </w:r>
    </w:p>
  </w:footnote>
  <w:footnote w:id="207">
    <w:p w:rsidR="00AB3F05" w:rsidRPr="00762F99" w:rsidRDefault="00AB3F05">
      <w:pPr>
        <w:pStyle w:val="FootnoteText"/>
      </w:pPr>
      <w:r>
        <w:rPr>
          <w:rStyle w:val="FootnoteReference"/>
        </w:rPr>
        <w:footnoteRef/>
      </w:r>
      <w:r>
        <w:t xml:space="preserve"> Ibid., 219.</w:t>
      </w:r>
    </w:p>
  </w:footnote>
  <w:footnote w:id="208">
    <w:p w:rsidR="00AB3F05" w:rsidRPr="00A51642" w:rsidRDefault="00AB3F05">
      <w:pPr>
        <w:pStyle w:val="FootnoteText"/>
      </w:pPr>
      <w:r>
        <w:rPr>
          <w:rStyle w:val="FootnoteReference"/>
        </w:rPr>
        <w:footnoteRef/>
      </w:r>
      <w:r>
        <w:t xml:space="preserve"> Ibid.; see also</w:t>
      </w:r>
      <w:r w:rsidRPr="00A51642">
        <w:t xml:space="preserve"> </w:t>
      </w:r>
      <w:r>
        <w:t>Turnbull, ‘Deity and Personality of the Holy Spirit: Promise and Power’, 58.</w:t>
      </w:r>
    </w:p>
  </w:footnote>
  <w:footnote w:id="209">
    <w:p w:rsidR="00AB3F05" w:rsidRPr="00C70D03" w:rsidRDefault="00AB3F05">
      <w:pPr>
        <w:pStyle w:val="FootnoteText"/>
      </w:pPr>
      <w:r>
        <w:rPr>
          <w:rStyle w:val="FootnoteReference"/>
        </w:rPr>
        <w:footnoteRef/>
      </w:r>
      <w:r>
        <w:t xml:space="preserve"> W.R. Thomas, </w:t>
      </w:r>
      <w:r w:rsidRPr="00A6663E">
        <w:rPr>
          <w:i/>
        </w:rPr>
        <w:t>The Par</w:t>
      </w:r>
      <w:r>
        <w:rPr>
          <w:i/>
        </w:rPr>
        <w:t>a</w:t>
      </w:r>
      <w:r w:rsidRPr="00A6663E">
        <w:rPr>
          <w:i/>
        </w:rPr>
        <w:t>clete</w:t>
      </w:r>
      <w:r>
        <w:t>, Chs. vii, xxi. (The English translation of this work uses only chapter numbers and has no page numbers.)</w:t>
      </w:r>
    </w:p>
  </w:footnote>
  <w:footnote w:id="210">
    <w:p w:rsidR="00AB3F05" w:rsidRPr="00EF2645" w:rsidRDefault="00AB3F05">
      <w:pPr>
        <w:pStyle w:val="FootnoteText"/>
      </w:pPr>
      <w:r>
        <w:rPr>
          <w:rStyle w:val="FootnoteReference"/>
        </w:rPr>
        <w:footnoteRef/>
      </w:r>
      <w:r>
        <w:t xml:space="preserve"> Ibid., viii. </w:t>
      </w:r>
    </w:p>
  </w:footnote>
  <w:footnote w:id="211">
    <w:p w:rsidR="00AB3F05" w:rsidRPr="00F0603E" w:rsidRDefault="00AB3F05">
      <w:pPr>
        <w:pStyle w:val="FootnoteText"/>
      </w:pPr>
      <w:r>
        <w:rPr>
          <w:rStyle w:val="FootnoteReference"/>
        </w:rPr>
        <w:footnoteRef/>
      </w:r>
      <w:r>
        <w:t xml:space="preserve"> Ibid.</w:t>
      </w:r>
    </w:p>
  </w:footnote>
  <w:footnote w:id="212">
    <w:p w:rsidR="00AB3F05" w:rsidRPr="00240C2A" w:rsidRDefault="00AB3F05">
      <w:pPr>
        <w:pStyle w:val="FootnoteText"/>
      </w:pPr>
      <w:r>
        <w:rPr>
          <w:rStyle w:val="FootnoteReference"/>
        </w:rPr>
        <w:footnoteRef/>
      </w:r>
      <w:r>
        <w:t xml:space="preserve"> Ibid. By ‘guarantee of our holiness’ Thomas certainly does not mean that BHS demonstrates one to have achieved a certain level of holiness or that one’s own intrinsic holiness is the meritorious cause of BHS. He is clear in chapter vii that BHS is a gracious gift of Christ given only on the basis of the merit of his atoning work, and not due to the works of the believer. It would appear that he is writing instead of an assurance of the believer’s positional holiness in Christ.</w:t>
      </w:r>
    </w:p>
  </w:footnote>
  <w:footnote w:id="213">
    <w:p w:rsidR="00AB3F05" w:rsidRPr="00922B72" w:rsidRDefault="00AB3F05">
      <w:pPr>
        <w:pStyle w:val="FootnoteText"/>
      </w:pPr>
      <w:r>
        <w:rPr>
          <w:rStyle w:val="FootnoteReference"/>
        </w:rPr>
        <w:footnoteRef/>
      </w:r>
      <w:r>
        <w:t xml:space="preserve"> Ibid., xxiii.</w:t>
      </w:r>
    </w:p>
  </w:footnote>
  <w:footnote w:id="214">
    <w:p w:rsidR="00AB3F05" w:rsidRPr="005301FD" w:rsidRDefault="00AB3F05">
      <w:pPr>
        <w:pStyle w:val="FootnoteText"/>
      </w:pPr>
      <w:r>
        <w:rPr>
          <w:rStyle w:val="FootnoteReference"/>
        </w:rPr>
        <w:footnoteRef/>
      </w:r>
      <w:r>
        <w:t xml:space="preserve"> Ibid.</w:t>
      </w:r>
    </w:p>
  </w:footnote>
  <w:footnote w:id="215">
    <w:p w:rsidR="00AB3F05" w:rsidRPr="00460F06" w:rsidRDefault="00AB3F05">
      <w:pPr>
        <w:pStyle w:val="FootnoteText"/>
      </w:pPr>
      <w:r>
        <w:rPr>
          <w:rStyle w:val="FootnoteReference"/>
        </w:rPr>
        <w:footnoteRef/>
      </w:r>
      <w:r>
        <w:t xml:space="preserve"> Ibid.</w:t>
      </w:r>
    </w:p>
  </w:footnote>
  <w:footnote w:id="216">
    <w:p w:rsidR="00AB3F05" w:rsidRPr="00AA4D5C" w:rsidRDefault="00AB3F05">
      <w:pPr>
        <w:pStyle w:val="FootnoteText"/>
      </w:pPr>
      <w:r>
        <w:rPr>
          <w:rStyle w:val="FootnoteReference"/>
        </w:rPr>
        <w:footnoteRef/>
      </w:r>
      <w:r>
        <w:t xml:space="preserve"> Ibid., vii.</w:t>
      </w:r>
    </w:p>
  </w:footnote>
  <w:footnote w:id="217">
    <w:p w:rsidR="00AB3F05" w:rsidRPr="00B64773" w:rsidRDefault="00AB3F05">
      <w:pPr>
        <w:pStyle w:val="FootnoteText"/>
      </w:pPr>
      <w:r>
        <w:rPr>
          <w:rStyle w:val="FootnoteReference"/>
        </w:rPr>
        <w:footnoteRef/>
      </w:r>
      <w:r>
        <w:t xml:space="preserve"> Ibid., xv.</w:t>
      </w:r>
    </w:p>
  </w:footnote>
  <w:footnote w:id="218">
    <w:p w:rsidR="00AB3F05" w:rsidRPr="00B64773" w:rsidRDefault="00AB3F05">
      <w:pPr>
        <w:pStyle w:val="FootnoteText"/>
      </w:pPr>
      <w:r>
        <w:rPr>
          <w:rStyle w:val="FootnoteReference"/>
        </w:rPr>
        <w:footnoteRef/>
      </w:r>
      <w:r>
        <w:t xml:space="preserve"> Ibid., xii.</w:t>
      </w:r>
    </w:p>
  </w:footnote>
  <w:footnote w:id="219">
    <w:p w:rsidR="00AB3F05" w:rsidRPr="00B64773" w:rsidRDefault="00AB3F05">
      <w:pPr>
        <w:pStyle w:val="FootnoteText"/>
      </w:pPr>
      <w:r>
        <w:rPr>
          <w:rStyle w:val="FootnoteReference"/>
        </w:rPr>
        <w:footnoteRef/>
      </w:r>
      <w:r>
        <w:t xml:space="preserve"> Ibid., xv.</w:t>
      </w:r>
    </w:p>
  </w:footnote>
  <w:footnote w:id="220">
    <w:p w:rsidR="00AB3F05" w:rsidRPr="00B64773" w:rsidRDefault="00AB3F05">
      <w:pPr>
        <w:pStyle w:val="FootnoteText"/>
      </w:pPr>
      <w:r>
        <w:rPr>
          <w:rStyle w:val="FootnoteReference"/>
        </w:rPr>
        <w:footnoteRef/>
      </w:r>
      <w:r>
        <w:t xml:space="preserve"> Ibid.</w:t>
      </w:r>
    </w:p>
  </w:footnote>
  <w:footnote w:id="221">
    <w:p w:rsidR="00AB3F05" w:rsidRPr="00542611" w:rsidRDefault="00AB3F05">
      <w:pPr>
        <w:pStyle w:val="FootnoteText"/>
      </w:pPr>
      <w:r>
        <w:rPr>
          <w:rStyle w:val="FootnoteReference"/>
        </w:rPr>
        <w:footnoteRef/>
      </w:r>
      <w:r>
        <w:t xml:space="preserve"> Ibid., xii.</w:t>
      </w:r>
    </w:p>
  </w:footnote>
  <w:footnote w:id="222">
    <w:p w:rsidR="00AB3F05" w:rsidRPr="008A2D2D" w:rsidRDefault="00AB3F05">
      <w:pPr>
        <w:pStyle w:val="FootnoteText"/>
      </w:pPr>
      <w:r>
        <w:rPr>
          <w:rStyle w:val="FootnoteReference"/>
        </w:rPr>
        <w:footnoteRef/>
      </w:r>
      <w:r>
        <w:t xml:space="preserve"> Ibid., xxix.</w:t>
      </w:r>
    </w:p>
  </w:footnote>
  <w:footnote w:id="223">
    <w:p w:rsidR="00AB3F05" w:rsidRPr="002B030B" w:rsidRDefault="00AB3F05">
      <w:pPr>
        <w:pStyle w:val="FootnoteText"/>
      </w:pPr>
      <w:r>
        <w:rPr>
          <w:rStyle w:val="FootnoteReference"/>
        </w:rPr>
        <w:footnoteRef/>
      </w:r>
      <w:r>
        <w:t xml:space="preserve"> Ibid.</w:t>
      </w:r>
    </w:p>
  </w:footnote>
  <w:footnote w:id="224">
    <w:p w:rsidR="00AB3F05" w:rsidRDefault="00AB3F05" w:rsidP="00C01E57">
      <w:pPr>
        <w:pStyle w:val="FootnoteText"/>
      </w:pPr>
      <w:r>
        <w:rPr>
          <w:rStyle w:val="FootnoteReference"/>
        </w:rPr>
        <w:footnoteRef/>
      </w:r>
      <w:r>
        <w:t xml:space="preserve"> Thomas Rees</w:t>
      </w:r>
      <w:r w:rsidRPr="00462026">
        <w:t xml:space="preserve">. ‘A Glorious Church’. </w:t>
      </w:r>
      <w:r>
        <w:rPr>
          <w:i/>
          <w:iCs/>
        </w:rPr>
        <w:t>RoG</w:t>
      </w:r>
      <w:r>
        <w:t xml:space="preserve"> iii.1 (March 1927), 79; Rowe,</w:t>
      </w:r>
      <w:r w:rsidRPr="00B9654F">
        <w:t xml:space="preserve"> </w:t>
      </w:r>
      <w:r w:rsidRPr="00B9654F">
        <w:rPr>
          <w:i/>
          <w:iCs/>
        </w:rPr>
        <w:t>One Lord, One Faith</w:t>
      </w:r>
      <w:r>
        <w:t xml:space="preserve">, 141; </w:t>
      </w:r>
      <w:r w:rsidRPr="00F83663">
        <w:t>Turnbull</w:t>
      </w:r>
      <w:r>
        <w:t>,</w:t>
      </w:r>
      <w:r w:rsidRPr="00F83663">
        <w:t xml:space="preserve"> ‘Deity and Personality of the Holy Spirit: The Holy Spirit and the Body of Christ’</w:t>
      </w:r>
      <w:r>
        <w:t xml:space="preserve">, 219; J.D. </w:t>
      </w:r>
      <w:r w:rsidRPr="000C09A8">
        <w:t>Brownlie, ‘The Promise of the Father: The Coming of the Holy Ghost and Fire’</w:t>
      </w:r>
      <w:r>
        <w:t>,</w:t>
      </w:r>
      <w:r w:rsidRPr="000C09A8">
        <w:t xml:space="preserve"> </w:t>
      </w:r>
      <w:r>
        <w:rPr>
          <w:i/>
          <w:iCs/>
        </w:rPr>
        <w:t>RoG</w:t>
      </w:r>
      <w:r w:rsidRPr="000C09A8">
        <w:t xml:space="preserve"> xvi</w:t>
      </w:r>
      <w:r>
        <w:t>.1 (Sept. 1938), 222.</w:t>
      </w:r>
    </w:p>
  </w:footnote>
  <w:footnote w:id="225">
    <w:p w:rsidR="00AB3F05" w:rsidRDefault="00AB3F05" w:rsidP="00C01E57">
      <w:pPr>
        <w:pStyle w:val="FootnoteText"/>
      </w:pPr>
      <w:r>
        <w:rPr>
          <w:rStyle w:val="FootnoteReference"/>
        </w:rPr>
        <w:footnoteRef/>
      </w:r>
      <w:r>
        <w:t xml:space="preserve"> </w:t>
      </w:r>
      <w:r w:rsidRPr="00082FFF">
        <w:t>Veli-Matti</w:t>
      </w:r>
      <w:r>
        <w:t xml:space="preserve"> </w:t>
      </w:r>
      <w:r w:rsidRPr="00082FFF">
        <w:t>K</w:t>
      </w:r>
      <w:r>
        <w:t>ä</w:t>
      </w:r>
      <w:r w:rsidRPr="00082FFF">
        <w:t>rkk</w:t>
      </w:r>
      <w:r>
        <w:t>ä</w:t>
      </w:r>
      <w:r w:rsidRPr="00082FFF">
        <w:t>inen</w:t>
      </w:r>
      <w:r>
        <w:t>,</w:t>
      </w:r>
      <w:r w:rsidRPr="00082FFF">
        <w:t xml:space="preserve"> </w:t>
      </w:r>
      <w:r w:rsidRPr="00082FFF">
        <w:rPr>
          <w:i/>
          <w:iCs/>
        </w:rPr>
        <w:t>Toward a Pneumatological Theology: Pentecostal and Ecumenical Perspectives on Ecclesiology, Soteriology, and Theology of Mission</w:t>
      </w:r>
      <w:r w:rsidRPr="00082FFF">
        <w:t xml:space="preserve"> (Lanham: University Press of America, 2002), 86.</w:t>
      </w:r>
    </w:p>
  </w:footnote>
  <w:footnote w:id="226">
    <w:p w:rsidR="00AB3F05" w:rsidRDefault="00AB3F05" w:rsidP="00C01E57">
      <w:pPr>
        <w:pStyle w:val="FootnoteText"/>
      </w:pPr>
      <w:r>
        <w:rPr>
          <w:rStyle w:val="FootnoteReference"/>
        </w:rPr>
        <w:footnoteRef/>
      </w:r>
      <w:r>
        <w:t xml:space="preserve"> Turnbull would have been making use of the Textus Receptus, in which the Church is mentioned in Acts 2:47. The USB/Nestle-Aland critical texts of the New Testament do not have the word </w:t>
      </w:r>
      <w:r w:rsidRPr="00423125">
        <w:rPr>
          <w:i/>
        </w:rPr>
        <w:t>church</w:t>
      </w:r>
      <w:r>
        <w:t xml:space="preserve"> at this point.</w:t>
      </w:r>
    </w:p>
  </w:footnote>
  <w:footnote w:id="227">
    <w:p w:rsidR="00AB3F05" w:rsidRDefault="00AB3F05" w:rsidP="00C01E57">
      <w:pPr>
        <w:pStyle w:val="FootnoteText"/>
      </w:pPr>
      <w:r>
        <w:rPr>
          <w:rStyle w:val="FootnoteReference"/>
        </w:rPr>
        <w:footnoteRef/>
      </w:r>
      <w:r>
        <w:t xml:space="preserve"> </w:t>
      </w:r>
      <w:r w:rsidRPr="00943B99">
        <w:t>Turnbull</w:t>
      </w:r>
      <w:r>
        <w:t>,</w:t>
      </w:r>
      <w:r w:rsidRPr="00943B99">
        <w:t xml:space="preserve"> ‘Deity and Personality of the Holy Spirit: The Holy </w:t>
      </w:r>
      <w:r>
        <w:t>Spirit and the Body of Christ’, 219</w:t>
      </w:r>
      <w:r w:rsidRPr="00943B99">
        <w:t>.</w:t>
      </w:r>
    </w:p>
  </w:footnote>
  <w:footnote w:id="228">
    <w:p w:rsidR="00AB3F05" w:rsidRDefault="00AB3F05" w:rsidP="00C01E57">
      <w:pPr>
        <w:pStyle w:val="FootnoteText"/>
      </w:pPr>
      <w:r>
        <w:rPr>
          <w:rStyle w:val="FootnoteReference"/>
        </w:rPr>
        <w:footnoteRef/>
      </w:r>
      <w:r>
        <w:t xml:space="preserve"> </w:t>
      </w:r>
      <w:r w:rsidRPr="00E10076">
        <w:t xml:space="preserve">This was particularly the case in sermons and hymnody (e.g. </w:t>
      </w:r>
      <w:r w:rsidRPr="00E10076">
        <w:rPr>
          <w:i/>
        </w:rPr>
        <w:t>Redemption Hymnal</w:t>
      </w:r>
      <w:r w:rsidRPr="00E10076">
        <w:t>, 219, 249).</w:t>
      </w:r>
    </w:p>
  </w:footnote>
  <w:footnote w:id="229">
    <w:p w:rsidR="00AB3F05" w:rsidRDefault="00AB3F05" w:rsidP="00C01E57">
      <w:pPr>
        <w:pStyle w:val="FootnoteText"/>
      </w:pPr>
      <w:r>
        <w:rPr>
          <w:rStyle w:val="FootnoteReference"/>
        </w:rPr>
        <w:footnoteRef/>
      </w:r>
      <w:r>
        <w:t xml:space="preserve"> Although Turnbull does place it in a wider framework which includes Acts 2; </w:t>
      </w:r>
      <w:r w:rsidRPr="00123546">
        <w:t xml:space="preserve">Turnbull, T.N. ‘Deity and Personality of the Holy Spirit: The Holy </w:t>
      </w:r>
      <w:r>
        <w:t xml:space="preserve">Spirit and the Body of Christ’, </w:t>
      </w:r>
      <w:r w:rsidRPr="00123546">
        <w:t>219.</w:t>
      </w:r>
    </w:p>
  </w:footnote>
  <w:footnote w:id="230">
    <w:p w:rsidR="00AB3F05" w:rsidRDefault="00AB3F05" w:rsidP="00C01E57">
      <w:pPr>
        <w:pStyle w:val="FootnoteText"/>
      </w:pPr>
      <w:r>
        <w:rPr>
          <w:rStyle w:val="FootnoteReference"/>
        </w:rPr>
        <w:footnoteRef/>
      </w:r>
      <w:r>
        <w:t xml:space="preserve"> E.g. </w:t>
      </w:r>
      <w:r w:rsidRPr="000D3097">
        <w:t xml:space="preserve">Rowe, </w:t>
      </w:r>
      <w:r w:rsidRPr="000D3097">
        <w:rPr>
          <w:i/>
          <w:iCs/>
        </w:rPr>
        <w:t>One Lord, One Faith</w:t>
      </w:r>
      <w:r>
        <w:t xml:space="preserve">, 141, 279-280; </w:t>
      </w:r>
      <w:r w:rsidRPr="000D3097">
        <w:t xml:space="preserve">Turnbull, ‘Deity and Personality of the Holy Spirit: The Holy </w:t>
      </w:r>
      <w:r>
        <w:t xml:space="preserve">Spirit and the Body of Christ’, 219; </w:t>
      </w:r>
      <w:r w:rsidRPr="00E90F9A">
        <w:t>J.B. Clyne,</w:t>
      </w:r>
      <w:r w:rsidRPr="00E90F9A">
        <w:rPr>
          <w:i/>
        </w:rPr>
        <w:t xml:space="preserve"> Asked and Answered: A Catechism of Apostolic Principles</w:t>
      </w:r>
      <w:r>
        <w:t xml:space="preserve"> (Bradford: Puritan Press, 1953), 16, 21, 24; </w:t>
      </w:r>
      <w:r w:rsidRPr="000D3097">
        <w:rPr>
          <w:i/>
        </w:rPr>
        <w:t>Fundamentals</w:t>
      </w:r>
      <w:r>
        <w:t xml:space="preserve">, 20; W.H. Lewis, </w:t>
      </w:r>
      <w:r w:rsidRPr="000D3097">
        <w:rPr>
          <w:i/>
        </w:rPr>
        <w:t>The Body of Christ</w:t>
      </w:r>
      <w:r>
        <w:t>, Tenets of the Apostolic Church,</w:t>
      </w:r>
      <w:r w:rsidRPr="00E90F9A">
        <w:t xml:space="preserve"> </w:t>
      </w:r>
      <w:r>
        <w:t>vol. 6.2,</w:t>
      </w:r>
      <w:r w:rsidRPr="00E90F9A">
        <w:t xml:space="preserve"> </w:t>
      </w:r>
      <w:r>
        <w:t>(</w:t>
      </w:r>
      <w:r w:rsidRPr="00E90F9A">
        <w:t>Bradford: Puritan Press, 1954</w:t>
      </w:r>
      <w:r>
        <w:t>),13.</w:t>
      </w:r>
    </w:p>
  </w:footnote>
  <w:footnote w:id="231">
    <w:p w:rsidR="00AB3F05" w:rsidRDefault="00AB3F05" w:rsidP="00C01E57">
      <w:pPr>
        <w:pStyle w:val="FootnoteText"/>
      </w:pPr>
      <w:r>
        <w:rPr>
          <w:rStyle w:val="FootnoteReference"/>
        </w:rPr>
        <w:footnoteRef/>
      </w:r>
      <w:r>
        <w:t xml:space="preserve"> This was the highest governing body of the Apostolic Church. At that time May Council would have been composed of only apostles and prophets.</w:t>
      </w:r>
    </w:p>
  </w:footnote>
  <w:footnote w:id="232">
    <w:p w:rsidR="00AB3F05" w:rsidRDefault="00AB3F05" w:rsidP="00C01E57">
      <w:pPr>
        <w:pStyle w:val="FootnoteText"/>
      </w:pPr>
      <w:r>
        <w:rPr>
          <w:rStyle w:val="FootnoteReference"/>
        </w:rPr>
        <w:footnoteRef/>
      </w:r>
      <w:r>
        <w:t xml:space="preserve"> Not necessarily the interpretation, but the motion to declare it the official teaching of the Apostolic Church.</w:t>
      </w:r>
    </w:p>
  </w:footnote>
  <w:footnote w:id="233">
    <w:p w:rsidR="00AB3F05" w:rsidRDefault="00AB3F05" w:rsidP="00C01E57">
      <w:pPr>
        <w:pStyle w:val="FootnoteText"/>
      </w:pPr>
      <w:r>
        <w:rPr>
          <w:rStyle w:val="FootnoteReference"/>
        </w:rPr>
        <w:footnoteRef/>
      </w:r>
      <w:r>
        <w:t xml:space="preserve"> </w:t>
      </w:r>
      <w:r w:rsidRPr="0035655D">
        <w:t xml:space="preserve">Conversations </w:t>
      </w:r>
      <w:r>
        <w:t>with Pastor</w:t>
      </w:r>
      <w:r w:rsidRPr="0035655D">
        <w:t xml:space="preserve"> E.H. Williams and the late P</w:t>
      </w:r>
      <w:r>
        <w:t>astor</w:t>
      </w:r>
      <w:r w:rsidRPr="0035655D">
        <w:t xml:space="preserve"> Owen Dando. Both men were young apostles at the time. Neither could recall the exact year of the Council in question, but judging by their ages it was likely to have occurred in the late 1950s or early 1960s. Council Minutes show that the matter was discussed on more than one occasion.</w:t>
      </w:r>
      <w:r>
        <w:t xml:space="preserve"> </w:t>
      </w:r>
    </w:p>
  </w:footnote>
  <w:footnote w:id="234">
    <w:p w:rsidR="00AB3F05" w:rsidRDefault="00AB3F05" w:rsidP="00C01E57">
      <w:pPr>
        <w:pStyle w:val="FootnoteText"/>
      </w:pPr>
      <w:r>
        <w:rPr>
          <w:rStyle w:val="FootnoteReference"/>
        </w:rPr>
        <w:footnoteRef/>
      </w:r>
      <w:r>
        <w:t xml:space="preserve"> Ian Ross, </w:t>
      </w:r>
      <w:r w:rsidRPr="00A237AA">
        <w:rPr>
          <w:i/>
        </w:rPr>
        <w:t>Going On To Know About The Church And Its Purpose</w:t>
      </w:r>
      <w:r>
        <w:t xml:space="preserve"> (Swansea: Christian Lifestyle Publications, 1993), 18. This was an official discipleship publication of the Apostolic Church and explicitly teaches that membership in the Body of Christ is brought about at conversion.</w:t>
      </w:r>
    </w:p>
  </w:footnote>
  <w:footnote w:id="235">
    <w:p w:rsidR="00AB3F05" w:rsidRDefault="00AB3F05" w:rsidP="00C01E57">
      <w:pPr>
        <w:pStyle w:val="FootnoteText"/>
      </w:pPr>
      <w:r>
        <w:rPr>
          <w:rStyle w:val="FootnoteReference"/>
        </w:rPr>
        <w:footnoteRef/>
      </w:r>
      <w:r>
        <w:t xml:space="preserve"> Turner helpfully summarises the major views, both Pentecostal and non-Pentecostal, in Max Turner, </w:t>
      </w:r>
      <w:r w:rsidRPr="006B066B">
        <w:rPr>
          <w:i/>
        </w:rPr>
        <w:t>Power from on High: The Spirit in Israel’s Restoration and Witness in Luke-Acts</w:t>
      </w:r>
      <w:r>
        <w:rPr>
          <w:i/>
        </w:rPr>
        <w:t xml:space="preserve"> </w:t>
      </w:r>
      <w:r>
        <w:t xml:space="preserve">(Sheffield: Sheffield Academic Press, 1996), 38-79.  See also </w:t>
      </w:r>
      <w:r w:rsidRPr="00A478EA">
        <w:t>Macchia</w:t>
      </w:r>
      <w:r>
        <w:t>,</w:t>
      </w:r>
      <w:r w:rsidRPr="00A478EA">
        <w:t xml:space="preserve"> </w:t>
      </w:r>
      <w:r w:rsidRPr="00A478EA">
        <w:rPr>
          <w:i/>
          <w:iCs/>
        </w:rPr>
        <w:t>Baptized in the Spirit</w:t>
      </w:r>
      <w:r>
        <w:t>.</w:t>
      </w:r>
    </w:p>
  </w:footnote>
  <w:footnote w:id="236">
    <w:p w:rsidR="00AB3F05" w:rsidRDefault="00AB3F05" w:rsidP="00C01E57">
      <w:pPr>
        <w:pStyle w:val="FootnoteText"/>
      </w:pPr>
      <w:r>
        <w:rPr>
          <w:rStyle w:val="FootnoteReference"/>
        </w:rPr>
        <w:footnoteRef/>
      </w:r>
      <w:r>
        <w:t xml:space="preserve"> Riggs, </w:t>
      </w:r>
      <w:r w:rsidRPr="006643E0">
        <w:rPr>
          <w:i/>
        </w:rPr>
        <w:t>Spirit Himself</w:t>
      </w:r>
      <w:r>
        <w:t>.</w:t>
      </w:r>
    </w:p>
  </w:footnote>
  <w:footnote w:id="237">
    <w:p w:rsidR="00AB3F05" w:rsidRPr="006E7680" w:rsidRDefault="00AB3F05" w:rsidP="00C01E57">
      <w:pPr>
        <w:pStyle w:val="FootnoteText"/>
      </w:pPr>
      <w:r>
        <w:rPr>
          <w:rStyle w:val="FootnoteReference"/>
        </w:rPr>
        <w:footnoteRef/>
      </w:r>
      <w:r>
        <w:t xml:space="preserve"> Roger Stronstad, </w:t>
      </w:r>
      <w:r w:rsidRPr="006E7680">
        <w:rPr>
          <w:i/>
        </w:rPr>
        <w:t xml:space="preserve">The </w:t>
      </w:r>
      <w:r w:rsidRPr="000A1EF5">
        <w:rPr>
          <w:i/>
        </w:rPr>
        <w:t>Charistmatic Theology of St Luke</w:t>
      </w:r>
      <w:r>
        <w:t xml:space="preserve"> (Peabody: Hendrickson, 1984); Robert P. Menzies, </w:t>
      </w:r>
      <w:r w:rsidRPr="000A1EF5">
        <w:rPr>
          <w:i/>
        </w:rPr>
        <w:t>Empowered for Witness</w:t>
      </w:r>
      <w:r>
        <w:rPr>
          <w:i/>
        </w:rPr>
        <w:t xml:space="preserve">: </w:t>
      </w:r>
      <w:r w:rsidRPr="006E7680">
        <w:rPr>
          <w:i/>
        </w:rPr>
        <w:t>The Spirit in Luke-Acts</w:t>
      </w:r>
      <w:r>
        <w:rPr>
          <w:i/>
        </w:rPr>
        <w:t xml:space="preserve"> </w:t>
      </w:r>
      <w:r w:rsidRPr="006E7680">
        <w:t>(London: T&amp;T Clark, 1994, 2004).</w:t>
      </w:r>
    </w:p>
  </w:footnote>
  <w:footnote w:id="238">
    <w:p w:rsidR="00AB3F05" w:rsidRDefault="00AB3F05" w:rsidP="00C01E57">
      <w:pPr>
        <w:pStyle w:val="FootnoteText"/>
      </w:pPr>
      <w:r>
        <w:rPr>
          <w:rStyle w:val="FootnoteReference"/>
        </w:rPr>
        <w:footnoteRef/>
      </w:r>
      <w:r>
        <w:t xml:space="preserve"> Menzies, </w:t>
      </w:r>
      <w:r w:rsidRPr="000A1EF5">
        <w:rPr>
          <w:i/>
        </w:rPr>
        <w:t>Empowered</w:t>
      </w:r>
      <w:r>
        <w:t>, 226.</w:t>
      </w:r>
    </w:p>
  </w:footnote>
  <w:footnote w:id="239">
    <w:p w:rsidR="00AB3F05" w:rsidRDefault="00AB3F05" w:rsidP="00C01E57">
      <w:pPr>
        <w:pStyle w:val="FootnoteText"/>
      </w:pPr>
      <w:r>
        <w:rPr>
          <w:rStyle w:val="FootnoteReference"/>
        </w:rPr>
        <w:footnoteRef/>
      </w:r>
      <w:r>
        <w:t xml:space="preserve"> Ibid. 257.</w:t>
      </w:r>
    </w:p>
  </w:footnote>
  <w:footnote w:id="240">
    <w:p w:rsidR="00AB3F05" w:rsidRDefault="00AB3F05" w:rsidP="00C01E57">
      <w:pPr>
        <w:pStyle w:val="FootnoteText"/>
      </w:pPr>
      <w:r>
        <w:rPr>
          <w:rStyle w:val="FootnoteReference"/>
        </w:rPr>
        <w:footnoteRef/>
      </w:r>
      <w:r>
        <w:t xml:space="preserve"> Chan, </w:t>
      </w:r>
      <w:r w:rsidRPr="00F60BF8">
        <w:rPr>
          <w:i/>
        </w:rPr>
        <w:t>Pentecostal Ecclesiology</w:t>
      </w:r>
      <w:r>
        <w:t xml:space="preserve">, 81. See also, Macchia, </w:t>
      </w:r>
      <w:r w:rsidRPr="0061758D">
        <w:rPr>
          <w:i/>
        </w:rPr>
        <w:t>Baptized in the Spirit</w:t>
      </w:r>
      <w:r>
        <w:t>, 57-60.</w:t>
      </w:r>
    </w:p>
  </w:footnote>
  <w:footnote w:id="241">
    <w:p w:rsidR="00AB3F05" w:rsidRDefault="00AB3F05" w:rsidP="00C01E57">
      <w:pPr>
        <w:pStyle w:val="FootnoteText"/>
      </w:pPr>
      <w:r>
        <w:rPr>
          <w:rStyle w:val="FootnoteReference"/>
        </w:rPr>
        <w:footnoteRef/>
      </w:r>
      <w:r>
        <w:t xml:space="preserve"> Chan, </w:t>
      </w:r>
      <w:r w:rsidRPr="000A1EF5">
        <w:rPr>
          <w:i/>
        </w:rPr>
        <w:t>Pentecostal Ecclesiology</w:t>
      </w:r>
      <w:r>
        <w:t>, 83.</w:t>
      </w:r>
    </w:p>
  </w:footnote>
  <w:footnote w:id="242">
    <w:p w:rsidR="00AB3F05" w:rsidRDefault="00AB3F05" w:rsidP="00C01E57">
      <w:pPr>
        <w:pStyle w:val="FootnoteText"/>
      </w:pPr>
      <w:r>
        <w:rPr>
          <w:rStyle w:val="FootnoteReference"/>
        </w:rPr>
        <w:footnoteRef/>
      </w:r>
      <w:r>
        <w:t xml:space="preserve"> E.g. </w:t>
      </w:r>
      <w:r w:rsidRPr="00517687">
        <w:t xml:space="preserve">Rowe, </w:t>
      </w:r>
      <w:r w:rsidRPr="00517687">
        <w:rPr>
          <w:i/>
          <w:iCs/>
        </w:rPr>
        <w:t>One Lord, One Faith</w:t>
      </w:r>
      <w:r>
        <w:t xml:space="preserve">,141, 279-280; D.P. </w:t>
      </w:r>
      <w:r w:rsidRPr="00FF06F6">
        <w:t>Williams</w:t>
      </w:r>
      <w:r>
        <w:t>,</w:t>
      </w:r>
      <w:r w:rsidRPr="00FF06F6">
        <w:t xml:space="preserve"> ‘A Vision, A Vessel, A Victory: Exposition of Foregoing Prophecies’. </w:t>
      </w:r>
      <w:r>
        <w:rPr>
          <w:i/>
          <w:iCs/>
        </w:rPr>
        <w:t>RoG</w:t>
      </w:r>
      <w:r w:rsidRPr="00FF06F6">
        <w:t xml:space="preserve"> xiv</w:t>
      </w:r>
      <w:r>
        <w:t xml:space="preserve">.1 (Sept. 1938), 85; </w:t>
      </w:r>
      <w:r w:rsidRPr="00FF06F6">
        <w:t xml:space="preserve">Turnbull, ‘Deity and Personality of the Holy Spirit: The Holy </w:t>
      </w:r>
      <w:r>
        <w:t xml:space="preserve">Spirit and the Body of Christ’, 219; Frank Parker, </w:t>
      </w:r>
      <w:r w:rsidRPr="00FF06F6">
        <w:t xml:space="preserve">‘The Eternal Purpose’. </w:t>
      </w:r>
      <w:r>
        <w:rPr>
          <w:i/>
          <w:iCs/>
        </w:rPr>
        <w:t>RoG</w:t>
      </w:r>
      <w:r w:rsidRPr="00FF06F6">
        <w:t xml:space="preserve"> 3</w:t>
      </w:r>
      <w:r>
        <w:t xml:space="preserve">.2 (Feb. 1979), 23; J.D. </w:t>
      </w:r>
      <w:r w:rsidRPr="00FF06F6">
        <w:t>Brownlie, ‘The Promise of the Father: The Com</w:t>
      </w:r>
      <w:r>
        <w:t>ing of the Holy Ghost and Fire’,</w:t>
      </w:r>
      <w:r w:rsidRPr="00FF06F6">
        <w:t xml:space="preserve"> </w:t>
      </w:r>
      <w:r>
        <w:rPr>
          <w:i/>
          <w:iCs/>
        </w:rPr>
        <w:t>RoG</w:t>
      </w:r>
      <w:r>
        <w:t xml:space="preserve"> xvi.1 (Sept. 1938), 222-223.</w:t>
      </w:r>
    </w:p>
  </w:footnote>
  <w:footnote w:id="243">
    <w:p w:rsidR="00AB3F05" w:rsidRDefault="00AB3F05" w:rsidP="00C01E57">
      <w:pPr>
        <w:pStyle w:val="FootnoteText"/>
      </w:pPr>
      <w:r>
        <w:rPr>
          <w:rStyle w:val="FootnoteReference"/>
        </w:rPr>
        <w:footnoteRef/>
      </w:r>
      <w:r>
        <w:t xml:space="preserve"> </w:t>
      </w:r>
      <w:r w:rsidRPr="00C91ED3">
        <w:t>Brownlie, ‘Promise of the Father’</w:t>
      </w:r>
      <w:r>
        <w:t>,</w:t>
      </w:r>
      <w:r w:rsidRPr="00C91ED3">
        <w:t xml:space="preserve"> </w:t>
      </w:r>
      <w:r>
        <w:t>222.</w:t>
      </w:r>
    </w:p>
  </w:footnote>
  <w:footnote w:id="244">
    <w:p w:rsidR="00AB3F05" w:rsidRDefault="00AB3F05" w:rsidP="00C01E57">
      <w:pPr>
        <w:pStyle w:val="FootnoteText"/>
      </w:pPr>
      <w:r>
        <w:rPr>
          <w:rStyle w:val="FootnoteReference"/>
        </w:rPr>
        <w:footnoteRef/>
      </w:r>
      <w:r>
        <w:t xml:space="preserve"> </w:t>
      </w:r>
      <w:r w:rsidRPr="003423B5">
        <w:t>Turnbull, ‘Deity and Personality of the Holy Spirit: The Holy Spirit and the Body of Christ’</w:t>
      </w:r>
      <w:r>
        <w:t>,</w:t>
      </w:r>
      <w:r w:rsidRPr="003423B5">
        <w:t xml:space="preserve"> </w:t>
      </w:r>
      <w:r>
        <w:t>219.</w:t>
      </w:r>
    </w:p>
  </w:footnote>
  <w:footnote w:id="245">
    <w:p w:rsidR="00AB3F05" w:rsidRDefault="00AB3F05" w:rsidP="00C01E57">
      <w:pPr>
        <w:pStyle w:val="FootnoteText"/>
      </w:pPr>
      <w:r>
        <w:rPr>
          <w:rStyle w:val="FootnoteReference"/>
        </w:rPr>
        <w:footnoteRef/>
      </w:r>
      <w:r>
        <w:t xml:space="preserve"> Simon Chan, ‘Mother Church: Toward a Pentecostal Ecclesiology’, </w:t>
      </w:r>
      <w:r w:rsidRPr="00CE2CCB">
        <w:rPr>
          <w:i/>
        </w:rPr>
        <w:t>Pneuma</w:t>
      </w:r>
      <w:r>
        <w:t xml:space="preserve"> 22.2 (2000), 180-181.</w:t>
      </w:r>
    </w:p>
  </w:footnote>
  <w:footnote w:id="246">
    <w:p w:rsidR="00AB3F05" w:rsidRPr="00D84CD4" w:rsidRDefault="00AB3F05" w:rsidP="00C01E57">
      <w:pPr>
        <w:pStyle w:val="FootnoteText"/>
        <w:rPr>
          <w:rFonts w:cstheme="minorHAnsi"/>
        </w:rPr>
      </w:pPr>
      <w:r w:rsidRPr="0051506C">
        <w:rPr>
          <w:rStyle w:val="FootnoteReference"/>
          <w:rFonts w:cs="Arial"/>
        </w:rPr>
        <w:footnoteRef/>
      </w:r>
      <w:r w:rsidRPr="0051506C">
        <w:rPr>
          <w:rFonts w:cs="Arial"/>
        </w:rPr>
        <w:t xml:space="preserve"> </w:t>
      </w:r>
      <w:r>
        <w:rPr>
          <w:rFonts w:cs="Arial"/>
        </w:rPr>
        <w:t xml:space="preserve">James D.G. </w:t>
      </w:r>
      <w:r w:rsidRPr="00D84CD4">
        <w:rPr>
          <w:rFonts w:cstheme="minorHAnsi"/>
        </w:rPr>
        <w:t xml:space="preserve">Dunn, </w:t>
      </w:r>
      <w:r w:rsidRPr="0051506C">
        <w:rPr>
          <w:rFonts w:cstheme="minorHAnsi"/>
          <w:i/>
        </w:rPr>
        <w:t>Baptism in the Holy Spirit: A Re-examination of the New Testament Teaching on the Gift of the Spirit in Relation to Pentecostalism Today</w:t>
      </w:r>
      <w:r w:rsidRPr="0051506C">
        <w:rPr>
          <w:rFonts w:cstheme="minorHAnsi"/>
        </w:rPr>
        <w:t xml:space="preserve"> </w:t>
      </w:r>
      <w:r>
        <w:rPr>
          <w:rFonts w:cstheme="minorHAnsi"/>
        </w:rPr>
        <w:t>(</w:t>
      </w:r>
      <w:r w:rsidRPr="0051506C">
        <w:rPr>
          <w:rFonts w:cstheme="minorHAnsi"/>
        </w:rPr>
        <w:t>Philadelphia: Westminster, 1970</w:t>
      </w:r>
      <w:r>
        <w:rPr>
          <w:rFonts w:cstheme="minorHAnsi"/>
        </w:rPr>
        <w:t>),</w:t>
      </w:r>
      <w:r w:rsidRPr="00D84CD4">
        <w:rPr>
          <w:rFonts w:cstheme="minorHAnsi"/>
        </w:rPr>
        <w:t xml:space="preserve"> 127</w:t>
      </w:r>
      <w:r>
        <w:rPr>
          <w:rFonts w:cstheme="minorHAnsi"/>
        </w:rPr>
        <w:t>.</w:t>
      </w:r>
    </w:p>
  </w:footnote>
  <w:footnote w:id="247">
    <w:p w:rsidR="00AB3F05" w:rsidRPr="00D84CD4" w:rsidRDefault="00AB3F05" w:rsidP="00C01E57">
      <w:pPr>
        <w:pStyle w:val="FootnoteText"/>
        <w:rPr>
          <w:rFonts w:cstheme="minorHAnsi"/>
        </w:rPr>
      </w:pPr>
      <w:r w:rsidRPr="00D84CD4">
        <w:rPr>
          <w:rStyle w:val="FootnoteReference"/>
          <w:rFonts w:cstheme="minorHAnsi"/>
        </w:rPr>
        <w:footnoteRef/>
      </w:r>
      <w:r w:rsidRPr="00D84CD4">
        <w:rPr>
          <w:rFonts w:cstheme="minorHAnsi"/>
        </w:rPr>
        <w:t xml:space="preserve"> Horton, </w:t>
      </w:r>
      <w:r w:rsidRPr="00D84CD4">
        <w:rPr>
          <w:rFonts w:cstheme="minorHAnsi"/>
          <w:i/>
          <w:iCs/>
        </w:rPr>
        <w:t>Gifts of the Spirit</w:t>
      </w:r>
      <w:r w:rsidRPr="00D84CD4">
        <w:rPr>
          <w:rFonts w:cstheme="minorHAnsi"/>
        </w:rPr>
        <w:t>, 31</w:t>
      </w:r>
      <w:r>
        <w:rPr>
          <w:rFonts w:cstheme="minorHAnsi"/>
        </w:rPr>
        <w:t>.</w:t>
      </w:r>
    </w:p>
  </w:footnote>
  <w:footnote w:id="248">
    <w:p w:rsidR="00AB3F05" w:rsidRPr="00D84CD4" w:rsidRDefault="00AB3F05" w:rsidP="00C01E57">
      <w:pPr>
        <w:pStyle w:val="FootnoteText"/>
        <w:rPr>
          <w:rFonts w:cstheme="minorHAnsi"/>
        </w:rPr>
      </w:pPr>
      <w:r w:rsidRPr="00D84CD4">
        <w:rPr>
          <w:rStyle w:val="FootnoteReference"/>
          <w:rFonts w:cstheme="minorHAnsi"/>
        </w:rPr>
        <w:footnoteRef/>
      </w:r>
      <w:r w:rsidRPr="00D84CD4">
        <w:rPr>
          <w:rFonts w:cstheme="minorHAnsi"/>
        </w:rPr>
        <w:t xml:space="preserve"> </w:t>
      </w:r>
      <w:r>
        <w:rPr>
          <w:rFonts w:cstheme="minorHAnsi"/>
        </w:rPr>
        <w:t xml:space="preserve">Anthony D. </w:t>
      </w:r>
      <w:r w:rsidRPr="009C5855">
        <w:rPr>
          <w:rFonts w:cstheme="minorHAnsi"/>
        </w:rPr>
        <w:t>Palma</w:t>
      </w:r>
      <w:r w:rsidRPr="009C5855">
        <w:rPr>
          <w:rFonts w:cstheme="minorHAnsi"/>
          <w:i/>
        </w:rPr>
        <w:t>, The Holy Spirit: A Pentecostal Perspective</w:t>
      </w:r>
      <w:r w:rsidRPr="009C5855">
        <w:rPr>
          <w:rFonts w:cstheme="minorHAnsi"/>
        </w:rPr>
        <w:t xml:space="preserve"> (Springfield: Logion, 2001), 100-105; Riggs, </w:t>
      </w:r>
      <w:r w:rsidRPr="009C5855">
        <w:rPr>
          <w:rFonts w:cstheme="minorHAnsi"/>
          <w:i/>
          <w:iCs/>
        </w:rPr>
        <w:t>Spirit Himself</w:t>
      </w:r>
      <w:r w:rsidRPr="009C5855">
        <w:rPr>
          <w:rFonts w:cstheme="minorHAnsi"/>
        </w:rPr>
        <w:t xml:space="preserve">, 43-44; Stanley Horton, </w:t>
      </w:r>
      <w:r w:rsidRPr="009C5855">
        <w:rPr>
          <w:rFonts w:cstheme="minorHAnsi"/>
          <w:i/>
        </w:rPr>
        <w:t>What the Bible Says About the Holy Spirit</w:t>
      </w:r>
      <w:r w:rsidRPr="009C5855">
        <w:rPr>
          <w:rFonts w:cstheme="minorHAnsi"/>
        </w:rPr>
        <w:t xml:space="preserve"> </w:t>
      </w:r>
      <w:r>
        <w:rPr>
          <w:rFonts w:cstheme="minorHAnsi"/>
        </w:rPr>
        <w:t>(</w:t>
      </w:r>
      <w:r w:rsidRPr="009C5855">
        <w:rPr>
          <w:rFonts w:cstheme="minorHAnsi"/>
        </w:rPr>
        <w:t>Springfield: GPH, 1976</w:t>
      </w:r>
      <w:r>
        <w:rPr>
          <w:rFonts w:cstheme="minorHAnsi"/>
        </w:rPr>
        <w:t xml:space="preserve">), </w:t>
      </w:r>
      <w:r w:rsidRPr="009C5855">
        <w:rPr>
          <w:rFonts w:cstheme="minorHAnsi"/>
        </w:rPr>
        <w:t>214-216.</w:t>
      </w:r>
    </w:p>
  </w:footnote>
  <w:footnote w:id="249">
    <w:p w:rsidR="00AB3F05" w:rsidRPr="00D84CD4" w:rsidRDefault="00AB3F05" w:rsidP="00C01E57">
      <w:pPr>
        <w:pStyle w:val="FootnoteText"/>
        <w:rPr>
          <w:rFonts w:cstheme="minorHAnsi"/>
        </w:rPr>
      </w:pPr>
      <w:r w:rsidRPr="00D84CD4">
        <w:rPr>
          <w:rStyle w:val="FootnoteReference"/>
          <w:rFonts w:cstheme="minorHAnsi"/>
        </w:rPr>
        <w:footnoteRef/>
      </w:r>
      <w:r w:rsidRPr="00D84CD4">
        <w:rPr>
          <w:rFonts w:cstheme="minorHAnsi"/>
        </w:rPr>
        <w:t xml:space="preserve"> Dunn, </w:t>
      </w:r>
      <w:r w:rsidRPr="00D84CD4">
        <w:rPr>
          <w:rFonts w:cstheme="minorHAnsi"/>
          <w:i/>
          <w:iCs/>
        </w:rPr>
        <w:t>Baptism</w:t>
      </w:r>
      <w:r w:rsidRPr="00D84CD4">
        <w:rPr>
          <w:rFonts w:cstheme="minorHAnsi"/>
        </w:rPr>
        <w:t>, 128</w:t>
      </w:r>
      <w:r>
        <w:rPr>
          <w:rFonts w:cstheme="minorHAnsi"/>
        </w:rPr>
        <w:t>.</w:t>
      </w:r>
    </w:p>
  </w:footnote>
  <w:footnote w:id="250">
    <w:p w:rsidR="00AB3F05" w:rsidRPr="00D84CD4" w:rsidRDefault="00AB3F05" w:rsidP="00C01E57">
      <w:pPr>
        <w:pStyle w:val="FootnoteText"/>
        <w:rPr>
          <w:rFonts w:cstheme="minorHAnsi"/>
        </w:rPr>
      </w:pPr>
      <w:r w:rsidRPr="00D84CD4">
        <w:rPr>
          <w:rStyle w:val="FootnoteReference"/>
          <w:rFonts w:cstheme="minorHAnsi"/>
        </w:rPr>
        <w:footnoteRef/>
      </w:r>
      <w:r w:rsidRPr="00D84CD4">
        <w:rPr>
          <w:rFonts w:cstheme="minorHAnsi"/>
        </w:rPr>
        <w:t xml:space="preserve"> </w:t>
      </w:r>
      <w:r>
        <w:rPr>
          <w:rFonts w:cstheme="minorHAnsi"/>
        </w:rPr>
        <w:t xml:space="preserve">David </w:t>
      </w:r>
      <w:r w:rsidRPr="00D84CD4">
        <w:rPr>
          <w:rFonts w:cstheme="minorHAnsi"/>
        </w:rPr>
        <w:t xml:space="preserve">Petts, </w:t>
      </w:r>
      <w:r w:rsidRPr="009E6D66">
        <w:rPr>
          <w:rFonts w:cstheme="minorHAnsi"/>
        </w:rPr>
        <w:t xml:space="preserve">'The Baptism in the Holy Spirit: The Theological Distinctive,' in </w:t>
      </w:r>
      <w:r w:rsidRPr="009E6D66">
        <w:rPr>
          <w:rFonts w:cstheme="minorHAnsi"/>
          <w:i/>
        </w:rPr>
        <w:t>Pentecostal Perspectives</w:t>
      </w:r>
      <w:r w:rsidRPr="009E6D66">
        <w:rPr>
          <w:rFonts w:cstheme="minorHAnsi"/>
        </w:rPr>
        <w:t>, ed. Keith Warri</w:t>
      </w:r>
      <w:r>
        <w:rPr>
          <w:rFonts w:cstheme="minorHAnsi"/>
        </w:rPr>
        <w:t>ngton, (</w:t>
      </w:r>
      <w:r w:rsidRPr="009E6D66">
        <w:rPr>
          <w:rFonts w:cstheme="minorHAnsi"/>
        </w:rPr>
        <w:t>Carlisle: Paternoster, 1998</w:t>
      </w:r>
      <w:r>
        <w:rPr>
          <w:rFonts w:cstheme="minorHAnsi"/>
        </w:rPr>
        <w:t>)</w:t>
      </w:r>
      <w:r w:rsidRPr="00D84CD4">
        <w:rPr>
          <w:rFonts w:cstheme="minorHAnsi"/>
        </w:rPr>
        <w:t>, 113</w:t>
      </w:r>
      <w:r>
        <w:rPr>
          <w:rFonts w:cstheme="minorHAnsi"/>
        </w:rPr>
        <w:t>.</w:t>
      </w:r>
    </w:p>
  </w:footnote>
  <w:footnote w:id="251">
    <w:p w:rsidR="00AB3F05" w:rsidRPr="00D84CD4" w:rsidRDefault="00AB3F05" w:rsidP="00C01E57">
      <w:pPr>
        <w:pStyle w:val="FootnoteText"/>
        <w:rPr>
          <w:rFonts w:cstheme="minorHAnsi"/>
        </w:rPr>
      </w:pPr>
      <w:r w:rsidRPr="00D84CD4">
        <w:rPr>
          <w:rStyle w:val="FootnoteReference"/>
          <w:rFonts w:cstheme="minorHAnsi"/>
        </w:rPr>
        <w:footnoteRef/>
      </w:r>
      <w:r w:rsidRPr="00D84CD4">
        <w:rPr>
          <w:rFonts w:cstheme="minorHAnsi"/>
        </w:rPr>
        <w:t xml:space="preserve"> </w:t>
      </w:r>
      <w:r w:rsidRPr="009E6D66">
        <w:rPr>
          <w:rFonts w:cstheme="minorHAnsi"/>
        </w:rPr>
        <w:t xml:space="preserve">David Petts, </w:t>
      </w:r>
      <w:r w:rsidRPr="009E6D66">
        <w:rPr>
          <w:rFonts w:cstheme="minorHAnsi"/>
          <w:i/>
        </w:rPr>
        <w:t>The Holy Spirit: An Introduction</w:t>
      </w:r>
      <w:r w:rsidRPr="009E6D66">
        <w:rPr>
          <w:rFonts w:cstheme="minorHAnsi"/>
        </w:rPr>
        <w:t xml:space="preserve"> (Mattersey: Mattersey Hall, 1998)</w:t>
      </w:r>
      <w:r w:rsidRPr="00D84CD4">
        <w:rPr>
          <w:rFonts w:cstheme="minorHAnsi"/>
        </w:rPr>
        <w:t>, 69</w:t>
      </w:r>
      <w:r>
        <w:rPr>
          <w:rFonts w:cstheme="minorHAnsi"/>
        </w:rPr>
        <w:t>.</w:t>
      </w:r>
    </w:p>
  </w:footnote>
  <w:footnote w:id="252">
    <w:p w:rsidR="00AB3F05" w:rsidRPr="00D84CD4" w:rsidRDefault="00AB3F05" w:rsidP="00C01E57">
      <w:pPr>
        <w:pStyle w:val="FootnoteText"/>
        <w:rPr>
          <w:rFonts w:cstheme="minorHAnsi"/>
        </w:rPr>
      </w:pPr>
      <w:r w:rsidRPr="00D84CD4">
        <w:rPr>
          <w:rStyle w:val="FootnoteReference"/>
          <w:rFonts w:cstheme="minorHAnsi"/>
        </w:rPr>
        <w:footnoteRef/>
      </w:r>
      <w:r w:rsidRPr="00D84CD4">
        <w:rPr>
          <w:rFonts w:cstheme="minorHAnsi"/>
        </w:rPr>
        <w:t xml:space="preserve"> </w:t>
      </w:r>
      <w:r>
        <w:rPr>
          <w:rFonts w:cstheme="minorHAnsi"/>
        </w:rPr>
        <w:t xml:space="preserve">David </w:t>
      </w:r>
      <w:r w:rsidRPr="002A5494">
        <w:rPr>
          <w:rFonts w:cstheme="minorHAnsi"/>
        </w:rPr>
        <w:t>Petts, ‘The Baptism in the Holy Spirit and Christian Initiation</w:t>
      </w:r>
      <w:r>
        <w:rPr>
          <w:rFonts w:cstheme="minorHAnsi"/>
        </w:rPr>
        <w:t>’</w:t>
      </w:r>
      <w:r w:rsidRPr="002A5494">
        <w:rPr>
          <w:rFonts w:cstheme="minorHAnsi"/>
        </w:rPr>
        <w:t xml:space="preserve"> </w:t>
      </w:r>
      <w:r>
        <w:rPr>
          <w:rFonts w:cstheme="minorHAnsi"/>
        </w:rPr>
        <w:t>(</w:t>
      </w:r>
      <w:r w:rsidRPr="002A5494">
        <w:rPr>
          <w:rFonts w:cstheme="minorHAnsi"/>
        </w:rPr>
        <w:t>MTh diss.,</w:t>
      </w:r>
      <w:r>
        <w:rPr>
          <w:rFonts w:cstheme="minorHAnsi"/>
        </w:rPr>
        <w:t xml:space="preserve"> University of Nottingham, 1989)</w:t>
      </w:r>
      <w:r w:rsidRPr="002A5494">
        <w:rPr>
          <w:rFonts w:cstheme="minorHAnsi"/>
        </w:rPr>
        <w:t xml:space="preserve"> 82.</w:t>
      </w:r>
    </w:p>
  </w:footnote>
  <w:footnote w:id="253">
    <w:p w:rsidR="00AB3F05" w:rsidRPr="00D84CD4" w:rsidRDefault="00AB3F05" w:rsidP="00C01E57">
      <w:pPr>
        <w:pStyle w:val="FootnoteText"/>
        <w:rPr>
          <w:rFonts w:cstheme="minorHAnsi"/>
        </w:rPr>
      </w:pPr>
      <w:r w:rsidRPr="00D84CD4">
        <w:rPr>
          <w:rStyle w:val="FootnoteReference"/>
          <w:rFonts w:cstheme="minorHAnsi"/>
        </w:rPr>
        <w:footnoteRef/>
      </w:r>
      <w:r w:rsidRPr="00D84CD4">
        <w:rPr>
          <w:rFonts w:cstheme="minorHAnsi"/>
        </w:rPr>
        <w:t xml:space="preserve"> Dunn, </w:t>
      </w:r>
      <w:r w:rsidRPr="00D84CD4">
        <w:rPr>
          <w:rFonts w:cstheme="minorHAnsi"/>
          <w:i/>
          <w:iCs/>
        </w:rPr>
        <w:t>Baptism</w:t>
      </w:r>
      <w:r w:rsidRPr="00D84CD4">
        <w:rPr>
          <w:rFonts w:cstheme="minorHAnsi"/>
        </w:rPr>
        <w:t>, 128</w:t>
      </w:r>
      <w:r>
        <w:rPr>
          <w:rFonts w:cstheme="minorHAnsi"/>
        </w:rPr>
        <w:t>.</w:t>
      </w:r>
    </w:p>
  </w:footnote>
  <w:footnote w:id="254">
    <w:p w:rsidR="00AB3F05" w:rsidRPr="00B43A09" w:rsidRDefault="00AB3F05" w:rsidP="00C01E57">
      <w:pPr>
        <w:pStyle w:val="FootnoteText"/>
        <w:rPr>
          <w:rFonts w:cstheme="minorHAnsi"/>
        </w:rPr>
      </w:pPr>
      <w:r w:rsidRPr="00B43A09">
        <w:rPr>
          <w:rStyle w:val="FootnoteReference"/>
          <w:rFonts w:cstheme="minorHAnsi"/>
        </w:rPr>
        <w:footnoteRef/>
      </w:r>
      <w:r w:rsidRPr="00B43A09">
        <w:rPr>
          <w:rFonts w:cstheme="minorHAnsi"/>
        </w:rPr>
        <w:t xml:space="preserve"> </w:t>
      </w:r>
      <w:r>
        <w:rPr>
          <w:rFonts w:cstheme="minorHAnsi"/>
        </w:rPr>
        <w:t xml:space="preserve">David </w:t>
      </w:r>
      <w:r w:rsidRPr="00B43A09">
        <w:rPr>
          <w:rFonts w:cstheme="minorHAnsi"/>
        </w:rPr>
        <w:t xml:space="preserve">Pawson, </w:t>
      </w:r>
      <w:r w:rsidRPr="00FF74F8">
        <w:rPr>
          <w:rFonts w:cstheme="minorHAnsi"/>
          <w:i/>
          <w:iCs/>
        </w:rPr>
        <w:t>Je</w:t>
      </w:r>
      <w:r>
        <w:rPr>
          <w:rFonts w:cstheme="minorHAnsi"/>
          <w:i/>
          <w:iCs/>
        </w:rPr>
        <w:t>sus Baptises in One Holy Spirit</w:t>
      </w:r>
      <w:r w:rsidRPr="00FF74F8">
        <w:rPr>
          <w:rFonts w:cstheme="minorHAnsi"/>
          <w:i/>
          <w:iCs/>
        </w:rPr>
        <w:t xml:space="preserve"> </w:t>
      </w:r>
      <w:r w:rsidRPr="00FF74F8">
        <w:rPr>
          <w:rFonts w:cstheme="minorHAnsi"/>
          <w:iCs/>
        </w:rPr>
        <w:t>(London: Hodder and Stoughton, 1997</w:t>
      </w:r>
      <w:r>
        <w:rPr>
          <w:rFonts w:cstheme="minorHAnsi"/>
          <w:iCs/>
        </w:rPr>
        <w:t>)</w:t>
      </w:r>
      <w:r w:rsidRPr="00B43A09">
        <w:rPr>
          <w:rFonts w:cstheme="minorHAnsi"/>
        </w:rPr>
        <w:t>, 104</w:t>
      </w:r>
      <w:r>
        <w:rPr>
          <w:rFonts w:cstheme="minorHAnsi"/>
        </w:rPr>
        <w:t>.</w:t>
      </w:r>
    </w:p>
  </w:footnote>
  <w:footnote w:id="255">
    <w:p w:rsidR="00AB3F05" w:rsidRDefault="00AB3F05" w:rsidP="00C01E57">
      <w:pPr>
        <w:pStyle w:val="FootnoteText"/>
        <w:rPr>
          <w:rFonts w:ascii="Arial" w:hAnsi="Arial" w:cs="Arial"/>
        </w:rPr>
      </w:pPr>
      <w:r w:rsidRPr="00B43A09">
        <w:rPr>
          <w:rStyle w:val="FootnoteReference"/>
          <w:rFonts w:cstheme="minorHAnsi"/>
        </w:rPr>
        <w:footnoteRef/>
      </w:r>
      <w:r w:rsidRPr="00B43A09">
        <w:rPr>
          <w:rFonts w:cstheme="minorHAnsi"/>
        </w:rPr>
        <w:t xml:space="preserve"> ibid., 188-9</w:t>
      </w:r>
      <w:r>
        <w:rPr>
          <w:rFonts w:cstheme="minorHAnsi"/>
        </w:rPr>
        <w:t>.</w:t>
      </w:r>
    </w:p>
  </w:footnote>
  <w:footnote w:id="256">
    <w:p w:rsidR="00AB3F05" w:rsidRDefault="00AB3F05" w:rsidP="00C01E57">
      <w:pPr>
        <w:pStyle w:val="FootnoteText"/>
      </w:pPr>
      <w:r>
        <w:rPr>
          <w:rStyle w:val="FootnoteReference"/>
        </w:rPr>
        <w:footnoteRef/>
      </w:r>
      <w:r>
        <w:t xml:space="preserve"> Although there are some indications that the role attributed to Scripture in theological method is shifting within parts of the Pentecostal academy, most Pentecostals, including the Apostolic Church, have traditionally held to the view that Scripture is the highest authority, and thus given first place to biblical exegesis in their theological formulations.</w:t>
      </w:r>
    </w:p>
  </w:footnote>
  <w:footnote w:id="257">
    <w:p w:rsidR="00AB3F05" w:rsidRDefault="00AB3F05" w:rsidP="00C01E57">
      <w:pPr>
        <w:pStyle w:val="FootnoteText"/>
      </w:pPr>
      <w:r>
        <w:rPr>
          <w:rStyle w:val="FootnoteReference"/>
        </w:rPr>
        <w:footnoteRef/>
      </w:r>
      <w:r>
        <w:t xml:space="preserve"> Cited in Turnbull, </w:t>
      </w:r>
      <w:r w:rsidRPr="00E0476E">
        <w:rPr>
          <w:i/>
        </w:rPr>
        <w:t>Brothers</w:t>
      </w:r>
      <w:r>
        <w:t xml:space="preserve">, 128; See also Williams, ‘Exposition: My Church’, 83; </w:t>
      </w:r>
      <w:r w:rsidRPr="00D12248">
        <w:t>Turnbull</w:t>
      </w:r>
      <w:r>
        <w:t>,</w:t>
      </w:r>
      <w:r w:rsidRPr="00D12248">
        <w:t xml:space="preserve"> ‘Deity and Personality of the Holy Spirit: The Holy Spirit and the Body of Christ’</w:t>
      </w:r>
      <w:r>
        <w:t>, 219-220.</w:t>
      </w:r>
    </w:p>
  </w:footnote>
  <w:footnote w:id="258">
    <w:p w:rsidR="00AB3F05" w:rsidRDefault="00AB3F05">
      <w:pPr>
        <w:pStyle w:val="FootnoteText"/>
      </w:pPr>
      <w:r>
        <w:rPr>
          <w:rStyle w:val="FootnoteReference"/>
        </w:rPr>
        <w:footnoteRef/>
      </w:r>
      <w:r>
        <w:t xml:space="preserve"> We shall take this problem up again below, 6.3.4.3.</w:t>
      </w:r>
    </w:p>
  </w:footnote>
  <w:footnote w:id="259">
    <w:p w:rsidR="00AB3F05" w:rsidRPr="005B44CC" w:rsidRDefault="00AB3F05" w:rsidP="00D36447">
      <w:pPr>
        <w:pStyle w:val="FootnoteText"/>
        <w:rPr>
          <w:lang w:val="cy-GB"/>
        </w:rPr>
      </w:pPr>
      <w:r>
        <w:rPr>
          <w:rStyle w:val="FootnoteReference"/>
        </w:rPr>
        <w:footnoteRef/>
      </w:r>
      <w:r>
        <w:t xml:space="preserve"> </w:t>
      </w:r>
      <w:r>
        <w:rPr>
          <w:lang w:val="cy-GB"/>
        </w:rPr>
        <w:t xml:space="preserve">Acts 2:33; See e.g. </w:t>
      </w:r>
      <w:r w:rsidRPr="005B44CC">
        <w:rPr>
          <w:i/>
        </w:rPr>
        <w:t>Fundamentals</w:t>
      </w:r>
      <w:r w:rsidRPr="005B44CC">
        <w:t>, 17</w:t>
      </w:r>
      <w:r>
        <w:t xml:space="preserve">-18; </w:t>
      </w:r>
      <w:r w:rsidRPr="005B44CC">
        <w:t>Williams, ‘Human Temples’, 308</w:t>
      </w:r>
      <w:r>
        <w:t xml:space="preserve">; </w:t>
      </w:r>
      <w:r w:rsidRPr="005B44CC">
        <w:rPr>
          <w:lang w:val="cy-GB"/>
        </w:rPr>
        <w:t xml:space="preserve">Rennie, ‘Our Heritage: Pentecostal’, </w:t>
      </w:r>
      <w:r>
        <w:rPr>
          <w:lang w:val="cy-GB"/>
        </w:rPr>
        <w:t xml:space="preserve">57; </w:t>
      </w:r>
      <w:r w:rsidRPr="00EA4577">
        <w:t>Turnbull, ‘Conditions of Receiving an Outpouring’, 104</w:t>
      </w:r>
      <w:r>
        <w:t xml:space="preserve">; </w:t>
      </w:r>
      <w:r w:rsidRPr="00EA4577">
        <w:t>Turnbull, ‘Deity and Personality of the Holy Spirit: Preparation and Expectation’, 90</w:t>
      </w:r>
      <w:r>
        <w:t xml:space="preserve">; </w:t>
      </w:r>
      <w:r w:rsidRPr="00EA4577">
        <w:t xml:space="preserve">Thomas, </w:t>
      </w:r>
      <w:r w:rsidRPr="00EA4577">
        <w:rPr>
          <w:i/>
        </w:rPr>
        <w:t>Par</w:t>
      </w:r>
      <w:r>
        <w:rPr>
          <w:i/>
        </w:rPr>
        <w:t>a</w:t>
      </w:r>
      <w:r w:rsidRPr="00EA4577">
        <w:rPr>
          <w:i/>
        </w:rPr>
        <w:t>clete</w:t>
      </w:r>
      <w:r w:rsidRPr="00EA4577">
        <w:t xml:space="preserve">, </w:t>
      </w:r>
      <w:r>
        <w:t>viii.</w:t>
      </w:r>
    </w:p>
  </w:footnote>
  <w:footnote w:id="260">
    <w:p w:rsidR="00AB3F05" w:rsidRPr="00EA4577" w:rsidRDefault="00AB3F05" w:rsidP="00D36447">
      <w:pPr>
        <w:pStyle w:val="FootnoteText"/>
        <w:rPr>
          <w:lang w:val="cy-GB"/>
        </w:rPr>
      </w:pPr>
      <w:r>
        <w:rPr>
          <w:rStyle w:val="FootnoteReference"/>
        </w:rPr>
        <w:footnoteRef/>
      </w:r>
      <w:r w:rsidRPr="00EA4577">
        <w:rPr>
          <w:lang w:val="cy-GB"/>
        </w:rPr>
        <w:t xml:space="preserve"> Williams, </w:t>
      </w:r>
      <w:r w:rsidRPr="00EA4577">
        <w:rPr>
          <w:i/>
          <w:lang w:val="cy-GB"/>
        </w:rPr>
        <w:t xml:space="preserve">Athrawiaethau Sylfeinol </w:t>
      </w:r>
      <w:r>
        <w:rPr>
          <w:i/>
          <w:lang w:val="cy-GB"/>
        </w:rPr>
        <w:t>,</w:t>
      </w:r>
      <w:r>
        <w:rPr>
          <w:lang w:val="cy-GB"/>
        </w:rPr>
        <w:t>7-8.</w:t>
      </w:r>
    </w:p>
  </w:footnote>
  <w:footnote w:id="261">
    <w:p w:rsidR="00AB3F05" w:rsidRPr="0091001A" w:rsidRDefault="00AB3F05" w:rsidP="00D36447">
      <w:pPr>
        <w:pStyle w:val="FootnoteText"/>
        <w:rPr>
          <w:lang w:val="cy-GB"/>
        </w:rPr>
      </w:pPr>
      <w:r>
        <w:rPr>
          <w:rStyle w:val="FootnoteReference"/>
        </w:rPr>
        <w:footnoteRef/>
      </w:r>
      <w:r>
        <w:t xml:space="preserve"> </w:t>
      </w:r>
      <w:r w:rsidRPr="00295935">
        <w:rPr>
          <w:lang w:val="cy-GB"/>
        </w:rPr>
        <w:t>See below, Chapter 3: The Early Apostolics and the Trinity.</w:t>
      </w:r>
    </w:p>
  </w:footnote>
  <w:footnote w:id="262">
    <w:p w:rsidR="00AB3F05" w:rsidRPr="0091001A" w:rsidRDefault="00AB3F05" w:rsidP="00D36447">
      <w:pPr>
        <w:pStyle w:val="FootnoteText"/>
        <w:rPr>
          <w:lang w:val="cy-GB"/>
        </w:rPr>
      </w:pPr>
      <w:r>
        <w:rPr>
          <w:rStyle w:val="FootnoteReference"/>
        </w:rPr>
        <w:footnoteRef/>
      </w:r>
      <w:r w:rsidRPr="003B45EE">
        <w:rPr>
          <w:lang w:val="cy-GB"/>
        </w:rPr>
        <w:t xml:space="preserve"> Williams, ‘Editorial: Church Unity’, 242; </w:t>
      </w:r>
      <w:r>
        <w:rPr>
          <w:lang w:val="cy-GB"/>
        </w:rPr>
        <w:t>idem</w:t>
      </w:r>
      <w:r w:rsidRPr="003B45EE">
        <w:rPr>
          <w:lang w:val="cy-GB"/>
        </w:rPr>
        <w:t xml:space="preserve">, ‘Human Temples’, 308; </w:t>
      </w:r>
      <w:r>
        <w:rPr>
          <w:lang w:val="cy-GB"/>
        </w:rPr>
        <w:t>idem</w:t>
      </w:r>
      <w:r w:rsidRPr="000759F9">
        <w:rPr>
          <w:lang w:val="cy-GB"/>
        </w:rPr>
        <w:t xml:space="preserve">, </w:t>
      </w:r>
      <w:r>
        <w:rPr>
          <w:i/>
          <w:lang w:val="cy-GB"/>
        </w:rPr>
        <w:t>Athrawiaethau Sylfeinol</w:t>
      </w:r>
      <w:r w:rsidRPr="006068C8">
        <w:rPr>
          <w:lang w:val="cy-GB"/>
        </w:rPr>
        <w:t>,</w:t>
      </w:r>
      <w:r>
        <w:rPr>
          <w:i/>
          <w:lang w:val="cy-GB"/>
        </w:rPr>
        <w:t xml:space="preserve"> </w:t>
      </w:r>
      <w:r>
        <w:rPr>
          <w:lang w:val="cy-GB"/>
        </w:rPr>
        <w:t xml:space="preserve">10; idem, ‘Clywch yr Alwad’, </w:t>
      </w:r>
      <w:r w:rsidRPr="00AF254A">
        <w:rPr>
          <w:i/>
          <w:lang w:val="cy-GB"/>
        </w:rPr>
        <w:t>Molwch Dduw</w:t>
      </w:r>
      <w:r>
        <w:rPr>
          <w:lang w:val="cy-GB"/>
        </w:rPr>
        <w:t>, see translation below, 3.2.1.</w:t>
      </w:r>
    </w:p>
  </w:footnote>
  <w:footnote w:id="263">
    <w:p w:rsidR="00AB3F05" w:rsidRPr="00216004" w:rsidRDefault="00AB3F05" w:rsidP="00D36447">
      <w:pPr>
        <w:pStyle w:val="FootnoteText"/>
        <w:rPr>
          <w:lang w:val="cy-GB"/>
        </w:rPr>
      </w:pPr>
      <w:r>
        <w:rPr>
          <w:rStyle w:val="FootnoteReference"/>
        </w:rPr>
        <w:footnoteRef/>
      </w:r>
      <w:r>
        <w:t xml:space="preserve"> </w:t>
      </w:r>
      <w:r w:rsidRPr="00216004">
        <w:t xml:space="preserve">Hodges, ‘Divine Love’, </w:t>
      </w:r>
      <w:r>
        <w:t>246.</w:t>
      </w:r>
    </w:p>
  </w:footnote>
  <w:footnote w:id="264">
    <w:p w:rsidR="00AB3F05" w:rsidRPr="00E21869" w:rsidRDefault="00AB3F05" w:rsidP="00D36447">
      <w:pPr>
        <w:pStyle w:val="FootnoteText"/>
        <w:rPr>
          <w:lang w:val="cy-GB"/>
        </w:rPr>
      </w:pPr>
      <w:r>
        <w:rPr>
          <w:rStyle w:val="FootnoteReference"/>
        </w:rPr>
        <w:footnoteRef/>
      </w:r>
      <w:r>
        <w:t xml:space="preserve"> </w:t>
      </w:r>
      <w:r>
        <w:rPr>
          <w:lang w:val="cy-GB"/>
        </w:rPr>
        <w:t>Ibid., 244-246.</w:t>
      </w:r>
    </w:p>
  </w:footnote>
  <w:footnote w:id="265">
    <w:p w:rsidR="00AB3F05" w:rsidRPr="00D47835" w:rsidRDefault="00AB3F05" w:rsidP="00D36447">
      <w:pPr>
        <w:pStyle w:val="FootnoteText"/>
        <w:rPr>
          <w:lang w:val="cy-GB"/>
        </w:rPr>
      </w:pPr>
      <w:r>
        <w:rPr>
          <w:rStyle w:val="FootnoteReference"/>
        </w:rPr>
        <w:footnoteRef/>
      </w:r>
      <w:r>
        <w:t xml:space="preserve"> </w:t>
      </w:r>
      <w:r w:rsidRPr="00EA4577">
        <w:t xml:space="preserve">Thomas, </w:t>
      </w:r>
      <w:r w:rsidRPr="00EA4577">
        <w:rPr>
          <w:i/>
        </w:rPr>
        <w:t>Par</w:t>
      </w:r>
      <w:r>
        <w:rPr>
          <w:i/>
        </w:rPr>
        <w:t>a</w:t>
      </w:r>
      <w:r w:rsidRPr="00EA4577">
        <w:rPr>
          <w:i/>
        </w:rPr>
        <w:t>clete</w:t>
      </w:r>
      <w:r w:rsidRPr="00EA4577">
        <w:t xml:space="preserve">, </w:t>
      </w:r>
      <w:r>
        <w:t>vii, xv.</w:t>
      </w:r>
    </w:p>
  </w:footnote>
  <w:footnote w:id="266">
    <w:p w:rsidR="00AB3F05" w:rsidRPr="008602AA" w:rsidRDefault="00AB3F05" w:rsidP="00D36447">
      <w:pPr>
        <w:pStyle w:val="FootnoteText"/>
        <w:rPr>
          <w:lang w:val="cy-GB"/>
        </w:rPr>
      </w:pPr>
      <w:r>
        <w:rPr>
          <w:rStyle w:val="FootnoteReference"/>
        </w:rPr>
        <w:footnoteRef/>
      </w:r>
      <w:r>
        <w:t xml:space="preserve"> </w:t>
      </w:r>
      <w:r>
        <w:rPr>
          <w:lang w:val="cy-GB"/>
        </w:rPr>
        <w:t>Ibid., xxix.</w:t>
      </w:r>
    </w:p>
  </w:footnote>
  <w:footnote w:id="267">
    <w:p w:rsidR="00AB3F05" w:rsidRPr="001A7104" w:rsidRDefault="00AB3F05" w:rsidP="00D36447">
      <w:pPr>
        <w:pStyle w:val="FootnoteText"/>
        <w:rPr>
          <w:lang w:val="cy-GB"/>
        </w:rPr>
      </w:pPr>
      <w:r>
        <w:rPr>
          <w:rStyle w:val="FootnoteReference"/>
        </w:rPr>
        <w:footnoteRef/>
      </w:r>
      <w:r>
        <w:t xml:space="preserve"> </w:t>
      </w:r>
      <w:r>
        <w:rPr>
          <w:lang w:val="cy-GB"/>
        </w:rPr>
        <w:t xml:space="preserve">Donald Fairbairn, </w:t>
      </w:r>
      <w:r w:rsidRPr="001A7104">
        <w:rPr>
          <w:i/>
          <w:lang w:val="cy-GB"/>
        </w:rPr>
        <w:t>Life in the Trinity</w:t>
      </w:r>
      <w:r>
        <w:rPr>
          <w:lang w:val="cy-GB"/>
        </w:rPr>
        <w:t xml:space="preserve"> (Downers Grove: IVP, 2009), 10-11. See also, idem, </w:t>
      </w:r>
      <w:r w:rsidRPr="00A31326">
        <w:rPr>
          <w:i/>
          <w:lang w:val="cy-GB"/>
        </w:rPr>
        <w:t>Grace and Christology in the Early Church</w:t>
      </w:r>
      <w:r>
        <w:rPr>
          <w:lang w:val="cy-GB"/>
        </w:rPr>
        <w:t xml:space="preserve">, Oxford Early Christian Studies (Oxford: Oxford University Press, 2003), 130-131; Ivan V. Popov, ‘The Idea of Deification in the Early Church’, in Vladimir Kharlamov, ed., </w:t>
      </w:r>
      <w:r w:rsidRPr="001A7104">
        <w:rPr>
          <w:i/>
          <w:lang w:val="cy-GB"/>
        </w:rPr>
        <w:t>Deification in Christian Theology</w:t>
      </w:r>
      <w:r>
        <w:rPr>
          <w:lang w:val="cy-GB"/>
        </w:rPr>
        <w:t xml:space="preserve">, Vol. 2 of </w:t>
      </w:r>
      <w:r w:rsidRPr="00A830EC">
        <w:rPr>
          <w:i/>
          <w:lang w:val="cy-GB"/>
        </w:rPr>
        <w:t>Theosis</w:t>
      </w:r>
      <w:r>
        <w:rPr>
          <w:lang w:val="cy-GB"/>
        </w:rPr>
        <w:t xml:space="preserve">, Princeton Theological Monograph Series 156 (Eugene, OR: Pickwick, 2011), 44-45; Jordan Cooper, </w:t>
      </w:r>
      <w:r w:rsidRPr="001A7104">
        <w:rPr>
          <w:i/>
          <w:lang w:val="cy-GB"/>
        </w:rPr>
        <w:t>Christification: A Lutheran Approach to Theosis</w:t>
      </w:r>
      <w:r>
        <w:rPr>
          <w:lang w:val="cy-GB"/>
        </w:rPr>
        <w:t xml:space="preserve"> (Eugene, OR: Wipf and Stock, 2014), 13-19.</w:t>
      </w:r>
    </w:p>
  </w:footnote>
  <w:footnote w:id="268">
    <w:p w:rsidR="00AB3F05" w:rsidRPr="00BF5D78" w:rsidRDefault="00AB3F05" w:rsidP="00D36447">
      <w:pPr>
        <w:pStyle w:val="FootnoteText"/>
        <w:rPr>
          <w:lang w:val="cy-GB"/>
        </w:rPr>
      </w:pPr>
      <w:r>
        <w:rPr>
          <w:rStyle w:val="FootnoteReference"/>
        </w:rPr>
        <w:footnoteRef/>
      </w:r>
      <w:r>
        <w:t xml:space="preserve"> </w:t>
      </w:r>
      <w:r w:rsidRPr="00BF5D78">
        <w:rPr>
          <w:lang w:val="cy-GB"/>
        </w:rPr>
        <w:t xml:space="preserve">Fairbairn, </w:t>
      </w:r>
      <w:r w:rsidRPr="00BF5D78">
        <w:rPr>
          <w:i/>
          <w:lang w:val="cy-GB"/>
        </w:rPr>
        <w:t>Grace and Christology</w:t>
      </w:r>
      <w:r w:rsidRPr="00BF5D78">
        <w:rPr>
          <w:lang w:val="cy-GB"/>
        </w:rPr>
        <w:t>, 131</w:t>
      </w:r>
      <w:r>
        <w:rPr>
          <w:lang w:val="cy-GB"/>
        </w:rPr>
        <w:t>.</w:t>
      </w:r>
    </w:p>
  </w:footnote>
  <w:footnote w:id="269">
    <w:p w:rsidR="00AB3F05" w:rsidRDefault="00AB3F05">
      <w:pPr>
        <w:pStyle w:val="FootnoteText"/>
      </w:pPr>
      <w:r>
        <w:rPr>
          <w:rStyle w:val="FootnoteReference"/>
        </w:rPr>
        <w:footnoteRef/>
      </w:r>
      <w:r>
        <w:t xml:space="preserve"> T</w:t>
      </w:r>
      <w:r w:rsidRPr="00C931FD">
        <w:t>his conception of vital union and communion with the Trinity is not limited to Williams, Hodges and Thomas, but is also evidenc</w:t>
      </w:r>
      <w:r>
        <w:t>ed in a variety of other voices:</w:t>
      </w:r>
      <w:r w:rsidRPr="00C931FD">
        <w:t xml:space="preserve"> </w:t>
      </w:r>
      <w:r>
        <w:t xml:space="preserve">e.g., </w:t>
      </w:r>
      <w:r w:rsidRPr="00C931FD">
        <w:rPr>
          <w:lang w:val="cy-GB"/>
        </w:rPr>
        <w:t xml:space="preserve">Jacob Purnell, ‘God’s Perfect Gifts’, </w:t>
      </w:r>
      <w:r w:rsidRPr="00C931FD">
        <w:rPr>
          <w:i/>
          <w:lang w:val="cy-GB"/>
        </w:rPr>
        <w:t>RoG</w:t>
      </w:r>
      <w:r w:rsidRPr="00C931FD">
        <w:rPr>
          <w:lang w:val="cy-GB"/>
        </w:rPr>
        <w:t>,</w:t>
      </w:r>
      <w:r>
        <w:rPr>
          <w:lang w:val="cy-GB"/>
        </w:rPr>
        <w:t xml:space="preserve"> vi.6 (July 1931), </w:t>
      </w:r>
      <w:r w:rsidRPr="00C931FD">
        <w:rPr>
          <w:lang w:val="cy-GB"/>
        </w:rPr>
        <w:t xml:space="preserve">245; W.H. Lewis, ‘The Baptism of the Holy Spirit’, </w:t>
      </w:r>
      <w:r w:rsidRPr="00C931FD">
        <w:rPr>
          <w:i/>
          <w:lang w:val="cy-GB"/>
        </w:rPr>
        <w:t>RoG,</w:t>
      </w:r>
      <w:r>
        <w:rPr>
          <w:lang w:val="cy-GB"/>
        </w:rPr>
        <w:t xml:space="preserve"> xii.3 (Jan. 1937), </w:t>
      </w:r>
      <w:r w:rsidRPr="00C931FD">
        <w:rPr>
          <w:lang w:val="cy-GB"/>
        </w:rPr>
        <w:t>291</w:t>
      </w:r>
      <w:r>
        <w:rPr>
          <w:lang w:val="cy-GB"/>
        </w:rPr>
        <w:t>.</w:t>
      </w:r>
    </w:p>
  </w:footnote>
  <w:footnote w:id="270">
    <w:p w:rsidR="00AB3F05" w:rsidRPr="00C93509" w:rsidRDefault="00AB3F05" w:rsidP="00D36447">
      <w:pPr>
        <w:pStyle w:val="FootnoteText"/>
        <w:rPr>
          <w:lang w:val="cy-GB"/>
        </w:rPr>
      </w:pPr>
      <w:r>
        <w:rPr>
          <w:rStyle w:val="FootnoteReference"/>
        </w:rPr>
        <w:footnoteRef/>
      </w:r>
      <w:r w:rsidRPr="00C93509">
        <w:rPr>
          <w:lang w:val="cy-GB"/>
        </w:rPr>
        <w:t xml:space="preserve"> Williams, </w:t>
      </w:r>
      <w:r w:rsidRPr="00C93509">
        <w:rPr>
          <w:i/>
          <w:lang w:val="cy-GB"/>
        </w:rPr>
        <w:t>Athrawiaethau Sylfeinol</w:t>
      </w:r>
      <w:r w:rsidRPr="00C93509">
        <w:rPr>
          <w:lang w:val="cy-GB"/>
        </w:rPr>
        <w:t xml:space="preserve">, </w:t>
      </w:r>
      <w:r>
        <w:rPr>
          <w:lang w:val="cy-GB"/>
        </w:rPr>
        <w:t>8.</w:t>
      </w:r>
    </w:p>
  </w:footnote>
  <w:footnote w:id="271">
    <w:p w:rsidR="00AB3F05" w:rsidRPr="00643275" w:rsidRDefault="00AB3F05" w:rsidP="00D36447">
      <w:pPr>
        <w:pStyle w:val="FootnoteText"/>
        <w:rPr>
          <w:lang w:val="cy-GB"/>
        </w:rPr>
      </w:pPr>
      <w:r>
        <w:rPr>
          <w:rStyle w:val="FootnoteReference"/>
        </w:rPr>
        <w:footnoteRef/>
      </w:r>
      <w:r>
        <w:t xml:space="preserve"> </w:t>
      </w:r>
      <w:r w:rsidRPr="00643275">
        <w:rPr>
          <w:lang w:val="cy-GB"/>
        </w:rPr>
        <w:t>‘Guiding Principles</w:t>
      </w:r>
      <w:r>
        <w:rPr>
          <w:lang w:val="cy-GB"/>
        </w:rPr>
        <w:t>’</w:t>
      </w:r>
      <w:r w:rsidRPr="00643275">
        <w:rPr>
          <w:lang w:val="cy-GB"/>
        </w:rPr>
        <w:t xml:space="preserve">, </w:t>
      </w:r>
      <w:r>
        <w:rPr>
          <w:lang w:val="cy-GB"/>
        </w:rPr>
        <w:t>201.</w:t>
      </w:r>
    </w:p>
  </w:footnote>
  <w:footnote w:id="272">
    <w:p w:rsidR="00AB3F05" w:rsidRDefault="00AB3F05" w:rsidP="00B53477">
      <w:pPr>
        <w:pStyle w:val="FootnoteText"/>
      </w:pPr>
      <w:r>
        <w:rPr>
          <w:rStyle w:val="FootnoteReference"/>
        </w:rPr>
        <w:footnoteRef/>
      </w:r>
      <w:r>
        <w:t xml:space="preserve"> D.P. Williams, </w:t>
      </w:r>
      <w:r w:rsidRPr="00792A17">
        <w:rPr>
          <w:i/>
        </w:rPr>
        <w:t>The Prophetical Ministry (Or Voice Gifts) In The Church</w:t>
      </w:r>
      <w:r>
        <w:t xml:space="preserve"> (Penygroes: Apostolic Publications, 1931).</w:t>
      </w:r>
    </w:p>
  </w:footnote>
  <w:footnote w:id="273">
    <w:p w:rsidR="00AB3F05" w:rsidRDefault="00AB3F05" w:rsidP="00B53477">
      <w:pPr>
        <w:pStyle w:val="FootnoteText"/>
      </w:pPr>
      <w:r w:rsidRPr="00363B63">
        <w:rPr>
          <w:rStyle w:val="FootnoteReference"/>
        </w:rPr>
        <w:footnoteRef/>
      </w:r>
      <w:r w:rsidRPr="00363B63">
        <w:t xml:space="preserve"> Ibid., 15-16.</w:t>
      </w:r>
    </w:p>
  </w:footnote>
  <w:footnote w:id="274">
    <w:p w:rsidR="00AB3F05" w:rsidRDefault="00AB3F05" w:rsidP="00B53477">
      <w:pPr>
        <w:pStyle w:val="FootnoteText"/>
      </w:pPr>
      <w:r>
        <w:rPr>
          <w:rStyle w:val="FootnoteReference"/>
        </w:rPr>
        <w:footnoteRef/>
      </w:r>
      <w:r>
        <w:t xml:space="preserve"> Ibid., 76.</w:t>
      </w:r>
    </w:p>
  </w:footnote>
  <w:footnote w:id="275">
    <w:p w:rsidR="00AB3F05" w:rsidRDefault="00AB3F05" w:rsidP="00B53477">
      <w:pPr>
        <w:pStyle w:val="FootnoteText"/>
      </w:pPr>
      <w:r>
        <w:rPr>
          <w:rStyle w:val="FootnoteReference"/>
        </w:rPr>
        <w:footnoteRef/>
      </w:r>
      <w:r>
        <w:t xml:space="preserve"> Ibid., 75.</w:t>
      </w:r>
    </w:p>
  </w:footnote>
  <w:footnote w:id="276">
    <w:p w:rsidR="00AB3F05" w:rsidRDefault="00AB3F05" w:rsidP="00B53477">
      <w:pPr>
        <w:pStyle w:val="FootnoteText"/>
      </w:pPr>
      <w:r>
        <w:rPr>
          <w:rStyle w:val="FootnoteReference"/>
        </w:rPr>
        <w:footnoteRef/>
      </w:r>
      <w:r>
        <w:t xml:space="preserve"> Ibid.</w:t>
      </w:r>
    </w:p>
  </w:footnote>
  <w:footnote w:id="277">
    <w:p w:rsidR="00AB3F05" w:rsidRDefault="00AB3F05" w:rsidP="00B53477">
      <w:pPr>
        <w:pStyle w:val="FootnoteText"/>
      </w:pPr>
      <w:r>
        <w:rPr>
          <w:rStyle w:val="FootnoteReference"/>
        </w:rPr>
        <w:footnoteRef/>
      </w:r>
      <w:r>
        <w:t xml:space="preserve"> Ibid., 76.</w:t>
      </w:r>
    </w:p>
  </w:footnote>
  <w:footnote w:id="278">
    <w:p w:rsidR="00AB3F05" w:rsidRDefault="00AB3F05" w:rsidP="00B53477">
      <w:pPr>
        <w:pStyle w:val="FootnoteText"/>
      </w:pPr>
      <w:r>
        <w:rPr>
          <w:rStyle w:val="FootnoteReference"/>
        </w:rPr>
        <w:footnoteRef/>
      </w:r>
      <w:r>
        <w:t xml:space="preserve"> Ibid., 77.</w:t>
      </w:r>
    </w:p>
  </w:footnote>
  <w:footnote w:id="279">
    <w:p w:rsidR="00AB3F05" w:rsidRDefault="00AB3F05" w:rsidP="00B53477">
      <w:pPr>
        <w:pStyle w:val="FootnoteText"/>
      </w:pPr>
      <w:r>
        <w:rPr>
          <w:rStyle w:val="FootnoteReference"/>
        </w:rPr>
        <w:footnoteRef/>
      </w:r>
      <w:r>
        <w:t xml:space="preserve"> Ibid., 75, 78-89, 92.</w:t>
      </w:r>
    </w:p>
  </w:footnote>
  <w:footnote w:id="280">
    <w:p w:rsidR="00AB3F05" w:rsidRDefault="00AB3F05" w:rsidP="00B53477">
      <w:pPr>
        <w:pStyle w:val="FootnoteText"/>
      </w:pPr>
      <w:r>
        <w:rPr>
          <w:rStyle w:val="FootnoteReference"/>
        </w:rPr>
        <w:footnoteRef/>
      </w:r>
      <w:r>
        <w:t xml:space="preserve"> Ibid., 77-78.</w:t>
      </w:r>
    </w:p>
  </w:footnote>
  <w:footnote w:id="281">
    <w:p w:rsidR="00AB3F05" w:rsidRDefault="00AB3F05" w:rsidP="00B53477">
      <w:pPr>
        <w:pStyle w:val="FootnoteText"/>
      </w:pPr>
      <w:r>
        <w:rPr>
          <w:rStyle w:val="FootnoteReference"/>
        </w:rPr>
        <w:footnoteRef/>
      </w:r>
      <w:r>
        <w:t xml:space="preserve"> Ibid., 77.</w:t>
      </w:r>
    </w:p>
  </w:footnote>
  <w:footnote w:id="282">
    <w:p w:rsidR="00AB3F05" w:rsidRDefault="00AB3F05" w:rsidP="00B53477">
      <w:pPr>
        <w:pStyle w:val="FootnoteText"/>
      </w:pPr>
      <w:r>
        <w:rPr>
          <w:rStyle w:val="FootnoteReference"/>
        </w:rPr>
        <w:footnoteRef/>
      </w:r>
      <w:r>
        <w:t xml:space="preserve"> Ibid., 78.</w:t>
      </w:r>
    </w:p>
  </w:footnote>
  <w:footnote w:id="283">
    <w:p w:rsidR="00AB3F05" w:rsidRDefault="00AB3F05" w:rsidP="00B53477">
      <w:pPr>
        <w:pStyle w:val="FootnoteText"/>
      </w:pPr>
      <w:r>
        <w:rPr>
          <w:rStyle w:val="FootnoteReference"/>
        </w:rPr>
        <w:footnoteRef/>
      </w:r>
      <w:r>
        <w:t xml:space="preserve"> Ibid., 76.</w:t>
      </w:r>
    </w:p>
  </w:footnote>
  <w:footnote w:id="284">
    <w:p w:rsidR="00AB3F05" w:rsidRDefault="00AB3F05" w:rsidP="00B53477">
      <w:pPr>
        <w:pStyle w:val="FootnoteText"/>
      </w:pPr>
      <w:r>
        <w:rPr>
          <w:rStyle w:val="FootnoteReference"/>
        </w:rPr>
        <w:footnoteRef/>
      </w:r>
      <w:r>
        <w:t xml:space="preserve"> Ibid., 75.</w:t>
      </w:r>
    </w:p>
  </w:footnote>
  <w:footnote w:id="285">
    <w:p w:rsidR="00AB3F05" w:rsidRDefault="00AB3F05" w:rsidP="00B53477">
      <w:pPr>
        <w:pStyle w:val="FootnoteText"/>
      </w:pPr>
      <w:r>
        <w:rPr>
          <w:rStyle w:val="FootnoteReference"/>
        </w:rPr>
        <w:footnoteRef/>
      </w:r>
      <w:r>
        <w:t xml:space="preserve"> Ibid., 79.</w:t>
      </w:r>
    </w:p>
  </w:footnote>
  <w:footnote w:id="286">
    <w:p w:rsidR="00AB3F05" w:rsidRDefault="00AB3F05" w:rsidP="00B53477">
      <w:pPr>
        <w:pStyle w:val="FootnoteText"/>
      </w:pPr>
      <w:r>
        <w:rPr>
          <w:rStyle w:val="FootnoteReference"/>
        </w:rPr>
        <w:footnoteRef/>
      </w:r>
      <w:r>
        <w:t xml:space="preserve"> Ibid., 92.</w:t>
      </w:r>
    </w:p>
  </w:footnote>
  <w:footnote w:id="287">
    <w:p w:rsidR="00AB3F05" w:rsidRDefault="00AB3F05" w:rsidP="00B53477">
      <w:pPr>
        <w:pStyle w:val="FootnoteText"/>
      </w:pPr>
      <w:r>
        <w:rPr>
          <w:rStyle w:val="FootnoteReference"/>
        </w:rPr>
        <w:footnoteRef/>
      </w:r>
      <w:r>
        <w:t xml:space="preserve"> This theology of the ordained ministry may help to explain the use of oil in the ordination rite of the early years of the Apostolic Church (something which is unusual for what is generally considered a Biblicist movement). See ibid., 79; </w:t>
      </w:r>
      <w:r w:rsidRPr="002618E8">
        <w:rPr>
          <w:i/>
        </w:rPr>
        <w:t>The Apostolic Church: Its Principles and Practices</w:t>
      </w:r>
      <w:r>
        <w:t>, 250-251.</w:t>
      </w:r>
    </w:p>
  </w:footnote>
  <w:footnote w:id="288">
    <w:p w:rsidR="00AB3F05" w:rsidRDefault="00AB3F05" w:rsidP="00B53477">
      <w:pPr>
        <w:pStyle w:val="FootnoteText"/>
      </w:pPr>
      <w:r>
        <w:rPr>
          <w:rStyle w:val="FootnoteReference"/>
        </w:rPr>
        <w:footnoteRef/>
      </w:r>
      <w:r>
        <w:t xml:space="preserve"> Williams, </w:t>
      </w:r>
      <w:r w:rsidRPr="00EE47D9">
        <w:rPr>
          <w:i/>
        </w:rPr>
        <w:t>Prophetical Ministry</w:t>
      </w:r>
      <w:r>
        <w:t>, 78.</w:t>
      </w:r>
    </w:p>
  </w:footnote>
  <w:footnote w:id="289">
    <w:p w:rsidR="00AB3F05" w:rsidRDefault="00AB3F05" w:rsidP="00B53477">
      <w:pPr>
        <w:pStyle w:val="FootnoteText"/>
      </w:pPr>
      <w:r>
        <w:rPr>
          <w:rStyle w:val="FootnoteReference"/>
        </w:rPr>
        <w:footnoteRef/>
      </w:r>
      <w:r>
        <w:t xml:space="preserve"> Ibid., 75.</w:t>
      </w:r>
    </w:p>
  </w:footnote>
  <w:footnote w:id="290">
    <w:p w:rsidR="00AB3F05" w:rsidRDefault="00AB3F05" w:rsidP="00B53477">
      <w:pPr>
        <w:pStyle w:val="FootnoteText"/>
      </w:pPr>
      <w:r>
        <w:rPr>
          <w:rStyle w:val="FootnoteReference"/>
        </w:rPr>
        <w:footnoteRef/>
      </w:r>
      <w:r>
        <w:t xml:space="preserve"> Ibid.</w:t>
      </w:r>
    </w:p>
  </w:footnote>
  <w:footnote w:id="291">
    <w:p w:rsidR="00AB3F05" w:rsidRDefault="00AB3F05" w:rsidP="00B53477">
      <w:pPr>
        <w:pStyle w:val="FootnoteText"/>
      </w:pPr>
      <w:r>
        <w:rPr>
          <w:rStyle w:val="FootnoteReference"/>
        </w:rPr>
        <w:footnoteRef/>
      </w:r>
      <w:r>
        <w:t xml:space="preserve"> Williams wrote the foreword to Rees’ work. </w:t>
      </w:r>
      <w:r w:rsidRPr="004558CB">
        <w:t xml:space="preserve">Thomas Rees, </w:t>
      </w:r>
      <w:r w:rsidRPr="004558CB">
        <w:rPr>
          <w:i/>
        </w:rPr>
        <w:t>The Divine Masterpiece</w:t>
      </w:r>
      <w:r w:rsidRPr="004558CB">
        <w:t xml:space="preserve"> (Bradford: Apostolic Publications, n.d.), 1</w:t>
      </w:r>
      <w:r>
        <w:t>.</w:t>
      </w:r>
    </w:p>
  </w:footnote>
  <w:footnote w:id="292">
    <w:p w:rsidR="00AB3F05" w:rsidRDefault="00AB3F05" w:rsidP="00B53477">
      <w:pPr>
        <w:pStyle w:val="FootnoteText"/>
      </w:pPr>
      <w:r>
        <w:rPr>
          <w:rStyle w:val="FootnoteReference"/>
        </w:rPr>
        <w:footnoteRef/>
      </w:r>
      <w:r>
        <w:t xml:space="preserve"> Ibid., 10.</w:t>
      </w:r>
    </w:p>
  </w:footnote>
  <w:footnote w:id="293">
    <w:p w:rsidR="00AB3F05" w:rsidRDefault="00AB3F05" w:rsidP="00B53477">
      <w:pPr>
        <w:pStyle w:val="FootnoteText"/>
      </w:pPr>
      <w:r>
        <w:rPr>
          <w:rStyle w:val="FootnoteReference"/>
        </w:rPr>
        <w:footnoteRef/>
      </w:r>
      <w:r>
        <w:t xml:space="preserve"> It cannot be ascertained whether Rees was the first Apostolic thinker to make this move, as much thought would have circulated in unpublished formats prior to the publication of his work, such as sermons and doctrinal discussions in Council.</w:t>
      </w:r>
    </w:p>
  </w:footnote>
  <w:footnote w:id="294">
    <w:p w:rsidR="00AB3F05" w:rsidRDefault="00AB3F05" w:rsidP="00B53477">
      <w:pPr>
        <w:pStyle w:val="FootnoteText"/>
      </w:pPr>
      <w:r>
        <w:rPr>
          <w:rStyle w:val="FootnoteReference"/>
        </w:rPr>
        <w:footnoteRef/>
      </w:r>
      <w:r>
        <w:t xml:space="preserve"> Rees, </w:t>
      </w:r>
      <w:r w:rsidRPr="00EE47D9">
        <w:rPr>
          <w:i/>
        </w:rPr>
        <w:t>Divine Masterpiece</w:t>
      </w:r>
      <w:r>
        <w:t>, 10.</w:t>
      </w:r>
    </w:p>
  </w:footnote>
  <w:footnote w:id="295">
    <w:p w:rsidR="00AB3F05" w:rsidRDefault="00AB3F05" w:rsidP="00B53477">
      <w:pPr>
        <w:pStyle w:val="FootnoteText"/>
      </w:pPr>
      <w:r>
        <w:rPr>
          <w:rStyle w:val="FootnoteReference"/>
        </w:rPr>
        <w:footnoteRef/>
      </w:r>
      <w:r>
        <w:t xml:space="preserve"> Ibid., 9.</w:t>
      </w:r>
    </w:p>
  </w:footnote>
  <w:footnote w:id="296">
    <w:p w:rsidR="00AB3F05" w:rsidRDefault="00AB3F05" w:rsidP="00B53477">
      <w:pPr>
        <w:pStyle w:val="FootnoteText"/>
      </w:pPr>
      <w:r>
        <w:rPr>
          <w:rStyle w:val="FootnoteReference"/>
        </w:rPr>
        <w:footnoteRef/>
      </w:r>
      <w:r>
        <w:t xml:space="preserve"> Ibid., 8; Jn 1:14.</w:t>
      </w:r>
    </w:p>
  </w:footnote>
  <w:footnote w:id="297">
    <w:p w:rsidR="00AB3F05" w:rsidRDefault="00AB3F05" w:rsidP="00B53477">
      <w:pPr>
        <w:pStyle w:val="FootnoteText"/>
      </w:pPr>
      <w:r>
        <w:rPr>
          <w:rStyle w:val="FootnoteReference"/>
        </w:rPr>
        <w:footnoteRef/>
      </w:r>
      <w:r>
        <w:t xml:space="preserve"> Rees, </w:t>
      </w:r>
      <w:r w:rsidRPr="00EE47D9">
        <w:rPr>
          <w:i/>
        </w:rPr>
        <w:t>Divine Masterpiece</w:t>
      </w:r>
      <w:r>
        <w:t>, 8. Rees’ reference to divine energies, though perhaps entirely coincidental, is of interest in light of the similarities to theosis in some of his thought.</w:t>
      </w:r>
    </w:p>
  </w:footnote>
  <w:footnote w:id="298">
    <w:p w:rsidR="00AB3F05" w:rsidRDefault="00AB3F05" w:rsidP="00B53477">
      <w:pPr>
        <w:pStyle w:val="FootnoteText"/>
      </w:pPr>
      <w:r>
        <w:rPr>
          <w:rStyle w:val="FootnoteReference"/>
        </w:rPr>
        <w:footnoteRef/>
      </w:r>
      <w:r>
        <w:t xml:space="preserve"> Ibid., 10.</w:t>
      </w:r>
    </w:p>
  </w:footnote>
  <w:footnote w:id="299">
    <w:p w:rsidR="00AB3F05" w:rsidRDefault="00AB3F05" w:rsidP="00B53477">
      <w:pPr>
        <w:pStyle w:val="FootnoteText"/>
      </w:pPr>
      <w:r>
        <w:rPr>
          <w:rStyle w:val="FootnoteReference"/>
        </w:rPr>
        <w:footnoteRef/>
      </w:r>
      <w:r>
        <w:t xml:space="preserve"> Ibid.</w:t>
      </w:r>
    </w:p>
  </w:footnote>
  <w:footnote w:id="300">
    <w:p w:rsidR="00AB3F05" w:rsidRDefault="00AB3F05" w:rsidP="00B53477">
      <w:pPr>
        <w:pStyle w:val="FootnoteText"/>
      </w:pPr>
      <w:r>
        <w:rPr>
          <w:rStyle w:val="FootnoteReference"/>
        </w:rPr>
        <w:footnoteRef/>
      </w:r>
      <w:r>
        <w:t xml:space="preserve"> Ibid.</w:t>
      </w:r>
    </w:p>
  </w:footnote>
  <w:footnote w:id="301">
    <w:p w:rsidR="00AB3F05" w:rsidRDefault="00AB3F05" w:rsidP="00B53477">
      <w:pPr>
        <w:pStyle w:val="FootnoteText"/>
      </w:pPr>
      <w:r>
        <w:rPr>
          <w:rStyle w:val="FootnoteReference"/>
        </w:rPr>
        <w:footnoteRef/>
      </w:r>
      <w:r>
        <w:t xml:space="preserve"> Ibid.</w:t>
      </w:r>
    </w:p>
  </w:footnote>
  <w:footnote w:id="302">
    <w:p w:rsidR="00AB3F05" w:rsidRDefault="00AB3F05" w:rsidP="00B53477">
      <w:pPr>
        <w:pStyle w:val="FootnoteText"/>
      </w:pPr>
      <w:r>
        <w:rPr>
          <w:rStyle w:val="FootnoteReference"/>
        </w:rPr>
        <w:footnoteRef/>
      </w:r>
      <w:r>
        <w:t xml:space="preserve"> Ibid.</w:t>
      </w:r>
    </w:p>
  </w:footnote>
  <w:footnote w:id="303">
    <w:p w:rsidR="00AB3F05" w:rsidRDefault="00AB3F05" w:rsidP="00B53477">
      <w:pPr>
        <w:pStyle w:val="FootnoteText"/>
      </w:pPr>
      <w:r>
        <w:rPr>
          <w:rStyle w:val="FootnoteReference"/>
        </w:rPr>
        <w:footnoteRef/>
      </w:r>
      <w:r>
        <w:t xml:space="preserve"> Ibid.</w:t>
      </w:r>
    </w:p>
  </w:footnote>
  <w:footnote w:id="304">
    <w:p w:rsidR="00AB3F05" w:rsidRDefault="00AB3F05" w:rsidP="00B53477">
      <w:pPr>
        <w:pStyle w:val="FootnoteText"/>
      </w:pPr>
      <w:r>
        <w:rPr>
          <w:rStyle w:val="FootnoteReference"/>
        </w:rPr>
        <w:footnoteRef/>
      </w:r>
      <w:r>
        <w:t xml:space="preserve"> Ibid.</w:t>
      </w:r>
    </w:p>
  </w:footnote>
  <w:footnote w:id="305">
    <w:p w:rsidR="00AB3F05" w:rsidRDefault="00AB3F05" w:rsidP="00B53477">
      <w:pPr>
        <w:pStyle w:val="FootnoteText"/>
      </w:pPr>
      <w:r>
        <w:rPr>
          <w:rStyle w:val="FootnoteReference"/>
        </w:rPr>
        <w:footnoteRef/>
      </w:r>
      <w:r>
        <w:t xml:space="preserve"> Ibid., 49-50.</w:t>
      </w:r>
    </w:p>
  </w:footnote>
  <w:footnote w:id="306">
    <w:p w:rsidR="00AB3F05" w:rsidRDefault="00AB3F05" w:rsidP="00B53477">
      <w:pPr>
        <w:pStyle w:val="FootnoteText"/>
      </w:pPr>
      <w:r>
        <w:rPr>
          <w:rStyle w:val="FootnoteReference"/>
        </w:rPr>
        <w:footnoteRef/>
      </w:r>
      <w:r>
        <w:t xml:space="preserve"> Ibid. Note Rees’ emphasis on the Church’s ‘joint-heirship’ and inheritance in Christ.</w:t>
      </w:r>
    </w:p>
  </w:footnote>
  <w:footnote w:id="307">
    <w:p w:rsidR="00AB3F05" w:rsidRDefault="00AB3F05" w:rsidP="00B53477">
      <w:pPr>
        <w:pStyle w:val="FootnoteText"/>
      </w:pPr>
      <w:r>
        <w:rPr>
          <w:rStyle w:val="FootnoteReference"/>
        </w:rPr>
        <w:footnoteRef/>
      </w:r>
      <w:r>
        <w:t xml:space="preserve"> Ibid., 25.</w:t>
      </w:r>
    </w:p>
  </w:footnote>
  <w:footnote w:id="308">
    <w:p w:rsidR="00AB3F05" w:rsidRDefault="00AB3F05" w:rsidP="00B53477">
      <w:pPr>
        <w:pStyle w:val="FootnoteText"/>
      </w:pPr>
      <w:r>
        <w:rPr>
          <w:rStyle w:val="FootnoteReference"/>
        </w:rPr>
        <w:footnoteRef/>
      </w:r>
      <w:r>
        <w:t xml:space="preserve"> Ibid.</w:t>
      </w:r>
    </w:p>
  </w:footnote>
  <w:footnote w:id="309">
    <w:p w:rsidR="00AB3F05" w:rsidRDefault="00AB3F05" w:rsidP="00B53477">
      <w:pPr>
        <w:pStyle w:val="FootnoteText"/>
      </w:pPr>
      <w:r>
        <w:rPr>
          <w:rStyle w:val="FootnoteReference"/>
        </w:rPr>
        <w:footnoteRef/>
      </w:r>
      <w:r>
        <w:t xml:space="preserve"> Whether this development was original to Thomas is a matter open to question. Unlike Williams, Thomas is writing directly on the doctrine of the Church in Ephesians. Unlike Rees, Thomas is not bound by the constraints of wartime paper shortages and original intent of his material. We know that both Williams and Rees taught much more extensively on ecclesiology than they wrote, and hence some of Thomas’ thinking may have originated in their oral teaching. There are points in Thomas’ work where he clearly differs from Williams and other early Apostolic writers, so he was clearly capable of significant independent thought; Thomas is not merely the transmitter of an established tradition, but a significant ecclesiological thinker in his own right. How much of his thought is indebted to Williams and others is now impossible to tell.</w:t>
      </w:r>
    </w:p>
  </w:footnote>
  <w:footnote w:id="310">
    <w:p w:rsidR="00AB3F05" w:rsidRDefault="00AB3F05" w:rsidP="00B53477">
      <w:pPr>
        <w:pStyle w:val="FootnoteText"/>
      </w:pPr>
      <w:r>
        <w:rPr>
          <w:rStyle w:val="FootnoteReference"/>
        </w:rPr>
        <w:footnoteRef/>
      </w:r>
      <w:r>
        <w:t xml:space="preserve"> W.R. Thomas, </w:t>
      </w:r>
      <w:r w:rsidRPr="00D34127">
        <w:rPr>
          <w:i/>
        </w:rPr>
        <w:t>On Ephesians</w:t>
      </w:r>
      <w:r>
        <w:t xml:space="preserve"> (English Translation: Cardiff, 2007), 65.</w:t>
      </w:r>
    </w:p>
  </w:footnote>
  <w:footnote w:id="311">
    <w:p w:rsidR="00AB3F05" w:rsidRDefault="00AB3F05" w:rsidP="00B53477">
      <w:pPr>
        <w:pStyle w:val="FootnoteText"/>
      </w:pPr>
      <w:r>
        <w:rPr>
          <w:rStyle w:val="FootnoteReference"/>
        </w:rPr>
        <w:footnoteRef/>
      </w:r>
      <w:r>
        <w:t xml:space="preserve"> Ibid., 124, 68.</w:t>
      </w:r>
    </w:p>
  </w:footnote>
  <w:footnote w:id="312">
    <w:p w:rsidR="00AB3F05" w:rsidRDefault="00AB3F05" w:rsidP="00B53477">
      <w:pPr>
        <w:pStyle w:val="FootnoteText"/>
      </w:pPr>
      <w:r>
        <w:rPr>
          <w:rStyle w:val="FootnoteReference"/>
        </w:rPr>
        <w:footnoteRef/>
      </w:r>
      <w:r>
        <w:t xml:space="preserve"> Ibid., 65.</w:t>
      </w:r>
    </w:p>
  </w:footnote>
  <w:footnote w:id="313">
    <w:p w:rsidR="00AB3F05" w:rsidRDefault="00AB3F05" w:rsidP="00B53477">
      <w:pPr>
        <w:pStyle w:val="FootnoteText"/>
      </w:pPr>
      <w:r>
        <w:rPr>
          <w:rStyle w:val="FootnoteReference"/>
        </w:rPr>
        <w:footnoteRef/>
      </w:r>
      <w:r>
        <w:t xml:space="preserve"> D.P. Williams, in the ‘Foreword’ to Rees, </w:t>
      </w:r>
      <w:r w:rsidRPr="00FD0638">
        <w:rPr>
          <w:i/>
        </w:rPr>
        <w:t>Divine Masterpiece</w:t>
      </w:r>
      <w:r>
        <w:t>, 1.</w:t>
      </w:r>
    </w:p>
  </w:footnote>
  <w:footnote w:id="314">
    <w:p w:rsidR="00AB3F05" w:rsidRDefault="00AB3F05" w:rsidP="00B53477">
      <w:pPr>
        <w:pStyle w:val="FootnoteText"/>
      </w:pPr>
      <w:r>
        <w:rPr>
          <w:rStyle w:val="FootnoteReference"/>
        </w:rPr>
        <w:footnoteRef/>
      </w:r>
      <w:r>
        <w:t xml:space="preserve"> Thomas</w:t>
      </w:r>
      <w:r w:rsidRPr="00EE47D9">
        <w:rPr>
          <w:i/>
        </w:rPr>
        <w:t>, On Ephesians</w:t>
      </w:r>
      <w:r>
        <w:t>, 125; On Rees, see above.</w:t>
      </w:r>
    </w:p>
  </w:footnote>
  <w:footnote w:id="315">
    <w:p w:rsidR="00AB3F05" w:rsidRDefault="00AB3F05" w:rsidP="00B53477">
      <w:pPr>
        <w:pStyle w:val="FootnoteText"/>
      </w:pPr>
      <w:r>
        <w:rPr>
          <w:rStyle w:val="FootnoteReference"/>
        </w:rPr>
        <w:footnoteRef/>
      </w:r>
      <w:r>
        <w:t xml:space="preserve"> Ibid., 131.</w:t>
      </w:r>
    </w:p>
  </w:footnote>
  <w:footnote w:id="316">
    <w:p w:rsidR="00AB3F05" w:rsidRDefault="00AB3F05" w:rsidP="00B53477">
      <w:pPr>
        <w:pStyle w:val="FootnoteText"/>
      </w:pPr>
      <w:r>
        <w:rPr>
          <w:rStyle w:val="FootnoteReference"/>
        </w:rPr>
        <w:footnoteRef/>
      </w:r>
      <w:r>
        <w:t xml:space="preserve"> Ibid.</w:t>
      </w:r>
    </w:p>
  </w:footnote>
  <w:footnote w:id="317">
    <w:p w:rsidR="00AB3F05" w:rsidRDefault="00AB3F05" w:rsidP="00B53477">
      <w:pPr>
        <w:pStyle w:val="FootnoteText"/>
      </w:pPr>
      <w:r>
        <w:rPr>
          <w:rStyle w:val="FootnoteReference"/>
        </w:rPr>
        <w:footnoteRef/>
      </w:r>
      <w:r>
        <w:t xml:space="preserve"> Ibid., 130.</w:t>
      </w:r>
    </w:p>
  </w:footnote>
  <w:footnote w:id="318">
    <w:p w:rsidR="00AB3F05" w:rsidRDefault="00AB3F05" w:rsidP="00B53477">
      <w:pPr>
        <w:pStyle w:val="FootnoteText"/>
      </w:pPr>
      <w:r>
        <w:rPr>
          <w:rStyle w:val="FootnoteReference"/>
        </w:rPr>
        <w:footnoteRef/>
      </w:r>
      <w:r>
        <w:t xml:space="preserve"> Ibid., 64.</w:t>
      </w:r>
    </w:p>
  </w:footnote>
  <w:footnote w:id="319">
    <w:p w:rsidR="00AB3F05" w:rsidRDefault="00AB3F05" w:rsidP="00B53477">
      <w:pPr>
        <w:pStyle w:val="FootnoteText"/>
      </w:pPr>
      <w:r>
        <w:rPr>
          <w:rStyle w:val="FootnoteReference"/>
        </w:rPr>
        <w:footnoteRef/>
      </w:r>
      <w:r>
        <w:t xml:space="preserve"> Ibid., 124.</w:t>
      </w:r>
    </w:p>
  </w:footnote>
  <w:footnote w:id="320">
    <w:p w:rsidR="00AB3F05" w:rsidRDefault="00AB3F05" w:rsidP="00B53477">
      <w:pPr>
        <w:pStyle w:val="FootnoteText"/>
      </w:pPr>
      <w:r>
        <w:rPr>
          <w:rStyle w:val="FootnoteReference"/>
        </w:rPr>
        <w:footnoteRef/>
      </w:r>
      <w:r>
        <w:t xml:space="preserve"> Ibid., 65.</w:t>
      </w:r>
    </w:p>
  </w:footnote>
  <w:footnote w:id="321">
    <w:p w:rsidR="00AB3F05" w:rsidRDefault="00AB3F05" w:rsidP="00B53477">
      <w:pPr>
        <w:pStyle w:val="FootnoteText"/>
      </w:pPr>
      <w:r>
        <w:rPr>
          <w:rStyle w:val="FootnoteReference"/>
        </w:rPr>
        <w:footnoteRef/>
      </w:r>
      <w:r>
        <w:t xml:space="preserve"> Ibid., 131.</w:t>
      </w:r>
    </w:p>
  </w:footnote>
  <w:footnote w:id="322">
    <w:p w:rsidR="00AB3F05" w:rsidRDefault="00AB3F05" w:rsidP="00B53477">
      <w:pPr>
        <w:pStyle w:val="FootnoteText"/>
      </w:pPr>
      <w:r>
        <w:rPr>
          <w:rStyle w:val="FootnoteReference"/>
        </w:rPr>
        <w:footnoteRef/>
      </w:r>
      <w:r>
        <w:t xml:space="preserve"> Ibid., 138.</w:t>
      </w:r>
    </w:p>
  </w:footnote>
  <w:footnote w:id="323">
    <w:p w:rsidR="00AB3F05" w:rsidRDefault="00AB3F05" w:rsidP="00B53477">
      <w:pPr>
        <w:pStyle w:val="FootnoteText"/>
      </w:pPr>
      <w:r>
        <w:rPr>
          <w:rStyle w:val="FootnoteReference"/>
        </w:rPr>
        <w:footnoteRef/>
      </w:r>
      <w:r>
        <w:t xml:space="preserve"> Ibid., 138-145.</w:t>
      </w:r>
    </w:p>
  </w:footnote>
  <w:footnote w:id="324">
    <w:p w:rsidR="00AB3F05" w:rsidRDefault="00AB3F05" w:rsidP="00B53477">
      <w:pPr>
        <w:pStyle w:val="FootnoteText"/>
      </w:pPr>
      <w:r>
        <w:rPr>
          <w:rStyle w:val="FootnoteReference"/>
        </w:rPr>
        <w:footnoteRef/>
      </w:r>
      <w:r>
        <w:t xml:space="preserve"> Ibid., 137.</w:t>
      </w:r>
    </w:p>
  </w:footnote>
  <w:footnote w:id="325">
    <w:p w:rsidR="00AB3F05" w:rsidRDefault="00AB3F05" w:rsidP="00B53477">
      <w:pPr>
        <w:pStyle w:val="FootnoteText"/>
      </w:pPr>
      <w:r>
        <w:rPr>
          <w:rStyle w:val="FootnoteReference"/>
        </w:rPr>
        <w:footnoteRef/>
      </w:r>
      <w:r>
        <w:t xml:space="preserve"> Ibid., 136-137.</w:t>
      </w:r>
    </w:p>
  </w:footnote>
  <w:footnote w:id="326">
    <w:p w:rsidR="00AB3F05" w:rsidRDefault="00AB3F05" w:rsidP="00B53477">
      <w:pPr>
        <w:pStyle w:val="FootnoteText"/>
      </w:pPr>
      <w:r>
        <w:rPr>
          <w:rStyle w:val="FootnoteReference"/>
        </w:rPr>
        <w:footnoteRef/>
      </w:r>
      <w:r>
        <w:t xml:space="preserve"> Ibid., 137.</w:t>
      </w:r>
    </w:p>
  </w:footnote>
  <w:footnote w:id="327">
    <w:p w:rsidR="00AB3F05" w:rsidRDefault="00AB3F05" w:rsidP="00B53477">
      <w:pPr>
        <w:pStyle w:val="FootnoteText"/>
      </w:pPr>
      <w:r>
        <w:rPr>
          <w:rStyle w:val="FootnoteReference"/>
        </w:rPr>
        <w:footnoteRef/>
      </w:r>
      <w:r>
        <w:t xml:space="preserve"> Ibid.</w:t>
      </w:r>
    </w:p>
  </w:footnote>
  <w:footnote w:id="328">
    <w:p w:rsidR="00AB3F05" w:rsidRDefault="00AB3F05" w:rsidP="00B53477">
      <w:pPr>
        <w:pStyle w:val="FootnoteText"/>
      </w:pPr>
      <w:r>
        <w:rPr>
          <w:rStyle w:val="FootnoteReference"/>
        </w:rPr>
        <w:footnoteRef/>
      </w:r>
      <w:r>
        <w:t xml:space="preserve"> Ibid., 135.</w:t>
      </w:r>
    </w:p>
  </w:footnote>
  <w:footnote w:id="329">
    <w:p w:rsidR="00AB3F05" w:rsidRDefault="00AB3F05" w:rsidP="00B53477">
      <w:pPr>
        <w:pStyle w:val="FootnoteText"/>
      </w:pPr>
      <w:r>
        <w:rPr>
          <w:rStyle w:val="FootnoteReference"/>
        </w:rPr>
        <w:footnoteRef/>
      </w:r>
      <w:r>
        <w:t xml:space="preserve"> Ibid., 120.</w:t>
      </w:r>
    </w:p>
  </w:footnote>
  <w:footnote w:id="330">
    <w:p w:rsidR="00AB3F05" w:rsidRDefault="00AB3F05" w:rsidP="00B53477">
      <w:pPr>
        <w:pStyle w:val="FootnoteText"/>
      </w:pPr>
      <w:r>
        <w:rPr>
          <w:rStyle w:val="FootnoteReference"/>
        </w:rPr>
        <w:footnoteRef/>
      </w:r>
      <w:r>
        <w:t xml:space="preserve"> Ibid., 21-22.</w:t>
      </w:r>
    </w:p>
  </w:footnote>
  <w:footnote w:id="331">
    <w:p w:rsidR="00AB3F05" w:rsidRDefault="00AB3F05" w:rsidP="00B53477">
      <w:pPr>
        <w:pStyle w:val="FootnoteText"/>
      </w:pPr>
      <w:r>
        <w:rPr>
          <w:rStyle w:val="FootnoteReference"/>
        </w:rPr>
        <w:footnoteRef/>
      </w:r>
      <w:r>
        <w:t xml:space="preserve"> Ibid., 22.</w:t>
      </w:r>
    </w:p>
  </w:footnote>
  <w:footnote w:id="332">
    <w:p w:rsidR="00AB3F05" w:rsidRDefault="00AB3F05" w:rsidP="00062AED">
      <w:pPr>
        <w:pStyle w:val="FootnoteText"/>
      </w:pPr>
      <w:r>
        <w:rPr>
          <w:rStyle w:val="FootnoteReference"/>
        </w:rPr>
        <w:footnoteRef/>
      </w:r>
      <w:r>
        <w:t xml:space="preserve"> The statements of faith of the Elim Pentecostal Church and AoG (the other two indigenous British Pentecostal denominations) both commence with a statement on Scripture. The same is true of American Pentecostal denominations, including AoG, the Church of God, the Church of God in Christ, and the International Church of the Foursquare Gospel, as well as of many evangelical organisations such as the World Evangelical Alliance, and Affinity (formerly the British Evangelical Council).</w:t>
      </w:r>
    </w:p>
  </w:footnote>
  <w:footnote w:id="333">
    <w:p w:rsidR="00AB3F05" w:rsidRDefault="00AB3F05" w:rsidP="00062AED">
      <w:pPr>
        <w:pStyle w:val="FootnoteText"/>
      </w:pPr>
      <w:r>
        <w:rPr>
          <w:rStyle w:val="FootnoteReference"/>
        </w:rPr>
        <w:footnoteRef/>
      </w:r>
      <w:r>
        <w:t xml:space="preserve"> D.P. Williams, </w:t>
      </w:r>
      <w:r w:rsidRPr="002452A8">
        <w:rPr>
          <w:i/>
        </w:rPr>
        <w:t>The Trinity</w:t>
      </w:r>
      <w:r>
        <w:t>, 2 vols, (publisher’s manuscripts).</w:t>
      </w:r>
    </w:p>
  </w:footnote>
  <w:footnote w:id="334">
    <w:p w:rsidR="00AB3F05" w:rsidRDefault="00AB3F05" w:rsidP="00062AED">
      <w:pPr>
        <w:pStyle w:val="FootnoteText"/>
      </w:pPr>
      <w:r>
        <w:rPr>
          <w:rStyle w:val="FootnoteReference"/>
        </w:rPr>
        <w:footnoteRef/>
      </w:r>
      <w:r>
        <w:t xml:space="preserve"> Thomas Rees, </w:t>
      </w:r>
      <w:r w:rsidRPr="002452A8">
        <w:rPr>
          <w:i/>
        </w:rPr>
        <w:t>The Unity of the Godhead and the Trinity of the Persons Therein</w:t>
      </w:r>
      <w:r>
        <w:t xml:space="preserve"> (Bradford: Puritan Press, 1954).</w:t>
      </w:r>
    </w:p>
  </w:footnote>
  <w:footnote w:id="335">
    <w:p w:rsidR="00AB3F05" w:rsidRDefault="00AB3F05" w:rsidP="00062AED">
      <w:pPr>
        <w:pStyle w:val="FootnoteText"/>
      </w:pPr>
      <w:r>
        <w:rPr>
          <w:rStyle w:val="FootnoteReference"/>
        </w:rPr>
        <w:footnoteRef/>
      </w:r>
      <w:r>
        <w:t xml:space="preserve"> Williams, </w:t>
      </w:r>
      <w:r w:rsidRPr="002A22AE">
        <w:rPr>
          <w:i/>
        </w:rPr>
        <w:t>Trinity</w:t>
      </w:r>
      <w:r>
        <w:t>, 2:98.</w:t>
      </w:r>
    </w:p>
  </w:footnote>
  <w:footnote w:id="336">
    <w:p w:rsidR="00AB3F05" w:rsidRDefault="00AB3F05" w:rsidP="00062AED">
      <w:pPr>
        <w:pStyle w:val="FootnoteText"/>
      </w:pPr>
      <w:r>
        <w:rPr>
          <w:rStyle w:val="FootnoteReference"/>
        </w:rPr>
        <w:footnoteRef/>
      </w:r>
      <w:r>
        <w:t xml:space="preserve"> Rees</w:t>
      </w:r>
      <w:r w:rsidRPr="0035209E">
        <w:rPr>
          <w:i/>
        </w:rPr>
        <w:t>, Unity</w:t>
      </w:r>
      <w:r>
        <w:t>, 19.</w:t>
      </w:r>
    </w:p>
  </w:footnote>
  <w:footnote w:id="337">
    <w:p w:rsidR="00AB3F05" w:rsidRDefault="00AB3F05" w:rsidP="00062AED">
      <w:pPr>
        <w:pStyle w:val="FootnoteText"/>
      </w:pPr>
      <w:r>
        <w:rPr>
          <w:rStyle w:val="FootnoteReference"/>
        </w:rPr>
        <w:footnoteRef/>
      </w:r>
      <w:r>
        <w:t xml:space="preserve"> For example, Rees explicitly cites Moule on the Monarchy of the Father. Rees, </w:t>
      </w:r>
      <w:r w:rsidRPr="006231F3">
        <w:rPr>
          <w:i/>
        </w:rPr>
        <w:t>Unity</w:t>
      </w:r>
      <w:r>
        <w:t>, 15.</w:t>
      </w:r>
    </w:p>
  </w:footnote>
  <w:footnote w:id="338">
    <w:p w:rsidR="00AB3F05" w:rsidRDefault="00AB3F05" w:rsidP="00062AED">
      <w:pPr>
        <w:pStyle w:val="FootnoteText"/>
      </w:pPr>
      <w:r>
        <w:rPr>
          <w:rStyle w:val="FootnoteReference"/>
        </w:rPr>
        <w:footnoteRef/>
      </w:r>
      <w:r>
        <w:t xml:space="preserve"> Ibid., 18.</w:t>
      </w:r>
    </w:p>
  </w:footnote>
  <w:footnote w:id="339">
    <w:p w:rsidR="00AB3F05" w:rsidRDefault="00AB3F05" w:rsidP="00062AED">
      <w:pPr>
        <w:pStyle w:val="FootnoteText"/>
      </w:pPr>
      <w:r>
        <w:rPr>
          <w:rStyle w:val="FootnoteReference"/>
        </w:rPr>
        <w:footnoteRef/>
      </w:r>
      <w:r>
        <w:t xml:space="preserve"> Ibid., 20.</w:t>
      </w:r>
    </w:p>
  </w:footnote>
  <w:footnote w:id="340">
    <w:p w:rsidR="00AB3F05" w:rsidRDefault="00AB3F05" w:rsidP="00062AED">
      <w:pPr>
        <w:pStyle w:val="FootnoteText"/>
      </w:pPr>
      <w:r>
        <w:rPr>
          <w:rStyle w:val="FootnoteReference"/>
        </w:rPr>
        <w:footnoteRef/>
      </w:r>
      <w:r>
        <w:t xml:space="preserve"> Ibid., 13.</w:t>
      </w:r>
    </w:p>
  </w:footnote>
  <w:footnote w:id="341">
    <w:p w:rsidR="00AB3F05" w:rsidRDefault="00AB3F05" w:rsidP="00062AED">
      <w:pPr>
        <w:pStyle w:val="FootnoteText"/>
      </w:pPr>
      <w:r>
        <w:rPr>
          <w:rStyle w:val="FootnoteReference"/>
        </w:rPr>
        <w:footnoteRef/>
      </w:r>
      <w:r>
        <w:t xml:space="preserve"> Ibid., 15.</w:t>
      </w:r>
    </w:p>
  </w:footnote>
  <w:footnote w:id="342">
    <w:p w:rsidR="00AB3F05" w:rsidRDefault="00AB3F05" w:rsidP="00062AED">
      <w:pPr>
        <w:pStyle w:val="FootnoteText"/>
      </w:pPr>
      <w:r>
        <w:rPr>
          <w:rStyle w:val="FootnoteReference"/>
        </w:rPr>
        <w:footnoteRef/>
      </w:r>
      <w:r>
        <w:t xml:space="preserve"> Williams, </w:t>
      </w:r>
      <w:r w:rsidRPr="003A1BE9">
        <w:rPr>
          <w:i/>
        </w:rPr>
        <w:t>Trinity</w:t>
      </w:r>
      <w:r>
        <w:t>, vol. 1.</w:t>
      </w:r>
    </w:p>
  </w:footnote>
  <w:footnote w:id="343">
    <w:p w:rsidR="00AB3F05" w:rsidRDefault="00AB3F05" w:rsidP="00062AED">
      <w:pPr>
        <w:pStyle w:val="FootnoteText"/>
      </w:pPr>
      <w:r>
        <w:rPr>
          <w:rStyle w:val="FootnoteReference"/>
        </w:rPr>
        <w:footnoteRef/>
      </w:r>
      <w:r>
        <w:t xml:space="preserve"> Ibid., 1:41. Perhaps significantly in this regard, while Rees alludes to and cites the Church Fathers, Williams, at this stage, refers to Hodge’s </w:t>
      </w:r>
      <w:r w:rsidRPr="00C9330D">
        <w:rPr>
          <w:i/>
        </w:rPr>
        <w:t>Systematic Theology</w:t>
      </w:r>
      <w:r>
        <w:t>: Ibid., 1:47. He will refer to the Fathers as his work proceeds. (See e.g. ibid, 1:50 for references to Athanasius and the Athanasian Creed.)</w:t>
      </w:r>
    </w:p>
  </w:footnote>
  <w:footnote w:id="344">
    <w:p w:rsidR="00AB3F05" w:rsidRDefault="00AB3F05" w:rsidP="00062AED">
      <w:pPr>
        <w:pStyle w:val="FootnoteText"/>
      </w:pPr>
      <w:r>
        <w:rPr>
          <w:rStyle w:val="FootnoteReference"/>
        </w:rPr>
        <w:footnoteRef/>
      </w:r>
      <w:r>
        <w:t xml:space="preserve"> Ibid., 1:47.</w:t>
      </w:r>
    </w:p>
  </w:footnote>
  <w:footnote w:id="345">
    <w:p w:rsidR="00AB3F05" w:rsidRPr="00C21F4B" w:rsidRDefault="00AB3F05" w:rsidP="00062AED">
      <w:pPr>
        <w:pStyle w:val="FootnoteText"/>
        <w:rPr>
          <w:lang w:val="cy-GB"/>
        </w:rPr>
      </w:pPr>
      <w:r>
        <w:rPr>
          <w:rStyle w:val="FootnoteReference"/>
        </w:rPr>
        <w:footnoteRef/>
      </w:r>
      <w:r>
        <w:t xml:space="preserve"> </w:t>
      </w:r>
      <w:r>
        <w:rPr>
          <w:lang w:val="cy-GB"/>
        </w:rPr>
        <w:t>Ibid., 1:47.</w:t>
      </w:r>
    </w:p>
  </w:footnote>
  <w:footnote w:id="346">
    <w:p w:rsidR="00AB3F05" w:rsidRPr="00C21F4B" w:rsidRDefault="00AB3F05" w:rsidP="00062AED">
      <w:pPr>
        <w:pStyle w:val="FootnoteText"/>
        <w:rPr>
          <w:lang w:val="cy-GB"/>
        </w:rPr>
      </w:pPr>
      <w:r>
        <w:rPr>
          <w:rStyle w:val="FootnoteReference"/>
        </w:rPr>
        <w:footnoteRef/>
      </w:r>
      <w:r>
        <w:t xml:space="preserve"> </w:t>
      </w:r>
      <w:r>
        <w:rPr>
          <w:lang w:val="cy-GB"/>
        </w:rPr>
        <w:t>Ibid., 1:66.</w:t>
      </w:r>
    </w:p>
  </w:footnote>
  <w:footnote w:id="347">
    <w:p w:rsidR="00AB3F05" w:rsidRDefault="00AB3F05" w:rsidP="00062AED">
      <w:pPr>
        <w:pStyle w:val="FootnoteText"/>
      </w:pPr>
      <w:r>
        <w:rPr>
          <w:rStyle w:val="FootnoteReference"/>
        </w:rPr>
        <w:footnoteRef/>
      </w:r>
      <w:r>
        <w:t xml:space="preserve"> Ibid., 1:50-52.</w:t>
      </w:r>
    </w:p>
  </w:footnote>
  <w:footnote w:id="348">
    <w:p w:rsidR="00AB3F05" w:rsidRDefault="00AB3F05" w:rsidP="00062AED">
      <w:pPr>
        <w:pStyle w:val="FootnoteText"/>
      </w:pPr>
      <w:r>
        <w:rPr>
          <w:rStyle w:val="FootnoteReference"/>
        </w:rPr>
        <w:footnoteRef/>
      </w:r>
      <w:r>
        <w:t xml:space="preserve"> Ibid., 1:77.</w:t>
      </w:r>
    </w:p>
  </w:footnote>
  <w:footnote w:id="349">
    <w:p w:rsidR="00AB3F05" w:rsidRDefault="00AB3F05" w:rsidP="00062AED">
      <w:pPr>
        <w:pStyle w:val="FootnoteText"/>
      </w:pPr>
      <w:r>
        <w:rPr>
          <w:rStyle w:val="FootnoteReference"/>
        </w:rPr>
        <w:footnoteRef/>
      </w:r>
      <w:r>
        <w:t xml:space="preserve"> Ibid.</w:t>
      </w:r>
    </w:p>
  </w:footnote>
  <w:footnote w:id="350">
    <w:p w:rsidR="00AB3F05" w:rsidRPr="007E555E" w:rsidRDefault="00AB3F05" w:rsidP="00062AED">
      <w:pPr>
        <w:pStyle w:val="FootnoteText"/>
        <w:rPr>
          <w:lang w:val="cy-GB"/>
        </w:rPr>
      </w:pPr>
      <w:r>
        <w:rPr>
          <w:rStyle w:val="FootnoteReference"/>
        </w:rPr>
        <w:footnoteRef/>
      </w:r>
      <w:r>
        <w:t xml:space="preserve"> </w:t>
      </w:r>
      <w:r>
        <w:rPr>
          <w:lang w:val="cy-GB"/>
        </w:rPr>
        <w:t>Ibid., 1:52, 56; 2:4-5, 16, 20, 24.</w:t>
      </w:r>
    </w:p>
  </w:footnote>
  <w:footnote w:id="351">
    <w:p w:rsidR="00AB3F05" w:rsidRDefault="00AB3F05" w:rsidP="00062AED">
      <w:pPr>
        <w:pStyle w:val="FootnoteText"/>
      </w:pPr>
      <w:r>
        <w:rPr>
          <w:rStyle w:val="FootnoteReference"/>
        </w:rPr>
        <w:footnoteRef/>
      </w:r>
      <w:r>
        <w:t xml:space="preserve"> Ibid., 1:79-85.</w:t>
      </w:r>
    </w:p>
  </w:footnote>
  <w:footnote w:id="352">
    <w:p w:rsidR="00AB3F05" w:rsidRPr="003C0E91" w:rsidRDefault="00AB3F05" w:rsidP="00062AED">
      <w:pPr>
        <w:pStyle w:val="FootnoteText"/>
      </w:pPr>
      <w:r>
        <w:rPr>
          <w:rStyle w:val="FootnoteReference"/>
        </w:rPr>
        <w:footnoteRef/>
      </w:r>
      <w:r>
        <w:t xml:space="preserve"> Ibid., 1:48; On the double procession of the Spirit, see also 2:20, 67, 70.</w:t>
      </w:r>
    </w:p>
  </w:footnote>
  <w:footnote w:id="353">
    <w:p w:rsidR="00AB3F05" w:rsidRPr="00542882" w:rsidRDefault="00AB3F05" w:rsidP="00062AED">
      <w:pPr>
        <w:pStyle w:val="FootnoteText"/>
      </w:pPr>
      <w:r>
        <w:rPr>
          <w:rStyle w:val="FootnoteReference"/>
        </w:rPr>
        <w:footnoteRef/>
      </w:r>
      <w:r>
        <w:t xml:space="preserve"> Ibid., 1:56.</w:t>
      </w:r>
    </w:p>
  </w:footnote>
  <w:footnote w:id="354">
    <w:p w:rsidR="00AB3F05" w:rsidRPr="00740938" w:rsidRDefault="00AB3F05" w:rsidP="00062AED">
      <w:pPr>
        <w:pStyle w:val="FootnoteText"/>
      </w:pPr>
      <w:r>
        <w:rPr>
          <w:rStyle w:val="FootnoteReference"/>
        </w:rPr>
        <w:footnoteRef/>
      </w:r>
      <w:r>
        <w:t xml:space="preserve"> Ibid., 1:66.</w:t>
      </w:r>
    </w:p>
  </w:footnote>
  <w:footnote w:id="355">
    <w:p w:rsidR="00AB3F05" w:rsidRPr="00740938" w:rsidRDefault="00AB3F05" w:rsidP="00062AED">
      <w:pPr>
        <w:pStyle w:val="FootnoteText"/>
        <w:rPr>
          <w:lang w:val="cy-GB"/>
        </w:rPr>
      </w:pPr>
      <w:r>
        <w:rPr>
          <w:rStyle w:val="FootnoteReference"/>
        </w:rPr>
        <w:footnoteRef/>
      </w:r>
      <w:r>
        <w:t xml:space="preserve"> </w:t>
      </w:r>
      <w:r>
        <w:rPr>
          <w:lang w:val="cy-GB"/>
        </w:rPr>
        <w:t>Ibid., 1:17.</w:t>
      </w:r>
    </w:p>
  </w:footnote>
  <w:footnote w:id="356">
    <w:p w:rsidR="00AB3F05" w:rsidRPr="00740938" w:rsidRDefault="00AB3F05" w:rsidP="00062AED">
      <w:pPr>
        <w:pStyle w:val="FootnoteText"/>
      </w:pPr>
      <w:r>
        <w:rPr>
          <w:rStyle w:val="FootnoteReference"/>
        </w:rPr>
        <w:footnoteRef/>
      </w:r>
      <w:r>
        <w:t xml:space="preserve"> Ibid., 1:65.</w:t>
      </w:r>
    </w:p>
  </w:footnote>
  <w:footnote w:id="357">
    <w:p w:rsidR="00AB3F05" w:rsidRPr="00740938" w:rsidRDefault="00AB3F05" w:rsidP="00062AED">
      <w:pPr>
        <w:pStyle w:val="FootnoteText"/>
      </w:pPr>
      <w:r>
        <w:rPr>
          <w:rStyle w:val="FootnoteReference"/>
        </w:rPr>
        <w:footnoteRef/>
      </w:r>
      <w:r>
        <w:t xml:space="preserve"> Ibid., 1:66.</w:t>
      </w:r>
    </w:p>
  </w:footnote>
  <w:footnote w:id="358">
    <w:p w:rsidR="00AB3F05" w:rsidRPr="002B4C3C" w:rsidRDefault="00AB3F05" w:rsidP="00062AED">
      <w:pPr>
        <w:pStyle w:val="FootnoteText"/>
      </w:pPr>
      <w:r w:rsidRPr="000C6F97">
        <w:rPr>
          <w:rStyle w:val="FootnoteReference"/>
        </w:rPr>
        <w:footnoteRef/>
      </w:r>
      <w:r w:rsidRPr="000C6F97">
        <w:t xml:space="preserve"> D.P. Williams, </w:t>
      </w:r>
      <w:r w:rsidRPr="000C6F97">
        <w:rPr>
          <w:i/>
        </w:rPr>
        <w:t>The Sanctuary of the Christian</w:t>
      </w:r>
      <w:r>
        <w:t xml:space="preserve"> </w:t>
      </w:r>
      <w:r w:rsidRPr="000C6F97">
        <w:rPr>
          <w:i/>
        </w:rPr>
        <w:t>Life</w:t>
      </w:r>
      <w:r>
        <w:t xml:space="preserve"> (Manchester: Puritan Press, 1948), 21, cf. 76.</w:t>
      </w:r>
    </w:p>
  </w:footnote>
  <w:footnote w:id="359">
    <w:p w:rsidR="00AB3F05" w:rsidRPr="002B4C3C" w:rsidRDefault="00AB3F05" w:rsidP="00062AED">
      <w:pPr>
        <w:pStyle w:val="FootnoteText"/>
      </w:pPr>
      <w:r>
        <w:rPr>
          <w:rStyle w:val="FootnoteReference"/>
        </w:rPr>
        <w:footnoteRef/>
      </w:r>
      <w:r>
        <w:t xml:space="preserve"> Williams, </w:t>
      </w:r>
      <w:r w:rsidRPr="002B4C3C">
        <w:rPr>
          <w:i/>
        </w:rPr>
        <w:t>Trinity</w:t>
      </w:r>
      <w:r>
        <w:t>, 1:16.</w:t>
      </w:r>
    </w:p>
  </w:footnote>
  <w:footnote w:id="360">
    <w:p w:rsidR="00AB3F05" w:rsidRPr="00E67F05" w:rsidRDefault="00AB3F05" w:rsidP="00062AED">
      <w:pPr>
        <w:pStyle w:val="FootnoteText"/>
      </w:pPr>
      <w:r>
        <w:rPr>
          <w:rStyle w:val="FootnoteReference"/>
        </w:rPr>
        <w:footnoteRef/>
      </w:r>
      <w:r>
        <w:t xml:space="preserve"> Ibid., 1:66.</w:t>
      </w:r>
    </w:p>
  </w:footnote>
  <w:footnote w:id="361">
    <w:p w:rsidR="00AB3F05" w:rsidRDefault="00AB3F05" w:rsidP="00062AED">
      <w:pPr>
        <w:pStyle w:val="FootnoteText"/>
      </w:pPr>
      <w:r w:rsidRPr="007F0953">
        <w:rPr>
          <w:rStyle w:val="FootnoteReference"/>
        </w:rPr>
        <w:footnoteRef/>
      </w:r>
      <w:r w:rsidRPr="007F0953">
        <w:t xml:space="preserve"> </w:t>
      </w:r>
      <w:r>
        <w:t xml:space="preserve">The American AoG Systematic Theology by E.S. Williams, for example, out of three volumes contains only one chapter of seven pages on the doctrine of the Trinity. The entire chapter is taken up with proof-texts and does not engage in Trinitarian theology. E.S. Williams, </w:t>
      </w:r>
      <w:r w:rsidRPr="007F0953">
        <w:rPr>
          <w:i/>
        </w:rPr>
        <w:t>Systematic Theology</w:t>
      </w:r>
      <w:r>
        <w:t xml:space="preserve"> (Springfield: GPH, 1953), 1:199-206.</w:t>
      </w:r>
    </w:p>
  </w:footnote>
  <w:footnote w:id="362">
    <w:p w:rsidR="00AB3F05" w:rsidRPr="0000696D" w:rsidRDefault="00AB3F05" w:rsidP="00062AED">
      <w:pPr>
        <w:pStyle w:val="FootnoteText"/>
        <w:rPr>
          <w:lang w:val="cy-GB"/>
        </w:rPr>
      </w:pPr>
      <w:r>
        <w:rPr>
          <w:rStyle w:val="FootnoteReference"/>
        </w:rPr>
        <w:footnoteRef/>
      </w:r>
      <w:r>
        <w:t xml:space="preserve"> </w:t>
      </w:r>
      <w:r>
        <w:rPr>
          <w:lang w:val="cy-GB"/>
        </w:rPr>
        <w:t xml:space="preserve">These statistics are taken from Angharad Morgan, ‘Agweddau ar gynnyrch llenyddol yr Eglwys Apostolaidd’ (BA diss., University of Cardiff, 2013), 17. </w:t>
      </w:r>
      <w:r w:rsidRPr="0000696D">
        <w:rPr>
          <w:i/>
          <w:lang w:val="cy-GB"/>
        </w:rPr>
        <w:t>Molwch Ef</w:t>
      </w:r>
      <w:r>
        <w:rPr>
          <w:lang w:val="cy-GB"/>
        </w:rPr>
        <w:t xml:space="preserve"> contained 200 hymns in total, and </w:t>
      </w:r>
      <w:r>
        <w:rPr>
          <w:i/>
          <w:lang w:val="cy-GB"/>
        </w:rPr>
        <w:t xml:space="preserve">Molwch Dduw </w:t>
      </w:r>
      <w:r>
        <w:rPr>
          <w:lang w:val="cy-GB"/>
        </w:rPr>
        <w:t xml:space="preserve">500. Very few of the hymns in the Apostolic Church’s first Welsh hymnal, </w:t>
      </w:r>
      <w:r w:rsidRPr="00133AD5">
        <w:rPr>
          <w:i/>
          <w:lang w:val="cy-GB"/>
        </w:rPr>
        <w:t>Emynau at Wasanaeth Y Cyssegr</w:t>
      </w:r>
      <w:r>
        <w:rPr>
          <w:lang w:val="cy-GB"/>
        </w:rPr>
        <w:t xml:space="preserve"> (Penygroes: Yr Eglwys Apostolaidd, n.d.) state the author, although at least 8 out of the 108 hymns are followed by the intials D.P.W.</w:t>
      </w:r>
    </w:p>
  </w:footnote>
  <w:footnote w:id="363">
    <w:p w:rsidR="00AB3F05" w:rsidRPr="001A0E6E" w:rsidRDefault="00AB3F05" w:rsidP="00062AED">
      <w:pPr>
        <w:pStyle w:val="FootnoteText"/>
        <w:rPr>
          <w:lang w:val="cy-GB"/>
        </w:rPr>
      </w:pPr>
      <w:r>
        <w:rPr>
          <w:rStyle w:val="FootnoteReference"/>
        </w:rPr>
        <w:footnoteRef/>
      </w:r>
      <w:r>
        <w:t xml:space="preserve"> </w:t>
      </w:r>
      <w:r>
        <w:rPr>
          <w:lang w:val="cy-GB"/>
        </w:rPr>
        <w:t xml:space="preserve">Hollenweger, </w:t>
      </w:r>
      <w:r w:rsidRPr="001A0E6E">
        <w:rPr>
          <w:i/>
          <w:lang w:val="cy-GB"/>
        </w:rPr>
        <w:t>Pentecostals</w:t>
      </w:r>
      <w:r>
        <w:rPr>
          <w:lang w:val="cy-GB"/>
        </w:rPr>
        <w:t>, 464.</w:t>
      </w:r>
    </w:p>
  </w:footnote>
  <w:footnote w:id="364">
    <w:p w:rsidR="00AB3F05" w:rsidRPr="001A0E6E" w:rsidRDefault="00AB3F05" w:rsidP="00062AED">
      <w:pPr>
        <w:pStyle w:val="FootnoteText"/>
      </w:pPr>
      <w:r>
        <w:rPr>
          <w:rStyle w:val="FootnoteReference"/>
        </w:rPr>
        <w:footnoteRef/>
      </w:r>
      <w:r>
        <w:t xml:space="preserve"> W.J. Hollenweger, ‘Charismatic and Pentecostal Movements: A Challenge to the Churches’, in </w:t>
      </w:r>
      <w:r w:rsidRPr="001A0E6E">
        <w:rPr>
          <w:i/>
        </w:rPr>
        <w:t>The Holy Spirit</w:t>
      </w:r>
      <w:r>
        <w:rPr>
          <w:i/>
        </w:rPr>
        <w:t>,</w:t>
      </w:r>
      <w:r>
        <w:t xml:space="preserve"> ed. Dow Kirkpatrick (Nashville: World Methodist Council Tidings, 1974), 221.</w:t>
      </w:r>
    </w:p>
  </w:footnote>
  <w:footnote w:id="365">
    <w:p w:rsidR="00AB3F05" w:rsidRPr="001A0E6E" w:rsidRDefault="00AB3F05" w:rsidP="00062AED">
      <w:pPr>
        <w:pStyle w:val="FootnoteText"/>
        <w:rPr>
          <w:lang w:val="cy-GB"/>
        </w:rPr>
      </w:pPr>
      <w:r>
        <w:rPr>
          <w:rStyle w:val="FootnoteReference"/>
        </w:rPr>
        <w:footnoteRef/>
      </w:r>
      <w:r>
        <w:t xml:space="preserve"> </w:t>
      </w:r>
      <w:r>
        <w:rPr>
          <w:lang w:val="cy-GB"/>
        </w:rPr>
        <w:t xml:space="preserve">Steven J. Land, </w:t>
      </w:r>
      <w:r w:rsidRPr="001A0E6E">
        <w:rPr>
          <w:i/>
          <w:lang w:val="cy-GB"/>
        </w:rPr>
        <w:t>Pentecostal Spirituality</w:t>
      </w:r>
      <w:r w:rsidRPr="00CA49F9">
        <w:rPr>
          <w:i/>
          <w:lang w:val="cy-GB"/>
        </w:rPr>
        <w:t>: A Passion for the Kingdom</w:t>
      </w:r>
      <w:r w:rsidRPr="00CA49F9">
        <w:rPr>
          <w:lang w:val="cy-GB"/>
        </w:rPr>
        <w:t xml:space="preserve">, </w:t>
      </w:r>
      <w:r>
        <w:rPr>
          <w:lang w:val="cy-GB"/>
        </w:rPr>
        <w:t>JPT Supplement Series, vol. 1,</w:t>
      </w:r>
      <w:r w:rsidRPr="00CA49F9">
        <w:rPr>
          <w:lang w:val="cy-GB"/>
        </w:rPr>
        <w:t xml:space="preserve"> </w:t>
      </w:r>
      <w:r>
        <w:rPr>
          <w:lang w:val="cy-GB"/>
        </w:rPr>
        <w:t>(</w:t>
      </w:r>
      <w:r w:rsidRPr="00CA49F9">
        <w:rPr>
          <w:lang w:val="cy-GB"/>
        </w:rPr>
        <w:t>Sheffield: Sheffield Academic Press</w:t>
      </w:r>
      <w:r>
        <w:rPr>
          <w:lang w:val="cy-GB"/>
        </w:rPr>
        <w:t>, 1993), 110-113.</w:t>
      </w:r>
    </w:p>
  </w:footnote>
  <w:footnote w:id="366">
    <w:p w:rsidR="00AB3F05" w:rsidRPr="002D009A" w:rsidRDefault="00AB3F05" w:rsidP="00062AED">
      <w:pPr>
        <w:pStyle w:val="FootnoteText"/>
        <w:rPr>
          <w:lang w:val="cy-GB"/>
        </w:rPr>
      </w:pPr>
      <w:r>
        <w:rPr>
          <w:rStyle w:val="FootnoteReference"/>
        </w:rPr>
        <w:footnoteRef/>
      </w:r>
      <w:r>
        <w:t xml:space="preserve"> </w:t>
      </w:r>
      <w:r>
        <w:rPr>
          <w:lang w:val="cy-GB"/>
        </w:rPr>
        <w:t xml:space="preserve">D.P. Williams’ original compositions plus translations make up a quarter of the number of items in </w:t>
      </w:r>
      <w:r>
        <w:rPr>
          <w:i/>
          <w:lang w:val="cy-GB"/>
        </w:rPr>
        <w:t>MDd</w:t>
      </w:r>
      <w:r>
        <w:rPr>
          <w:lang w:val="cy-GB"/>
        </w:rPr>
        <w:t>.</w:t>
      </w:r>
    </w:p>
  </w:footnote>
  <w:footnote w:id="367">
    <w:p w:rsidR="00AB3F05" w:rsidRPr="00541922" w:rsidRDefault="00AB3F05" w:rsidP="00062AED">
      <w:pPr>
        <w:pStyle w:val="FootnoteText"/>
        <w:rPr>
          <w:lang w:val="cy-GB"/>
        </w:rPr>
      </w:pPr>
      <w:r>
        <w:rPr>
          <w:rStyle w:val="FootnoteReference"/>
        </w:rPr>
        <w:footnoteRef/>
      </w:r>
      <w:r>
        <w:t xml:space="preserve"> </w:t>
      </w:r>
      <w:r>
        <w:rPr>
          <w:lang w:val="cy-GB"/>
        </w:rPr>
        <w:t xml:space="preserve">D.L. Alford, ‘Music, Pentecostal and Charismatic’, </w:t>
      </w:r>
      <w:r w:rsidRPr="009D6180">
        <w:rPr>
          <w:i/>
          <w:lang w:val="cy-GB"/>
        </w:rPr>
        <w:t>NIDPCM</w:t>
      </w:r>
      <w:r>
        <w:rPr>
          <w:lang w:val="cy-GB"/>
        </w:rPr>
        <w:t>, 914-916.</w:t>
      </w:r>
    </w:p>
  </w:footnote>
  <w:footnote w:id="368">
    <w:p w:rsidR="00AB3F05" w:rsidRPr="00BD50FE" w:rsidRDefault="00AB3F05" w:rsidP="00062AED">
      <w:pPr>
        <w:pStyle w:val="FootnoteText"/>
        <w:rPr>
          <w:lang w:val="cy-GB"/>
        </w:rPr>
      </w:pPr>
      <w:r>
        <w:rPr>
          <w:rStyle w:val="FootnoteReference"/>
        </w:rPr>
        <w:footnoteRef/>
      </w:r>
      <w:r>
        <w:t xml:space="preserve"> </w:t>
      </w:r>
      <w:r>
        <w:rPr>
          <w:lang w:val="cy-GB"/>
        </w:rPr>
        <w:t>Ibid., 915.</w:t>
      </w:r>
    </w:p>
  </w:footnote>
  <w:footnote w:id="369">
    <w:p w:rsidR="00AB3F05" w:rsidRPr="007D64F4" w:rsidRDefault="00AB3F05" w:rsidP="00062AED">
      <w:pPr>
        <w:pStyle w:val="FootnoteText"/>
        <w:rPr>
          <w:lang w:val="cy-GB"/>
        </w:rPr>
      </w:pPr>
      <w:r>
        <w:rPr>
          <w:rStyle w:val="FootnoteReference"/>
        </w:rPr>
        <w:footnoteRef/>
      </w:r>
      <w:r>
        <w:t xml:space="preserve"> </w:t>
      </w:r>
      <w:r>
        <w:rPr>
          <w:lang w:val="cy-GB"/>
        </w:rPr>
        <w:t xml:space="preserve">Meghan Musy, ‘Recitals of the Acts of God: Israelite and American Pentecostal Testimonies’, </w:t>
      </w:r>
      <w:r w:rsidRPr="007D64F4">
        <w:rPr>
          <w:i/>
          <w:lang w:val="cy-GB"/>
        </w:rPr>
        <w:t>Encounter: Journal for Pentecostal Ministry</w:t>
      </w:r>
      <w:r>
        <w:rPr>
          <w:lang w:val="cy-GB"/>
        </w:rPr>
        <w:t>, 7 (Summer 2010), 3.</w:t>
      </w:r>
    </w:p>
  </w:footnote>
  <w:footnote w:id="370">
    <w:p w:rsidR="00AB3F05" w:rsidRPr="00C60DF1" w:rsidRDefault="00AB3F05" w:rsidP="00062AED">
      <w:pPr>
        <w:pStyle w:val="FootnoteText"/>
        <w:rPr>
          <w:lang w:val="cy-GB"/>
        </w:rPr>
      </w:pPr>
      <w:r>
        <w:rPr>
          <w:rStyle w:val="FootnoteReference"/>
        </w:rPr>
        <w:footnoteRef/>
      </w:r>
      <w:r>
        <w:t xml:space="preserve"> </w:t>
      </w:r>
      <w:r>
        <w:rPr>
          <w:lang w:val="cy-GB"/>
        </w:rPr>
        <w:t>Ibid.</w:t>
      </w:r>
    </w:p>
  </w:footnote>
  <w:footnote w:id="371">
    <w:p w:rsidR="00AB3F05" w:rsidRPr="001B3884" w:rsidRDefault="00AB3F05" w:rsidP="00062AED">
      <w:pPr>
        <w:pStyle w:val="FootnoteText"/>
        <w:rPr>
          <w:lang w:val="cy-GB"/>
        </w:rPr>
      </w:pPr>
      <w:r>
        <w:rPr>
          <w:rStyle w:val="FootnoteReference"/>
        </w:rPr>
        <w:footnoteRef/>
      </w:r>
      <w:r>
        <w:t xml:space="preserve"> </w:t>
      </w:r>
      <w:r>
        <w:rPr>
          <w:lang w:val="cy-GB"/>
        </w:rPr>
        <w:t xml:space="preserve">The contents page of </w:t>
      </w:r>
      <w:r>
        <w:rPr>
          <w:i/>
          <w:lang w:val="cy-GB"/>
        </w:rPr>
        <w:t>MDd</w:t>
      </w:r>
      <w:r>
        <w:rPr>
          <w:lang w:val="cy-GB"/>
        </w:rPr>
        <w:t xml:space="preserve"> even sets out a whole section on ‘Rhinweddau y Gwaed’ (The Merits of the Blood), seperately and in addition to the expected section on ‘Ei Ddioddefaint a’i Farwolaeth’ (His Sufferings and Death).</w:t>
      </w:r>
    </w:p>
  </w:footnote>
  <w:footnote w:id="372">
    <w:p w:rsidR="00AB3F05" w:rsidRPr="00C30CFF" w:rsidRDefault="00AB3F05" w:rsidP="00062AED">
      <w:pPr>
        <w:pStyle w:val="FootnoteText"/>
        <w:rPr>
          <w:lang w:val="cy-GB"/>
        </w:rPr>
      </w:pPr>
      <w:r>
        <w:rPr>
          <w:rStyle w:val="FootnoteReference"/>
        </w:rPr>
        <w:footnoteRef/>
      </w:r>
      <w:r>
        <w:t xml:space="preserve"> </w:t>
      </w:r>
      <w:r w:rsidRPr="009F2F7E">
        <w:rPr>
          <w:i/>
          <w:lang w:val="cy-GB"/>
        </w:rPr>
        <w:t>MDd</w:t>
      </w:r>
      <w:r>
        <w:rPr>
          <w:lang w:val="cy-GB"/>
        </w:rPr>
        <w:t>, 477 verse 2.</w:t>
      </w:r>
    </w:p>
  </w:footnote>
  <w:footnote w:id="373">
    <w:p w:rsidR="00AB3F05" w:rsidRPr="00C30CFF" w:rsidRDefault="00AB3F05" w:rsidP="00062AED">
      <w:pPr>
        <w:pStyle w:val="FootnoteText"/>
        <w:rPr>
          <w:lang w:val="cy-GB"/>
        </w:rPr>
      </w:pPr>
      <w:r>
        <w:rPr>
          <w:rStyle w:val="FootnoteReference"/>
        </w:rPr>
        <w:footnoteRef/>
      </w:r>
      <w:r>
        <w:t xml:space="preserve"> </w:t>
      </w:r>
      <w:r w:rsidRPr="009F2F7E">
        <w:rPr>
          <w:i/>
          <w:lang w:val="cy-GB"/>
        </w:rPr>
        <w:t>MDd</w:t>
      </w:r>
      <w:r>
        <w:rPr>
          <w:lang w:val="cy-GB"/>
        </w:rPr>
        <w:t>, 185.</w:t>
      </w:r>
    </w:p>
  </w:footnote>
  <w:footnote w:id="374">
    <w:p w:rsidR="00AB3F05" w:rsidRPr="00C30CFF" w:rsidRDefault="00AB3F05" w:rsidP="00062AED">
      <w:pPr>
        <w:pStyle w:val="FootnoteText"/>
        <w:rPr>
          <w:lang w:val="cy-GB"/>
        </w:rPr>
      </w:pPr>
      <w:r>
        <w:rPr>
          <w:rStyle w:val="FootnoteReference"/>
        </w:rPr>
        <w:footnoteRef/>
      </w:r>
      <w:r>
        <w:t xml:space="preserve"> </w:t>
      </w:r>
      <w:r w:rsidRPr="009F2F7E">
        <w:rPr>
          <w:i/>
          <w:lang w:val="cy-GB"/>
        </w:rPr>
        <w:t>MDd</w:t>
      </w:r>
      <w:r>
        <w:rPr>
          <w:lang w:val="cy-GB"/>
        </w:rPr>
        <w:t>, 325.</w:t>
      </w:r>
    </w:p>
  </w:footnote>
  <w:footnote w:id="375">
    <w:p w:rsidR="00AB3F05" w:rsidRPr="008146BD" w:rsidRDefault="00AB3F05" w:rsidP="00062AED">
      <w:pPr>
        <w:pStyle w:val="FootnoteText"/>
        <w:rPr>
          <w:lang w:val="cy-GB"/>
        </w:rPr>
      </w:pPr>
      <w:r>
        <w:rPr>
          <w:rStyle w:val="FootnoteReference"/>
        </w:rPr>
        <w:footnoteRef/>
      </w:r>
      <w:r>
        <w:t xml:space="preserve"> </w:t>
      </w:r>
      <w:r w:rsidRPr="009F2F7E">
        <w:rPr>
          <w:i/>
          <w:lang w:val="cy-GB"/>
        </w:rPr>
        <w:t>MDd</w:t>
      </w:r>
      <w:r>
        <w:rPr>
          <w:lang w:val="cy-GB"/>
        </w:rPr>
        <w:t>, 28, 33, 325.</w:t>
      </w:r>
    </w:p>
  </w:footnote>
  <w:footnote w:id="376">
    <w:p w:rsidR="00AB3F05" w:rsidRPr="00663B5A" w:rsidRDefault="00AB3F05" w:rsidP="00062AED">
      <w:pPr>
        <w:pStyle w:val="FootnoteText"/>
        <w:rPr>
          <w:lang w:val="cy-GB"/>
        </w:rPr>
      </w:pPr>
      <w:r>
        <w:rPr>
          <w:rStyle w:val="FootnoteReference"/>
        </w:rPr>
        <w:footnoteRef/>
      </w:r>
      <w:r>
        <w:t xml:space="preserve"> </w:t>
      </w:r>
      <w:r w:rsidRPr="009F2F7E">
        <w:rPr>
          <w:i/>
          <w:lang w:val="cy-GB"/>
        </w:rPr>
        <w:t>MDd</w:t>
      </w:r>
      <w:r>
        <w:rPr>
          <w:lang w:val="cy-GB"/>
        </w:rPr>
        <w:t>, 28, 33.</w:t>
      </w:r>
    </w:p>
  </w:footnote>
  <w:footnote w:id="377">
    <w:p w:rsidR="00AB3F05" w:rsidRPr="00663B5A" w:rsidRDefault="00AB3F05" w:rsidP="00062AED">
      <w:pPr>
        <w:pStyle w:val="FootnoteText"/>
        <w:rPr>
          <w:lang w:val="cy-GB"/>
        </w:rPr>
      </w:pPr>
      <w:r>
        <w:rPr>
          <w:rStyle w:val="FootnoteReference"/>
        </w:rPr>
        <w:footnoteRef/>
      </w:r>
      <w:r>
        <w:t xml:space="preserve"> </w:t>
      </w:r>
      <w:r w:rsidRPr="009F2F7E">
        <w:rPr>
          <w:i/>
          <w:lang w:val="cy-GB"/>
        </w:rPr>
        <w:t>MDd</w:t>
      </w:r>
      <w:r>
        <w:rPr>
          <w:lang w:val="cy-GB"/>
        </w:rPr>
        <w:t>, 28 verse 5.</w:t>
      </w:r>
    </w:p>
  </w:footnote>
  <w:footnote w:id="378">
    <w:p w:rsidR="00AB3F05" w:rsidRPr="003618F5" w:rsidRDefault="00AB3F05" w:rsidP="00062AED">
      <w:pPr>
        <w:pStyle w:val="FootnoteText"/>
        <w:rPr>
          <w:lang w:val="cy-GB"/>
        </w:rPr>
      </w:pPr>
      <w:r>
        <w:rPr>
          <w:rStyle w:val="FootnoteReference"/>
        </w:rPr>
        <w:footnoteRef/>
      </w:r>
      <w:r>
        <w:t xml:space="preserve"> </w:t>
      </w:r>
      <w:r w:rsidRPr="003476D4">
        <w:rPr>
          <w:i/>
        </w:rPr>
        <w:t>MDd</w:t>
      </w:r>
      <w:r>
        <w:t>, 311.</w:t>
      </w:r>
    </w:p>
  </w:footnote>
  <w:footnote w:id="379">
    <w:p w:rsidR="00AB3F05" w:rsidRPr="003618F5" w:rsidRDefault="00AB3F05" w:rsidP="00062AED">
      <w:pPr>
        <w:pStyle w:val="FootnoteText"/>
        <w:rPr>
          <w:lang w:val="cy-GB"/>
        </w:rPr>
      </w:pPr>
      <w:r>
        <w:rPr>
          <w:rStyle w:val="FootnoteReference"/>
        </w:rPr>
        <w:footnoteRef/>
      </w:r>
      <w:r>
        <w:t xml:space="preserve"> </w:t>
      </w:r>
      <w:r>
        <w:rPr>
          <w:lang w:val="cy-GB"/>
        </w:rPr>
        <w:t xml:space="preserve">Cf. </w:t>
      </w:r>
      <w:r w:rsidRPr="003476D4">
        <w:rPr>
          <w:i/>
          <w:lang w:val="cy-GB"/>
        </w:rPr>
        <w:t>MDd</w:t>
      </w:r>
      <w:r>
        <w:rPr>
          <w:lang w:val="cy-GB"/>
        </w:rPr>
        <w:t>, 28 verse 5 where the same point is made, and where the Spirit is specifically named.</w:t>
      </w:r>
    </w:p>
  </w:footnote>
  <w:footnote w:id="380">
    <w:p w:rsidR="00AB3F05" w:rsidRPr="00B719C1" w:rsidRDefault="00AB3F05" w:rsidP="00062AED">
      <w:pPr>
        <w:pStyle w:val="FootnoteText"/>
        <w:rPr>
          <w:lang w:val="cy-GB"/>
        </w:rPr>
      </w:pPr>
      <w:r>
        <w:rPr>
          <w:rStyle w:val="FootnoteReference"/>
        </w:rPr>
        <w:footnoteRef/>
      </w:r>
      <w:r>
        <w:t xml:space="preserve"> </w:t>
      </w:r>
      <w:r w:rsidRPr="003476D4">
        <w:rPr>
          <w:i/>
          <w:lang w:val="cy-GB"/>
        </w:rPr>
        <w:t>MDd</w:t>
      </w:r>
      <w:r>
        <w:rPr>
          <w:lang w:val="cy-GB"/>
        </w:rPr>
        <w:t>, 394.</w:t>
      </w:r>
    </w:p>
  </w:footnote>
  <w:footnote w:id="381">
    <w:p w:rsidR="00AB3F05" w:rsidRPr="00333C94" w:rsidRDefault="00AB3F05" w:rsidP="00062AED">
      <w:pPr>
        <w:pStyle w:val="FootnoteText"/>
        <w:rPr>
          <w:lang w:val="cy-GB"/>
        </w:rPr>
      </w:pPr>
      <w:r>
        <w:rPr>
          <w:rStyle w:val="FootnoteReference"/>
        </w:rPr>
        <w:footnoteRef/>
      </w:r>
      <w:r>
        <w:t xml:space="preserve"> </w:t>
      </w:r>
      <w:r w:rsidRPr="003476D4">
        <w:rPr>
          <w:i/>
          <w:lang w:val="cy-GB"/>
        </w:rPr>
        <w:t>MDd</w:t>
      </w:r>
      <w:r>
        <w:rPr>
          <w:lang w:val="cy-GB"/>
        </w:rPr>
        <w:t>, 185.</w:t>
      </w:r>
    </w:p>
  </w:footnote>
  <w:footnote w:id="382">
    <w:p w:rsidR="00AB3F05" w:rsidRPr="00A82043" w:rsidRDefault="00AB3F05" w:rsidP="00062AED">
      <w:pPr>
        <w:pStyle w:val="FootnoteText"/>
        <w:rPr>
          <w:lang w:val="cy-GB"/>
        </w:rPr>
      </w:pPr>
      <w:r>
        <w:rPr>
          <w:rStyle w:val="FootnoteReference"/>
        </w:rPr>
        <w:footnoteRef/>
      </w:r>
      <w:r>
        <w:t xml:space="preserve"> </w:t>
      </w:r>
      <w:r>
        <w:rPr>
          <w:lang w:val="cy-GB"/>
        </w:rPr>
        <w:t>Ibid., verse 1.</w:t>
      </w:r>
    </w:p>
  </w:footnote>
  <w:footnote w:id="383">
    <w:p w:rsidR="00AB3F05" w:rsidRPr="00CF2E11" w:rsidRDefault="00AB3F05" w:rsidP="00062AED">
      <w:pPr>
        <w:pStyle w:val="FootnoteText"/>
        <w:rPr>
          <w:lang w:val="cy-GB"/>
        </w:rPr>
      </w:pPr>
      <w:r>
        <w:rPr>
          <w:rStyle w:val="FootnoteReference"/>
        </w:rPr>
        <w:footnoteRef/>
      </w:r>
      <w:r>
        <w:t xml:space="preserve"> </w:t>
      </w:r>
      <w:r>
        <w:rPr>
          <w:lang w:val="cy-GB"/>
        </w:rPr>
        <w:t>Ibid., verse 2.</w:t>
      </w:r>
    </w:p>
  </w:footnote>
  <w:footnote w:id="384">
    <w:p w:rsidR="00AB3F05" w:rsidRPr="00BA22F7" w:rsidRDefault="00AB3F05" w:rsidP="00062AED">
      <w:pPr>
        <w:pStyle w:val="FootnoteText"/>
        <w:rPr>
          <w:lang w:val="cy-GB"/>
        </w:rPr>
      </w:pPr>
      <w:r>
        <w:rPr>
          <w:rStyle w:val="FootnoteReference"/>
        </w:rPr>
        <w:footnoteRef/>
      </w:r>
      <w:r>
        <w:t xml:space="preserve"> </w:t>
      </w:r>
      <w:r w:rsidRPr="007A6D6B">
        <w:rPr>
          <w:i/>
          <w:lang w:val="cy-GB"/>
        </w:rPr>
        <w:t>MDd</w:t>
      </w:r>
      <w:r>
        <w:rPr>
          <w:lang w:val="cy-GB"/>
        </w:rPr>
        <w:t>, 305.</w:t>
      </w:r>
    </w:p>
  </w:footnote>
  <w:footnote w:id="385">
    <w:p w:rsidR="00AB3F05" w:rsidRPr="00982003" w:rsidRDefault="00AB3F05" w:rsidP="00062AED">
      <w:pPr>
        <w:pStyle w:val="FootnoteText"/>
        <w:rPr>
          <w:lang w:val="cy-GB"/>
        </w:rPr>
      </w:pPr>
      <w:r>
        <w:rPr>
          <w:rStyle w:val="FootnoteReference"/>
        </w:rPr>
        <w:footnoteRef/>
      </w:r>
      <w:r>
        <w:t xml:space="preserve"> </w:t>
      </w:r>
      <w:r>
        <w:rPr>
          <w:lang w:val="cy-GB"/>
        </w:rPr>
        <w:t>Ibid., verse 1.</w:t>
      </w:r>
    </w:p>
  </w:footnote>
  <w:footnote w:id="386">
    <w:p w:rsidR="00AB3F05" w:rsidRPr="00982003" w:rsidRDefault="00AB3F05" w:rsidP="00062AED">
      <w:pPr>
        <w:pStyle w:val="FootnoteText"/>
        <w:rPr>
          <w:lang w:val="cy-GB"/>
        </w:rPr>
      </w:pPr>
      <w:r>
        <w:rPr>
          <w:rStyle w:val="FootnoteReference"/>
        </w:rPr>
        <w:footnoteRef/>
      </w:r>
      <w:r>
        <w:t xml:space="preserve"> </w:t>
      </w:r>
      <w:r>
        <w:rPr>
          <w:lang w:val="cy-GB"/>
        </w:rPr>
        <w:t>Ibid., verse 3.</w:t>
      </w:r>
    </w:p>
  </w:footnote>
  <w:footnote w:id="387">
    <w:p w:rsidR="00AB3F05" w:rsidRPr="00B66EE7" w:rsidRDefault="00AB3F05" w:rsidP="00062AED">
      <w:pPr>
        <w:pStyle w:val="FootnoteText"/>
        <w:rPr>
          <w:lang w:val="cy-GB"/>
        </w:rPr>
      </w:pPr>
      <w:r>
        <w:rPr>
          <w:rStyle w:val="FootnoteReference"/>
        </w:rPr>
        <w:footnoteRef/>
      </w:r>
      <w:r>
        <w:t xml:space="preserve"> </w:t>
      </w:r>
      <w:r>
        <w:rPr>
          <w:lang w:val="cy-GB"/>
        </w:rPr>
        <w:t>Ibid., verse 3.</w:t>
      </w:r>
    </w:p>
  </w:footnote>
  <w:footnote w:id="388">
    <w:p w:rsidR="00AB3F05" w:rsidRPr="00FE6381" w:rsidRDefault="00AB3F05" w:rsidP="00062AED">
      <w:pPr>
        <w:pStyle w:val="FootnoteText"/>
        <w:rPr>
          <w:lang w:val="cy-GB"/>
        </w:rPr>
      </w:pPr>
      <w:r>
        <w:rPr>
          <w:rStyle w:val="FootnoteReference"/>
        </w:rPr>
        <w:footnoteRef/>
      </w:r>
      <w:r>
        <w:t xml:space="preserve"> </w:t>
      </w:r>
      <w:r>
        <w:rPr>
          <w:lang w:val="cy-GB"/>
        </w:rPr>
        <w:t xml:space="preserve">See John Owen, </w:t>
      </w:r>
      <w:r w:rsidRPr="00FE6381">
        <w:rPr>
          <w:i/>
          <w:lang w:val="cy-GB"/>
        </w:rPr>
        <w:t>The Death of Death in the Death of Christ</w:t>
      </w:r>
      <w:r>
        <w:rPr>
          <w:lang w:val="cy-GB"/>
        </w:rPr>
        <w:t xml:space="preserve">, in </w:t>
      </w:r>
      <w:r w:rsidRPr="00184F14">
        <w:rPr>
          <w:lang w:val="cy-GB"/>
        </w:rPr>
        <w:t xml:space="preserve">Works of John Owen </w:t>
      </w:r>
      <w:r>
        <w:rPr>
          <w:lang w:val="cy-GB"/>
        </w:rPr>
        <w:t>(</w:t>
      </w:r>
      <w:r w:rsidRPr="00184F14">
        <w:rPr>
          <w:lang w:val="cy-GB"/>
        </w:rPr>
        <w:t>Edinburgh: Banner of Truth, 1991</w:t>
      </w:r>
      <w:r>
        <w:rPr>
          <w:lang w:val="cy-GB"/>
        </w:rPr>
        <w:t>), 10:163-169.</w:t>
      </w:r>
    </w:p>
  </w:footnote>
  <w:footnote w:id="389">
    <w:p w:rsidR="00AB3F05" w:rsidRPr="00FE6381" w:rsidRDefault="00AB3F05" w:rsidP="00062AED">
      <w:pPr>
        <w:pStyle w:val="FootnoteText"/>
      </w:pPr>
      <w:r>
        <w:rPr>
          <w:rStyle w:val="FootnoteReference"/>
        </w:rPr>
        <w:footnoteRef/>
      </w:r>
      <w:r>
        <w:t xml:space="preserve"> John Murray, </w:t>
      </w:r>
      <w:r w:rsidRPr="001E07BA">
        <w:rPr>
          <w:i/>
        </w:rPr>
        <w:t>Lectures in Systematic Theology</w:t>
      </w:r>
      <w:r w:rsidRPr="001E07BA">
        <w:t xml:space="preserve">, </w:t>
      </w:r>
      <w:r>
        <w:t xml:space="preserve">in </w:t>
      </w:r>
      <w:r w:rsidRPr="001E07BA">
        <w:t>Col</w:t>
      </w:r>
      <w:r>
        <w:t>lected Writings of John Murray (Edinburgh: Banner of Truth)</w:t>
      </w:r>
      <w:r w:rsidRPr="001E07BA">
        <w:t xml:space="preserve"> </w:t>
      </w:r>
      <w:r>
        <w:t>2:130.</w:t>
      </w:r>
    </w:p>
  </w:footnote>
  <w:footnote w:id="390">
    <w:p w:rsidR="00AB3F05" w:rsidRPr="008D2480" w:rsidRDefault="00AB3F05" w:rsidP="00062AED">
      <w:pPr>
        <w:pStyle w:val="FootnoteText"/>
        <w:rPr>
          <w:lang w:val="cy-GB"/>
        </w:rPr>
      </w:pPr>
      <w:r>
        <w:rPr>
          <w:rStyle w:val="FootnoteReference"/>
        </w:rPr>
        <w:footnoteRef/>
      </w:r>
      <w:r>
        <w:t xml:space="preserve"> </w:t>
      </w:r>
      <w:r w:rsidRPr="001E07BA">
        <w:rPr>
          <w:i/>
          <w:lang w:val="cy-GB"/>
        </w:rPr>
        <w:t>MDd</w:t>
      </w:r>
      <w:r>
        <w:rPr>
          <w:lang w:val="cy-GB"/>
        </w:rPr>
        <w:t>, 305.</w:t>
      </w:r>
    </w:p>
  </w:footnote>
  <w:footnote w:id="391">
    <w:p w:rsidR="00AB3F05" w:rsidRPr="008D2480" w:rsidRDefault="00AB3F05" w:rsidP="00062AED">
      <w:pPr>
        <w:pStyle w:val="FootnoteText"/>
      </w:pPr>
      <w:r>
        <w:rPr>
          <w:rStyle w:val="FootnoteReference"/>
        </w:rPr>
        <w:footnoteRef/>
      </w:r>
      <w:r>
        <w:t xml:space="preserve"> </w:t>
      </w:r>
      <w:r w:rsidRPr="001E07BA">
        <w:rPr>
          <w:i/>
        </w:rPr>
        <w:t>MDd</w:t>
      </w:r>
      <w:r>
        <w:t>, 139.</w:t>
      </w:r>
    </w:p>
  </w:footnote>
  <w:footnote w:id="392">
    <w:p w:rsidR="00AB3F05" w:rsidRDefault="00AB3F05">
      <w:pPr>
        <w:pStyle w:val="FootnoteText"/>
      </w:pPr>
      <w:r>
        <w:rPr>
          <w:rStyle w:val="FootnoteReference"/>
        </w:rPr>
        <w:footnoteRef/>
      </w:r>
      <w:r>
        <w:t xml:space="preserve"> This is not always the case, however. John Owen, for example, had a Trinitarian doctrine of the Pactum Salutis. Laurence R. O’Donnell III, ‘</w:t>
      </w:r>
      <w:r w:rsidRPr="007A6D6B">
        <w:t>The Holy Spirit’s Role in John Owen’s</w:t>
      </w:r>
      <w:r>
        <w:t xml:space="preserve"> </w:t>
      </w:r>
      <w:r w:rsidRPr="007A6D6B">
        <w:t>“Covenant of the Mediator” Formulation:</w:t>
      </w:r>
      <w:r>
        <w:t xml:space="preserve"> </w:t>
      </w:r>
      <w:r w:rsidRPr="007A6D6B">
        <w:t>A Case Study in Reformed Orthodox</w:t>
      </w:r>
      <w:r>
        <w:t xml:space="preserve"> </w:t>
      </w:r>
      <w:r w:rsidRPr="007A6D6B">
        <w:t>Formulations of the</w:t>
      </w:r>
      <w:r>
        <w:t xml:space="preserve"> </w:t>
      </w:r>
      <w:r w:rsidRPr="007A6D6B">
        <w:t>Pactum Salutis</w:t>
      </w:r>
      <w:r>
        <w:t xml:space="preserve">’, </w:t>
      </w:r>
      <w:r w:rsidRPr="007A6D6B">
        <w:rPr>
          <w:i/>
        </w:rPr>
        <w:t>Puritan Reformed Journal</w:t>
      </w:r>
      <w:r>
        <w:t xml:space="preserve"> 4.1 (2012), 91-115.</w:t>
      </w:r>
    </w:p>
  </w:footnote>
  <w:footnote w:id="393">
    <w:p w:rsidR="00AB3F05" w:rsidRPr="00D3566D" w:rsidRDefault="00AB3F05" w:rsidP="00062AED">
      <w:pPr>
        <w:pStyle w:val="FootnoteText"/>
      </w:pPr>
      <w:r>
        <w:rPr>
          <w:rStyle w:val="FootnoteReference"/>
        </w:rPr>
        <w:footnoteRef/>
      </w:r>
      <w:r>
        <w:t xml:space="preserve"> A.A. Hodge is significant in this regard as his </w:t>
      </w:r>
      <w:r w:rsidRPr="00D8245C">
        <w:rPr>
          <w:i/>
        </w:rPr>
        <w:t>Outlines of Theology</w:t>
      </w:r>
      <w:r>
        <w:t xml:space="preserve"> were translated into Welsh and so would have been one of the most accessible theological manuals to Williams. A.A. Hodge, </w:t>
      </w:r>
      <w:r w:rsidRPr="00151A98">
        <w:rPr>
          <w:i/>
        </w:rPr>
        <w:t>Banau Duwinyddiaeth</w:t>
      </w:r>
      <w:r>
        <w:t xml:space="preserve"> (Dinbych: Thomas Gee, 1878), 464-465.</w:t>
      </w:r>
    </w:p>
  </w:footnote>
  <w:footnote w:id="394">
    <w:p w:rsidR="00AB3F05" w:rsidRPr="00840B98" w:rsidRDefault="00AB3F05" w:rsidP="00062AED">
      <w:pPr>
        <w:pStyle w:val="FootnoteText"/>
        <w:rPr>
          <w:highlight w:val="yellow"/>
        </w:rPr>
      </w:pPr>
      <w:r>
        <w:rPr>
          <w:rStyle w:val="FootnoteReference"/>
        </w:rPr>
        <w:footnoteRef/>
      </w:r>
      <w:r>
        <w:t xml:space="preserve"> </w:t>
      </w:r>
      <w:r w:rsidRPr="00C32F15">
        <w:t xml:space="preserve">Charles Hodge, </w:t>
      </w:r>
      <w:r w:rsidRPr="00C32F15">
        <w:rPr>
          <w:i/>
        </w:rPr>
        <w:t xml:space="preserve">Systematic Theology </w:t>
      </w:r>
      <w:r w:rsidRPr="00C32F15">
        <w:t>(Original Edition: Charles Scribner, 1871; Eerdmans edition, Grand Rapids: Eerdmans , 1940), 2:359.</w:t>
      </w:r>
    </w:p>
  </w:footnote>
  <w:footnote w:id="395">
    <w:p w:rsidR="00AB3F05" w:rsidRPr="00994665" w:rsidRDefault="00AB3F05" w:rsidP="00062AED">
      <w:pPr>
        <w:pStyle w:val="FootnoteText"/>
        <w:rPr>
          <w:lang w:val="cy-GB"/>
        </w:rPr>
      </w:pPr>
      <w:r w:rsidRPr="00C32F15">
        <w:rPr>
          <w:rStyle w:val="FootnoteReference"/>
        </w:rPr>
        <w:footnoteRef/>
      </w:r>
      <w:r w:rsidRPr="00C32F15">
        <w:t xml:space="preserve"> </w:t>
      </w:r>
      <w:r w:rsidRPr="00C32F15">
        <w:rPr>
          <w:lang w:val="cy-GB"/>
        </w:rPr>
        <w:t xml:space="preserve">Louis Berkhof, </w:t>
      </w:r>
      <w:r w:rsidRPr="00C32F15">
        <w:rPr>
          <w:i/>
          <w:lang w:val="cy-GB"/>
        </w:rPr>
        <w:t xml:space="preserve">Systematic Theology </w:t>
      </w:r>
      <w:r w:rsidRPr="00C32F15">
        <w:rPr>
          <w:lang w:val="cy-GB"/>
        </w:rPr>
        <w:t>(Edinburgh: Banner of Truth, 1958), 271.</w:t>
      </w:r>
    </w:p>
  </w:footnote>
  <w:footnote w:id="396">
    <w:p w:rsidR="00AB3F05" w:rsidRPr="005B00D6" w:rsidRDefault="00AB3F05" w:rsidP="00062AED">
      <w:pPr>
        <w:pStyle w:val="FootnoteText"/>
        <w:rPr>
          <w:lang w:val="cy-GB"/>
        </w:rPr>
      </w:pPr>
      <w:r>
        <w:rPr>
          <w:rStyle w:val="FootnoteReference"/>
        </w:rPr>
        <w:footnoteRef/>
      </w:r>
      <w:r>
        <w:t xml:space="preserve"> </w:t>
      </w:r>
      <w:r w:rsidRPr="00840B98">
        <w:rPr>
          <w:i/>
          <w:lang w:val="cy-GB"/>
        </w:rPr>
        <w:t>MDd</w:t>
      </w:r>
      <w:r>
        <w:rPr>
          <w:lang w:val="cy-GB"/>
        </w:rPr>
        <w:t>, 139, verse 3.</w:t>
      </w:r>
    </w:p>
  </w:footnote>
  <w:footnote w:id="397">
    <w:p w:rsidR="00AB3F05" w:rsidRPr="002D6A2F" w:rsidRDefault="00AB3F05" w:rsidP="00062AED">
      <w:pPr>
        <w:pStyle w:val="FootnoteText"/>
      </w:pPr>
      <w:r>
        <w:rPr>
          <w:rStyle w:val="FootnoteReference"/>
        </w:rPr>
        <w:footnoteRef/>
      </w:r>
      <w:r>
        <w:t xml:space="preserve"> </w:t>
      </w:r>
      <w:r w:rsidRPr="00840B98">
        <w:rPr>
          <w:i/>
        </w:rPr>
        <w:t>MDd</w:t>
      </w:r>
      <w:r>
        <w:t>, 305, verse 3.</w:t>
      </w:r>
    </w:p>
  </w:footnote>
  <w:footnote w:id="398">
    <w:p w:rsidR="00AB3F05" w:rsidRPr="00267177" w:rsidRDefault="00AB3F05" w:rsidP="00062AED">
      <w:pPr>
        <w:pStyle w:val="FootnoteText"/>
        <w:rPr>
          <w:lang w:val="cy-GB"/>
        </w:rPr>
      </w:pPr>
      <w:r>
        <w:rPr>
          <w:rStyle w:val="FootnoteReference"/>
        </w:rPr>
        <w:footnoteRef/>
      </w:r>
      <w:r>
        <w:t xml:space="preserve"> </w:t>
      </w:r>
      <w:r w:rsidRPr="00840B98">
        <w:rPr>
          <w:i/>
          <w:lang w:val="cy-GB"/>
        </w:rPr>
        <w:t>MDd</w:t>
      </w:r>
      <w:r>
        <w:rPr>
          <w:lang w:val="cy-GB"/>
        </w:rPr>
        <w:t>, 305.</w:t>
      </w:r>
    </w:p>
  </w:footnote>
  <w:footnote w:id="399">
    <w:p w:rsidR="00AB3F05" w:rsidRPr="00267177" w:rsidRDefault="00AB3F05" w:rsidP="00062AED">
      <w:pPr>
        <w:pStyle w:val="FootnoteText"/>
        <w:rPr>
          <w:lang w:val="cy-GB"/>
        </w:rPr>
      </w:pPr>
      <w:r>
        <w:rPr>
          <w:rStyle w:val="FootnoteReference"/>
        </w:rPr>
        <w:footnoteRef/>
      </w:r>
      <w:r>
        <w:t xml:space="preserve"> </w:t>
      </w:r>
      <w:r>
        <w:rPr>
          <w:lang w:val="cy-GB"/>
        </w:rPr>
        <w:t>Ibid., verse 1.</w:t>
      </w:r>
    </w:p>
  </w:footnote>
  <w:footnote w:id="400">
    <w:p w:rsidR="00AB3F05" w:rsidRPr="00267177" w:rsidRDefault="00AB3F05" w:rsidP="00062AED">
      <w:pPr>
        <w:pStyle w:val="FootnoteText"/>
        <w:rPr>
          <w:lang w:val="cy-GB"/>
        </w:rPr>
      </w:pPr>
      <w:r>
        <w:rPr>
          <w:rStyle w:val="FootnoteReference"/>
        </w:rPr>
        <w:footnoteRef/>
      </w:r>
      <w:r>
        <w:t xml:space="preserve"> </w:t>
      </w:r>
      <w:r>
        <w:rPr>
          <w:lang w:val="cy-GB"/>
        </w:rPr>
        <w:t>Ibid., verse 4.</w:t>
      </w:r>
    </w:p>
  </w:footnote>
  <w:footnote w:id="401">
    <w:p w:rsidR="00AB3F05" w:rsidRPr="00A745F9" w:rsidRDefault="00AB3F05" w:rsidP="00062AED">
      <w:pPr>
        <w:pStyle w:val="FootnoteText"/>
        <w:rPr>
          <w:lang w:val="cy-GB"/>
        </w:rPr>
      </w:pPr>
      <w:r>
        <w:rPr>
          <w:rStyle w:val="FootnoteReference"/>
        </w:rPr>
        <w:footnoteRef/>
      </w:r>
      <w:r>
        <w:t xml:space="preserve"> </w:t>
      </w:r>
      <w:r w:rsidRPr="00840B98">
        <w:rPr>
          <w:i/>
          <w:lang w:val="cy-GB"/>
        </w:rPr>
        <w:t>MDd</w:t>
      </w:r>
      <w:r>
        <w:rPr>
          <w:lang w:val="cy-GB"/>
        </w:rPr>
        <w:t>, 394.</w:t>
      </w:r>
    </w:p>
  </w:footnote>
  <w:footnote w:id="402">
    <w:p w:rsidR="00AB3F05" w:rsidRPr="00D41B7B" w:rsidRDefault="00AB3F05" w:rsidP="00062AED">
      <w:pPr>
        <w:pStyle w:val="FootnoteText"/>
        <w:rPr>
          <w:lang w:val="cy-GB"/>
        </w:rPr>
      </w:pPr>
      <w:r>
        <w:rPr>
          <w:rStyle w:val="FootnoteReference"/>
        </w:rPr>
        <w:footnoteRef/>
      </w:r>
      <w:r>
        <w:t xml:space="preserve"> </w:t>
      </w:r>
      <w:r>
        <w:rPr>
          <w:lang w:val="cy-GB"/>
        </w:rPr>
        <w:t>Ibid., verse 3.</w:t>
      </w:r>
    </w:p>
  </w:footnote>
  <w:footnote w:id="403">
    <w:p w:rsidR="00AB3F05" w:rsidRPr="00D41B7B" w:rsidRDefault="00AB3F05" w:rsidP="00062AED">
      <w:pPr>
        <w:pStyle w:val="FootnoteText"/>
        <w:rPr>
          <w:lang w:val="cy-GB"/>
        </w:rPr>
      </w:pPr>
      <w:r>
        <w:rPr>
          <w:rStyle w:val="FootnoteReference"/>
        </w:rPr>
        <w:footnoteRef/>
      </w:r>
      <w:r>
        <w:t xml:space="preserve"> </w:t>
      </w:r>
      <w:r w:rsidRPr="00840B98">
        <w:rPr>
          <w:i/>
          <w:lang w:val="cy-GB"/>
        </w:rPr>
        <w:t>MDd</w:t>
      </w:r>
      <w:r>
        <w:rPr>
          <w:lang w:val="cy-GB"/>
        </w:rPr>
        <w:t>, 404.</w:t>
      </w:r>
    </w:p>
  </w:footnote>
  <w:footnote w:id="404">
    <w:p w:rsidR="00AB3F05" w:rsidRPr="001E5762" w:rsidRDefault="00AB3F05" w:rsidP="00062AED">
      <w:pPr>
        <w:pStyle w:val="FootnoteText"/>
        <w:rPr>
          <w:lang w:val="cy-GB"/>
        </w:rPr>
      </w:pPr>
      <w:r>
        <w:rPr>
          <w:rStyle w:val="FootnoteReference"/>
        </w:rPr>
        <w:footnoteRef/>
      </w:r>
      <w:r>
        <w:t xml:space="preserve"> </w:t>
      </w:r>
      <w:r w:rsidRPr="001F62AA">
        <w:rPr>
          <w:i/>
          <w:lang w:val="cy-GB"/>
        </w:rPr>
        <w:t>MDd</w:t>
      </w:r>
      <w:r>
        <w:rPr>
          <w:lang w:val="cy-GB"/>
        </w:rPr>
        <w:t>, 139.</w:t>
      </w:r>
    </w:p>
  </w:footnote>
  <w:footnote w:id="405">
    <w:p w:rsidR="00AB3F05" w:rsidRPr="00BE2901" w:rsidRDefault="00AB3F05" w:rsidP="00062AED">
      <w:pPr>
        <w:pStyle w:val="FootnoteText"/>
        <w:rPr>
          <w:lang w:val="cy-GB"/>
        </w:rPr>
      </w:pPr>
      <w:r>
        <w:rPr>
          <w:rStyle w:val="FootnoteReference"/>
        </w:rPr>
        <w:footnoteRef/>
      </w:r>
      <w:r>
        <w:t xml:space="preserve"> </w:t>
      </w:r>
      <w:r>
        <w:rPr>
          <w:lang w:val="cy-GB"/>
        </w:rPr>
        <w:t xml:space="preserve">See e.g. </w:t>
      </w:r>
      <w:r w:rsidRPr="001F62AA">
        <w:rPr>
          <w:i/>
          <w:lang w:val="cy-GB"/>
        </w:rPr>
        <w:t>MDd</w:t>
      </w:r>
      <w:r>
        <w:rPr>
          <w:lang w:val="cy-GB"/>
        </w:rPr>
        <w:t>, 305.</w:t>
      </w:r>
    </w:p>
  </w:footnote>
  <w:footnote w:id="406">
    <w:p w:rsidR="00AB3F05" w:rsidRPr="00BE2901" w:rsidRDefault="00AB3F05" w:rsidP="00062AED">
      <w:pPr>
        <w:pStyle w:val="FootnoteText"/>
        <w:rPr>
          <w:lang w:val="cy-GB"/>
        </w:rPr>
      </w:pPr>
      <w:r>
        <w:rPr>
          <w:rStyle w:val="FootnoteReference"/>
        </w:rPr>
        <w:footnoteRef/>
      </w:r>
      <w:r>
        <w:t xml:space="preserve"> </w:t>
      </w:r>
      <w:r w:rsidRPr="001F62AA">
        <w:rPr>
          <w:i/>
          <w:lang w:val="cy-GB"/>
        </w:rPr>
        <w:t>MDd</w:t>
      </w:r>
      <w:r>
        <w:rPr>
          <w:lang w:val="cy-GB"/>
        </w:rPr>
        <w:t>, 139, verse 2.</w:t>
      </w:r>
    </w:p>
  </w:footnote>
  <w:footnote w:id="407">
    <w:p w:rsidR="00AB3F05" w:rsidRDefault="00AB3F05" w:rsidP="00062AED">
      <w:pPr>
        <w:pStyle w:val="FootnoteText"/>
      </w:pPr>
      <w:r>
        <w:rPr>
          <w:rStyle w:val="FootnoteReference"/>
        </w:rPr>
        <w:footnoteRef/>
      </w:r>
      <w:r>
        <w:t xml:space="preserve"> For D.P. Williams, </w:t>
      </w:r>
      <w:r w:rsidRPr="00631816">
        <w:rPr>
          <w:i/>
        </w:rPr>
        <w:t>foreknowledge</w:t>
      </w:r>
      <w:r>
        <w:t xml:space="preserve"> does not imply a conditional election in view of faith (</w:t>
      </w:r>
      <w:r w:rsidRPr="00AA6D50">
        <w:rPr>
          <w:i/>
        </w:rPr>
        <w:t>intuitu fidei</w:t>
      </w:r>
      <w:r>
        <w:t xml:space="preserve">). Rather, Williams understands </w:t>
      </w:r>
      <w:r w:rsidRPr="00631816">
        <w:rPr>
          <w:i/>
        </w:rPr>
        <w:t>foreknowledge</w:t>
      </w:r>
      <w:r>
        <w:t xml:space="preserve"> as God’s loving predestination in Christ. See, D.P. Williams, ‘Exposition’, </w:t>
      </w:r>
      <w:r w:rsidRPr="00116AAE">
        <w:rPr>
          <w:i/>
        </w:rPr>
        <w:t>RoG</w:t>
      </w:r>
      <w:r>
        <w:t xml:space="preserve"> iii.1 (March 1927), 30; idem, ‘All Sovereignty is His’, </w:t>
      </w:r>
      <w:r w:rsidRPr="001B5690">
        <w:rPr>
          <w:i/>
        </w:rPr>
        <w:t>Dominion</w:t>
      </w:r>
      <w:r>
        <w:rPr>
          <w:i/>
        </w:rPr>
        <w:t xml:space="preserve"> </w:t>
      </w:r>
      <w:r>
        <w:t>(Toronto: Apostolic Church, n.d.)</w:t>
      </w:r>
      <w:r w:rsidRPr="001B5690">
        <w:t xml:space="preserve">, </w:t>
      </w:r>
      <w:r>
        <w:t>73.</w:t>
      </w:r>
    </w:p>
  </w:footnote>
  <w:footnote w:id="408">
    <w:p w:rsidR="00AB3F05" w:rsidRPr="00E74FF2" w:rsidRDefault="00AB3F05" w:rsidP="00062AED">
      <w:pPr>
        <w:pStyle w:val="FootnoteText"/>
        <w:rPr>
          <w:lang w:val="cy-GB"/>
        </w:rPr>
      </w:pPr>
      <w:r>
        <w:rPr>
          <w:rStyle w:val="FootnoteReference"/>
        </w:rPr>
        <w:footnoteRef/>
      </w:r>
      <w:r>
        <w:t xml:space="preserve"> </w:t>
      </w:r>
      <w:r>
        <w:rPr>
          <w:lang w:val="cy-GB"/>
        </w:rPr>
        <w:t>My translation.</w:t>
      </w:r>
    </w:p>
  </w:footnote>
  <w:footnote w:id="409">
    <w:p w:rsidR="00AB3F05" w:rsidRDefault="00AB3F05" w:rsidP="00062AED">
      <w:pPr>
        <w:pStyle w:val="FootnoteText"/>
      </w:pPr>
      <w:r>
        <w:rPr>
          <w:rStyle w:val="FootnoteReference"/>
        </w:rPr>
        <w:footnoteRef/>
      </w:r>
      <w:r>
        <w:t xml:space="preserve"> E.g. Donald W Dayton, </w:t>
      </w:r>
      <w:r w:rsidRPr="00E9637B">
        <w:rPr>
          <w:i/>
        </w:rPr>
        <w:t>Theological Roots of Pentecostalism</w:t>
      </w:r>
      <w:r>
        <w:t xml:space="preserve"> (Peabody: Hendrickson, 2004).</w:t>
      </w:r>
    </w:p>
  </w:footnote>
  <w:footnote w:id="410">
    <w:p w:rsidR="00AB3F05" w:rsidRDefault="00AB3F05" w:rsidP="00062AED">
      <w:pPr>
        <w:pStyle w:val="FootnoteText"/>
      </w:pPr>
      <w:r>
        <w:rPr>
          <w:rStyle w:val="FootnoteReference"/>
        </w:rPr>
        <w:footnoteRef/>
      </w:r>
      <w:r>
        <w:t xml:space="preserve"> </w:t>
      </w:r>
      <w:r w:rsidRPr="00E9637B">
        <w:t xml:space="preserve">Charles Ryrie, </w:t>
      </w:r>
      <w:r w:rsidRPr="00E9637B">
        <w:rPr>
          <w:i/>
        </w:rPr>
        <w:t>Dispensationalism</w:t>
      </w:r>
      <w:r>
        <w:t xml:space="preserve"> (Chicago: Moody, 1995).</w:t>
      </w:r>
    </w:p>
  </w:footnote>
  <w:footnote w:id="411">
    <w:p w:rsidR="00AB3F05" w:rsidRPr="00012AF7" w:rsidRDefault="00AB3F05" w:rsidP="00062AED">
      <w:pPr>
        <w:pStyle w:val="FootnoteText"/>
      </w:pPr>
      <w:r>
        <w:rPr>
          <w:rStyle w:val="FootnoteReference"/>
        </w:rPr>
        <w:footnoteRef/>
      </w:r>
      <w:r>
        <w:t xml:space="preserve"> </w:t>
      </w:r>
      <w:r w:rsidRPr="00E9637B">
        <w:t xml:space="preserve">See e.g. </w:t>
      </w:r>
      <w:r>
        <w:t xml:space="preserve">Clyne, </w:t>
      </w:r>
      <w:r w:rsidRPr="00E9637B">
        <w:rPr>
          <w:i/>
        </w:rPr>
        <w:t>Asked and Answered</w:t>
      </w:r>
      <w:r>
        <w:t>, 12.</w:t>
      </w:r>
    </w:p>
  </w:footnote>
  <w:footnote w:id="412">
    <w:p w:rsidR="00AB3F05" w:rsidRPr="000B628E" w:rsidRDefault="00AB3F05" w:rsidP="00062AED">
      <w:pPr>
        <w:pStyle w:val="FootnoteText"/>
      </w:pPr>
      <w:r>
        <w:rPr>
          <w:rStyle w:val="FootnoteReference"/>
        </w:rPr>
        <w:footnoteRef/>
      </w:r>
      <w:r>
        <w:t xml:space="preserve"> A better known example of a futuristic premillennialism held together with Covenant Theology can be found in J. Oliver Bushwell, </w:t>
      </w:r>
      <w:r w:rsidRPr="00672179">
        <w:rPr>
          <w:i/>
        </w:rPr>
        <w:t>A Systematic Theology of the Christian Religion</w:t>
      </w:r>
      <w:r w:rsidRPr="00672179">
        <w:t xml:space="preserve"> </w:t>
      </w:r>
      <w:r>
        <w:t>(</w:t>
      </w:r>
      <w:r w:rsidRPr="00672179">
        <w:t>Grand Rapids: Zondervan, 1962</w:t>
      </w:r>
      <w:r>
        <w:t>).</w:t>
      </w:r>
    </w:p>
  </w:footnote>
  <w:footnote w:id="413">
    <w:p w:rsidR="00AB3F05" w:rsidRPr="000B628E" w:rsidRDefault="00AB3F05" w:rsidP="00062AED">
      <w:pPr>
        <w:pStyle w:val="FootnoteText"/>
      </w:pPr>
      <w:r>
        <w:rPr>
          <w:rStyle w:val="FootnoteReference"/>
        </w:rPr>
        <w:footnoteRef/>
      </w:r>
      <w:r>
        <w:t xml:space="preserve"> </w:t>
      </w:r>
      <w:r w:rsidRPr="00755926">
        <w:t xml:space="preserve">Unattributed, but published in </w:t>
      </w:r>
      <w:r w:rsidRPr="00755926">
        <w:rPr>
          <w:i/>
        </w:rPr>
        <w:t>RoG</w:t>
      </w:r>
      <w:r w:rsidRPr="00755926">
        <w:t xml:space="preserve"> as the words of an early leader in the movement</w:t>
      </w:r>
      <w:r>
        <w:t xml:space="preserve">: </w:t>
      </w:r>
      <w:r w:rsidRPr="00755926">
        <w:rPr>
          <w:i/>
        </w:rPr>
        <w:t>RoG</w:t>
      </w:r>
      <w:r>
        <w:t xml:space="preserve"> 22 (Nov. 1969), 217.</w:t>
      </w:r>
    </w:p>
  </w:footnote>
  <w:footnote w:id="414">
    <w:p w:rsidR="00AB3F05" w:rsidRPr="00B83F20" w:rsidRDefault="00AB3F05" w:rsidP="00062AED">
      <w:pPr>
        <w:pStyle w:val="FootnoteText"/>
      </w:pPr>
      <w:r>
        <w:rPr>
          <w:rStyle w:val="FootnoteReference"/>
        </w:rPr>
        <w:footnoteRef/>
      </w:r>
      <w:r>
        <w:t xml:space="preserve"> Williams, </w:t>
      </w:r>
      <w:r w:rsidRPr="00B83F20">
        <w:rPr>
          <w:i/>
        </w:rPr>
        <w:t>Trinity</w:t>
      </w:r>
      <w:r>
        <w:t>, 2:61.</w:t>
      </w:r>
    </w:p>
  </w:footnote>
  <w:footnote w:id="415">
    <w:p w:rsidR="00AB3F05" w:rsidRPr="00AF2B05" w:rsidRDefault="00AB3F05" w:rsidP="00062AED">
      <w:pPr>
        <w:pStyle w:val="FootnoteText"/>
      </w:pPr>
      <w:r>
        <w:rPr>
          <w:rStyle w:val="FootnoteReference"/>
        </w:rPr>
        <w:footnoteRef/>
      </w:r>
      <w:r>
        <w:t xml:space="preserve"> Ibid., 1:58.</w:t>
      </w:r>
    </w:p>
  </w:footnote>
  <w:footnote w:id="416">
    <w:p w:rsidR="00AB3F05" w:rsidRPr="00AF2B05" w:rsidRDefault="00AB3F05" w:rsidP="00062AED">
      <w:pPr>
        <w:pStyle w:val="FootnoteText"/>
      </w:pPr>
      <w:r>
        <w:rPr>
          <w:rStyle w:val="FootnoteReference"/>
        </w:rPr>
        <w:footnoteRef/>
      </w:r>
      <w:r>
        <w:t xml:space="preserve"> </w:t>
      </w:r>
      <w:r w:rsidRPr="00AF2B05">
        <w:t>‘The Eternal Security of God’s Elect: The Word of the Lord through the Prophet W.J. Williams’, </w:t>
      </w:r>
      <w:r>
        <w:rPr>
          <w:i/>
          <w:iCs/>
        </w:rPr>
        <w:t>RoG</w:t>
      </w:r>
      <w:r w:rsidRPr="00AF2B05">
        <w:t xml:space="preserve">, </w:t>
      </w:r>
      <w:r>
        <w:t>x.</w:t>
      </w:r>
      <w:r w:rsidRPr="00AF2B05">
        <w:t>5 (May 1935), 210-211</w:t>
      </w:r>
      <w:r>
        <w:t>.</w:t>
      </w:r>
      <w:r w:rsidRPr="00AF2B05">
        <w:t xml:space="preserve"> (The prophecy was given in Bradford on 9</w:t>
      </w:r>
      <w:r w:rsidRPr="00AF2B05">
        <w:rPr>
          <w:vertAlign w:val="superscript"/>
        </w:rPr>
        <w:t>th</w:t>
      </w:r>
      <w:r w:rsidRPr="00AF2B05">
        <w:t> Dec., 1933.)</w:t>
      </w:r>
    </w:p>
  </w:footnote>
  <w:footnote w:id="417">
    <w:p w:rsidR="00AB3F05" w:rsidRPr="00FE1DA8" w:rsidRDefault="00AB3F05" w:rsidP="00062AED">
      <w:pPr>
        <w:pStyle w:val="FootnoteText"/>
      </w:pPr>
      <w:r>
        <w:rPr>
          <w:rStyle w:val="FootnoteReference"/>
        </w:rPr>
        <w:footnoteRef/>
      </w:r>
      <w:r>
        <w:t xml:space="preserve"> See </w:t>
      </w:r>
      <w:r w:rsidRPr="00E9637B">
        <w:rPr>
          <w:i/>
        </w:rPr>
        <w:t>MDd</w:t>
      </w:r>
      <w:r>
        <w:t>, 139, verse 2.</w:t>
      </w:r>
    </w:p>
  </w:footnote>
  <w:footnote w:id="418">
    <w:p w:rsidR="00AB3F05" w:rsidRPr="009021DA" w:rsidRDefault="00AB3F05" w:rsidP="00062AED">
      <w:pPr>
        <w:pStyle w:val="FootnoteText"/>
        <w:rPr>
          <w:lang w:val="cy-GB"/>
        </w:rPr>
      </w:pPr>
      <w:r>
        <w:rPr>
          <w:rStyle w:val="FootnoteReference"/>
        </w:rPr>
        <w:footnoteRef/>
      </w:r>
      <w:r>
        <w:t xml:space="preserve"> </w:t>
      </w:r>
      <w:r>
        <w:rPr>
          <w:lang w:val="cy-GB"/>
        </w:rPr>
        <w:t xml:space="preserve">Thomas, </w:t>
      </w:r>
      <w:r w:rsidRPr="009021DA">
        <w:rPr>
          <w:i/>
          <w:lang w:val="cy-GB"/>
        </w:rPr>
        <w:t>On Ephesians</w:t>
      </w:r>
      <w:r>
        <w:rPr>
          <w:lang w:val="cy-GB"/>
        </w:rPr>
        <w:t>, 145.</w:t>
      </w:r>
    </w:p>
  </w:footnote>
  <w:footnote w:id="419">
    <w:p w:rsidR="00AB3F05" w:rsidRPr="009021DA" w:rsidRDefault="00AB3F05" w:rsidP="00062AED">
      <w:pPr>
        <w:pStyle w:val="FootnoteText"/>
        <w:rPr>
          <w:lang w:val="cy-GB"/>
        </w:rPr>
      </w:pPr>
      <w:r>
        <w:rPr>
          <w:rStyle w:val="FootnoteReference"/>
        </w:rPr>
        <w:footnoteRef/>
      </w:r>
      <w:r>
        <w:t xml:space="preserve"> </w:t>
      </w:r>
      <w:r>
        <w:rPr>
          <w:lang w:val="cy-GB"/>
        </w:rPr>
        <w:t>Ibid., 62.</w:t>
      </w:r>
    </w:p>
  </w:footnote>
  <w:footnote w:id="420">
    <w:p w:rsidR="00AB3F05" w:rsidRPr="007E232F" w:rsidRDefault="00AB3F05" w:rsidP="00062AED">
      <w:pPr>
        <w:pStyle w:val="FootnoteText"/>
      </w:pPr>
      <w:r>
        <w:rPr>
          <w:rStyle w:val="FootnoteReference"/>
        </w:rPr>
        <w:footnoteRef/>
      </w:r>
      <w:r>
        <w:t xml:space="preserve"> </w:t>
      </w:r>
      <w:r>
        <w:rPr>
          <w:lang w:val="cy-GB"/>
        </w:rPr>
        <w:t xml:space="preserve">Thomas, </w:t>
      </w:r>
      <w:r w:rsidRPr="00E64C11">
        <w:rPr>
          <w:i/>
          <w:lang w:val="cy-GB"/>
        </w:rPr>
        <w:t>Paraclete</w:t>
      </w:r>
      <w:r>
        <w:rPr>
          <w:lang w:val="cy-GB"/>
        </w:rPr>
        <w:t>, xxix.</w:t>
      </w:r>
    </w:p>
  </w:footnote>
  <w:footnote w:id="421">
    <w:p w:rsidR="00AB3F05" w:rsidRPr="00E64C11" w:rsidRDefault="00AB3F05" w:rsidP="00062AED">
      <w:pPr>
        <w:pStyle w:val="FootnoteText"/>
        <w:rPr>
          <w:lang w:val="cy-GB"/>
        </w:rPr>
      </w:pPr>
      <w:r>
        <w:rPr>
          <w:rStyle w:val="FootnoteReference"/>
        </w:rPr>
        <w:footnoteRef/>
      </w:r>
      <w:r>
        <w:t xml:space="preserve"> </w:t>
      </w:r>
      <w:r>
        <w:rPr>
          <w:lang w:val="cy-GB"/>
        </w:rPr>
        <w:t xml:space="preserve">Ibid., ii. </w:t>
      </w:r>
    </w:p>
  </w:footnote>
  <w:footnote w:id="422">
    <w:p w:rsidR="00AB3F05" w:rsidRPr="00E64C11" w:rsidRDefault="00AB3F05" w:rsidP="00062AED">
      <w:pPr>
        <w:pStyle w:val="FootnoteText"/>
        <w:rPr>
          <w:lang w:val="cy-GB"/>
        </w:rPr>
      </w:pPr>
      <w:r>
        <w:rPr>
          <w:rStyle w:val="FootnoteReference"/>
        </w:rPr>
        <w:footnoteRef/>
      </w:r>
      <w:r>
        <w:t xml:space="preserve"> </w:t>
      </w:r>
      <w:r>
        <w:rPr>
          <w:lang w:val="cy-GB"/>
        </w:rPr>
        <w:t xml:space="preserve">Thomas, </w:t>
      </w:r>
      <w:r w:rsidRPr="00294C9E">
        <w:rPr>
          <w:i/>
          <w:lang w:val="cy-GB"/>
        </w:rPr>
        <w:t>On Ephesians</w:t>
      </w:r>
      <w:r>
        <w:rPr>
          <w:lang w:val="cy-GB"/>
        </w:rPr>
        <w:t>, 137.</w:t>
      </w:r>
    </w:p>
  </w:footnote>
  <w:footnote w:id="423">
    <w:p w:rsidR="00AB3F05" w:rsidRPr="00E64C11" w:rsidRDefault="00AB3F05" w:rsidP="00062AED">
      <w:pPr>
        <w:pStyle w:val="FootnoteText"/>
        <w:rPr>
          <w:lang w:val="cy-GB"/>
        </w:rPr>
      </w:pPr>
      <w:r>
        <w:rPr>
          <w:rStyle w:val="FootnoteReference"/>
        </w:rPr>
        <w:footnoteRef/>
      </w:r>
      <w:r>
        <w:t xml:space="preserve"> </w:t>
      </w:r>
      <w:r>
        <w:rPr>
          <w:lang w:val="cy-GB"/>
        </w:rPr>
        <w:t>Ibid., 138.</w:t>
      </w:r>
    </w:p>
  </w:footnote>
  <w:footnote w:id="424">
    <w:p w:rsidR="00AB3F05" w:rsidRPr="00DE09D9" w:rsidRDefault="00AB3F05" w:rsidP="00062AED">
      <w:pPr>
        <w:pStyle w:val="FootnoteText"/>
        <w:rPr>
          <w:lang w:val="cy-GB"/>
        </w:rPr>
      </w:pPr>
      <w:r>
        <w:rPr>
          <w:rStyle w:val="FootnoteReference"/>
        </w:rPr>
        <w:footnoteRef/>
      </w:r>
      <w:r>
        <w:t xml:space="preserve"> </w:t>
      </w:r>
      <w:r>
        <w:rPr>
          <w:lang w:val="cy-GB"/>
        </w:rPr>
        <w:t>Ibid., 62.</w:t>
      </w:r>
    </w:p>
  </w:footnote>
  <w:footnote w:id="425">
    <w:p w:rsidR="00AB3F05" w:rsidRPr="00DE09D9" w:rsidRDefault="00AB3F05" w:rsidP="00062AED">
      <w:pPr>
        <w:pStyle w:val="FootnoteText"/>
        <w:rPr>
          <w:lang w:val="cy-GB"/>
        </w:rPr>
      </w:pPr>
      <w:r>
        <w:rPr>
          <w:rStyle w:val="FootnoteReference"/>
        </w:rPr>
        <w:footnoteRef/>
      </w:r>
      <w:r>
        <w:t xml:space="preserve"> </w:t>
      </w:r>
      <w:r>
        <w:rPr>
          <w:lang w:val="cy-GB"/>
        </w:rPr>
        <w:t>Ibid., 63.</w:t>
      </w:r>
    </w:p>
  </w:footnote>
  <w:footnote w:id="426">
    <w:p w:rsidR="00AB3F05" w:rsidRPr="007E232F" w:rsidRDefault="00AB3F05" w:rsidP="00062AED">
      <w:pPr>
        <w:pStyle w:val="FootnoteText"/>
        <w:rPr>
          <w:lang w:val="cy-GB"/>
        </w:rPr>
      </w:pPr>
      <w:r>
        <w:rPr>
          <w:rStyle w:val="FootnoteReference"/>
        </w:rPr>
        <w:footnoteRef/>
      </w:r>
      <w:r>
        <w:t xml:space="preserve"> </w:t>
      </w:r>
      <w:r>
        <w:rPr>
          <w:lang w:val="cy-GB"/>
        </w:rPr>
        <w:t>Ibid., 137.</w:t>
      </w:r>
    </w:p>
  </w:footnote>
  <w:footnote w:id="427">
    <w:p w:rsidR="00AB3F05" w:rsidRPr="007E232F" w:rsidRDefault="00AB3F05" w:rsidP="00062AED">
      <w:pPr>
        <w:pStyle w:val="FootnoteText"/>
        <w:rPr>
          <w:lang w:val="cy-GB"/>
        </w:rPr>
      </w:pPr>
      <w:r>
        <w:rPr>
          <w:rStyle w:val="FootnoteReference"/>
        </w:rPr>
        <w:footnoteRef/>
      </w:r>
      <w:r>
        <w:t xml:space="preserve"> </w:t>
      </w:r>
      <w:r>
        <w:rPr>
          <w:lang w:val="cy-GB"/>
        </w:rPr>
        <w:t>Ibid., 141.</w:t>
      </w:r>
    </w:p>
  </w:footnote>
  <w:footnote w:id="428">
    <w:p w:rsidR="00AB3F05" w:rsidRPr="007E232F" w:rsidRDefault="00AB3F05" w:rsidP="00062AED">
      <w:pPr>
        <w:pStyle w:val="FootnoteText"/>
        <w:rPr>
          <w:lang w:val="cy-GB"/>
        </w:rPr>
      </w:pPr>
      <w:r>
        <w:rPr>
          <w:rStyle w:val="FootnoteReference"/>
        </w:rPr>
        <w:footnoteRef/>
      </w:r>
      <w:r>
        <w:t xml:space="preserve"> </w:t>
      </w:r>
      <w:r>
        <w:rPr>
          <w:lang w:val="cy-GB"/>
        </w:rPr>
        <w:t>Ibid., 143.</w:t>
      </w:r>
    </w:p>
  </w:footnote>
  <w:footnote w:id="429">
    <w:p w:rsidR="00AB3F05" w:rsidRPr="00A94A88" w:rsidRDefault="00AB3F05" w:rsidP="00062AED">
      <w:pPr>
        <w:pStyle w:val="FootnoteText"/>
        <w:rPr>
          <w:lang w:val="cy-GB"/>
        </w:rPr>
      </w:pPr>
      <w:r>
        <w:rPr>
          <w:rStyle w:val="FootnoteReference"/>
        </w:rPr>
        <w:footnoteRef/>
      </w:r>
      <w:r>
        <w:t xml:space="preserve"> </w:t>
      </w:r>
      <w:r>
        <w:rPr>
          <w:lang w:val="cy-GB"/>
        </w:rPr>
        <w:t xml:space="preserve">Thomas, </w:t>
      </w:r>
      <w:r w:rsidRPr="00A94A88">
        <w:rPr>
          <w:i/>
          <w:lang w:val="cy-GB"/>
        </w:rPr>
        <w:t>Paraclete</w:t>
      </w:r>
      <w:r>
        <w:rPr>
          <w:lang w:val="cy-GB"/>
        </w:rPr>
        <w:t>, ii.</w:t>
      </w:r>
    </w:p>
  </w:footnote>
  <w:footnote w:id="430">
    <w:p w:rsidR="00AB3F05" w:rsidRPr="006953CB" w:rsidRDefault="00AB3F05" w:rsidP="00062AED">
      <w:pPr>
        <w:pStyle w:val="FootnoteText"/>
        <w:rPr>
          <w:lang w:val="cy-GB"/>
        </w:rPr>
      </w:pPr>
      <w:r>
        <w:rPr>
          <w:rStyle w:val="FootnoteReference"/>
        </w:rPr>
        <w:footnoteRef/>
      </w:r>
      <w:r>
        <w:t xml:space="preserve"> </w:t>
      </w:r>
      <w:r w:rsidRPr="00E9637B">
        <w:rPr>
          <w:lang w:val="cy-GB"/>
        </w:rPr>
        <w:t xml:space="preserve">W.R. Thomas, </w:t>
      </w:r>
      <w:r w:rsidRPr="00E9637B">
        <w:rPr>
          <w:i/>
          <w:lang w:val="cy-GB"/>
        </w:rPr>
        <w:t xml:space="preserve">The Emmanuel </w:t>
      </w:r>
      <w:r w:rsidRPr="00E9637B">
        <w:rPr>
          <w:lang w:val="cy-GB"/>
        </w:rPr>
        <w:t xml:space="preserve">(English Translation: Cardiff, 2005), 125. </w:t>
      </w:r>
    </w:p>
  </w:footnote>
  <w:footnote w:id="431">
    <w:p w:rsidR="00AB3F05" w:rsidRPr="003712C1" w:rsidRDefault="00AB3F05" w:rsidP="00062AED">
      <w:pPr>
        <w:pStyle w:val="FootnoteText"/>
        <w:rPr>
          <w:lang w:val="cy-GB"/>
        </w:rPr>
      </w:pPr>
      <w:r>
        <w:rPr>
          <w:rStyle w:val="FootnoteReference"/>
        </w:rPr>
        <w:footnoteRef/>
      </w:r>
      <w:r>
        <w:t xml:space="preserve"> </w:t>
      </w:r>
      <w:r>
        <w:rPr>
          <w:lang w:val="cy-GB"/>
        </w:rPr>
        <w:t xml:space="preserve">Thomas, </w:t>
      </w:r>
      <w:r w:rsidRPr="003712C1">
        <w:rPr>
          <w:i/>
          <w:lang w:val="cy-GB"/>
        </w:rPr>
        <w:t>Paraclete</w:t>
      </w:r>
      <w:r>
        <w:rPr>
          <w:lang w:val="cy-GB"/>
        </w:rPr>
        <w:t>, iv.</w:t>
      </w:r>
    </w:p>
  </w:footnote>
  <w:footnote w:id="432">
    <w:p w:rsidR="00AB3F05" w:rsidRPr="003712C1" w:rsidRDefault="00AB3F05" w:rsidP="00062AED">
      <w:pPr>
        <w:pStyle w:val="FootnoteText"/>
        <w:rPr>
          <w:lang w:val="cy-GB"/>
        </w:rPr>
      </w:pPr>
      <w:r>
        <w:rPr>
          <w:rStyle w:val="FootnoteReference"/>
        </w:rPr>
        <w:footnoteRef/>
      </w:r>
      <w:r>
        <w:t xml:space="preserve"> </w:t>
      </w:r>
      <w:r>
        <w:rPr>
          <w:lang w:val="cy-GB"/>
        </w:rPr>
        <w:t>Ibid.</w:t>
      </w:r>
    </w:p>
  </w:footnote>
  <w:footnote w:id="433">
    <w:p w:rsidR="00AB3F05" w:rsidRPr="003712C1" w:rsidRDefault="00AB3F05" w:rsidP="00062AED">
      <w:pPr>
        <w:pStyle w:val="FootnoteText"/>
        <w:rPr>
          <w:lang w:val="cy-GB"/>
        </w:rPr>
      </w:pPr>
      <w:r>
        <w:rPr>
          <w:rStyle w:val="FootnoteReference"/>
        </w:rPr>
        <w:footnoteRef/>
      </w:r>
      <w:r>
        <w:t xml:space="preserve"> </w:t>
      </w:r>
      <w:r>
        <w:rPr>
          <w:lang w:val="cy-GB"/>
        </w:rPr>
        <w:t>Ibid., xxix.</w:t>
      </w:r>
    </w:p>
  </w:footnote>
  <w:footnote w:id="434">
    <w:p w:rsidR="00AB3F05" w:rsidRPr="003712C1" w:rsidRDefault="00AB3F05" w:rsidP="00062AED">
      <w:pPr>
        <w:pStyle w:val="FootnoteText"/>
        <w:rPr>
          <w:lang w:val="cy-GB"/>
        </w:rPr>
      </w:pPr>
      <w:r>
        <w:rPr>
          <w:rStyle w:val="FootnoteReference"/>
        </w:rPr>
        <w:footnoteRef/>
      </w:r>
      <w:r>
        <w:t xml:space="preserve"> </w:t>
      </w:r>
      <w:r>
        <w:rPr>
          <w:lang w:val="cy-GB"/>
        </w:rPr>
        <w:t xml:space="preserve">Thomas, </w:t>
      </w:r>
      <w:r w:rsidRPr="00294C9E">
        <w:rPr>
          <w:i/>
          <w:lang w:val="cy-GB"/>
        </w:rPr>
        <w:t>On Ephesians</w:t>
      </w:r>
      <w:r>
        <w:rPr>
          <w:lang w:val="cy-GB"/>
        </w:rPr>
        <w:t>, 214.</w:t>
      </w:r>
    </w:p>
  </w:footnote>
  <w:footnote w:id="435">
    <w:p w:rsidR="00AB3F05" w:rsidRPr="00D102B5" w:rsidRDefault="00AB3F05" w:rsidP="00062AED">
      <w:pPr>
        <w:pStyle w:val="FootnoteText"/>
        <w:rPr>
          <w:lang w:val="cy-GB"/>
        </w:rPr>
      </w:pPr>
      <w:r>
        <w:rPr>
          <w:rStyle w:val="FootnoteReference"/>
        </w:rPr>
        <w:footnoteRef/>
      </w:r>
      <w:r>
        <w:t xml:space="preserve"> </w:t>
      </w:r>
      <w:r>
        <w:rPr>
          <w:lang w:val="cy-GB"/>
        </w:rPr>
        <w:t>Ibid.</w:t>
      </w:r>
    </w:p>
  </w:footnote>
  <w:footnote w:id="436">
    <w:p w:rsidR="00AB3F05" w:rsidRPr="00D102B5" w:rsidRDefault="00AB3F05" w:rsidP="00062AED">
      <w:pPr>
        <w:pStyle w:val="FootnoteText"/>
        <w:rPr>
          <w:lang w:val="cy-GB"/>
        </w:rPr>
      </w:pPr>
      <w:r>
        <w:rPr>
          <w:rStyle w:val="FootnoteReference"/>
        </w:rPr>
        <w:footnoteRef/>
      </w:r>
      <w:r>
        <w:t xml:space="preserve"> </w:t>
      </w:r>
      <w:r>
        <w:rPr>
          <w:lang w:val="cy-GB"/>
        </w:rPr>
        <w:t>Ibid.</w:t>
      </w:r>
    </w:p>
  </w:footnote>
  <w:footnote w:id="437">
    <w:p w:rsidR="00AB3F05" w:rsidRPr="00FD26AB" w:rsidRDefault="00AB3F05" w:rsidP="00062AED">
      <w:pPr>
        <w:pStyle w:val="FootnoteText"/>
        <w:rPr>
          <w:lang w:val="cy-GB"/>
        </w:rPr>
      </w:pPr>
      <w:r>
        <w:rPr>
          <w:rStyle w:val="FootnoteReference"/>
        </w:rPr>
        <w:footnoteRef/>
      </w:r>
      <w:r>
        <w:t xml:space="preserve"> </w:t>
      </w:r>
      <w:r>
        <w:rPr>
          <w:lang w:val="cy-GB"/>
        </w:rPr>
        <w:t xml:space="preserve">Thomas, </w:t>
      </w:r>
      <w:r w:rsidRPr="00294C9E">
        <w:rPr>
          <w:i/>
          <w:lang w:val="cy-GB"/>
        </w:rPr>
        <w:t>Paraclete</w:t>
      </w:r>
      <w:r>
        <w:rPr>
          <w:lang w:val="cy-GB"/>
        </w:rPr>
        <w:t>, iv.</w:t>
      </w:r>
    </w:p>
  </w:footnote>
  <w:footnote w:id="438">
    <w:p w:rsidR="00AB3F05" w:rsidRDefault="00AB3F05">
      <w:pPr>
        <w:pStyle w:val="FootnoteText"/>
      </w:pPr>
      <w:r>
        <w:rPr>
          <w:rStyle w:val="FootnoteReference"/>
        </w:rPr>
        <w:footnoteRef/>
      </w:r>
      <w:r>
        <w:t xml:space="preserve"> Dawson was the third president of the Apostolic Church (1951-1957).</w:t>
      </w:r>
    </w:p>
  </w:footnote>
  <w:footnote w:id="439">
    <w:p w:rsidR="00AB3F05" w:rsidRPr="00655443" w:rsidRDefault="00AB3F05" w:rsidP="00062AED">
      <w:pPr>
        <w:pStyle w:val="FootnoteText"/>
        <w:rPr>
          <w:lang w:val="cy-GB"/>
        </w:rPr>
      </w:pPr>
      <w:r>
        <w:rPr>
          <w:rStyle w:val="FootnoteReference"/>
        </w:rPr>
        <w:footnoteRef/>
      </w:r>
      <w:r>
        <w:t xml:space="preserve"> </w:t>
      </w:r>
      <w:r>
        <w:rPr>
          <w:lang w:val="cy-GB"/>
        </w:rPr>
        <w:t>Hugh Dawson,</w:t>
      </w:r>
      <w:r w:rsidRPr="00655443">
        <w:rPr>
          <w:i/>
          <w:lang w:val="cy-GB"/>
        </w:rPr>
        <w:t xml:space="preserve"> </w:t>
      </w:r>
      <w:r>
        <w:rPr>
          <w:i/>
          <w:lang w:val="cy-GB"/>
        </w:rPr>
        <w:t xml:space="preserve">Through </w:t>
      </w:r>
      <w:r w:rsidRPr="00655443">
        <w:rPr>
          <w:i/>
          <w:lang w:val="cy-GB"/>
        </w:rPr>
        <w:t>Analogy</w:t>
      </w:r>
      <w:r>
        <w:rPr>
          <w:i/>
          <w:lang w:val="cy-GB"/>
        </w:rPr>
        <w:t xml:space="preserve"> to Reality</w:t>
      </w:r>
      <w:r>
        <w:rPr>
          <w:lang w:val="cy-GB"/>
        </w:rPr>
        <w:t xml:space="preserve"> (Bradford: Puritan Press, 1968)</w:t>
      </w:r>
      <w:r w:rsidRPr="00CC1CE8">
        <w:rPr>
          <w:lang w:val="cy-GB"/>
        </w:rPr>
        <w:t>,</w:t>
      </w:r>
      <w:r>
        <w:rPr>
          <w:lang w:val="cy-GB"/>
        </w:rPr>
        <w:t xml:space="preserve"> 53.</w:t>
      </w:r>
    </w:p>
  </w:footnote>
  <w:footnote w:id="440">
    <w:p w:rsidR="00AB3F05" w:rsidRPr="00655443" w:rsidRDefault="00AB3F05" w:rsidP="00062AED">
      <w:pPr>
        <w:pStyle w:val="FootnoteText"/>
        <w:rPr>
          <w:lang w:val="cy-GB"/>
        </w:rPr>
      </w:pPr>
      <w:r>
        <w:rPr>
          <w:rStyle w:val="FootnoteReference"/>
        </w:rPr>
        <w:footnoteRef/>
      </w:r>
      <w:r>
        <w:t xml:space="preserve"> </w:t>
      </w:r>
      <w:r>
        <w:rPr>
          <w:lang w:val="cy-GB"/>
        </w:rPr>
        <w:t>See e.g. Ibid, 53-55.</w:t>
      </w:r>
    </w:p>
  </w:footnote>
  <w:footnote w:id="441">
    <w:p w:rsidR="00AB3F05" w:rsidRPr="0086459A" w:rsidRDefault="00AB3F05" w:rsidP="00062AED">
      <w:pPr>
        <w:pStyle w:val="FootnoteText"/>
        <w:rPr>
          <w:lang w:val="cy-GB"/>
        </w:rPr>
      </w:pPr>
      <w:r>
        <w:rPr>
          <w:rStyle w:val="FootnoteReference"/>
        </w:rPr>
        <w:footnoteRef/>
      </w:r>
      <w:r>
        <w:t xml:space="preserve"> </w:t>
      </w:r>
      <w:r>
        <w:rPr>
          <w:lang w:val="cy-GB"/>
        </w:rPr>
        <w:t>Ibid., 61.</w:t>
      </w:r>
    </w:p>
  </w:footnote>
  <w:footnote w:id="442">
    <w:p w:rsidR="00AB3F05" w:rsidRPr="0086459A" w:rsidRDefault="00AB3F05" w:rsidP="00062AED">
      <w:pPr>
        <w:pStyle w:val="FootnoteText"/>
        <w:rPr>
          <w:lang w:val="cy-GB"/>
        </w:rPr>
      </w:pPr>
      <w:r>
        <w:rPr>
          <w:rStyle w:val="FootnoteReference"/>
        </w:rPr>
        <w:footnoteRef/>
      </w:r>
      <w:r>
        <w:t xml:space="preserve"> </w:t>
      </w:r>
      <w:r>
        <w:rPr>
          <w:lang w:val="cy-GB"/>
        </w:rPr>
        <w:t>Ibid., 60.</w:t>
      </w:r>
    </w:p>
  </w:footnote>
  <w:footnote w:id="443">
    <w:p w:rsidR="00AB3F05" w:rsidRPr="0086459A" w:rsidRDefault="00AB3F05" w:rsidP="00062AED">
      <w:pPr>
        <w:pStyle w:val="FootnoteText"/>
        <w:rPr>
          <w:lang w:val="cy-GB"/>
        </w:rPr>
      </w:pPr>
      <w:r>
        <w:rPr>
          <w:rStyle w:val="FootnoteReference"/>
        </w:rPr>
        <w:footnoteRef/>
      </w:r>
      <w:r>
        <w:t xml:space="preserve"> </w:t>
      </w:r>
      <w:r>
        <w:rPr>
          <w:lang w:val="cy-GB"/>
        </w:rPr>
        <w:t>Ibid., 57.</w:t>
      </w:r>
    </w:p>
  </w:footnote>
  <w:footnote w:id="444">
    <w:p w:rsidR="00AB3F05" w:rsidRPr="0086459A" w:rsidRDefault="00AB3F05" w:rsidP="00062AED">
      <w:pPr>
        <w:pStyle w:val="FootnoteText"/>
        <w:rPr>
          <w:lang w:val="cy-GB"/>
        </w:rPr>
      </w:pPr>
      <w:r>
        <w:rPr>
          <w:rStyle w:val="FootnoteReference"/>
        </w:rPr>
        <w:footnoteRef/>
      </w:r>
      <w:r>
        <w:t xml:space="preserve"> </w:t>
      </w:r>
      <w:r>
        <w:rPr>
          <w:lang w:val="cy-GB"/>
        </w:rPr>
        <w:t>Ibid., 94.</w:t>
      </w:r>
    </w:p>
  </w:footnote>
  <w:footnote w:id="445">
    <w:p w:rsidR="00AB3F05" w:rsidRPr="006B680E" w:rsidRDefault="00AB3F05" w:rsidP="00062AED">
      <w:pPr>
        <w:pStyle w:val="FootnoteText"/>
        <w:rPr>
          <w:lang w:val="cy-GB"/>
        </w:rPr>
      </w:pPr>
      <w:r>
        <w:rPr>
          <w:rStyle w:val="FootnoteReference"/>
        </w:rPr>
        <w:footnoteRef/>
      </w:r>
      <w:r>
        <w:t xml:space="preserve"> </w:t>
      </w:r>
      <w:r>
        <w:rPr>
          <w:lang w:val="cy-GB"/>
        </w:rPr>
        <w:t>Ibid., 57.</w:t>
      </w:r>
    </w:p>
  </w:footnote>
  <w:footnote w:id="446">
    <w:p w:rsidR="00AB3F05" w:rsidRPr="00C8514A" w:rsidRDefault="00AB3F05" w:rsidP="00062AED">
      <w:pPr>
        <w:pStyle w:val="FootnoteText"/>
      </w:pPr>
      <w:r>
        <w:rPr>
          <w:rStyle w:val="FootnoteReference"/>
        </w:rPr>
        <w:footnoteRef/>
      </w:r>
      <w:r>
        <w:t xml:space="preserve"> Worsfold, </w:t>
      </w:r>
      <w:r w:rsidRPr="00C8514A">
        <w:rPr>
          <w:i/>
        </w:rPr>
        <w:t>Origins</w:t>
      </w:r>
      <w:r>
        <w:t>, 286.</w:t>
      </w:r>
    </w:p>
  </w:footnote>
  <w:footnote w:id="447">
    <w:p w:rsidR="00AB3F05" w:rsidRPr="002F640D" w:rsidRDefault="00AB3F05" w:rsidP="00062AED">
      <w:pPr>
        <w:pStyle w:val="FootnoteText"/>
      </w:pPr>
      <w:r>
        <w:rPr>
          <w:rStyle w:val="FootnoteReference"/>
        </w:rPr>
        <w:footnoteRef/>
      </w:r>
      <w:r>
        <w:t xml:space="preserve"> Ibid., 304-305.</w:t>
      </w:r>
    </w:p>
  </w:footnote>
  <w:footnote w:id="448">
    <w:p w:rsidR="00AB3F05" w:rsidRPr="00140527" w:rsidRDefault="00AB3F05" w:rsidP="00062AED">
      <w:pPr>
        <w:pStyle w:val="FootnoteText"/>
      </w:pPr>
      <w:r>
        <w:rPr>
          <w:rStyle w:val="FootnoteReference"/>
        </w:rPr>
        <w:footnoteRef/>
      </w:r>
      <w:r>
        <w:t xml:space="preserve"> Ibid., 308; Weeks, </w:t>
      </w:r>
      <w:r>
        <w:rPr>
          <w:i/>
        </w:rPr>
        <w:t>Chapter Thirty-</w:t>
      </w:r>
      <w:r w:rsidRPr="00DC5AD7">
        <w:rPr>
          <w:i/>
        </w:rPr>
        <w:t>Two</w:t>
      </w:r>
      <w:r>
        <w:t>, 222.</w:t>
      </w:r>
    </w:p>
  </w:footnote>
  <w:footnote w:id="449">
    <w:p w:rsidR="00AB3F05" w:rsidRPr="00DC5AD7" w:rsidRDefault="00AB3F05" w:rsidP="00062AED">
      <w:pPr>
        <w:pStyle w:val="FootnoteText"/>
      </w:pPr>
      <w:r>
        <w:rPr>
          <w:rStyle w:val="FootnoteReference"/>
        </w:rPr>
        <w:footnoteRef/>
      </w:r>
      <w:r>
        <w:t xml:space="preserve"> Worsfold, </w:t>
      </w:r>
      <w:r w:rsidRPr="0070168C">
        <w:rPr>
          <w:i/>
        </w:rPr>
        <w:t>Origins</w:t>
      </w:r>
      <w:r>
        <w:t>, 309.</w:t>
      </w:r>
    </w:p>
  </w:footnote>
  <w:footnote w:id="450">
    <w:p w:rsidR="00AB3F05" w:rsidRDefault="00AB3F05">
      <w:pPr>
        <w:pStyle w:val="FootnoteText"/>
      </w:pPr>
      <w:r>
        <w:rPr>
          <w:rStyle w:val="FootnoteReference"/>
        </w:rPr>
        <w:footnoteRef/>
      </w:r>
      <w:r>
        <w:t xml:space="preserve"> Dawson, </w:t>
      </w:r>
      <w:r w:rsidRPr="000D5FDE">
        <w:rPr>
          <w:i/>
        </w:rPr>
        <w:t>Analogy</w:t>
      </w:r>
      <w:r>
        <w:t>, 94-95.</w:t>
      </w:r>
    </w:p>
  </w:footnote>
  <w:footnote w:id="451">
    <w:p w:rsidR="00AB3F05" w:rsidRPr="005B4B7F" w:rsidRDefault="00AB3F05" w:rsidP="00062AED">
      <w:pPr>
        <w:pStyle w:val="FootnoteText"/>
        <w:rPr>
          <w:lang w:val="cy-GB"/>
        </w:rPr>
      </w:pPr>
      <w:r>
        <w:rPr>
          <w:rStyle w:val="FootnoteReference"/>
        </w:rPr>
        <w:footnoteRef/>
      </w:r>
      <w:r>
        <w:t xml:space="preserve"> </w:t>
      </w:r>
      <w:r>
        <w:rPr>
          <w:lang w:val="cy-GB"/>
        </w:rPr>
        <w:t xml:space="preserve">Rowe, </w:t>
      </w:r>
      <w:r w:rsidRPr="005B4B7F">
        <w:rPr>
          <w:i/>
          <w:lang w:val="cy-GB"/>
        </w:rPr>
        <w:t>One Lord, One Faith</w:t>
      </w:r>
      <w:r>
        <w:rPr>
          <w:lang w:val="cy-GB"/>
        </w:rPr>
        <w:t>, Preface.</w:t>
      </w:r>
    </w:p>
  </w:footnote>
  <w:footnote w:id="452">
    <w:p w:rsidR="00AB3F05" w:rsidRPr="009324C7" w:rsidRDefault="00AB3F05" w:rsidP="00062AED">
      <w:pPr>
        <w:pStyle w:val="FootnoteText"/>
        <w:rPr>
          <w:lang w:val="cy-GB"/>
        </w:rPr>
      </w:pPr>
      <w:r>
        <w:rPr>
          <w:rStyle w:val="FootnoteReference"/>
        </w:rPr>
        <w:footnoteRef/>
      </w:r>
      <w:r>
        <w:t xml:space="preserve"> </w:t>
      </w:r>
      <w:r>
        <w:rPr>
          <w:lang w:val="cy-GB"/>
        </w:rPr>
        <w:t>Ibid., 29-31.</w:t>
      </w:r>
    </w:p>
  </w:footnote>
  <w:footnote w:id="453">
    <w:p w:rsidR="00AB3F05" w:rsidRPr="00610A99" w:rsidRDefault="00AB3F05" w:rsidP="00062AED">
      <w:pPr>
        <w:pStyle w:val="FootnoteText"/>
        <w:rPr>
          <w:lang w:val="cy-GB"/>
        </w:rPr>
      </w:pPr>
      <w:r>
        <w:rPr>
          <w:rStyle w:val="FootnoteReference"/>
        </w:rPr>
        <w:footnoteRef/>
      </w:r>
      <w:r>
        <w:t xml:space="preserve"> </w:t>
      </w:r>
      <w:r>
        <w:rPr>
          <w:lang w:val="cy-GB"/>
        </w:rPr>
        <w:t>Ibid., 32.</w:t>
      </w:r>
    </w:p>
  </w:footnote>
  <w:footnote w:id="454">
    <w:p w:rsidR="00AB3F05" w:rsidRPr="00610A99" w:rsidRDefault="00AB3F05" w:rsidP="00062AED">
      <w:pPr>
        <w:pStyle w:val="FootnoteText"/>
        <w:rPr>
          <w:lang w:val="cy-GB"/>
        </w:rPr>
      </w:pPr>
      <w:r>
        <w:rPr>
          <w:rStyle w:val="FootnoteReference"/>
        </w:rPr>
        <w:footnoteRef/>
      </w:r>
      <w:r>
        <w:t xml:space="preserve"> </w:t>
      </w:r>
      <w:r>
        <w:rPr>
          <w:lang w:val="cy-GB"/>
        </w:rPr>
        <w:t>Ibid., 33.</w:t>
      </w:r>
    </w:p>
  </w:footnote>
  <w:footnote w:id="455">
    <w:p w:rsidR="00AB3F05" w:rsidRPr="007C35B0" w:rsidRDefault="00AB3F05" w:rsidP="00062AED">
      <w:pPr>
        <w:pStyle w:val="FootnoteText"/>
        <w:rPr>
          <w:lang w:val="cy-GB"/>
        </w:rPr>
      </w:pPr>
      <w:r>
        <w:rPr>
          <w:rStyle w:val="FootnoteReference"/>
        </w:rPr>
        <w:footnoteRef/>
      </w:r>
      <w:r>
        <w:t xml:space="preserve"> </w:t>
      </w:r>
      <w:r>
        <w:rPr>
          <w:lang w:val="cy-GB"/>
        </w:rPr>
        <w:t>Ibid.</w:t>
      </w:r>
    </w:p>
  </w:footnote>
  <w:footnote w:id="456">
    <w:p w:rsidR="00AB3F05" w:rsidRPr="00530D01" w:rsidRDefault="00AB3F05" w:rsidP="00062AED">
      <w:pPr>
        <w:pStyle w:val="FootnoteText"/>
        <w:rPr>
          <w:lang w:val="cy-GB"/>
        </w:rPr>
      </w:pPr>
      <w:r>
        <w:rPr>
          <w:rStyle w:val="FootnoteReference"/>
        </w:rPr>
        <w:footnoteRef/>
      </w:r>
      <w:r>
        <w:t xml:space="preserve"> </w:t>
      </w:r>
      <w:r>
        <w:rPr>
          <w:lang w:val="cy-GB"/>
        </w:rPr>
        <w:t>The relationship between Dawson and Rowe may be significant here. The two spent a long period in Australia together in 1942 on behalf of the General Council, and Dawson, although already retired, wrote the Foreword to Rowe’s book.</w:t>
      </w:r>
    </w:p>
  </w:footnote>
  <w:footnote w:id="457">
    <w:p w:rsidR="00AB3F05" w:rsidRPr="005C714F" w:rsidRDefault="00AB3F05" w:rsidP="00062AED">
      <w:pPr>
        <w:pStyle w:val="FootnoteText"/>
        <w:rPr>
          <w:rFonts w:cstheme="minorHAnsi"/>
        </w:rPr>
      </w:pPr>
      <w:r w:rsidRPr="005C714F">
        <w:rPr>
          <w:rStyle w:val="FootnoteReference"/>
          <w:rFonts w:cstheme="minorHAnsi"/>
        </w:rPr>
        <w:footnoteRef/>
      </w:r>
      <w:r w:rsidRPr="005C714F">
        <w:rPr>
          <w:rFonts w:cstheme="minorHAnsi"/>
        </w:rPr>
        <w:t xml:space="preserve"> Note that the first series to be printed in </w:t>
      </w:r>
      <w:r>
        <w:rPr>
          <w:rFonts w:cstheme="minorHAnsi"/>
          <w:i/>
          <w:iCs/>
        </w:rPr>
        <w:t>Riches of Grace</w:t>
      </w:r>
      <w:r w:rsidRPr="005C714F">
        <w:rPr>
          <w:rFonts w:cstheme="minorHAnsi"/>
        </w:rPr>
        <w:t xml:space="preserve"> (the doctrinal magazine of the Apostolic Church) was entitled ‘Eglwys Iesu Grist’ (‘The Church of Jesus Christ’). See </w:t>
      </w:r>
      <w:r>
        <w:rPr>
          <w:rFonts w:cstheme="minorHAnsi"/>
          <w:i/>
          <w:iCs/>
        </w:rPr>
        <w:t>RoG</w:t>
      </w:r>
      <w:r w:rsidRPr="005C714F">
        <w:rPr>
          <w:rFonts w:cstheme="minorHAnsi"/>
        </w:rPr>
        <w:t xml:space="preserve">, </w:t>
      </w:r>
      <w:r>
        <w:rPr>
          <w:rFonts w:cstheme="minorHAnsi"/>
        </w:rPr>
        <w:t>v</w:t>
      </w:r>
      <w:r w:rsidRPr="005C714F">
        <w:rPr>
          <w:rFonts w:cstheme="minorHAnsi"/>
        </w:rPr>
        <w:t>ol 1.</w:t>
      </w:r>
    </w:p>
  </w:footnote>
  <w:footnote w:id="458">
    <w:p w:rsidR="00AB3F05" w:rsidRPr="003E671D" w:rsidRDefault="00AB3F05" w:rsidP="00062AED">
      <w:pPr>
        <w:pStyle w:val="FootnoteText"/>
        <w:rPr>
          <w:lang w:val="cy-GB"/>
        </w:rPr>
      </w:pPr>
      <w:r>
        <w:rPr>
          <w:rStyle w:val="FootnoteReference"/>
        </w:rPr>
        <w:footnoteRef/>
      </w:r>
      <w:r>
        <w:t xml:space="preserve"> </w:t>
      </w:r>
      <w:r>
        <w:rPr>
          <w:lang w:val="cy-GB"/>
        </w:rPr>
        <w:t>Tenet 6: ‘</w:t>
      </w:r>
      <w:r w:rsidRPr="00AA1F93">
        <w:t>The nine gifts of the Holy Ghost for the edification, exhortation and comfort of the Church, which is the body of Christ.</w:t>
      </w:r>
      <w:r>
        <w:t>’</w:t>
      </w:r>
    </w:p>
  </w:footnote>
  <w:footnote w:id="459">
    <w:p w:rsidR="00AB3F05" w:rsidRPr="00BC0932" w:rsidRDefault="00AB3F05" w:rsidP="00062AED">
      <w:pPr>
        <w:pStyle w:val="FootnoteText"/>
        <w:rPr>
          <w:lang w:val="cy-GB"/>
        </w:rPr>
      </w:pPr>
      <w:r>
        <w:rPr>
          <w:rStyle w:val="FootnoteReference"/>
        </w:rPr>
        <w:footnoteRef/>
      </w:r>
      <w:r>
        <w:t xml:space="preserve"> </w:t>
      </w:r>
      <w:r>
        <w:rPr>
          <w:lang w:val="cy-GB"/>
        </w:rPr>
        <w:t xml:space="preserve">See, for example, </w:t>
      </w:r>
      <w:r w:rsidRPr="00BD0F73">
        <w:rPr>
          <w:i/>
          <w:lang w:val="cy-GB"/>
        </w:rPr>
        <w:t>Introducing The Apostolic Church: A Manual of Belief, Practice and History</w:t>
      </w:r>
      <w:r>
        <w:rPr>
          <w:lang w:val="cy-GB"/>
        </w:rPr>
        <w:t xml:space="preserve"> (Penygroes: The Apostolic Church, 1988), 153-160. Also, the rewordings of the Tenets used by some national Apostolic Churches. E.g. Australia, New Zealand,French-speaking Switzerland, and Canada.</w:t>
      </w:r>
    </w:p>
  </w:footnote>
  <w:footnote w:id="460">
    <w:p w:rsidR="00AB3F05" w:rsidRPr="00BD0F73" w:rsidRDefault="00AB3F05" w:rsidP="00062AED">
      <w:pPr>
        <w:pStyle w:val="FootnoteText"/>
        <w:rPr>
          <w:lang w:val="cy-GB"/>
        </w:rPr>
      </w:pPr>
      <w:r>
        <w:rPr>
          <w:rStyle w:val="FootnoteReference"/>
        </w:rPr>
        <w:footnoteRef/>
      </w:r>
      <w:r>
        <w:t xml:space="preserve"> </w:t>
      </w:r>
      <w:r>
        <w:rPr>
          <w:lang w:val="cy-GB"/>
        </w:rPr>
        <w:t xml:space="preserve">In an older series of booklets expounding the Tenets, while most tenets received only one booklet, no matter how expansive the subject matter, two were produced for Tenet 6: one on the gifts of the Spirit and one devoted entirely to the definition of the Church as the Body of Christ. Lewis, </w:t>
      </w:r>
      <w:r w:rsidRPr="00BD0F73">
        <w:rPr>
          <w:i/>
          <w:lang w:val="cy-GB"/>
        </w:rPr>
        <w:t>The Body of Christ</w:t>
      </w:r>
      <w:r>
        <w:rPr>
          <w:lang w:val="cy-GB"/>
        </w:rPr>
        <w:t xml:space="preserve">.  Cf. </w:t>
      </w:r>
      <w:r w:rsidRPr="00BF49A0">
        <w:rPr>
          <w:i/>
          <w:lang w:val="cy-GB"/>
        </w:rPr>
        <w:t>Fundamentals</w:t>
      </w:r>
      <w:r>
        <w:rPr>
          <w:lang w:val="cy-GB"/>
        </w:rPr>
        <w:t>, 20, which places the emphasis in expounding Tenet 6 first and foremost on the Body of Christ. This would also suggest that attempts to modernize the wording of the Tenets which exclude the definition of the Church as the Body of Christ have misunderstood in the intent of Tenet 6 and changed the theological content.</w:t>
      </w:r>
    </w:p>
  </w:footnote>
  <w:footnote w:id="461">
    <w:p w:rsidR="00AB3F05" w:rsidRPr="00CA28AE" w:rsidRDefault="00AB3F05" w:rsidP="00062AED">
      <w:pPr>
        <w:pStyle w:val="FootnoteText"/>
        <w:rPr>
          <w:lang w:val="cy-GB"/>
        </w:rPr>
      </w:pPr>
      <w:r>
        <w:rPr>
          <w:rStyle w:val="FootnoteReference"/>
        </w:rPr>
        <w:footnoteRef/>
      </w:r>
      <w:r>
        <w:t xml:space="preserve"> </w:t>
      </w:r>
      <w:r>
        <w:rPr>
          <w:lang w:val="cy-GB"/>
        </w:rPr>
        <w:t xml:space="preserve">The standard works on the subject for many years would be Rees, </w:t>
      </w:r>
      <w:r w:rsidRPr="00CA28AE">
        <w:rPr>
          <w:i/>
          <w:lang w:val="cy-GB"/>
        </w:rPr>
        <w:t>Divine Masterpiece</w:t>
      </w:r>
      <w:r>
        <w:rPr>
          <w:lang w:val="cy-GB"/>
        </w:rPr>
        <w:t xml:space="preserve"> and Lewis, </w:t>
      </w:r>
      <w:r w:rsidRPr="00CA28AE">
        <w:rPr>
          <w:i/>
          <w:lang w:val="cy-GB"/>
        </w:rPr>
        <w:t>The Body</w:t>
      </w:r>
      <w:r>
        <w:rPr>
          <w:i/>
          <w:lang w:val="cy-GB"/>
        </w:rPr>
        <w:t xml:space="preserve"> of Christ</w:t>
      </w:r>
      <w:r>
        <w:rPr>
          <w:lang w:val="cy-GB"/>
        </w:rPr>
        <w:t>.</w:t>
      </w:r>
    </w:p>
  </w:footnote>
  <w:footnote w:id="462">
    <w:p w:rsidR="00AB3F05" w:rsidRPr="00CA28AE" w:rsidRDefault="00AB3F05" w:rsidP="00062AED">
      <w:pPr>
        <w:pStyle w:val="FootnoteText"/>
        <w:rPr>
          <w:lang w:val="cy-GB"/>
        </w:rPr>
      </w:pPr>
      <w:r>
        <w:rPr>
          <w:rStyle w:val="FootnoteReference"/>
        </w:rPr>
        <w:footnoteRef/>
      </w:r>
      <w:r>
        <w:t xml:space="preserve"> </w:t>
      </w:r>
      <w:r>
        <w:rPr>
          <w:lang w:val="cy-GB"/>
        </w:rPr>
        <w:t>Williams’ theology of the Word,</w:t>
      </w:r>
      <w:r w:rsidRPr="00CA28AE">
        <w:rPr>
          <w:i/>
          <w:lang w:val="cy-GB"/>
        </w:rPr>
        <w:t>theologia crucis</w:t>
      </w:r>
      <w:r>
        <w:rPr>
          <w:lang w:val="cy-GB"/>
        </w:rPr>
        <w:t>, and the Lord’s Supper tended to play a much lesser role for other writers on the topic of the Headship of Christ. Some of these themes were treated in relation to other doctrines.</w:t>
      </w:r>
    </w:p>
  </w:footnote>
  <w:footnote w:id="463">
    <w:p w:rsidR="00AB3F05" w:rsidRPr="00871F0B" w:rsidRDefault="00AB3F05" w:rsidP="00062AED">
      <w:pPr>
        <w:pStyle w:val="FootnoteText"/>
        <w:rPr>
          <w:lang w:val="cy-GB"/>
        </w:rPr>
      </w:pPr>
      <w:r>
        <w:rPr>
          <w:rStyle w:val="FootnoteReference"/>
        </w:rPr>
        <w:footnoteRef/>
      </w:r>
      <w:r>
        <w:t xml:space="preserve"> </w:t>
      </w:r>
      <w:r>
        <w:rPr>
          <w:lang w:val="cy-GB"/>
        </w:rPr>
        <w:t>As noted above, although the work was first published before the official commencement of the Apostolic Church, it continued in print and in use by the Apostolic Church throughout her early years.</w:t>
      </w:r>
    </w:p>
  </w:footnote>
  <w:footnote w:id="464">
    <w:p w:rsidR="00AB3F05" w:rsidRPr="00144B7F" w:rsidRDefault="00AB3F05" w:rsidP="00062AED">
      <w:pPr>
        <w:pStyle w:val="FootnoteText"/>
        <w:rPr>
          <w:lang w:val="cy-GB"/>
        </w:rPr>
      </w:pPr>
      <w:r>
        <w:rPr>
          <w:rStyle w:val="FootnoteReference"/>
        </w:rPr>
        <w:footnoteRef/>
      </w:r>
      <w:r w:rsidRPr="00144B7F">
        <w:rPr>
          <w:lang w:val="cy-GB"/>
        </w:rPr>
        <w:t xml:space="preserve"> </w:t>
      </w:r>
      <w:r w:rsidRPr="00144B7F">
        <w:rPr>
          <w:i/>
          <w:lang w:val="cy-GB"/>
        </w:rPr>
        <w:t>Athrawiaethau Sylfeinol</w:t>
      </w:r>
      <w:r>
        <w:rPr>
          <w:lang w:val="cy-GB"/>
        </w:rPr>
        <w:t>, 11: ‘yn dwyn tystoliaeth o sicrwydd eu cadwedigaeth.’</w:t>
      </w:r>
    </w:p>
  </w:footnote>
  <w:footnote w:id="465">
    <w:p w:rsidR="00AB3F05" w:rsidRPr="00144B7F" w:rsidRDefault="00AB3F05" w:rsidP="00062AED">
      <w:pPr>
        <w:pStyle w:val="FootnoteText"/>
        <w:rPr>
          <w:lang w:val="cy-GB"/>
        </w:rPr>
      </w:pPr>
      <w:r>
        <w:rPr>
          <w:rStyle w:val="FootnoteReference"/>
        </w:rPr>
        <w:footnoteRef/>
      </w:r>
      <w:r>
        <w:t xml:space="preserve"> </w:t>
      </w:r>
      <w:r>
        <w:rPr>
          <w:lang w:val="cy-GB"/>
        </w:rPr>
        <w:t>Ibid.: ‘cyn y gallwn undebu ein hunain trwy ffydd i farw gydag Ef. Rhaid i’r farwolaeth fod yn weithred brofiadol ynom cyn y cleddir ni trwy fedydd, oblegyd nid oes rheswm mewn claddu neb yn fyw.’</w:t>
      </w:r>
    </w:p>
  </w:footnote>
  <w:footnote w:id="466">
    <w:p w:rsidR="00AB3F05" w:rsidRPr="00144B7F" w:rsidRDefault="00AB3F05" w:rsidP="00062AED">
      <w:pPr>
        <w:pStyle w:val="FootnoteText"/>
        <w:rPr>
          <w:lang w:val="cy-GB"/>
        </w:rPr>
      </w:pPr>
      <w:r>
        <w:rPr>
          <w:rStyle w:val="FootnoteReference"/>
        </w:rPr>
        <w:footnoteRef/>
      </w:r>
      <w:r>
        <w:t xml:space="preserve"> </w:t>
      </w:r>
      <w:r>
        <w:rPr>
          <w:lang w:val="cy-GB"/>
        </w:rPr>
        <w:t xml:space="preserve">Ibid., 12: ‘Nid porth i’r Eglwys ydyw: Crist ydyw y porth.’ However, note Williams’ view of the efficacy of baptism in D.P. Williams, ‘The Inception of the World-Wide Missionary Cause 3’, </w:t>
      </w:r>
      <w:r w:rsidRPr="00DB2B27">
        <w:rPr>
          <w:i/>
          <w:lang w:val="cy-GB"/>
        </w:rPr>
        <w:t>AH</w:t>
      </w:r>
      <w:r>
        <w:rPr>
          <w:lang w:val="cy-GB"/>
        </w:rPr>
        <w:t xml:space="preserve"> 1.9 (April 1926), 310.</w:t>
      </w:r>
    </w:p>
  </w:footnote>
  <w:footnote w:id="467">
    <w:p w:rsidR="00AB3F05" w:rsidRPr="00F02F15" w:rsidRDefault="00AB3F05" w:rsidP="00062AED">
      <w:pPr>
        <w:pStyle w:val="FootnoteText"/>
        <w:rPr>
          <w:lang w:val="cy-GB"/>
        </w:rPr>
      </w:pPr>
      <w:r>
        <w:rPr>
          <w:rStyle w:val="FootnoteReference"/>
        </w:rPr>
        <w:footnoteRef/>
      </w:r>
      <w:r>
        <w:t xml:space="preserve"> </w:t>
      </w:r>
      <w:r w:rsidRPr="00F02F15">
        <w:rPr>
          <w:i/>
          <w:lang w:val="cy-GB"/>
        </w:rPr>
        <w:t>The Apostolic Church: Its Principles and Practices</w:t>
      </w:r>
      <w:r>
        <w:rPr>
          <w:lang w:val="cy-GB"/>
        </w:rPr>
        <w:t>, 254, 252.</w:t>
      </w:r>
    </w:p>
  </w:footnote>
  <w:footnote w:id="468">
    <w:p w:rsidR="00AB3F05" w:rsidRPr="00124F7C" w:rsidRDefault="00AB3F05" w:rsidP="00062AED">
      <w:pPr>
        <w:pStyle w:val="FootnoteText"/>
        <w:rPr>
          <w:lang w:val="cy-GB"/>
        </w:rPr>
      </w:pPr>
      <w:r>
        <w:rPr>
          <w:rStyle w:val="FootnoteReference"/>
        </w:rPr>
        <w:footnoteRef/>
      </w:r>
      <w:r w:rsidRPr="00A553C5">
        <w:rPr>
          <w:lang w:val="cy-GB"/>
        </w:rPr>
        <w:t xml:space="preserve"> </w:t>
      </w:r>
      <w:r w:rsidRPr="00E779D9">
        <w:rPr>
          <w:i/>
          <w:lang w:val="cy-GB"/>
        </w:rPr>
        <w:t>Athrawiaethau Sylfeinol</w:t>
      </w:r>
      <w:r>
        <w:rPr>
          <w:lang w:val="cy-GB"/>
        </w:rPr>
        <w:t xml:space="preserve">, 10: ‘yr ydym yn cyfranogi yn sylweddol, trwy fydd, o’i gorph a’i waed Ef, i fod yn gynaliaeth i’r bywyd ysprydol. “Oni fwyttewch gnawd Mab y Dyn, ac onid yfwch Ei waed Ef, nid oes genych fywyd yn aros ynoch.” Mae cyfamod a wnaeth Efe yn Ei waed Ei Hun ydyw yr unig sail sydd am gadwedigaeth.’ Unfortunately this important theological statement on the nature of Christ’s presence in the Supper has suffered a serious mistranslation in the past in order to try to make D.P. Williams a Zwinglian. Worsfold included a translation (not his own, as as a New Zealander, he did not speak Welsh) of the full text of the </w:t>
      </w:r>
      <w:r w:rsidRPr="00124F7C">
        <w:rPr>
          <w:i/>
          <w:lang w:val="cy-GB"/>
        </w:rPr>
        <w:t>Athrawiaethau Sylfeinol</w:t>
      </w:r>
      <w:r>
        <w:rPr>
          <w:lang w:val="cy-GB"/>
        </w:rPr>
        <w:t xml:space="preserve"> in his </w:t>
      </w:r>
      <w:r>
        <w:rPr>
          <w:i/>
          <w:lang w:val="cy-GB"/>
        </w:rPr>
        <w:t xml:space="preserve">The Origins </w:t>
      </w:r>
      <w:r w:rsidRPr="00A553C5">
        <w:rPr>
          <w:i/>
          <w:lang w:val="cy-GB"/>
        </w:rPr>
        <w:t>of the Apostolic Church in Great Britain</w:t>
      </w:r>
      <w:r>
        <w:rPr>
          <w:lang w:val="cy-GB"/>
        </w:rPr>
        <w:t xml:space="preserve"> (</w:t>
      </w:r>
      <w:r w:rsidRPr="0045180A">
        <w:rPr>
          <w:lang w:val="cy-GB"/>
        </w:rPr>
        <w:t>95-</w:t>
      </w:r>
      <w:r>
        <w:rPr>
          <w:lang w:val="cy-GB"/>
        </w:rPr>
        <w:t xml:space="preserve">102), which has been the only way in which this important early Apostolic theological text has been available to the English speaking world. Unfortunately it (mis-)translated the key passage as follows: </w:t>
      </w:r>
      <w:r w:rsidRPr="00124F7C">
        <w:rPr>
          <w:lang w:val="cy-GB"/>
        </w:rPr>
        <w:t>‘</w:t>
      </w:r>
      <w:r w:rsidRPr="00124F7C">
        <w:rPr>
          <w:iCs/>
        </w:rPr>
        <w:t>We are partaking symbolically, through faith, of his body and blood, to sustain our spiritual life. 'Unless you carry out this symbolic act there is no life left in you.' </w:t>
      </w:r>
      <w:r>
        <w:rPr>
          <w:iCs/>
        </w:rPr>
        <w:t>(p.98) Williams’ original Welsh does not speak of symbols and faith sustaining us, but very clearly of Christ’s body and blood feeding us substantially as our sustenance. This is a significant theological change on the part of the translator. This becomes even more evident when the translator replaces John 6:53 with a ‘symbolic act.’</w:t>
      </w:r>
    </w:p>
  </w:footnote>
  <w:footnote w:id="469">
    <w:p w:rsidR="00AB3F05" w:rsidRPr="005F22B2" w:rsidRDefault="00AB3F05" w:rsidP="00062AED">
      <w:pPr>
        <w:pStyle w:val="FootnoteText"/>
        <w:rPr>
          <w:lang w:val="cy-GB"/>
        </w:rPr>
      </w:pPr>
      <w:r>
        <w:rPr>
          <w:rStyle w:val="FootnoteReference"/>
        </w:rPr>
        <w:footnoteRef/>
      </w:r>
      <w:r>
        <w:t xml:space="preserve"> </w:t>
      </w:r>
      <w:r w:rsidRPr="005F22B2">
        <w:rPr>
          <w:i/>
          <w:lang w:val="cy-GB"/>
        </w:rPr>
        <w:t>Athrawiaethau Sylfeinol</w:t>
      </w:r>
      <w:r>
        <w:rPr>
          <w:lang w:val="cy-GB"/>
        </w:rPr>
        <w:t>, 13.</w:t>
      </w:r>
    </w:p>
  </w:footnote>
  <w:footnote w:id="470">
    <w:p w:rsidR="00AB3F05" w:rsidRPr="005F22B2" w:rsidRDefault="00AB3F05" w:rsidP="00062AED">
      <w:pPr>
        <w:pStyle w:val="FootnoteText"/>
        <w:rPr>
          <w:lang w:val="cy-GB"/>
        </w:rPr>
      </w:pPr>
      <w:r>
        <w:rPr>
          <w:rStyle w:val="FootnoteReference"/>
        </w:rPr>
        <w:footnoteRef/>
      </w:r>
      <w:r>
        <w:t xml:space="preserve"> </w:t>
      </w:r>
      <w:r>
        <w:rPr>
          <w:lang w:val="cy-GB"/>
        </w:rPr>
        <w:t>Ibid.</w:t>
      </w:r>
    </w:p>
  </w:footnote>
  <w:footnote w:id="471">
    <w:p w:rsidR="00AB3F05" w:rsidRPr="00CF2A07" w:rsidRDefault="00AB3F05" w:rsidP="00062AED">
      <w:pPr>
        <w:pStyle w:val="FootnoteText"/>
        <w:rPr>
          <w:lang w:val="cy-GB"/>
        </w:rPr>
      </w:pPr>
      <w:r>
        <w:rPr>
          <w:rStyle w:val="FootnoteReference"/>
        </w:rPr>
        <w:footnoteRef/>
      </w:r>
      <w:r>
        <w:t xml:space="preserve"> </w:t>
      </w:r>
      <w:r>
        <w:rPr>
          <w:lang w:val="cy-GB"/>
        </w:rPr>
        <w:t>Ibid.</w:t>
      </w:r>
    </w:p>
  </w:footnote>
  <w:footnote w:id="472">
    <w:p w:rsidR="00AB3F05" w:rsidRPr="00CF2A07" w:rsidRDefault="00AB3F05" w:rsidP="00062AED">
      <w:pPr>
        <w:pStyle w:val="FootnoteText"/>
        <w:rPr>
          <w:lang w:val="cy-GB"/>
        </w:rPr>
      </w:pPr>
      <w:r>
        <w:rPr>
          <w:rStyle w:val="FootnoteReference"/>
        </w:rPr>
        <w:footnoteRef/>
      </w:r>
      <w:r>
        <w:t xml:space="preserve"> </w:t>
      </w:r>
      <w:r>
        <w:rPr>
          <w:lang w:val="cy-GB"/>
        </w:rPr>
        <w:t>Ibid.</w:t>
      </w:r>
    </w:p>
  </w:footnote>
  <w:footnote w:id="473">
    <w:p w:rsidR="00AB3F05" w:rsidRPr="00CF2A07" w:rsidRDefault="00AB3F05" w:rsidP="00062AED">
      <w:pPr>
        <w:pStyle w:val="FootnoteText"/>
        <w:rPr>
          <w:lang w:val="cy-GB"/>
        </w:rPr>
      </w:pPr>
      <w:r>
        <w:rPr>
          <w:rStyle w:val="FootnoteReference"/>
        </w:rPr>
        <w:footnoteRef/>
      </w:r>
      <w:r>
        <w:t xml:space="preserve"> </w:t>
      </w:r>
      <w:r>
        <w:rPr>
          <w:lang w:val="cy-GB"/>
        </w:rPr>
        <w:t>Ibid.</w:t>
      </w:r>
    </w:p>
  </w:footnote>
  <w:footnote w:id="474">
    <w:p w:rsidR="00AB3F05" w:rsidRPr="00EF1C4C" w:rsidRDefault="00AB3F05" w:rsidP="00062AED">
      <w:pPr>
        <w:pStyle w:val="FootnoteText"/>
      </w:pPr>
      <w:r>
        <w:rPr>
          <w:rStyle w:val="FootnoteReference"/>
        </w:rPr>
        <w:footnoteRef/>
      </w:r>
      <w:r>
        <w:t xml:space="preserve"> E.g. </w:t>
      </w:r>
      <w:r>
        <w:rPr>
          <w:lang w:val="cy-GB"/>
        </w:rPr>
        <w:t xml:space="preserve">D.P. Williams, ‘The Unity of the Body’, </w:t>
      </w:r>
      <w:r>
        <w:rPr>
          <w:i/>
          <w:lang w:val="cy-GB"/>
        </w:rPr>
        <w:t>RoG</w:t>
      </w:r>
      <w:r>
        <w:rPr>
          <w:lang w:val="cy-GB"/>
        </w:rPr>
        <w:t>, x.1 (Sept. 1934), 14.</w:t>
      </w:r>
    </w:p>
  </w:footnote>
  <w:footnote w:id="475">
    <w:p w:rsidR="00AB3F05" w:rsidRPr="00F173B6" w:rsidRDefault="00AB3F05" w:rsidP="00062AED">
      <w:pPr>
        <w:pStyle w:val="FootnoteText"/>
        <w:rPr>
          <w:lang w:val="cy-GB"/>
        </w:rPr>
      </w:pPr>
      <w:r>
        <w:rPr>
          <w:rStyle w:val="FootnoteReference"/>
        </w:rPr>
        <w:footnoteRef/>
      </w:r>
      <w:r>
        <w:t xml:space="preserve"> </w:t>
      </w:r>
      <w:r>
        <w:rPr>
          <w:lang w:val="cy-GB"/>
        </w:rPr>
        <w:t xml:space="preserve">D.P. Williams, ‘From Glory to Glory: Exposition of Foregoing Prophetical Words’, </w:t>
      </w:r>
      <w:r w:rsidRPr="00EF1C4C">
        <w:rPr>
          <w:i/>
          <w:lang w:val="cy-GB"/>
        </w:rPr>
        <w:t>The Glorious Gospel</w:t>
      </w:r>
      <w:r>
        <w:rPr>
          <w:lang w:val="cy-GB"/>
        </w:rPr>
        <w:t xml:space="preserve"> (Penygroes: Apostolic Publications, 1940), 47.</w:t>
      </w:r>
    </w:p>
  </w:footnote>
  <w:footnote w:id="476">
    <w:p w:rsidR="00AB3F05" w:rsidRPr="0068335A" w:rsidRDefault="00AB3F05" w:rsidP="00062AED">
      <w:pPr>
        <w:pStyle w:val="FootnoteText"/>
        <w:rPr>
          <w:lang w:val="cy-GB"/>
        </w:rPr>
      </w:pPr>
      <w:r w:rsidRPr="0068335A">
        <w:rPr>
          <w:rStyle w:val="FootnoteReference"/>
        </w:rPr>
        <w:footnoteRef/>
      </w:r>
      <w:r w:rsidRPr="0068335A">
        <w:t xml:space="preserve"> </w:t>
      </w:r>
      <w:r w:rsidRPr="0068335A">
        <w:rPr>
          <w:lang w:val="cy-GB"/>
        </w:rPr>
        <w:t xml:space="preserve">Williams, </w:t>
      </w:r>
      <w:r w:rsidRPr="0068335A">
        <w:rPr>
          <w:i/>
          <w:lang w:val="cy-GB"/>
        </w:rPr>
        <w:t>Prophetical Ministry</w:t>
      </w:r>
      <w:r w:rsidRPr="0068335A">
        <w:rPr>
          <w:lang w:val="cy-GB"/>
        </w:rPr>
        <w:t>, 77, 90-91.</w:t>
      </w:r>
    </w:p>
  </w:footnote>
  <w:footnote w:id="477">
    <w:p w:rsidR="00AB3F05" w:rsidRPr="00420DF0" w:rsidRDefault="00AB3F05" w:rsidP="00062AED">
      <w:pPr>
        <w:pStyle w:val="FootnoteText"/>
        <w:rPr>
          <w:lang w:val="cy-GB"/>
        </w:rPr>
      </w:pPr>
      <w:r w:rsidRPr="0068335A">
        <w:rPr>
          <w:rStyle w:val="FootnoteReference"/>
        </w:rPr>
        <w:footnoteRef/>
      </w:r>
      <w:r w:rsidRPr="0068335A">
        <w:t xml:space="preserve"> Ibid., 78-79; </w:t>
      </w:r>
      <w:r w:rsidRPr="0068335A">
        <w:rPr>
          <w:lang w:val="cy-GB"/>
        </w:rPr>
        <w:t xml:space="preserve">D.P. Williams, ‘The Gospel of Christ’, </w:t>
      </w:r>
      <w:r w:rsidRPr="0068335A">
        <w:rPr>
          <w:i/>
          <w:lang w:val="cy-GB"/>
        </w:rPr>
        <w:t>AH</w:t>
      </w:r>
      <w:r w:rsidRPr="0068335A">
        <w:rPr>
          <w:lang w:val="cy-GB"/>
        </w:rPr>
        <w:t xml:space="preserve"> 2.1 (June 1927), 2; </w:t>
      </w:r>
      <w:r>
        <w:rPr>
          <w:lang w:val="cy-GB"/>
        </w:rPr>
        <w:t>idem</w:t>
      </w:r>
      <w:r w:rsidRPr="0068335A">
        <w:rPr>
          <w:lang w:val="cy-GB"/>
        </w:rPr>
        <w:t xml:space="preserve">, ‘The Apostolic Doctrine as Revealed in the Epistles’, </w:t>
      </w:r>
      <w:r w:rsidRPr="0068335A">
        <w:rPr>
          <w:i/>
          <w:lang w:val="cy-GB"/>
        </w:rPr>
        <w:t>RoG</w:t>
      </w:r>
      <w:r w:rsidRPr="0068335A">
        <w:rPr>
          <w:lang w:val="cy-GB"/>
        </w:rPr>
        <w:t xml:space="preserve"> ix.3 (Jan. 1934), 82-83.</w:t>
      </w:r>
    </w:p>
  </w:footnote>
  <w:footnote w:id="478">
    <w:p w:rsidR="00AB3F05" w:rsidRPr="00DE01F3" w:rsidRDefault="00AB3F05" w:rsidP="00062AED">
      <w:pPr>
        <w:pStyle w:val="FootnoteText"/>
        <w:rPr>
          <w:lang w:val="cy-GB"/>
        </w:rPr>
      </w:pPr>
      <w:r>
        <w:rPr>
          <w:rStyle w:val="FootnoteReference"/>
        </w:rPr>
        <w:footnoteRef/>
      </w:r>
      <w:r>
        <w:t xml:space="preserve"> </w:t>
      </w:r>
      <w:r>
        <w:rPr>
          <w:lang w:val="cy-GB"/>
        </w:rPr>
        <w:t xml:space="preserve">D.P. Williams, ‘Binding and Loosing’, </w:t>
      </w:r>
      <w:r w:rsidRPr="0068335A">
        <w:rPr>
          <w:i/>
          <w:lang w:val="cy-GB"/>
        </w:rPr>
        <w:t>RoG</w:t>
      </w:r>
      <w:r>
        <w:rPr>
          <w:lang w:val="cy-GB"/>
        </w:rPr>
        <w:t xml:space="preserve"> xi.2 (Nov. 1935), 229.</w:t>
      </w:r>
    </w:p>
  </w:footnote>
  <w:footnote w:id="479">
    <w:p w:rsidR="00AB3F05" w:rsidRPr="00DE01F3" w:rsidRDefault="00AB3F05" w:rsidP="00062AED">
      <w:pPr>
        <w:pStyle w:val="FootnoteText"/>
        <w:rPr>
          <w:lang w:val="cy-GB"/>
        </w:rPr>
      </w:pPr>
      <w:r>
        <w:rPr>
          <w:rStyle w:val="FootnoteReference"/>
        </w:rPr>
        <w:footnoteRef/>
      </w:r>
      <w:r>
        <w:t xml:space="preserve"> </w:t>
      </w:r>
      <w:r w:rsidRPr="003F7164">
        <w:rPr>
          <w:lang w:val="cy-GB"/>
        </w:rPr>
        <w:t>8th January 1916</w:t>
      </w:r>
      <w:r>
        <w:rPr>
          <w:lang w:val="cy-GB"/>
        </w:rPr>
        <w:t xml:space="preserve"> saw the break between the Apostolic Church and the Apostolic Faith Church (Bournemouth), and thus the official beginnings of the Apostolic Church as a distinct movement. Ecclesiological issues were factors in the break between the two movements, which may have spurred Williams’ ecclesiological reflection. After the break of 1916 Williams began a new and prolific period as a distinctly Apostolic writer, continuing to write until his death in 1947. Before 1916 he was only an occasional writer, producing the </w:t>
      </w:r>
      <w:r w:rsidRPr="00DE01F3">
        <w:rPr>
          <w:i/>
          <w:lang w:val="cy-GB"/>
        </w:rPr>
        <w:t>Athrawiaethau Sylfeinol</w:t>
      </w:r>
      <w:r>
        <w:rPr>
          <w:lang w:val="cy-GB"/>
        </w:rPr>
        <w:t xml:space="preserve"> and some contributions to the magazine of the Apostolic Faith Church.</w:t>
      </w:r>
    </w:p>
  </w:footnote>
  <w:footnote w:id="480">
    <w:p w:rsidR="00AB3F05" w:rsidRPr="00984F1B" w:rsidRDefault="00AB3F05" w:rsidP="00062AED">
      <w:pPr>
        <w:pStyle w:val="FootnoteText"/>
      </w:pPr>
      <w:r>
        <w:rPr>
          <w:rStyle w:val="FootnoteReference"/>
        </w:rPr>
        <w:footnoteRef/>
      </w:r>
      <w:r>
        <w:t xml:space="preserve"> D.P. Williams, ‘Liberty in the Holy Spirit (A Summary of Conventional Expositions)’, </w:t>
      </w:r>
      <w:r w:rsidRPr="00984F1B">
        <w:rPr>
          <w:i/>
        </w:rPr>
        <w:t>Amazing Love: Report of the Apostolic Church International Convention, Penygroes 1943</w:t>
      </w:r>
      <w:r>
        <w:t xml:space="preserve"> (Penygroes: Apostolic Publications, 1943), 45.</w:t>
      </w:r>
    </w:p>
  </w:footnote>
  <w:footnote w:id="481">
    <w:p w:rsidR="00AB3F05" w:rsidRPr="00A7772C" w:rsidRDefault="00AB3F05" w:rsidP="00062AED">
      <w:pPr>
        <w:pStyle w:val="FootnoteText"/>
      </w:pPr>
      <w:r>
        <w:rPr>
          <w:rStyle w:val="FootnoteReference"/>
        </w:rPr>
        <w:footnoteRef/>
      </w:r>
      <w:r>
        <w:t xml:space="preserve"> D.P. Williams, ‘Yr Eglwys Apostolaidd yn Nghymru’,</w:t>
      </w:r>
      <w:r w:rsidRPr="00CB6D88">
        <w:rPr>
          <w:i/>
        </w:rPr>
        <w:t xml:space="preserve"> </w:t>
      </w:r>
      <w:r w:rsidRPr="002D3964">
        <w:rPr>
          <w:i/>
        </w:rPr>
        <w:t>Cyfoeth Gras</w:t>
      </w:r>
      <w:r>
        <w:t xml:space="preserve"> (</w:t>
      </w:r>
      <w:r>
        <w:rPr>
          <w:i/>
        </w:rPr>
        <w:t>RoG</w:t>
      </w:r>
      <w:r>
        <w:t xml:space="preserve">), i.1 (April 1916), inside front cover ; idem, ‘Doniau Duw’, </w:t>
      </w:r>
      <w:r w:rsidRPr="002D3964">
        <w:rPr>
          <w:i/>
        </w:rPr>
        <w:t>Cyfoeth Gras</w:t>
      </w:r>
      <w:r>
        <w:t xml:space="preserve"> (</w:t>
      </w:r>
      <w:r>
        <w:rPr>
          <w:i/>
        </w:rPr>
        <w:t>RoG</w:t>
      </w:r>
      <w:r>
        <w:t>), i.2 (May 1916), 19-20.</w:t>
      </w:r>
    </w:p>
  </w:footnote>
  <w:footnote w:id="482">
    <w:p w:rsidR="00AB3F05" w:rsidRPr="00C040D8" w:rsidRDefault="00AB3F05" w:rsidP="00062AED">
      <w:pPr>
        <w:pStyle w:val="FootnoteText"/>
      </w:pPr>
      <w:r>
        <w:rPr>
          <w:rStyle w:val="FootnoteReference"/>
        </w:rPr>
        <w:footnoteRef/>
      </w:r>
      <w:r>
        <w:t xml:space="preserve"> Seeing this reception of what would later be termed ‘the Apostolic Vision’ as taking place between 1914 and 1916 could have important implications for understanding the separation between the Apostolic Church and the Apostolic Faith Church. </w:t>
      </w:r>
      <w:r w:rsidRPr="002A37FA">
        <w:t>Contra Worsfold who attributes it largely to linguistic and nationalistic factors</w:t>
      </w:r>
      <w:r>
        <w:t xml:space="preserve"> (in addition to the centralising control of finance in Bournemouth). Worsfold, </w:t>
      </w:r>
      <w:r w:rsidRPr="00D3267C">
        <w:rPr>
          <w:i/>
        </w:rPr>
        <w:t>Origins</w:t>
      </w:r>
      <w:r>
        <w:t>, 150-164.</w:t>
      </w:r>
    </w:p>
  </w:footnote>
  <w:footnote w:id="483">
    <w:p w:rsidR="00AB3F05" w:rsidRPr="00984F1B" w:rsidRDefault="00AB3F05" w:rsidP="00062AED">
      <w:pPr>
        <w:pStyle w:val="FootnoteText"/>
        <w:rPr>
          <w:lang w:val="cy-GB"/>
        </w:rPr>
      </w:pPr>
      <w:r>
        <w:rPr>
          <w:rStyle w:val="FootnoteReference"/>
        </w:rPr>
        <w:footnoteRef/>
      </w:r>
      <w:r>
        <w:t xml:space="preserve"> </w:t>
      </w:r>
      <w:r>
        <w:rPr>
          <w:lang w:val="cy-GB"/>
        </w:rPr>
        <w:t xml:space="preserve">D.P. Williams, ‘Apostleship’, </w:t>
      </w:r>
      <w:r>
        <w:rPr>
          <w:i/>
          <w:lang w:val="cy-GB"/>
        </w:rPr>
        <w:t>RoG</w:t>
      </w:r>
      <w:r>
        <w:rPr>
          <w:lang w:val="cy-GB"/>
        </w:rPr>
        <w:t xml:space="preserve">, ii.7 (Nov. 1924), 8. Cf. idem, ‘The Eternal King’, </w:t>
      </w:r>
      <w:r>
        <w:rPr>
          <w:i/>
          <w:lang w:val="cy-GB"/>
        </w:rPr>
        <w:t>RoG</w:t>
      </w:r>
      <w:r>
        <w:rPr>
          <w:lang w:val="cy-GB"/>
        </w:rPr>
        <w:t xml:space="preserve">, xiv.2 (Nov. 1938), 262: ‘The Church which is His Body is a living organism, and not a worldly institution.’ idem, ‘The Body of Christ and the Throne’, </w:t>
      </w:r>
      <w:r>
        <w:rPr>
          <w:i/>
          <w:lang w:val="cy-GB"/>
        </w:rPr>
        <w:t>RoG</w:t>
      </w:r>
      <w:r>
        <w:rPr>
          <w:lang w:val="cy-GB"/>
        </w:rPr>
        <w:t>, xiv.4 (March 1939), 352.</w:t>
      </w:r>
    </w:p>
  </w:footnote>
  <w:footnote w:id="484">
    <w:p w:rsidR="00AB3F05" w:rsidRPr="00B42BE0" w:rsidRDefault="00AB3F05" w:rsidP="00062AED">
      <w:pPr>
        <w:pStyle w:val="FootnoteText"/>
        <w:rPr>
          <w:lang w:val="cy-GB"/>
        </w:rPr>
      </w:pPr>
      <w:r>
        <w:rPr>
          <w:rStyle w:val="FootnoteReference"/>
        </w:rPr>
        <w:footnoteRef/>
      </w:r>
      <w:r>
        <w:t xml:space="preserve"> </w:t>
      </w:r>
      <w:r>
        <w:rPr>
          <w:lang w:val="cy-GB"/>
        </w:rPr>
        <w:t>Williams, ‘The Unity of the Body’, 12.</w:t>
      </w:r>
    </w:p>
  </w:footnote>
  <w:footnote w:id="485">
    <w:p w:rsidR="00AB3F05" w:rsidRPr="00DA3580" w:rsidRDefault="00AB3F05" w:rsidP="00062AED">
      <w:pPr>
        <w:pStyle w:val="FootnoteText"/>
        <w:rPr>
          <w:lang w:val="cy-GB"/>
        </w:rPr>
      </w:pPr>
      <w:r>
        <w:rPr>
          <w:rStyle w:val="FootnoteReference"/>
        </w:rPr>
        <w:footnoteRef/>
      </w:r>
      <w:r>
        <w:t xml:space="preserve"> </w:t>
      </w:r>
      <w:r>
        <w:rPr>
          <w:lang w:val="cy-GB"/>
        </w:rPr>
        <w:t>Williams, ‘From Glory to Glory’, 47.</w:t>
      </w:r>
    </w:p>
  </w:footnote>
  <w:footnote w:id="486">
    <w:p w:rsidR="00AB3F05" w:rsidRPr="006460B1" w:rsidRDefault="00AB3F05" w:rsidP="00062AED">
      <w:pPr>
        <w:pStyle w:val="FootnoteText"/>
        <w:rPr>
          <w:lang w:val="cy-GB"/>
        </w:rPr>
      </w:pPr>
      <w:r>
        <w:rPr>
          <w:rStyle w:val="FootnoteReference"/>
        </w:rPr>
        <w:footnoteRef/>
      </w:r>
      <w:r>
        <w:t xml:space="preserve"> </w:t>
      </w:r>
      <w:r>
        <w:rPr>
          <w:lang w:val="cy-GB"/>
        </w:rPr>
        <w:t>Williams, ‘The Unity of the Body’, 14.</w:t>
      </w:r>
    </w:p>
  </w:footnote>
  <w:footnote w:id="487">
    <w:p w:rsidR="00AB3F05" w:rsidRPr="00F33042" w:rsidRDefault="00AB3F05" w:rsidP="00062AED">
      <w:pPr>
        <w:pStyle w:val="FootnoteText"/>
      </w:pPr>
      <w:r>
        <w:rPr>
          <w:rStyle w:val="FootnoteReference"/>
        </w:rPr>
        <w:footnoteRef/>
      </w:r>
      <w:r>
        <w:t xml:space="preserve"> D.P. Williams, ‘The Ministry of the Word’, </w:t>
      </w:r>
      <w:r w:rsidRPr="00F33042">
        <w:rPr>
          <w:i/>
        </w:rPr>
        <w:t>The Enduring Word</w:t>
      </w:r>
      <w:r>
        <w:t xml:space="preserve"> (Penygroes: Apostolic Publications, 1944), 174.</w:t>
      </w:r>
    </w:p>
  </w:footnote>
  <w:footnote w:id="488">
    <w:p w:rsidR="00AB3F05" w:rsidRPr="00F33042" w:rsidRDefault="00AB3F05" w:rsidP="00062AED">
      <w:pPr>
        <w:pStyle w:val="FootnoteText"/>
      </w:pPr>
      <w:r>
        <w:rPr>
          <w:rStyle w:val="FootnoteReference"/>
        </w:rPr>
        <w:footnoteRef/>
      </w:r>
      <w:r>
        <w:t xml:space="preserve"> D.P. Williams, ‘Editorial: God’s Image in Man’, </w:t>
      </w:r>
      <w:r>
        <w:rPr>
          <w:i/>
        </w:rPr>
        <w:t>RoG</w:t>
      </w:r>
      <w:r>
        <w:t>, xiii.5 (May 1938), 392.</w:t>
      </w:r>
    </w:p>
  </w:footnote>
  <w:footnote w:id="489">
    <w:p w:rsidR="00AB3F05" w:rsidRPr="00F33042" w:rsidRDefault="00AB3F05" w:rsidP="00062AED">
      <w:pPr>
        <w:pStyle w:val="FootnoteText"/>
      </w:pPr>
      <w:r>
        <w:rPr>
          <w:rStyle w:val="FootnoteReference"/>
        </w:rPr>
        <w:footnoteRef/>
      </w:r>
      <w:r>
        <w:t xml:space="preserve"> Williams, ‘Editorial: Church Unity’, 244.</w:t>
      </w:r>
    </w:p>
  </w:footnote>
  <w:footnote w:id="490">
    <w:p w:rsidR="00AB3F05" w:rsidRPr="00254D7D" w:rsidRDefault="00AB3F05" w:rsidP="00062AED">
      <w:pPr>
        <w:pStyle w:val="FootnoteText"/>
      </w:pPr>
      <w:r>
        <w:rPr>
          <w:rStyle w:val="FootnoteReference"/>
        </w:rPr>
        <w:footnoteRef/>
      </w:r>
      <w:r>
        <w:t xml:space="preserve"> Ibid., 247.</w:t>
      </w:r>
    </w:p>
  </w:footnote>
  <w:footnote w:id="491">
    <w:p w:rsidR="00AB3F05" w:rsidRPr="00084CBC" w:rsidRDefault="00AB3F05" w:rsidP="00062AED">
      <w:pPr>
        <w:pStyle w:val="FootnoteText"/>
      </w:pPr>
      <w:r>
        <w:rPr>
          <w:rStyle w:val="FootnoteReference"/>
        </w:rPr>
        <w:footnoteRef/>
      </w:r>
      <w:r>
        <w:t xml:space="preserve"> D.P. Williams, ‘Apostleship’, </w:t>
      </w:r>
      <w:r>
        <w:rPr>
          <w:i/>
        </w:rPr>
        <w:t>RoG</w:t>
      </w:r>
      <w:r>
        <w:t>, ii.6 (June 1924), 13.</w:t>
      </w:r>
    </w:p>
  </w:footnote>
  <w:footnote w:id="492">
    <w:p w:rsidR="00AB3F05" w:rsidRPr="00B526CB" w:rsidRDefault="00AB3F05" w:rsidP="00062AED">
      <w:pPr>
        <w:pStyle w:val="FootnoteText"/>
      </w:pPr>
      <w:r>
        <w:rPr>
          <w:rStyle w:val="FootnoteReference"/>
        </w:rPr>
        <w:footnoteRef/>
      </w:r>
      <w:r>
        <w:t xml:space="preserve"> Williams, ‘Editorial: God’s Image in Man’, 392.</w:t>
      </w:r>
    </w:p>
  </w:footnote>
  <w:footnote w:id="493">
    <w:p w:rsidR="00AB3F05" w:rsidRPr="00313225" w:rsidRDefault="00AB3F05" w:rsidP="00062AED">
      <w:pPr>
        <w:pStyle w:val="FootnoteText"/>
      </w:pPr>
      <w:r>
        <w:rPr>
          <w:rStyle w:val="FootnoteReference"/>
        </w:rPr>
        <w:footnoteRef/>
      </w:r>
      <w:r>
        <w:t xml:space="preserve"> D.P. Williams, ‘The High Priestly Prayer – Oneness’, </w:t>
      </w:r>
      <w:r>
        <w:rPr>
          <w:i/>
        </w:rPr>
        <w:t>RoG</w:t>
      </w:r>
      <w:r>
        <w:t>, vii.1 (Sept. 1931), 15.</w:t>
      </w:r>
    </w:p>
  </w:footnote>
  <w:footnote w:id="494">
    <w:p w:rsidR="00AB3F05" w:rsidRPr="00FC3A91" w:rsidRDefault="00AB3F05" w:rsidP="00062AED">
      <w:pPr>
        <w:pStyle w:val="FootnoteText"/>
      </w:pPr>
      <w:r>
        <w:rPr>
          <w:rStyle w:val="FootnoteReference"/>
        </w:rPr>
        <w:footnoteRef/>
      </w:r>
      <w:r>
        <w:t xml:space="preserve"> Williams, </w:t>
      </w:r>
      <w:r w:rsidRPr="00710655">
        <w:rPr>
          <w:i/>
        </w:rPr>
        <w:t>Prophetical Ministry</w:t>
      </w:r>
      <w:r>
        <w:t>, 75. Referring to 1 Cor. 12:12.</w:t>
      </w:r>
    </w:p>
  </w:footnote>
  <w:footnote w:id="495">
    <w:p w:rsidR="00AB3F05" w:rsidRPr="002E10CC" w:rsidRDefault="00AB3F05" w:rsidP="00062AED">
      <w:pPr>
        <w:pStyle w:val="FootnoteText"/>
        <w:rPr>
          <w:lang w:val="cy-GB"/>
        </w:rPr>
      </w:pPr>
      <w:r>
        <w:rPr>
          <w:rStyle w:val="FootnoteReference"/>
        </w:rPr>
        <w:footnoteRef/>
      </w:r>
      <w:r>
        <w:t xml:space="preserve"> </w:t>
      </w:r>
      <w:r>
        <w:rPr>
          <w:lang w:val="cy-GB"/>
        </w:rPr>
        <w:t>Williams, ‘Exposition: My Church’, 81.</w:t>
      </w:r>
    </w:p>
  </w:footnote>
  <w:footnote w:id="496">
    <w:p w:rsidR="00AB3F05" w:rsidRPr="00EE48FD" w:rsidRDefault="00AB3F05" w:rsidP="00062AED">
      <w:pPr>
        <w:pStyle w:val="FootnoteText"/>
        <w:rPr>
          <w:lang w:val="cy-GB"/>
        </w:rPr>
      </w:pPr>
      <w:r>
        <w:rPr>
          <w:rStyle w:val="FootnoteReference"/>
        </w:rPr>
        <w:footnoteRef/>
      </w:r>
      <w:r>
        <w:t xml:space="preserve"> </w:t>
      </w:r>
      <w:r>
        <w:rPr>
          <w:lang w:val="cy-GB"/>
        </w:rPr>
        <w:t>Ibid.</w:t>
      </w:r>
    </w:p>
  </w:footnote>
  <w:footnote w:id="497">
    <w:p w:rsidR="00AB3F05" w:rsidRPr="00084CBC" w:rsidRDefault="00AB3F05" w:rsidP="00062AED">
      <w:pPr>
        <w:pStyle w:val="FootnoteText"/>
        <w:rPr>
          <w:lang w:val="cy-GB"/>
        </w:rPr>
      </w:pPr>
      <w:r>
        <w:rPr>
          <w:rStyle w:val="FootnoteReference"/>
        </w:rPr>
        <w:footnoteRef/>
      </w:r>
      <w:r>
        <w:t xml:space="preserve"> Williams, ‘Editorial: God’s Image in Man’, 392.</w:t>
      </w:r>
    </w:p>
  </w:footnote>
  <w:footnote w:id="498">
    <w:p w:rsidR="00AB3F05" w:rsidRPr="00084CBC" w:rsidRDefault="00AB3F05" w:rsidP="00062AED">
      <w:pPr>
        <w:pStyle w:val="FootnoteText"/>
        <w:rPr>
          <w:lang w:val="cy-GB"/>
        </w:rPr>
      </w:pPr>
      <w:r>
        <w:rPr>
          <w:rStyle w:val="FootnoteReference"/>
        </w:rPr>
        <w:footnoteRef/>
      </w:r>
      <w:r>
        <w:t xml:space="preserve"> </w:t>
      </w:r>
      <w:r>
        <w:rPr>
          <w:lang w:val="cy-GB"/>
        </w:rPr>
        <w:t xml:space="preserve">D.P. Williams, ‘Exposition’, </w:t>
      </w:r>
      <w:r>
        <w:rPr>
          <w:i/>
          <w:lang w:val="cy-GB"/>
        </w:rPr>
        <w:t>RoG</w:t>
      </w:r>
      <w:r>
        <w:rPr>
          <w:lang w:val="cy-GB"/>
        </w:rPr>
        <w:t>, ii.9 (August 1925), 16.</w:t>
      </w:r>
    </w:p>
  </w:footnote>
  <w:footnote w:id="499">
    <w:p w:rsidR="00AB3F05" w:rsidRPr="00084CBC" w:rsidRDefault="00AB3F05" w:rsidP="00062AED">
      <w:pPr>
        <w:pStyle w:val="FootnoteText"/>
        <w:rPr>
          <w:lang w:val="cy-GB"/>
        </w:rPr>
      </w:pPr>
      <w:r>
        <w:rPr>
          <w:rStyle w:val="FootnoteReference"/>
        </w:rPr>
        <w:footnoteRef/>
      </w:r>
      <w:r>
        <w:t xml:space="preserve"> </w:t>
      </w:r>
      <w:r>
        <w:rPr>
          <w:lang w:val="cy-GB"/>
        </w:rPr>
        <w:t>Ibid., 17.</w:t>
      </w:r>
    </w:p>
  </w:footnote>
  <w:footnote w:id="500">
    <w:p w:rsidR="00AB3F05" w:rsidRPr="00D15060" w:rsidRDefault="00AB3F05" w:rsidP="00062AED">
      <w:pPr>
        <w:pStyle w:val="FootnoteText"/>
        <w:rPr>
          <w:lang w:val="cy-GB"/>
        </w:rPr>
      </w:pPr>
      <w:r>
        <w:rPr>
          <w:rStyle w:val="FootnoteReference"/>
        </w:rPr>
        <w:footnoteRef/>
      </w:r>
      <w:r>
        <w:t xml:space="preserve"> </w:t>
      </w:r>
      <w:r>
        <w:rPr>
          <w:lang w:val="cy-GB"/>
        </w:rPr>
        <w:t xml:space="preserve">Williams, </w:t>
      </w:r>
      <w:r w:rsidRPr="00D15060">
        <w:rPr>
          <w:i/>
          <w:lang w:val="cy-GB"/>
        </w:rPr>
        <w:t>The Prophetical Ministry</w:t>
      </w:r>
      <w:r>
        <w:rPr>
          <w:lang w:val="cy-GB"/>
        </w:rPr>
        <w:t>, 75; on the relationship between the eternal purpose, the church, and election, see further Williams</w:t>
      </w:r>
      <w:r w:rsidRPr="009D1BA3">
        <w:rPr>
          <w:lang w:val="cy-GB"/>
        </w:rPr>
        <w:t>, ‘The Body of Christ and the Throne’, 350-352.</w:t>
      </w:r>
    </w:p>
  </w:footnote>
  <w:footnote w:id="501">
    <w:p w:rsidR="00AB3F05" w:rsidRPr="00CA616A" w:rsidRDefault="00AB3F05" w:rsidP="00062AED">
      <w:pPr>
        <w:pStyle w:val="FootnoteText"/>
      </w:pPr>
      <w:r>
        <w:rPr>
          <w:rStyle w:val="FootnoteReference"/>
        </w:rPr>
        <w:footnoteRef/>
      </w:r>
      <w:r>
        <w:t xml:space="preserve"> Williams, ‘High Priestly Prayer’, 15. It is important to note here that, for Williams, this is only possible by ‘possessing the life that is in the Godhead’ and ‘the love of God in us’ brought about through Christ’s Incarnation and Atonement.</w:t>
      </w:r>
    </w:p>
  </w:footnote>
  <w:footnote w:id="502">
    <w:p w:rsidR="00AB3F05" w:rsidRPr="00E15378" w:rsidRDefault="00AB3F05" w:rsidP="00062AED">
      <w:pPr>
        <w:pStyle w:val="FootnoteText"/>
        <w:rPr>
          <w:lang w:val="cy-GB"/>
        </w:rPr>
      </w:pPr>
      <w:r>
        <w:rPr>
          <w:rStyle w:val="FootnoteReference"/>
        </w:rPr>
        <w:footnoteRef/>
      </w:r>
      <w:r>
        <w:t xml:space="preserve"> Williams, ‘Editorial: Church Unity’, 241.</w:t>
      </w:r>
    </w:p>
  </w:footnote>
  <w:footnote w:id="503">
    <w:p w:rsidR="00AB3F05" w:rsidRPr="00E15378" w:rsidRDefault="00AB3F05" w:rsidP="00062AED">
      <w:pPr>
        <w:pStyle w:val="FootnoteText"/>
        <w:rPr>
          <w:lang w:val="cy-GB"/>
        </w:rPr>
      </w:pPr>
      <w:r>
        <w:rPr>
          <w:rStyle w:val="FootnoteReference"/>
        </w:rPr>
        <w:footnoteRef/>
      </w:r>
      <w:r>
        <w:t xml:space="preserve"> </w:t>
      </w:r>
      <w:r>
        <w:rPr>
          <w:lang w:val="cy-GB"/>
        </w:rPr>
        <w:t>Ibid.</w:t>
      </w:r>
    </w:p>
  </w:footnote>
  <w:footnote w:id="504">
    <w:p w:rsidR="00AB3F05" w:rsidRPr="006A7D6A" w:rsidRDefault="00AB3F05" w:rsidP="00062AED">
      <w:pPr>
        <w:pStyle w:val="FootnoteText"/>
        <w:rPr>
          <w:lang w:val="cy-GB"/>
        </w:rPr>
      </w:pPr>
      <w:r>
        <w:rPr>
          <w:rStyle w:val="FootnoteReference"/>
        </w:rPr>
        <w:footnoteRef/>
      </w:r>
      <w:r>
        <w:t xml:space="preserve"> </w:t>
      </w:r>
      <w:r>
        <w:rPr>
          <w:lang w:val="cy-GB"/>
        </w:rPr>
        <w:t>Williams, ‘The Body of Christ and the Throne’, 350-351.</w:t>
      </w:r>
    </w:p>
  </w:footnote>
  <w:footnote w:id="505">
    <w:p w:rsidR="00AB3F05" w:rsidRPr="00BC61E4" w:rsidRDefault="00AB3F05" w:rsidP="00062AED">
      <w:pPr>
        <w:pStyle w:val="FootnoteText"/>
        <w:rPr>
          <w:lang w:val="cy-GB"/>
        </w:rPr>
      </w:pPr>
      <w:r>
        <w:rPr>
          <w:rStyle w:val="FootnoteReference"/>
        </w:rPr>
        <w:footnoteRef/>
      </w:r>
      <w:r>
        <w:t xml:space="preserve"> Ibid., 351.</w:t>
      </w:r>
    </w:p>
  </w:footnote>
  <w:footnote w:id="506">
    <w:p w:rsidR="00AB3F05" w:rsidRPr="0036289A" w:rsidRDefault="00AB3F05" w:rsidP="00062AED">
      <w:pPr>
        <w:pStyle w:val="FootnoteText"/>
        <w:rPr>
          <w:lang w:val="cy-GB"/>
        </w:rPr>
      </w:pPr>
      <w:r>
        <w:rPr>
          <w:rStyle w:val="FootnoteReference"/>
        </w:rPr>
        <w:footnoteRef/>
      </w:r>
      <w:r>
        <w:t xml:space="preserve"> Williams, ‘High Priestly Prayer’, 15.</w:t>
      </w:r>
    </w:p>
  </w:footnote>
  <w:footnote w:id="507">
    <w:p w:rsidR="00AB3F05" w:rsidRPr="0036289A" w:rsidRDefault="00AB3F05" w:rsidP="00062AED">
      <w:pPr>
        <w:pStyle w:val="FootnoteText"/>
        <w:rPr>
          <w:lang w:val="cy-GB"/>
        </w:rPr>
      </w:pPr>
      <w:r>
        <w:rPr>
          <w:rStyle w:val="FootnoteReference"/>
        </w:rPr>
        <w:footnoteRef/>
      </w:r>
      <w:r>
        <w:t xml:space="preserve"> Williams, ‘Apostleship’, (June 1924), 13.</w:t>
      </w:r>
    </w:p>
  </w:footnote>
  <w:footnote w:id="508">
    <w:p w:rsidR="00AB3F05" w:rsidRPr="003A6E74" w:rsidRDefault="00AB3F05" w:rsidP="00062AED">
      <w:pPr>
        <w:pStyle w:val="FootnoteText"/>
        <w:rPr>
          <w:lang w:val="cy-GB"/>
        </w:rPr>
      </w:pPr>
      <w:r>
        <w:rPr>
          <w:rStyle w:val="FootnoteReference"/>
        </w:rPr>
        <w:footnoteRef/>
      </w:r>
      <w:r>
        <w:t xml:space="preserve"> </w:t>
      </w:r>
      <w:r>
        <w:rPr>
          <w:lang w:val="cy-GB"/>
        </w:rPr>
        <w:t>Ibid.</w:t>
      </w:r>
    </w:p>
  </w:footnote>
  <w:footnote w:id="509">
    <w:p w:rsidR="00AB3F05" w:rsidRPr="007A39B5" w:rsidRDefault="00AB3F05" w:rsidP="00062AED">
      <w:pPr>
        <w:pStyle w:val="FootnoteText"/>
      </w:pPr>
      <w:r>
        <w:rPr>
          <w:rStyle w:val="FootnoteReference"/>
        </w:rPr>
        <w:footnoteRef/>
      </w:r>
      <w:r>
        <w:t xml:space="preserve"> Williams, </w:t>
      </w:r>
      <w:r w:rsidRPr="007A39B5">
        <w:rPr>
          <w:i/>
        </w:rPr>
        <w:t>Trinity</w:t>
      </w:r>
      <w:r>
        <w:t>, 2:36.</w:t>
      </w:r>
    </w:p>
  </w:footnote>
  <w:footnote w:id="510">
    <w:p w:rsidR="00AB3F05" w:rsidRPr="00D929D1" w:rsidRDefault="00AB3F05" w:rsidP="00062AED">
      <w:pPr>
        <w:pStyle w:val="FootnoteText"/>
        <w:rPr>
          <w:lang w:val="cy-GB"/>
        </w:rPr>
      </w:pPr>
      <w:r>
        <w:rPr>
          <w:rStyle w:val="FootnoteReference"/>
        </w:rPr>
        <w:footnoteRef/>
      </w:r>
      <w:r>
        <w:t xml:space="preserve"> </w:t>
      </w:r>
      <w:r>
        <w:rPr>
          <w:lang w:val="cy-GB"/>
        </w:rPr>
        <w:t>The Christology of D.P. Williams and the early Apostolics appears to have been thouroughly Cyrillian/5</w:t>
      </w:r>
      <w:r w:rsidRPr="00D929D1">
        <w:rPr>
          <w:vertAlign w:val="superscript"/>
          <w:lang w:val="cy-GB"/>
        </w:rPr>
        <w:t>th</w:t>
      </w:r>
      <w:r>
        <w:rPr>
          <w:lang w:val="cy-GB"/>
        </w:rPr>
        <w:t xml:space="preserve"> Council. See Williams, </w:t>
      </w:r>
      <w:r w:rsidRPr="0087664B">
        <w:rPr>
          <w:i/>
          <w:lang w:val="cy-GB"/>
        </w:rPr>
        <w:t>Trinity</w:t>
      </w:r>
      <w:r>
        <w:rPr>
          <w:lang w:val="cy-GB"/>
        </w:rPr>
        <w:t xml:space="preserve">, 2:22-28; idem, ‘The Unique Child’, 370-373; David Congo Jones, </w:t>
      </w:r>
      <w:r>
        <w:rPr>
          <w:i/>
          <w:lang w:val="cy-GB"/>
        </w:rPr>
        <w:t>Hol</w:t>
      </w:r>
      <w:r w:rsidRPr="00E342FA">
        <w:rPr>
          <w:i/>
          <w:lang w:val="cy-GB"/>
        </w:rPr>
        <w:t>wyddoreg ar Fywyd ein Harglwydd Iesu Grist</w:t>
      </w:r>
      <w:r>
        <w:rPr>
          <w:lang w:val="cy-GB"/>
        </w:rPr>
        <w:t xml:space="preserve"> (Penygroes: Eglwys Apostolaidd), 4; William Cathcart, ‘The Greatest Revelation of the Ages: The Grace of God’, </w:t>
      </w:r>
      <w:r>
        <w:rPr>
          <w:i/>
          <w:lang w:val="cy-GB"/>
        </w:rPr>
        <w:t>RoG</w:t>
      </w:r>
      <w:r>
        <w:rPr>
          <w:lang w:val="cy-GB"/>
        </w:rPr>
        <w:t xml:space="preserve"> xiii.5 (May 1938), 411; W.H. Lewis, ‘The Incarnation of Our Lord’, </w:t>
      </w:r>
      <w:r>
        <w:rPr>
          <w:i/>
          <w:lang w:val="cy-GB"/>
        </w:rPr>
        <w:t>RoG</w:t>
      </w:r>
      <w:r>
        <w:rPr>
          <w:lang w:val="cy-GB"/>
        </w:rPr>
        <w:t xml:space="preserve">, vi.4 (March 1931), 161; ‘Guiding Principles: Fundamental Truths’, </w:t>
      </w:r>
      <w:r w:rsidRPr="00C72F76">
        <w:rPr>
          <w:i/>
          <w:lang w:val="cy-GB"/>
        </w:rPr>
        <w:t>The Apostolic Church: Its Principles and Practices</w:t>
      </w:r>
      <w:r>
        <w:rPr>
          <w:lang w:val="cy-GB"/>
        </w:rPr>
        <w:t xml:space="preserve">, 190-191; Clyne, </w:t>
      </w:r>
      <w:r w:rsidRPr="00C72F76">
        <w:rPr>
          <w:i/>
          <w:lang w:val="cy-GB"/>
        </w:rPr>
        <w:t>Asked and Answered</w:t>
      </w:r>
      <w:r>
        <w:rPr>
          <w:lang w:val="cy-GB"/>
        </w:rPr>
        <w:t xml:space="preserve">, 11-13; </w:t>
      </w:r>
      <w:r w:rsidRPr="00C72F76">
        <w:rPr>
          <w:i/>
          <w:lang w:val="cy-GB"/>
        </w:rPr>
        <w:t>Fundamentals</w:t>
      </w:r>
      <w:r>
        <w:rPr>
          <w:lang w:val="cy-GB"/>
        </w:rPr>
        <w:t xml:space="preserve">, 12; Thomas, </w:t>
      </w:r>
      <w:r w:rsidRPr="00C72F76">
        <w:rPr>
          <w:i/>
          <w:lang w:val="cy-GB"/>
        </w:rPr>
        <w:t>Emmanuel</w:t>
      </w:r>
      <w:r>
        <w:rPr>
          <w:lang w:val="cy-GB"/>
        </w:rPr>
        <w:t xml:space="preserve">, 9; Rowe, </w:t>
      </w:r>
      <w:r w:rsidRPr="00C72F76">
        <w:rPr>
          <w:i/>
          <w:lang w:val="cy-GB"/>
        </w:rPr>
        <w:t>One Lord, One Faith</w:t>
      </w:r>
      <w:r>
        <w:rPr>
          <w:lang w:val="cy-GB"/>
        </w:rPr>
        <w:t xml:space="preserve">, 63. This is in contrast to much evangelical theology springing from the Reformed theologial tradition, e.g. </w:t>
      </w:r>
      <w:r>
        <w:t xml:space="preserve">Peter Martyr Vermigli, </w:t>
      </w:r>
      <w:r w:rsidRPr="00C72F76">
        <w:rPr>
          <w:i/>
          <w:iCs/>
        </w:rPr>
        <w:t>Dialogue on the Two Natures in Christ</w:t>
      </w:r>
      <w:r>
        <w:rPr>
          <w:i/>
          <w:iCs/>
        </w:rPr>
        <w:t xml:space="preserve">, </w:t>
      </w:r>
      <w:r>
        <w:rPr>
          <w:iCs/>
        </w:rPr>
        <w:t>trans. John Patrick Donnelly,</w:t>
      </w:r>
      <w:r w:rsidRPr="006E18F4">
        <w:rPr>
          <w:iCs/>
        </w:rPr>
        <w:t xml:space="preserve"> </w:t>
      </w:r>
      <w:r>
        <w:rPr>
          <w:iCs/>
        </w:rPr>
        <w:t>(</w:t>
      </w:r>
      <w:r w:rsidRPr="006E18F4">
        <w:rPr>
          <w:iCs/>
        </w:rPr>
        <w:t>Kirksville: Sixteenth Century Journal Publishers, 1995</w:t>
      </w:r>
      <w:r>
        <w:rPr>
          <w:iCs/>
        </w:rPr>
        <w:t>),</w:t>
      </w:r>
      <w:r w:rsidRPr="006E18F4">
        <w:rPr>
          <w:i/>
          <w:iCs/>
        </w:rPr>
        <w:t xml:space="preserve"> </w:t>
      </w:r>
      <w:r w:rsidRPr="00C72F76">
        <w:rPr>
          <w:iCs/>
        </w:rPr>
        <w:t>61</w:t>
      </w:r>
      <w:r>
        <w:rPr>
          <w:iCs/>
        </w:rPr>
        <w:t xml:space="preserve">; Wayne Grudem, </w:t>
      </w:r>
      <w:r w:rsidRPr="00902B39">
        <w:rPr>
          <w:i/>
          <w:iCs/>
        </w:rPr>
        <w:t>Systematic Theology</w:t>
      </w:r>
      <w:r w:rsidRPr="004046AA">
        <w:rPr>
          <w:i/>
          <w:iCs/>
        </w:rPr>
        <w:t xml:space="preserve"> </w:t>
      </w:r>
      <w:r w:rsidRPr="004046AA">
        <w:rPr>
          <w:iCs/>
        </w:rPr>
        <w:t>(Leicester: IVP, 1994</w:t>
      </w:r>
      <w:r>
        <w:rPr>
          <w:iCs/>
        </w:rPr>
        <w:t>)</w:t>
      </w:r>
      <w:r w:rsidRPr="004046AA">
        <w:rPr>
          <w:iCs/>
        </w:rPr>
        <w:t>,</w:t>
      </w:r>
      <w:r>
        <w:rPr>
          <w:iCs/>
        </w:rPr>
        <w:t xml:space="preserve"> 558, 561-562.</w:t>
      </w:r>
    </w:p>
  </w:footnote>
  <w:footnote w:id="511">
    <w:p w:rsidR="00AB3F05" w:rsidRPr="007F7D40" w:rsidRDefault="00AB3F05" w:rsidP="00062AED">
      <w:pPr>
        <w:pStyle w:val="FootnoteText"/>
        <w:rPr>
          <w:lang w:val="cy-GB"/>
        </w:rPr>
      </w:pPr>
      <w:r>
        <w:rPr>
          <w:rStyle w:val="FootnoteReference"/>
        </w:rPr>
        <w:footnoteRef/>
      </w:r>
      <w:r>
        <w:t xml:space="preserve"> </w:t>
      </w:r>
      <w:r>
        <w:rPr>
          <w:lang w:val="cy-GB"/>
        </w:rPr>
        <w:t xml:space="preserve">D.P. Williams, ‘Editorial Note’, </w:t>
      </w:r>
      <w:r>
        <w:rPr>
          <w:i/>
          <w:lang w:val="cy-GB"/>
        </w:rPr>
        <w:t>RoG</w:t>
      </w:r>
      <w:r>
        <w:rPr>
          <w:lang w:val="cy-GB"/>
        </w:rPr>
        <w:t>, ii.7 (November 1924), 4.</w:t>
      </w:r>
    </w:p>
  </w:footnote>
  <w:footnote w:id="512">
    <w:p w:rsidR="00AB3F05" w:rsidRPr="00343E91" w:rsidRDefault="00AB3F05" w:rsidP="00062AED">
      <w:pPr>
        <w:pStyle w:val="FootnoteText"/>
      </w:pPr>
      <w:r>
        <w:rPr>
          <w:rStyle w:val="FootnoteReference"/>
        </w:rPr>
        <w:footnoteRef/>
      </w:r>
      <w:r>
        <w:t xml:space="preserve"> D.P. Williams, ‘The Return of a Pure Language’, </w:t>
      </w:r>
      <w:r>
        <w:rPr>
          <w:i/>
        </w:rPr>
        <w:t>RoG</w:t>
      </w:r>
      <w:r>
        <w:t>, i.9 (1920), 27.</w:t>
      </w:r>
    </w:p>
  </w:footnote>
  <w:footnote w:id="513">
    <w:p w:rsidR="00AB3F05" w:rsidRPr="00A12B8E" w:rsidRDefault="00AB3F05" w:rsidP="00062AED">
      <w:pPr>
        <w:pStyle w:val="FootnoteText"/>
      </w:pPr>
      <w:r>
        <w:rPr>
          <w:rStyle w:val="FootnoteReference"/>
        </w:rPr>
        <w:footnoteRef/>
      </w:r>
      <w:r>
        <w:t xml:space="preserve"> </w:t>
      </w:r>
      <w:r w:rsidRPr="00A12B8E">
        <w:t xml:space="preserve">D.P. Williams, ‘The Weapons of Our Warfare’, </w:t>
      </w:r>
      <w:r>
        <w:rPr>
          <w:i/>
        </w:rPr>
        <w:t>RoG</w:t>
      </w:r>
      <w:r w:rsidRPr="00A12B8E">
        <w:t>, xv.3 (April 1940), 26</w:t>
      </w:r>
      <w:r>
        <w:t>.</w:t>
      </w:r>
    </w:p>
  </w:footnote>
  <w:footnote w:id="514">
    <w:p w:rsidR="00AB3F05" w:rsidRPr="00C14B3F" w:rsidRDefault="00AB3F05" w:rsidP="00062AED">
      <w:pPr>
        <w:pStyle w:val="FootnoteText"/>
        <w:rPr>
          <w:lang w:val="cy-GB"/>
        </w:rPr>
      </w:pPr>
      <w:r>
        <w:rPr>
          <w:rStyle w:val="FootnoteReference"/>
        </w:rPr>
        <w:footnoteRef/>
      </w:r>
      <w:r>
        <w:t xml:space="preserve"> D.P. Williams, ‘Foreword’, </w:t>
      </w:r>
      <w:r>
        <w:rPr>
          <w:i/>
        </w:rPr>
        <w:t>RoG</w:t>
      </w:r>
      <w:r>
        <w:t>, x.1 (Sept. 1934), 5; idem, ‘Weapons’, 26: ‘unification by the Blood.’</w:t>
      </w:r>
    </w:p>
  </w:footnote>
  <w:footnote w:id="515">
    <w:p w:rsidR="00AB3F05" w:rsidRPr="00343E91" w:rsidRDefault="00AB3F05" w:rsidP="00062AED">
      <w:pPr>
        <w:pStyle w:val="FootnoteText"/>
      </w:pPr>
      <w:r>
        <w:rPr>
          <w:rStyle w:val="FootnoteReference"/>
        </w:rPr>
        <w:footnoteRef/>
      </w:r>
      <w:r>
        <w:t xml:space="preserve"> Williams, ‘Return of a Pure Language’, 28.</w:t>
      </w:r>
    </w:p>
  </w:footnote>
  <w:footnote w:id="516">
    <w:p w:rsidR="00AB3F05" w:rsidRPr="00343E91" w:rsidRDefault="00AB3F05" w:rsidP="00062AED">
      <w:pPr>
        <w:pStyle w:val="FootnoteText"/>
      </w:pPr>
      <w:r>
        <w:rPr>
          <w:rStyle w:val="FootnoteReference"/>
        </w:rPr>
        <w:footnoteRef/>
      </w:r>
      <w:r>
        <w:t xml:space="preserve"> Ibid.</w:t>
      </w:r>
    </w:p>
  </w:footnote>
  <w:footnote w:id="517">
    <w:p w:rsidR="00AB3F05" w:rsidRPr="007F7D40" w:rsidRDefault="00AB3F05" w:rsidP="00062AED">
      <w:pPr>
        <w:pStyle w:val="FootnoteText"/>
        <w:rPr>
          <w:lang w:val="cy-GB"/>
        </w:rPr>
      </w:pPr>
      <w:r>
        <w:rPr>
          <w:rStyle w:val="FootnoteReference"/>
        </w:rPr>
        <w:footnoteRef/>
      </w:r>
      <w:r>
        <w:t xml:space="preserve"> </w:t>
      </w:r>
      <w:r>
        <w:rPr>
          <w:lang w:val="cy-GB"/>
        </w:rPr>
        <w:t xml:space="preserve">Williams, ‘Editorial Note’, (Nov. 1924), 4; </w:t>
      </w:r>
      <w:r>
        <w:t>idem</w:t>
      </w:r>
      <w:r w:rsidRPr="00602B88">
        <w:t>, ‘Weapons</w:t>
      </w:r>
      <w:r>
        <w:t xml:space="preserve">’, </w:t>
      </w:r>
      <w:r w:rsidRPr="00602B88">
        <w:t>26</w:t>
      </w:r>
      <w:r>
        <w:t>: ‘The unveiling of the Cross is the calling of the Church.’</w:t>
      </w:r>
    </w:p>
  </w:footnote>
  <w:footnote w:id="518">
    <w:p w:rsidR="00AB3F05" w:rsidRPr="007F7D40" w:rsidRDefault="00AB3F05" w:rsidP="00062AED">
      <w:pPr>
        <w:pStyle w:val="FootnoteText"/>
        <w:rPr>
          <w:lang w:val="cy-GB"/>
        </w:rPr>
      </w:pPr>
      <w:r>
        <w:rPr>
          <w:rStyle w:val="FootnoteReference"/>
        </w:rPr>
        <w:footnoteRef/>
      </w:r>
      <w:r>
        <w:t xml:space="preserve"> </w:t>
      </w:r>
      <w:r>
        <w:rPr>
          <w:lang w:val="cy-GB"/>
        </w:rPr>
        <w:t xml:space="preserve">D.P. Williams, ‘Editorial: Life out of Death’, </w:t>
      </w:r>
      <w:r>
        <w:rPr>
          <w:i/>
          <w:lang w:val="cy-GB"/>
        </w:rPr>
        <w:t>RoG</w:t>
      </w:r>
      <w:r>
        <w:rPr>
          <w:lang w:val="cy-GB"/>
        </w:rPr>
        <w:t>, xi.4 (March 1936), 308.</w:t>
      </w:r>
    </w:p>
  </w:footnote>
  <w:footnote w:id="519">
    <w:p w:rsidR="00AB3F05" w:rsidRPr="00AA032A" w:rsidRDefault="00AB3F05" w:rsidP="00062AED">
      <w:pPr>
        <w:pStyle w:val="FootnoteText"/>
      </w:pPr>
      <w:r>
        <w:rPr>
          <w:rStyle w:val="FootnoteReference"/>
        </w:rPr>
        <w:footnoteRef/>
      </w:r>
      <w:r>
        <w:t xml:space="preserve"> </w:t>
      </w:r>
      <w:r w:rsidRPr="00A24384">
        <w:t xml:space="preserve">Martin Luther, </w:t>
      </w:r>
      <w:r w:rsidRPr="00A24384">
        <w:rPr>
          <w:i/>
        </w:rPr>
        <w:t>Heidelberg Disputation</w:t>
      </w:r>
      <w:r w:rsidRPr="00A24384">
        <w:t>, Thesis 20</w:t>
      </w:r>
      <w:r>
        <w:t>.</w:t>
      </w:r>
    </w:p>
  </w:footnote>
  <w:footnote w:id="520">
    <w:p w:rsidR="00AB3F05" w:rsidRPr="00970A91" w:rsidRDefault="00AB3F05" w:rsidP="00062AED">
      <w:pPr>
        <w:pStyle w:val="FootnoteText"/>
        <w:rPr>
          <w:lang w:val="cy-GB"/>
        </w:rPr>
      </w:pPr>
      <w:r>
        <w:rPr>
          <w:rStyle w:val="FootnoteReference"/>
        </w:rPr>
        <w:footnoteRef/>
      </w:r>
      <w:r>
        <w:t xml:space="preserve"> </w:t>
      </w:r>
      <w:r>
        <w:rPr>
          <w:lang w:val="cy-GB"/>
        </w:rPr>
        <w:t xml:space="preserve">D.P. Williams, ‘Editorial Note’, </w:t>
      </w:r>
      <w:r>
        <w:rPr>
          <w:i/>
          <w:lang w:val="cy-GB"/>
        </w:rPr>
        <w:t>RoG</w:t>
      </w:r>
      <w:r>
        <w:rPr>
          <w:lang w:val="cy-GB"/>
        </w:rPr>
        <w:t>, ii.8 (May 1925), 3.</w:t>
      </w:r>
    </w:p>
  </w:footnote>
  <w:footnote w:id="521">
    <w:p w:rsidR="00AB3F05" w:rsidRPr="00970A91" w:rsidRDefault="00AB3F05" w:rsidP="00062AED">
      <w:pPr>
        <w:pStyle w:val="FootnoteText"/>
        <w:rPr>
          <w:lang w:val="cy-GB"/>
        </w:rPr>
      </w:pPr>
      <w:r>
        <w:rPr>
          <w:rStyle w:val="FootnoteReference"/>
        </w:rPr>
        <w:footnoteRef/>
      </w:r>
      <w:r>
        <w:t xml:space="preserve"> </w:t>
      </w:r>
      <w:r>
        <w:rPr>
          <w:lang w:val="cy-GB"/>
        </w:rPr>
        <w:t>Ibid.</w:t>
      </w:r>
    </w:p>
  </w:footnote>
  <w:footnote w:id="522">
    <w:p w:rsidR="00AB3F05" w:rsidRPr="001D0E05" w:rsidRDefault="00AB3F05" w:rsidP="00062AED">
      <w:pPr>
        <w:pStyle w:val="FootnoteText"/>
        <w:rPr>
          <w:lang w:val="cy-GB"/>
        </w:rPr>
      </w:pPr>
      <w:r>
        <w:rPr>
          <w:rStyle w:val="FootnoteReference"/>
        </w:rPr>
        <w:footnoteRef/>
      </w:r>
      <w:r>
        <w:t xml:space="preserve"> </w:t>
      </w:r>
      <w:r w:rsidRPr="00A24384">
        <w:t xml:space="preserve">Martin Luther, </w:t>
      </w:r>
      <w:r w:rsidRPr="00A24384">
        <w:rPr>
          <w:i/>
        </w:rPr>
        <w:t>Heidelberg Disputation</w:t>
      </w:r>
      <w:r w:rsidRPr="00A24384">
        <w:t xml:space="preserve">, </w:t>
      </w:r>
      <w:r>
        <w:t>Proof 20.</w:t>
      </w:r>
    </w:p>
  </w:footnote>
  <w:footnote w:id="523">
    <w:p w:rsidR="00AB3F05" w:rsidRPr="007649CE" w:rsidRDefault="00AB3F05" w:rsidP="00062AED">
      <w:pPr>
        <w:pStyle w:val="FootnoteText"/>
        <w:rPr>
          <w:lang w:val="cy-GB"/>
        </w:rPr>
      </w:pPr>
      <w:r>
        <w:rPr>
          <w:rStyle w:val="FootnoteReference"/>
        </w:rPr>
        <w:footnoteRef/>
      </w:r>
      <w:r>
        <w:t xml:space="preserve"> </w:t>
      </w:r>
      <w:r>
        <w:rPr>
          <w:lang w:val="cy-GB"/>
        </w:rPr>
        <w:t xml:space="preserve">D.P. Williams, ‘Editorial’, </w:t>
      </w:r>
      <w:r>
        <w:rPr>
          <w:i/>
          <w:lang w:val="cy-GB"/>
        </w:rPr>
        <w:t>RoG</w:t>
      </w:r>
      <w:r>
        <w:rPr>
          <w:lang w:val="cy-GB"/>
        </w:rPr>
        <w:t>, iv.2 (November 1928), 30.</w:t>
      </w:r>
    </w:p>
  </w:footnote>
  <w:footnote w:id="524">
    <w:p w:rsidR="00AB3F05" w:rsidRPr="007649CE" w:rsidRDefault="00AB3F05" w:rsidP="00062AED">
      <w:pPr>
        <w:pStyle w:val="FootnoteText"/>
        <w:rPr>
          <w:lang w:val="cy-GB"/>
        </w:rPr>
      </w:pPr>
      <w:r>
        <w:rPr>
          <w:rStyle w:val="FootnoteReference"/>
        </w:rPr>
        <w:footnoteRef/>
      </w:r>
      <w:r>
        <w:t xml:space="preserve"> Ibid., 31.</w:t>
      </w:r>
    </w:p>
  </w:footnote>
  <w:footnote w:id="525">
    <w:p w:rsidR="00AB3F05" w:rsidRPr="003F1BD7" w:rsidRDefault="00AB3F05" w:rsidP="00062AED">
      <w:pPr>
        <w:pStyle w:val="FootnoteText"/>
        <w:rPr>
          <w:lang w:val="cy-GB"/>
        </w:rPr>
      </w:pPr>
      <w:r>
        <w:rPr>
          <w:rStyle w:val="FootnoteReference"/>
        </w:rPr>
        <w:footnoteRef/>
      </w:r>
      <w:r>
        <w:t xml:space="preserve"> </w:t>
      </w:r>
      <w:r>
        <w:rPr>
          <w:lang w:val="cy-GB"/>
        </w:rPr>
        <w:t xml:space="preserve">D.P. Williams, ‘Editorial: What the Apostolic Church Stands For’, </w:t>
      </w:r>
      <w:r>
        <w:rPr>
          <w:i/>
          <w:lang w:val="cy-GB"/>
        </w:rPr>
        <w:t>RoG</w:t>
      </w:r>
      <w:r>
        <w:rPr>
          <w:lang w:val="cy-GB"/>
        </w:rPr>
        <w:t>, ix.2 (Nov. 1933), 68.</w:t>
      </w:r>
    </w:p>
  </w:footnote>
  <w:footnote w:id="526">
    <w:p w:rsidR="00AB3F05" w:rsidRPr="003F1BD7" w:rsidRDefault="00AB3F05" w:rsidP="00062AED">
      <w:pPr>
        <w:pStyle w:val="FootnoteText"/>
        <w:rPr>
          <w:lang w:val="cy-GB"/>
        </w:rPr>
      </w:pPr>
      <w:r>
        <w:rPr>
          <w:rStyle w:val="FootnoteReference"/>
        </w:rPr>
        <w:footnoteRef/>
      </w:r>
      <w:r>
        <w:t xml:space="preserve"> </w:t>
      </w:r>
      <w:r>
        <w:rPr>
          <w:lang w:val="cy-GB"/>
        </w:rPr>
        <w:t xml:space="preserve">D.P. Williams, ‘Exposition of Prophetical Word’, </w:t>
      </w:r>
      <w:r>
        <w:rPr>
          <w:i/>
          <w:lang w:val="cy-GB"/>
        </w:rPr>
        <w:t>RoG</w:t>
      </w:r>
      <w:r>
        <w:rPr>
          <w:lang w:val="cy-GB"/>
        </w:rPr>
        <w:t>, xi.1 (Sept. 1935), 42.</w:t>
      </w:r>
    </w:p>
  </w:footnote>
  <w:footnote w:id="527">
    <w:p w:rsidR="00AB3F05" w:rsidRPr="003F1BD7" w:rsidRDefault="00AB3F05" w:rsidP="00062AED">
      <w:pPr>
        <w:pStyle w:val="FootnoteText"/>
        <w:rPr>
          <w:lang w:val="cy-GB"/>
        </w:rPr>
      </w:pPr>
      <w:r>
        <w:rPr>
          <w:rStyle w:val="FootnoteReference"/>
        </w:rPr>
        <w:footnoteRef/>
      </w:r>
      <w:r>
        <w:t xml:space="preserve"> </w:t>
      </w:r>
      <w:r>
        <w:rPr>
          <w:lang w:val="cy-GB"/>
        </w:rPr>
        <w:t>Ibid., 41.</w:t>
      </w:r>
    </w:p>
  </w:footnote>
  <w:footnote w:id="528">
    <w:p w:rsidR="00AB3F05" w:rsidRPr="003F1BD7" w:rsidRDefault="00AB3F05" w:rsidP="00062AED">
      <w:pPr>
        <w:pStyle w:val="FootnoteText"/>
        <w:rPr>
          <w:lang w:val="cy-GB"/>
        </w:rPr>
      </w:pPr>
      <w:r>
        <w:rPr>
          <w:rStyle w:val="FootnoteReference"/>
        </w:rPr>
        <w:footnoteRef/>
      </w:r>
      <w:r>
        <w:t xml:space="preserve"> </w:t>
      </w:r>
      <w:r>
        <w:rPr>
          <w:lang w:val="cy-GB"/>
        </w:rPr>
        <w:t>Ibid.</w:t>
      </w:r>
    </w:p>
  </w:footnote>
  <w:footnote w:id="529">
    <w:p w:rsidR="00AB3F05" w:rsidRPr="00B02175" w:rsidRDefault="00AB3F05" w:rsidP="00062AED">
      <w:pPr>
        <w:pStyle w:val="FootnoteText"/>
        <w:rPr>
          <w:lang w:val="cy-GB"/>
        </w:rPr>
      </w:pPr>
      <w:r>
        <w:rPr>
          <w:rStyle w:val="FootnoteReference"/>
        </w:rPr>
        <w:footnoteRef/>
      </w:r>
      <w:r>
        <w:t xml:space="preserve"> </w:t>
      </w:r>
      <w:r>
        <w:rPr>
          <w:lang w:val="cy-GB"/>
        </w:rPr>
        <w:t>Ibid.</w:t>
      </w:r>
    </w:p>
  </w:footnote>
  <w:footnote w:id="530">
    <w:p w:rsidR="00AB3F05" w:rsidRPr="00B001AC" w:rsidRDefault="00AB3F05" w:rsidP="00062AED">
      <w:pPr>
        <w:pStyle w:val="FootnoteText"/>
        <w:rPr>
          <w:lang w:val="cy-GB"/>
        </w:rPr>
      </w:pPr>
      <w:r>
        <w:rPr>
          <w:rStyle w:val="FootnoteReference"/>
        </w:rPr>
        <w:footnoteRef/>
      </w:r>
      <w:r>
        <w:t xml:space="preserve"> </w:t>
      </w:r>
      <w:r>
        <w:rPr>
          <w:lang w:val="cy-GB"/>
        </w:rPr>
        <w:t xml:space="preserve">D.P. Williams, ‘Editorial Note’, </w:t>
      </w:r>
      <w:r>
        <w:rPr>
          <w:i/>
          <w:lang w:val="cy-GB"/>
        </w:rPr>
        <w:t>RoG</w:t>
      </w:r>
      <w:r>
        <w:rPr>
          <w:lang w:val="cy-GB"/>
        </w:rPr>
        <w:t>, iii.3 (Sept. 1927), 154.</w:t>
      </w:r>
    </w:p>
  </w:footnote>
  <w:footnote w:id="531">
    <w:p w:rsidR="00AB3F05" w:rsidRPr="00B001AC" w:rsidRDefault="00AB3F05" w:rsidP="00062AED">
      <w:pPr>
        <w:pStyle w:val="FootnoteText"/>
        <w:rPr>
          <w:lang w:val="cy-GB"/>
        </w:rPr>
      </w:pPr>
      <w:r>
        <w:rPr>
          <w:rStyle w:val="FootnoteReference"/>
        </w:rPr>
        <w:footnoteRef/>
      </w:r>
      <w:r>
        <w:t xml:space="preserve"> </w:t>
      </w:r>
      <w:r>
        <w:rPr>
          <w:lang w:val="cy-GB"/>
        </w:rPr>
        <w:t>Ibid.</w:t>
      </w:r>
    </w:p>
  </w:footnote>
  <w:footnote w:id="532">
    <w:p w:rsidR="00AB3F05" w:rsidRPr="00445D12" w:rsidRDefault="00AB3F05" w:rsidP="00062AED">
      <w:pPr>
        <w:pStyle w:val="FootnoteText"/>
        <w:rPr>
          <w:lang w:val="cy-GB"/>
        </w:rPr>
      </w:pPr>
      <w:r>
        <w:rPr>
          <w:rStyle w:val="FootnoteReference"/>
        </w:rPr>
        <w:footnoteRef/>
      </w:r>
      <w:r>
        <w:t xml:space="preserve"> </w:t>
      </w:r>
      <w:r>
        <w:rPr>
          <w:lang w:val="cy-GB"/>
        </w:rPr>
        <w:t>Williams, ‘From Glory to Glory’, 47.</w:t>
      </w:r>
    </w:p>
  </w:footnote>
  <w:footnote w:id="533">
    <w:p w:rsidR="00AB3F05" w:rsidRPr="00445D12" w:rsidRDefault="00AB3F05" w:rsidP="00062AED">
      <w:pPr>
        <w:pStyle w:val="FootnoteText"/>
        <w:rPr>
          <w:lang w:val="cy-GB"/>
        </w:rPr>
      </w:pPr>
      <w:r>
        <w:rPr>
          <w:rStyle w:val="FootnoteReference"/>
        </w:rPr>
        <w:footnoteRef/>
      </w:r>
      <w:r>
        <w:t xml:space="preserve"> </w:t>
      </w:r>
      <w:r>
        <w:rPr>
          <w:lang w:val="cy-GB"/>
        </w:rPr>
        <w:t>Ibid.</w:t>
      </w:r>
    </w:p>
  </w:footnote>
  <w:footnote w:id="534">
    <w:p w:rsidR="00AB3F05" w:rsidRPr="00445D12" w:rsidRDefault="00AB3F05" w:rsidP="00062AED">
      <w:pPr>
        <w:pStyle w:val="FootnoteText"/>
        <w:rPr>
          <w:lang w:val="cy-GB"/>
        </w:rPr>
      </w:pPr>
      <w:r>
        <w:rPr>
          <w:rStyle w:val="FootnoteReference"/>
        </w:rPr>
        <w:footnoteRef/>
      </w:r>
      <w:r>
        <w:t xml:space="preserve"> </w:t>
      </w:r>
      <w:r>
        <w:rPr>
          <w:lang w:val="cy-GB"/>
        </w:rPr>
        <w:t>Ibid., 46.</w:t>
      </w:r>
    </w:p>
  </w:footnote>
  <w:footnote w:id="535">
    <w:p w:rsidR="00AB3F05" w:rsidRPr="00093A14" w:rsidRDefault="00AB3F05" w:rsidP="00062AED">
      <w:pPr>
        <w:pStyle w:val="FootnoteText"/>
        <w:rPr>
          <w:lang w:val="cy-GB"/>
        </w:rPr>
      </w:pPr>
      <w:r>
        <w:rPr>
          <w:rStyle w:val="FootnoteReference"/>
        </w:rPr>
        <w:footnoteRef/>
      </w:r>
      <w:r>
        <w:t xml:space="preserve"> </w:t>
      </w:r>
      <w:r>
        <w:rPr>
          <w:lang w:val="cy-GB"/>
        </w:rPr>
        <w:t xml:space="preserve">D.P. Williams, ‘Exposition’, </w:t>
      </w:r>
      <w:r>
        <w:rPr>
          <w:i/>
          <w:lang w:val="cy-GB"/>
        </w:rPr>
        <w:t>RoG</w:t>
      </w:r>
      <w:r>
        <w:rPr>
          <w:lang w:val="cy-GB"/>
        </w:rPr>
        <w:t>, iii.1 (March 1927), 45.</w:t>
      </w:r>
    </w:p>
  </w:footnote>
  <w:footnote w:id="536">
    <w:p w:rsidR="00AB3F05" w:rsidRPr="0070388A" w:rsidRDefault="00AB3F05" w:rsidP="00062AED">
      <w:pPr>
        <w:pStyle w:val="FootnoteText"/>
        <w:rPr>
          <w:lang w:val="cy-GB"/>
        </w:rPr>
      </w:pPr>
      <w:r>
        <w:rPr>
          <w:rStyle w:val="FootnoteReference"/>
        </w:rPr>
        <w:footnoteRef/>
      </w:r>
      <w:r>
        <w:t xml:space="preserve"> </w:t>
      </w:r>
      <w:r>
        <w:rPr>
          <w:lang w:val="cy-GB"/>
        </w:rPr>
        <w:t xml:space="preserve">D.P. Williams, ‘Exposition of the Foregoing Prophecy’, </w:t>
      </w:r>
      <w:r>
        <w:rPr>
          <w:i/>
          <w:lang w:val="cy-GB"/>
        </w:rPr>
        <w:t>RoG</w:t>
      </w:r>
      <w:r>
        <w:rPr>
          <w:lang w:val="cy-GB"/>
        </w:rPr>
        <w:t>, i.9 (1920), 5.</w:t>
      </w:r>
    </w:p>
  </w:footnote>
  <w:footnote w:id="537">
    <w:p w:rsidR="00AB3F05" w:rsidRPr="0070388A" w:rsidRDefault="00AB3F05" w:rsidP="00062AED">
      <w:pPr>
        <w:pStyle w:val="FootnoteText"/>
        <w:rPr>
          <w:lang w:val="cy-GB"/>
        </w:rPr>
      </w:pPr>
      <w:r>
        <w:rPr>
          <w:rStyle w:val="FootnoteReference"/>
        </w:rPr>
        <w:footnoteRef/>
      </w:r>
      <w:r>
        <w:t xml:space="preserve"> </w:t>
      </w:r>
      <w:r>
        <w:rPr>
          <w:lang w:val="cy-GB"/>
        </w:rPr>
        <w:t>Williams, ‘Editorial: Life out of Death’, 308.</w:t>
      </w:r>
    </w:p>
  </w:footnote>
  <w:footnote w:id="538">
    <w:p w:rsidR="00AB3F05" w:rsidRPr="00A47682" w:rsidRDefault="00AB3F05" w:rsidP="00062AED">
      <w:pPr>
        <w:pStyle w:val="FootnoteText"/>
        <w:rPr>
          <w:lang w:val="cy-GB"/>
        </w:rPr>
      </w:pPr>
      <w:r>
        <w:rPr>
          <w:rStyle w:val="FootnoteReference"/>
        </w:rPr>
        <w:footnoteRef/>
      </w:r>
      <w:r>
        <w:t xml:space="preserve"> </w:t>
      </w:r>
      <w:r>
        <w:rPr>
          <w:lang w:val="cy-GB"/>
        </w:rPr>
        <w:t>Ibid., 307.</w:t>
      </w:r>
    </w:p>
  </w:footnote>
  <w:footnote w:id="539">
    <w:p w:rsidR="00AB3F05" w:rsidRPr="00A47682" w:rsidRDefault="00AB3F05" w:rsidP="00062AED">
      <w:pPr>
        <w:pStyle w:val="FootnoteText"/>
        <w:rPr>
          <w:lang w:val="cy-GB"/>
        </w:rPr>
      </w:pPr>
      <w:r>
        <w:rPr>
          <w:rStyle w:val="FootnoteReference"/>
        </w:rPr>
        <w:footnoteRef/>
      </w:r>
      <w:r>
        <w:t xml:space="preserve"> </w:t>
      </w:r>
      <w:r>
        <w:rPr>
          <w:lang w:val="cy-GB"/>
        </w:rPr>
        <w:t>Ibid., 308.</w:t>
      </w:r>
    </w:p>
  </w:footnote>
  <w:footnote w:id="540">
    <w:p w:rsidR="00AB3F05" w:rsidRPr="00760FA9" w:rsidRDefault="00AB3F05" w:rsidP="00062AED">
      <w:pPr>
        <w:pStyle w:val="FootnoteText"/>
        <w:rPr>
          <w:lang w:val="cy-GB"/>
        </w:rPr>
      </w:pPr>
      <w:r>
        <w:rPr>
          <w:rStyle w:val="FootnoteReference"/>
        </w:rPr>
        <w:footnoteRef/>
      </w:r>
      <w:r>
        <w:t xml:space="preserve"> </w:t>
      </w:r>
      <w:r>
        <w:rPr>
          <w:lang w:val="cy-GB"/>
        </w:rPr>
        <w:t>Williams, ‘Exposition’ (1920), 5.</w:t>
      </w:r>
    </w:p>
  </w:footnote>
  <w:footnote w:id="541">
    <w:p w:rsidR="00AB3F05" w:rsidRPr="00224051" w:rsidRDefault="00AB3F05" w:rsidP="00062AED">
      <w:pPr>
        <w:pStyle w:val="FootnoteText"/>
        <w:rPr>
          <w:lang w:val="cy-GB"/>
        </w:rPr>
      </w:pPr>
      <w:r>
        <w:rPr>
          <w:rStyle w:val="FootnoteReference"/>
        </w:rPr>
        <w:footnoteRef/>
      </w:r>
      <w:r>
        <w:t xml:space="preserve"> </w:t>
      </w:r>
      <w:r>
        <w:rPr>
          <w:lang w:val="cy-GB"/>
        </w:rPr>
        <w:t>Ibid.</w:t>
      </w:r>
    </w:p>
  </w:footnote>
  <w:footnote w:id="542">
    <w:p w:rsidR="00AB3F05" w:rsidRPr="00224051" w:rsidRDefault="00AB3F05" w:rsidP="00062AED">
      <w:pPr>
        <w:pStyle w:val="FootnoteText"/>
      </w:pPr>
      <w:r>
        <w:rPr>
          <w:rStyle w:val="FootnoteReference"/>
        </w:rPr>
        <w:footnoteRef/>
      </w:r>
      <w:r>
        <w:t xml:space="preserve"> Ibid.</w:t>
      </w:r>
    </w:p>
  </w:footnote>
  <w:footnote w:id="543">
    <w:p w:rsidR="00AB3F05" w:rsidRPr="00A47682" w:rsidRDefault="00AB3F05" w:rsidP="00062AED">
      <w:pPr>
        <w:pStyle w:val="FootnoteText"/>
        <w:rPr>
          <w:lang w:val="cy-GB"/>
        </w:rPr>
      </w:pPr>
      <w:r>
        <w:rPr>
          <w:rStyle w:val="FootnoteReference"/>
        </w:rPr>
        <w:footnoteRef/>
      </w:r>
      <w:r>
        <w:t xml:space="preserve"> </w:t>
      </w:r>
      <w:r>
        <w:rPr>
          <w:lang w:val="cy-GB"/>
        </w:rPr>
        <w:t>Williams, ‘Editorial: Life out of Death’, 308.</w:t>
      </w:r>
    </w:p>
  </w:footnote>
  <w:footnote w:id="544">
    <w:p w:rsidR="00AB3F05" w:rsidRDefault="00AB3F05" w:rsidP="00062AED">
      <w:pPr>
        <w:pStyle w:val="FootnoteText"/>
      </w:pPr>
      <w:r>
        <w:rPr>
          <w:rStyle w:val="FootnoteReference"/>
        </w:rPr>
        <w:footnoteRef/>
      </w:r>
      <w:r>
        <w:t xml:space="preserve"> </w:t>
      </w:r>
      <w:r w:rsidRPr="00551027">
        <w:t xml:space="preserve">Malcolm Clive Dyer, ‘An Examination of the Theology and Practice of the Lord’s Supper in British Pentecostalism’ (MPhil diss., King’s College, London, 2004), </w:t>
      </w:r>
      <w:r>
        <w:t>103-104</w:t>
      </w:r>
      <w:r w:rsidRPr="00551027">
        <w:t xml:space="preserve">; Richard Bicknell, ‘In Memory of Christ’s Sacrifice: Roots and Shoots of Elim’s Eucharistic Expression’, </w:t>
      </w:r>
      <w:r w:rsidRPr="00551027">
        <w:rPr>
          <w:i/>
        </w:rPr>
        <w:t>JEPTA</w:t>
      </w:r>
      <w:r w:rsidRPr="00551027">
        <w:t xml:space="preserve"> 17 (1997), 59, 77-78; David Allen, </w:t>
      </w:r>
      <w:r w:rsidRPr="00551027">
        <w:rPr>
          <w:i/>
        </w:rPr>
        <w:t>Neglected Feast: Rescuing the Breaking of Bread</w:t>
      </w:r>
      <w:r w:rsidRPr="00551027">
        <w:t xml:space="preserve"> (Nottingham: Expression, 2007),14, 54-55.</w:t>
      </w:r>
    </w:p>
  </w:footnote>
  <w:footnote w:id="545">
    <w:p w:rsidR="00AB3F05" w:rsidRPr="00C232A7" w:rsidRDefault="00AB3F05" w:rsidP="00062AED">
      <w:pPr>
        <w:pStyle w:val="FootnoteText"/>
        <w:rPr>
          <w:lang w:val="cy-GB"/>
        </w:rPr>
      </w:pPr>
      <w:r>
        <w:rPr>
          <w:rStyle w:val="FootnoteReference"/>
        </w:rPr>
        <w:footnoteRef/>
      </w:r>
      <w:r>
        <w:t xml:space="preserve"> </w:t>
      </w:r>
      <w:r w:rsidRPr="00C232A7">
        <w:rPr>
          <w:i/>
        </w:rPr>
        <w:t>The Apostolic Church: Its Principles and Practices</w:t>
      </w:r>
      <w:r>
        <w:t xml:space="preserve">, 215-217 ; Rowe, </w:t>
      </w:r>
      <w:r w:rsidRPr="00C232A7">
        <w:rPr>
          <w:i/>
        </w:rPr>
        <w:t>One Lord, One Faith,</w:t>
      </w:r>
      <w:r>
        <w:t xml:space="preserve"> 213-214; Jonathan Black, ‘The Church as Eucharistic Fellowship: A British Apostolic Contribution toward a Pentecostal Ecclesiology’, </w:t>
      </w:r>
      <w:r w:rsidRPr="00C232A7">
        <w:rPr>
          <w:i/>
        </w:rPr>
        <w:t>JEPTA</w:t>
      </w:r>
      <w:r>
        <w:t xml:space="preserve"> xxix.2 (2009), </w:t>
      </w:r>
      <w:r>
        <w:rPr>
          <w:lang w:val="cy-GB"/>
        </w:rPr>
        <w:t>78-89.</w:t>
      </w:r>
    </w:p>
  </w:footnote>
  <w:footnote w:id="546">
    <w:p w:rsidR="00AB3F05" w:rsidRPr="00E779D9" w:rsidRDefault="00AB3F05" w:rsidP="00062AED">
      <w:pPr>
        <w:pStyle w:val="FootnoteText"/>
        <w:rPr>
          <w:lang w:val="cy-GB"/>
        </w:rPr>
      </w:pPr>
      <w:r>
        <w:rPr>
          <w:rStyle w:val="FootnoteReference"/>
        </w:rPr>
        <w:footnoteRef/>
      </w:r>
      <w:r>
        <w:t xml:space="preserve"> Williams, </w:t>
      </w:r>
      <w:r w:rsidRPr="00E779D9">
        <w:rPr>
          <w:i/>
          <w:lang w:val="cy-GB"/>
        </w:rPr>
        <w:t>Athrawiaethau Sylfeinol</w:t>
      </w:r>
      <w:r>
        <w:rPr>
          <w:lang w:val="cy-GB"/>
        </w:rPr>
        <w:t xml:space="preserve">, 10; For mention of this substantial feeding in his hymnody, see D.P. Williams, </w:t>
      </w:r>
      <w:r>
        <w:rPr>
          <w:i/>
          <w:lang w:val="cy-GB"/>
        </w:rPr>
        <w:t>MDd</w:t>
      </w:r>
      <w:r>
        <w:rPr>
          <w:lang w:val="cy-GB"/>
        </w:rPr>
        <w:t xml:space="preserve">, 315. Interestingly this hymn also connects feasting upon Christ’s substance in the Supper with experiencing the gracious </w:t>
      </w:r>
      <w:r w:rsidRPr="000F3A7D">
        <w:rPr>
          <w:i/>
          <w:lang w:val="cy-GB"/>
        </w:rPr>
        <w:t>cymdeithas</w:t>
      </w:r>
      <w:r>
        <w:rPr>
          <w:lang w:val="cy-GB"/>
        </w:rPr>
        <w:t xml:space="preserve"> of God (cf. above on </w:t>
      </w:r>
      <w:r w:rsidRPr="00C504DF">
        <w:rPr>
          <w:i/>
          <w:lang w:val="cy-GB"/>
        </w:rPr>
        <w:t>cymdeithas</w:t>
      </w:r>
      <w:r>
        <w:rPr>
          <w:lang w:val="cy-GB"/>
        </w:rPr>
        <w:t xml:space="preserve"> in the </w:t>
      </w:r>
      <w:r w:rsidRPr="000F3A7D">
        <w:rPr>
          <w:i/>
          <w:lang w:val="cy-GB"/>
        </w:rPr>
        <w:t>Athrawieathau Sylfeinol</w:t>
      </w:r>
      <w:r>
        <w:rPr>
          <w:lang w:val="cy-GB"/>
        </w:rPr>
        <w:t>).</w:t>
      </w:r>
    </w:p>
  </w:footnote>
  <w:footnote w:id="547">
    <w:p w:rsidR="00AB3F05" w:rsidRDefault="00AB3F05">
      <w:pPr>
        <w:pStyle w:val="FootnoteText"/>
      </w:pPr>
      <w:r>
        <w:rPr>
          <w:rStyle w:val="FootnoteReference"/>
        </w:rPr>
        <w:footnoteRef/>
      </w:r>
      <w:r>
        <w:t xml:space="preserve"> D.P. Williams, ‘The Path to Maturity VIII’, </w:t>
      </w:r>
      <w:r w:rsidRPr="00561723">
        <w:rPr>
          <w:i/>
        </w:rPr>
        <w:t>HoG</w:t>
      </w:r>
      <w:r>
        <w:t xml:space="preserve"> 6.3 (March 1946), 68.</w:t>
      </w:r>
    </w:p>
  </w:footnote>
  <w:footnote w:id="548">
    <w:p w:rsidR="00AB3F05" w:rsidRDefault="00AB3F05">
      <w:pPr>
        <w:pStyle w:val="FootnoteText"/>
      </w:pPr>
      <w:r>
        <w:rPr>
          <w:rStyle w:val="FootnoteReference"/>
        </w:rPr>
        <w:footnoteRef/>
      </w:r>
      <w:r>
        <w:t xml:space="preserve"> D.P. Williams, ‘The Table of Jezebel’, </w:t>
      </w:r>
      <w:r w:rsidRPr="00561723">
        <w:rPr>
          <w:i/>
        </w:rPr>
        <w:t>RoG</w:t>
      </w:r>
      <w:r>
        <w:t xml:space="preserve"> ii.3 (Nov. 1922), 20.</w:t>
      </w:r>
    </w:p>
  </w:footnote>
  <w:footnote w:id="549">
    <w:p w:rsidR="00AB3F05" w:rsidRPr="00093A3D" w:rsidRDefault="00AB3F05" w:rsidP="00062AED">
      <w:pPr>
        <w:pStyle w:val="FootnoteText"/>
        <w:rPr>
          <w:lang w:val="cy-GB"/>
        </w:rPr>
      </w:pPr>
      <w:r>
        <w:rPr>
          <w:rStyle w:val="FootnoteReference"/>
        </w:rPr>
        <w:footnoteRef/>
      </w:r>
      <w:r>
        <w:t xml:space="preserve"> Indeed, I have so read Williams in the past: </w:t>
      </w:r>
      <w:r>
        <w:rPr>
          <w:lang w:val="cy-GB"/>
        </w:rPr>
        <w:t>Black, ‘The Church as Eucharistic Fellowship’, 84-85. Since then further evidence of Williams’ eucharistic theology has come to light which is suggestive of possible divergence from the wider current of Calvinist spiritual presence.</w:t>
      </w:r>
    </w:p>
  </w:footnote>
  <w:footnote w:id="550">
    <w:p w:rsidR="00AB3F05" w:rsidRPr="00380E8C" w:rsidRDefault="00AB3F05" w:rsidP="00062AED">
      <w:pPr>
        <w:pStyle w:val="FootnoteText"/>
        <w:rPr>
          <w:lang w:val="cy-GB"/>
        </w:rPr>
      </w:pPr>
      <w:r>
        <w:rPr>
          <w:rStyle w:val="FootnoteReference"/>
        </w:rPr>
        <w:footnoteRef/>
      </w:r>
      <w:r w:rsidRPr="00380E8C">
        <w:rPr>
          <w:lang w:val="cy-GB"/>
        </w:rPr>
        <w:t xml:space="preserve"> </w:t>
      </w:r>
      <w:r>
        <w:rPr>
          <w:lang w:val="cy-GB"/>
        </w:rPr>
        <w:t xml:space="preserve">D.P. Williams, ‘Wrth alw’r saint ynghyd’, </w:t>
      </w:r>
      <w:r>
        <w:rPr>
          <w:i/>
          <w:lang w:val="cy-GB"/>
        </w:rPr>
        <w:t>MDd</w:t>
      </w:r>
      <w:r>
        <w:rPr>
          <w:lang w:val="cy-GB"/>
        </w:rPr>
        <w:t>, 151, verse 2: ‘Os oedd y bradwr wrth y bwrdd, – / ‘Roedd Nef a daear yno’n cwrdd.’</w:t>
      </w:r>
    </w:p>
  </w:footnote>
  <w:footnote w:id="551">
    <w:p w:rsidR="00AB3F05" w:rsidRPr="00DB1A74" w:rsidRDefault="00AB3F05" w:rsidP="00062AED">
      <w:pPr>
        <w:pStyle w:val="FootnoteText"/>
        <w:rPr>
          <w:lang w:val="cy-GB"/>
        </w:rPr>
      </w:pPr>
      <w:r>
        <w:rPr>
          <w:rStyle w:val="FootnoteReference"/>
        </w:rPr>
        <w:footnoteRef/>
      </w:r>
      <w:r>
        <w:t xml:space="preserve"> </w:t>
      </w:r>
      <w:r>
        <w:rPr>
          <w:lang w:val="cy-GB"/>
        </w:rPr>
        <w:t xml:space="preserve">Ibid. Williams states that he does not know ‘pa fodd’ (how/what manner). </w:t>
      </w:r>
    </w:p>
  </w:footnote>
  <w:footnote w:id="552">
    <w:p w:rsidR="00AB3F05" w:rsidRPr="00413F5E" w:rsidRDefault="00AB3F05" w:rsidP="00062AED">
      <w:pPr>
        <w:pStyle w:val="FootnoteText"/>
        <w:rPr>
          <w:lang w:val="cy-GB"/>
        </w:rPr>
      </w:pPr>
      <w:r>
        <w:rPr>
          <w:rStyle w:val="FootnoteReference"/>
        </w:rPr>
        <w:footnoteRef/>
      </w:r>
      <w:r>
        <w:t xml:space="preserve"> </w:t>
      </w:r>
      <w:r>
        <w:rPr>
          <w:lang w:val="cy-GB"/>
        </w:rPr>
        <w:t xml:space="preserve">Williams, </w:t>
      </w:r>
      <w:r w:rsidRPr="00413F5E">
        <w:rPr>
          <w:i/>
          <w:lang w:val="cy-GB"/>
        </w:rPr>
        <w:t>Athrawiaethau Sylfeinol</w:t>
      </w:r>
      <w:r>
        <w:rPr>
          <w:lang w:val="cy-GB"/>
        </w:rPr>
        <w:t xml:space="preserve">, 10-11; D.P. Williams, ‘Editorial Note: The Lord’s Table’, </w:t>
      </w:r>
      <w:r>
        <w:rPr>
          <w:i/>
          <w:lang w:val="cy-GB"/>
        </w:rPr>
        <w:t>RoG</w:t>
      </w:r>
      <w:r>
        <w:rPr>
          <w:lang w:val="cy-GB"/>
        </w:rPr>
        <w:t xml:space="preserve">, iii.7 (May 1928), 275-276; ‘Fudamental Truths Belived by the Apostolic Church: The Lords Supper’, </w:t>
      </w:r>
      <w:r>
        <w:rPr>
          <w:i/>
          <w:lang w:val="cy-GB"/>
        </w:rPr>
        <w:t>RoG</w:t>
      </w:r>
      <w:r>
        <w:rPr>
          <w:lang w:val="cy-GB"/>
        </w:rPr>
        <w:t xml:space="preserve">, iv.1 (Sept. 1928), inside cover; ‘Fudamental Truths Belived by the Apostolic Church: The Lords Supper (Continued)’, </w:t>
      </w:r>
      <w:r>
        <w:rPr>
          <w:i/>
          <w:lang w:val="cy-GB"/>
        </w:rPr>
        <w:t>RoG</w:t>
      </w:r>
      <w:r>
        <w:rPr>
          <w:lang w:val="cy-GB"/>
        </w:rPr>
        <w:t xml:space="preserve">, iv.2 (November 1928), inside cover. He would also appear to hint at the possibility of the </w:t>
      </w:r>
      <w:r w:rsidRPr="00616A7C">
        <w:rPr>
          <w:i/>
          <w:lang w:val="cy-GB"/>
        </w:rPr>
        <w:t>manducatio impiorum</w:t>
      </w:r>
      <w:r>
        <w:rPr>
          <w:lang w:val="cy-GB"/>
        </w:rPr>
        <w:t xml:space="preserve"> in D.P. Williams, ‘Bwrdd Yr Arglwydd’, </w:t>
      </w:r>
      <w:r w:rsidRPr="00616A7C">
        <w:rPr>
          <w:i/>
          <w:lang w:val="cy-GB"/>
        </w:rPr>
        <w:t>RoG</w:t>
      </w:r>
      <w:r>
        <w:rPr>
          <w:lang w:val="cy-GB"/>
        </w:rPr>
        <w:t xml:space="preserve"> ii.1 (July 1921), 16.</w:t>
      </w:r>
    </w:p>
  </w:footnote>
  <w:footnote w:id="553">
    <w:p w:rsidR="00AB3F05" w:rsidRPr="00AA57F8" w:rsidRDefault="00AB3F05" w:rsidP="00062AED">
      <w:pPr>
        <w:pStyle w:val="FootnoteText"/>
        <w:rPr>
          <w:lang w:val="cy-GB"/>
        </w:rPr>
      </w:pPr>
      <w:r>
        <w:rPr>
          <w:rStyle w:val="FootnoteReference"/>
        </w:rPr>
        <w:footnoteRef/>
      </w:r>
      <w:r w:rsidRPr="00C46811">
        <w:rPr>
          <w:lang w:val="cy-GB"/>
        </w:rPr>
        <w:t xml:space="preserve"> Williams, </w:t>
      </w:r>
      <w:r w:rsidRPr="00E779D9">
        <w:rPr>
          <w:i/>
          <w:lang w:val="cy-GB"/>
        </w:rPr>
        <w:t>Athrawiaethau Sylfeinol</w:t>
      </w:r>
      <w:r>
        <w:rPr>
          <w:lang w:val="cy-GB"/>
        </w:rPr>
        <w:t>, 10.</w:t>
      </w:r>
    </w:p>
  </w:footnote>
  <w:footnote w:id="554">
    <w:p w:rsidR="00AB3F05" w:rsidRPr="00390681" w:rsidRDefault="00AB3F05" w:rsidP="00062AED">
      <w:pPr>
        <w:pStyle w:val="FootnoteText"/>
        <w:rPr>
          <w:lang w:val="cy-GB"/>
        </w:rPr>
      </w:pPr>
      <w:r>
        <w:rPr>
          <w:rStyle w:val="FootnoteReference"/>
        </w:rPr>
        <w:footnoteRef/>
      </w:r>
      <w:r w:rsidRPr="00C46811">
        <w:rPr>
          <w:lang w:val="cy-GB"/>
        </w:rPr>
        <w:t xml:space="preserve"> </w:t>
      </w:r>
      <w:r>
        <w:rPr>
          <w:lang w:val="cy-GB"/>
        </w:rPr>
        <w:t xml:space="preserve">Williams, ‘Wrth alw’r saint ynghyd’, </w:t>
      </w:r>
      <w:r>
        <w:rPr>
          <w:i/>
          <w:lang w:val="cy-GB"/>
        </w:rPr>
        <w:t>MDd</w:t>
      </w:r>
      <w:r>
        <w:rPr>
          <w:lang w:val="cy-GB"/>
        </w:rPr>
        <w:t>, 151, verse 1: ‘roedd yn Dy Nefol fryd / I dorri bara’r Nef.’</w:t>
      </w:r>
    </w:p>
  </w:footnote>
  <w:footnote w:id="555">
    <w:p w:rsidR="00AB3F05" w:rsidRPr="00390681" w:rsidRDefault="00AB3F05" w:rsidP="00062AED">
      <w:pPr>
        <w:pStyle w:val="FootnoteText"/>
        <w:rPr>
          <w:lang w:val="cy-GB"/>
        </w:rPr>
      </w:pPr>
      <w:r>
        <w:rPr>
          <w:rStyle w:val="FootnoteReference"/>
        </w:rPr>
        <w:footnoteRef/>
      </w:r>
      <w:r>
        <w:t xml:space="preserve"> </w:t>
      </w:r>
      <w:r>
        <w:rPr>
          <w:lang w:val="cy-GB"/>
        </w:rPr>
        <w:t xml:space="preserve">D.P. Williams, ‘The Three Spheres of Activity in the Governance of God’, </w:t>
      </w:r>
      <w:r>
        <w:rPr>
          <w:i/>
          <w:lang w:val="cy-GB"/>
        </w:rPr>
        <w:t>RoG</w:t>
      </w:r>
      <w:r>
        <w:rPr>
          <w:lang w:val="cy-GB"/>
        </w:rPr>
        <w:t xml:space="preserve"> xi.1 (Sept. 1935), 205.</w:t>
      </w:r>
    </w:p>
  </w:footnote>
  <w:footnote w:id="556">
    <w:p w:rsidR="00AB3F05" w:rsidRPr="002316C7" w:rsidRDefault="00AB3F05" w:rsidP="00062AED">
      <w:pPr>
        <w:pStyle w:val="FootnoteText"/>
        <w:rPr>
          <w:lang w:val="cy-GB"/>
        </w:rPr>
      </w:pPr>
      <w:r>
        <w:rPr>
          <w:rStyle w:val="FootnoteReference"/>
        </w:rPr>
        <w:footnoteRef/>
      </w:r>
      <w:r>
        <w:t xml:space="preserve"> </w:t>
      </w:r>
      <w:r>
        <w:rPr>
          <w:lang w:val="cy-GB"/>
        </w:rPr>
        <w:t>‘Fudamental Truths Belived by the Apostolic Church: The Lords Supper’, inside cover.</w:t>
      </w:r>
    </w:p>
  </w:footnote>
  <w:footnote w:id="557">
    <w:p w:rsidR="00AB3F05" w:rsidRPr="000C7657" w:rsidRDefault="00AB3F05" w:rsidP="00062AED">
      <w:pPr>
        <w:pStyle w:val="FootnoteText"/>
        <w:rPr>
          <w:lang w:val="cy-GB"/>
        </w:rPr>
      </w:pPr>
      <w:r>
        <w:rPr>
          <w:rStyle w:val="FootnoteReference"/>
        </w:rPr>
        <w:footnoteRef/>
      </w:r>
      <w:r>
        <w:t xml:space="preserve"> </w:t>
      </w:r>
      <w:r>
        <w:rPr>
          <w:lang w:val="cy-GB"/>
        </w:rPr>
        <w:t xml:space="preserve">D.P. Williams, ‘Exposition of the Foregoing Prophecy’, </w:t>
      </w:r>
      <w:r>
        <w:rPr>
          <w:i/>
          <w:lang w:val="cy-GB"/>
        </w:rPr>
        <w:t>RoG</w:t>
      </w:r>
      <w:r>
        <w:rPr>
          <w:lang w:val="cy-GB"/>
        </w:rPr>
        <w:t>, ii.10 (July 1926), 17-18.</w:t>
      </w:r>
    </w:p>
  </w:footnote>
  <w:footnote w:id="558">
    <w:p w:rsidR="00AB3F05" w:rsidRPr="00374FD9" w:rsidRDefault="00AB3F05" w:rsidP="00062AED">
      <w:pPr>
        <w:pStyle w:val="FootnoteText"/>
        <w:rPr>
          <w:lang w:val="cy-GB"/>
        </w:rPr>
      </w:pPr>
      <w:r>
        <w:rPr>
          <w:rStyle w:val="FootnoteReference"/>
        </w:rPr>
        <w:footnoteRef/>
      </w:r>
      <w:r>
        <w:t xml:space="preserve"> </w:t>
      </w:r>
      <w:r>
        <w:rPr>
          <w:lang w:val="cy-GB"/>
        </w:rPr>
        <w:t xml:space="preserve">Unlike Zwingli (and even Luther), Williams takes an explicitly eucharistic reading of John 6. </w:t>
      </w:r>
      <w:r>
        <w:t xml:space="preserve">Williams, </w:t>
      </w:r>
      <w:r w:rsidRPr="00E779D9">
        <w:rPr>
          <w:i/>
          <w:lang w:val="cy-GB"/>
        </w:rPr>
        <w:t>Athrawiaethau Sylfeinol</w:t>
      </w:r>
      <w:r>
        <w:rPr>
          <w:lang w:val="cy-GB"/>
        </w:rPr>
        <w:t>, 10.</w:t>
      </w:r>
    </w:p>
  </w:footnote>
  <w:footnote w:id="559">
    <w:p w:rsidR="00AB3F05" w:rsidRPr="001E04B9" w:rsidRDefault="00AB3F05" w:rsidP="00062AED">
      <w:pPr>
        <w:pStyle w:val="FootnoteText"/>
        <w:rPr>
          <w:lang w:val="cy-GB"/>
        </w:rPr>
      </w:pPr>
      <w:r>
        <w:rPr>
          <w:rStyle w:val="FootnoteReference"/>
        </w:rPr>
        <w:footnoteRef/>
      </w:r>
      <w:r>
        <w:t xml:space="preserve"> </w:t>
      </w:r>
      <w:r>
        <w:rPr>
          <w:lang w:val="cy-GB"/>
        </w:rPr>
        <w:t>Williams, ‘Editorial Note: The Lord’s Table’, 276.</w:t>
      </w:r>
    </w:p>
  </w:footnote>
  <w:footnote w:id="560">
    <w:p w:rsidR="00AB3F05" w:rsidRPr="00996C0C" w:rsidRDefault="00AB3F05" w:rsidP="00062AED">
      <w:pPr>
        <w:pStyle w:val="FootnoteText"/>
        <w:rPr>
          <w:lang w:val="cy-GB"/>
        </w:rPr>
      </w:pPr>
      <w:r>
        <w:rPr>
          <w:rStyle w:val="FootnoteReference"/>
        </w:rPr>
        <w:footnoteRef/>
      </w:r>
      <w:r>
        <w:t xml:space="preserve"> </w:t>
      </w:r>
      <w:r>
        <w:rPr>
          <w:lang w:val="cy-GB"/>
        </w:rPr>
        <w:t>Ibid.</w:t>
      </w:r>
    </w:p>
  </w:footnote>
  <w:footnote w:id="561">
    <w:p w:rsidR="00AB3F05" w:rsidRPr="0055251B" w:rsidRDefault="00AB3F05" w:rsidP="00062AED">
      <w:pPr>
        <w:pStyle w:val="FootnoteText"/>
        <w:rPr>
          <w:lang w:val="cy-GB"/>
        </w:rPr>
      </w:pPr>
      <w:r>
        <w:rPr>
          <w:rStyle w:val="FootnoteReference"/>
        </w:rPr>
        <w:footnoteRef/>
      </w:r>
      <w:r>
        <w:t xml:space="preserve"> </w:t>
      </w:r>
      <w:r>
        <w:rPr>
          <w:lang w:val="cy-GB"/>
        </w:rPr>
        <w:t xml:space="preserve">It should be remembered that the Apostolic Church confesses the Lord’s Supper, not as an ordinance, but as a ‘sacrament.’ It was clearly understood as such by the early Apostolic writers (and in early Apostolic experience) and thus viewed as a true means of grace. Although the word ‘ordinance’ was occasionally employed (e.g. ‘Fundamental Truths Belived by the Apostolic Church: The Lords Supper’, inside cover), this was never a theological statement in contradistinction to ‘sacrament’, but always understood (in light of the Tenets) as a synonym with the meaning of sacrament. See Stanley K. Fowler, </w:t>
      </w:r>
      <w:r w:rsidRPr="00F740ED">
        <w:rPr>
          <w:i/>
          <w:lang w:val="cy-GB"/>
        </w:rPr>
        <w:t>More Than A Symbol: The British Baptist Recovery of Baptismal Sacramentalism</w:t>
      </w:r>
      <w:r>
        <w:rPr>
          <w:lang w:val="cy-GB"/>
        </w:rPr>
        <w:t>, Studies in Baptist History and Thought, 2 (Milton Keynes: Paternoster, 2002), 11-20 for a similar usage of the term ordinance with the meaning of sacrament in early Baptist confessions of faith.</w:t>
      </w:r>
    </w:p>
  </w:footnote>
  <w:footnote w:id="562">
    <w:p w:rsidR="00AB3F05" w:rsidRPr="009E2350" w:rsidRDefault="00AB3F05" w:rsidP="00062AED">
      <w:pPr>
        <w:pStyle w:val="FootnoteText"/>
        <w:rPr>
          <w:lang w:val="cy-GB"/>
        </w:rPr>
      </w:pPr>
      <w:r>
        <w:rPr>
          <w:rStyle w:val="FootnoteReference"/>
        </w:rPr>
        <w:footnoteRef/>
      </w:r>
      <w:r>
        <w:t xml:space="preserve"> Williams, </w:t>
      </w:r>
      <w:r w:rsidRPr="00E779D9">
        <w:rPr>
          <w:i/>
          <w:lang w:val="cy-GB"/>
        </w:rPr>
        <w:t>Athrawiaethau Sylfeinol</w:t>
      </w:r>
      <w:r>
        <w:rPr>
          <w:lang w:val="cy-GB"/>
        </w:rPr>
        <w:t>, 10; see further, Black ‘The Church as Eucharistic Fellowship’, 84-85.</w:t>
      </w:r>
    </w:p>
  </w:footnote>
  <w:footnote w:id="563">
    <w:p w:rsidR="00AB3F05" w:rsidRPr="00633309" w:rsidRDefault="00AB3F05" w:rsidP="00062AED">
      <w:pPr>
        <w:pStyle w:val="FootnoteText"/>
        <w:rPr>
          <w:lang w:val="cy-GB"/>
        </w:rPr>
      </w:pPr>
      <w:r>
        <w:rPr>
          <w:rStyle w:val="FootnoteReference"/>
        </w:rPr>
        <w:footnoteRef/>
      </w:r>
      <w:r>
        <w:t xml:space="preserve"> </w:t>
      </w:r>
      <w:r>
        <w:rPr>
          <w:lang w:val="cy-GB"/>
        </w:rPr>
        <w:t>Williams, ‘Editorial Note: The Lord’s Table’, 276.</w:t>
      </w:r>
    </w:p>
  </w:footnote>
  <w:footnote w:id="564">
    <w:p w:rsidR="00AB3F05" w:rsidRPr="00800C8E" w:rsidRDefault="00AB3F05" w:rsidP="00062AED">
      <w:pPr>
        <w:pStyle w:val="FootnoteText"/>
        <w:rPr>
          <w:lang w:val="cy-GB"/>
        </w:rPr>
      </w:pPr>
      <w:r>
        <w:rPr>
          <w:rStyle w:val="FootnoteReference"/>
        </w:rPr>
        <w:footnoteRef/>
      </w:r>
      <w:r>
        <w:t xml:space="preserve"> </w:t>
      </w:r>
      <w:r>
        <w:rPr>
          <w:lang w:val="cy-GB"/>
        </w:rPr>
        <w:t>Ibid.</w:t>
      </w:r>
    </w:p>
  </w:footnote>
  <w:footnote w:id="565">
    <w:p w:rsidR="00AB3F05" w:rsidRPr="00F41C30" w:rsidRDefault="00AB3F05" w:rsidP="00062AED">
      <w:pPr>
        <w:pStyle w:val="FootnoteText"/>
        <w:rPr>
          <w:lang w:val="cy-GB"/>
        </w:rPr>
      </w:pPr>
      <w:r>
        <w:rPr>
          <w:rStyle w:val="FootnoteReference"/>
        </w:rPr>
        <w:footnoteRef/>
      </w:r>
      <w:r>
        <w:t xml:space="preserve"> </w:t>
      </w:r>
      <w:r>
        <w:rPr>
          <w:lang w:val="cy-GB"/>
        </w:rPr>
        <w:t>Ibid.</w:t>
      </w:r>
    </w:p>
  </w:footnote>
  <w:footnote w:id="566">
    <w:p w:rsidR="00AB3F05" w:rsidRPr="0054095F" w:rsidRDefault="00AB3F05" w:rsidP="00062AED">
      <w:pPr>
        <w:pStyle w:val="FootnoteText"/>
        <w:rPr>
          <w:lang w:val="cy-GB"/>
        </w:rPr>
      </w:pPr>
      <w:r>
        <w:rPr>
          <w:rStyle w:val="FootnoteReference"/>
        </w:rPr>
        <w:footnoteRef/>
      </w:r>
      <w:r>
        <w:t xml:space="preserve"> This was an important distinction in the Eucharistic controversies between the Zwinglians, Calvinists and Lutherans in the Reformation and immediate post-Reformation periods. While there could be room for equivocation with the terms eat and drink, there was no such room for manoeuvre with the terms distribute and receive. </w:t>
      </w:r>
      <w:r>
        <w:rPr>
          <w:lang w:val="cy-GB"/>
        </w:rPr>
        <w:t xml:space="preserve">This would also account for the Apostolic Church’s rubric on the ‘remainder of emblems’: ‘After the close of the meeting when the Breaking of Bread service has been held, anything left of the emblems (bread and wine) should be destroyed, so as to avoid desecration ... (Ex. 12:10).’ </w:t>
      </w:r>
      <w:r w:rsidRPr="00AE3F53">
        <w:rPr>
          <w:i/>
          <w:lang w:val="cy-GB"/>
        </w:rPr>
        <w:t>The Apostolic Church: Its Principles and Practices</w:t>
      </w:r>
      <w:r>
        <w:rPr>
          <w:lang w:val="cy-GB"/>
        </w:rPr>
        <w:t>, 216. Thus, once consecrated, the bread and wine must either be consumed or destroyed. They are not to be reserved, either for adoration or subsequent distribution (for Word and sacrament belong together), thrown out as rubbish, or kept and reconsecrated at the next communion (for they have been joined to Christ’s Word and so are no longer ordinary bread and wine).</w:t>
      </w:r>
    </w:p>
  </w:footnote>
  <w:footnote w:id="567">
    <w:p w:rsidR="00AB3F05" w:rsidRPr="00EC0956" w:rsidRDefault="00AB3F05" w:rsidP="00062AED">
      <w:pPr>
        <w:pStyle w:val="FootnoteText"/>
        <w:rPr>
          <w:lang w:val="cy-GB"/>
        </w:rPr>
      </w:pPr>
      <w:r>
        <w:rPr>
          <w:rStyle w:val="FootnoteReference"/>
        </w:rPr>
        <w:footnoteRef/>
      </w:r>
      <w:r>
        <w:t xml:space="preserve"> </w:t>
      </w:r>
      <w:r>
        <w:rPr>
          <w:lang w:val="cy-GB"/>
        </w:rPr>
        <w:t xml:space="preserve">Cf. </w:t>
      </w:r>
      <w:r w:rsidRPr="00EC0956">
        <w:rPr>
          <w:lang w:val="cy-GB"/>
        </w:rPr>
        <w:t>Formula of Concord</w:t>
      </w:r>
      <w:r>
        <w:rPr>
          <w:lang w:val="cy-GB"/>
        </w:rPr>
        <w:t xml:space="preserve">, Epitome VII.6; </w:t>
      </w:r>
      <w:r w:rsidRPr="00EC0956">
        <w:rPr>
          <w:lang w:val="cy-GB"/>
        </w:rPr>
        <w:t>Saxon Visitation Articles</w:t>
      </w:r>
      <w:r>
        <w:rPr>
          <w:lang w:val="cy-GB"/>
        </w:rPr>
        <w:t xml:space="preserve"> I.i-vi. Cf. Also Williams’ colleague, Andrew Turnbull, founding apostle of the Apostolic Church in Scotland, who writes of the Lord’s Supper: ‘</w:t>
      </w:r>
      <w:r w:rsidRPr="000828C8">
        <w:t>Truly Christ has come in the flesh, at one word from Him by His Spirit.</w:t>
      </w:r>
      <w:r>
        <w:t xml:space="preserve">’ </w:t>
      </w:r>
      <w:r w:rsidRPr="000828C8">
        <w:t xml:space="preserve">A. Turnbull, ‘Evangelical Side of the Work in Scotland’, </w:t>
      </w:r>
      <w:r>
        <w:rPr>
          <w:i/>
        </w:rPr>
        <w:t>AH</w:t>
      </w:r>
      <w:r w:rsidRPr="000828C8">
        <w:t xml:space="preserve"> 1.5 (April, 1924), 168.</w:t>
      </w:r>
    </w:p>
  </w:footnote>
  <w:footnote w:id="568">
    <w:p w:rsidR="00AB3F05" w:rsidRPr="0048307E" w:rsidRDefault="00AB3F05" w:rsidP="00062AED">
      <w:pPr>
        <w:pStyle w:val="FootnoteText"/>
      </w:pPr>
      <w:r>
        <w:rPr>
          <w:rStyle w:val="FootnoteReference"/>
        </w:rPr>
        <w:footnoteRef/>
      </w:r>
      <w:r>
        <w:t xml:space="preserve"> </w:t>
      </w:r>
      <w:r w:rsidRPr="00362081">
        <w:t xml:space="preserve">Chemnitz’s </w:t>
      </w:r>
      <w:r w:rsidRPr="00362081">
        <w:rPr>
          <w:i/>
        </w:rPr>
        <w:t>De Coena Domini</w:t>
      </w:r>
      <w:r w:rsidRPr="00362081">
        <w:t xml:space="preserve"> was not translated into English until 1979; Gerhard’s </w:t>
      </w:r>
      <w:r w:rsidRPr="00362081">
        <w:rPr>
          <w:i/>
        </w:rPr>
        <w:t>A Comprehensive Explanation of Holy Baptism and the Lord’s Supper (1610)</w:t>
      </w:r>
      <w:r w:rsidRPr="00362081">
        <w:t xml:space="preserve"> has only recently been translated (2000), and the translation of his volume on the Lord’s Supper in his </w:t>
      </w:r>
      <w:r w:rsidRPr="00362081">
        <w:rPr>
          <w:i/>
        </w:rPr>
        <w:t>Loci</w:t>
      </w:r>
      <w:r w:rsidRPr="00362081">
        <w:t xml:space="preserve"> remains to be published.</w:t>
      </w:r>
    </w:p>
  </w:footnote>
  <w:footnote w:id="569">
    <w:p w:rsidR="00AB3F05" w:rsidRPr="005335AF" w:rsidRDefault="00AB3F05" w:rsidP="00062AED">
      <w:pPr>
        <w:pStyle w:val="FootnoteText"/>
      </w:pPr>
      <w:r>
        <w:rPr>
          <w:rStyle w:val="FootnoteReference"/>
        </w:rPr>
        <w:footnoteRef/>
      </w:r>
      <w:r>
        <w:t xml:space="preserve"> The only Welsh translation of any work of Luther’s in the catalogue of the National Library of Wales was published in 1926 and contained only translations of ‘</w:t>
      </w:r>
      <w:r w:rsidRPr="005335AF">
        <w:t>An den Christlichen Adel Deutscher</w:t>
      </w:r>
      <w:r>
        <w:t xml:space="preserve"> Nation’ and the ‘</w:t>
      </w:r>
      <w:r w:rsidRPr="005335AF">
        <w:t>De Libertate Christiana.</w:t>
      </w:r>
      <w:r>
        <w:t xml:space="preserve">’ Martin Luther, </w:t>
      </w:r>
      <w:r w:rsidRPr="00C95D0B">
        <w:rPr>
          <w:i/>
        </w:rPr>
        <w:t>Traethodau’r Diwygiad</w:t>
      </w:r>
      <w:r>
        <w:t xml:space="preserve"> (Wrexham: Hughs a’i Fab, 1926).</w:t>
      </w:r>
    </w:p>
  </w:footnote>
  <w:footnote w:id="570">
    <w:p w:rsidR="00AB3F05" w:rsidRPr="00B50C9C" w:rsidRDefault="00AB3F05" w:rsidP="00062AED">
      <w:pPr>
        <w:pStyle w:val="FootnoteText"/>
        <w:rPr>
          <w:lang w:val="cy-GB"/>
        </w:rPr>
      </w:pPr>
      <w:r>
        <w:rPr>
          <w:rStyle w:val="FootnoteReference"/>
        </w:rPr>
        <w:footnoteRef/>
      </w:r>
      <w:r>
        <w:t xml:space="preserve"> </w:t>
      </w:r>
      <w:r>
        <w:rPr>
          <w:lang w:val="cy-GB"/>
        </w:rPr>
        <w:t xml:space="preserve">The major English translation of Luther’s Works did not begin until 1955 and was published in the United States.  No translations of Luther’s more detailed </w:t>
      </w:r>
      <w:r w:rsidRPr="00B50C9C">
        <w:rPr>
          <w:bCs/>
        </w:rPr>
        <w:t>works on the Lord’s Supper from the time of the eucharistic controversy</w:t>
      </w:r>
      <w:r>
        <w:rPr>
          <w:lang w:val="cy-GB"/>
        </w:rPr>
        <w:t xml:space="preserve"> were published in the United Kingdom in the late nineteeth or early twentieth century. The only works  by Luther touching on the sacrament to be publised in the UK in this period were translations of Luther’s catechisms and the Babylonian Captivity: Martin Luther, </w:t>
      </w:r>
      <w:r>
        <w:rPr>
          <w:bCs/>
          <w:i/>
        </w:rPr>
        <w:t>Luther's primary works</w:t>
      </w:r>
      <w:r w:rsidRPr="005D3972">
        <w:rPr>
          <w:bCs/>
          <w:i/>
        </w:rPr>
        <w:t xml:space="preserve">: together with his </w:t>
      </w:r>
      <w:r>
        <w:rPr>
          <w:bCs/>
          <w:i/>
        </w:rPr>
        <w:t>shorter and larger catechisms, translated into English</w:t>
      </w:r>
      <w:r w:rsidRPr="005D3972">
        <w:rPr>
          <w:bCs/>
          <w:i/>
        </w:rPr>
        <w:t>; edited with theological and historical essays by Henry Wace and C.A. Buchheim</w:t>
      </w:r>
      <w:r>
        <w:rPr>
          <w:bCs/>
        </w:rPr>
        <w:t xml:space="preserve">  (London: Hodder and Stoughton, 1896); idem, </w:t>
      </w:r>
      <w:r w:rsidRPr="005D3972">
        <w:rPr>
          <w:bCs/>
          <w:i/>
        </w:rPr>
        <w:t>First principles of the Reformation, or, The ninety-five theses and the three primary works of Dr. Martin Luther translated into English</w:t>
      </w:r>
      <w:r>
        <w:rPr>
          <w:bCs/>
        </w:rPr>
        <w:t xml:space="preserve"> (London: Murray, 1883).  It is impossible to know if Williams would have had access to any of these works.</w:t>
      </w:r>
    </w:p>
  </w:footnote>
  <w:footnote w:id="571">
    <w:p w:rsidR="00AB3F05" w:rsidRDefault="00AB3F05">
      <w:pPr>
        <w:pStyle w:val="FootnoteText"/>
      </w:pPr>
      <w:r>
        <w:rPr>
          <w:rStyle w:val="FootnoteReference"/>
        </w:rPr>
        <w:footnoteRef/>
      </w:r>
      <w:r>
        <w:t xml:space="preserve"> Williams refers to Hodge in D.P. Williams, </w:t>
      </w:r>
      <w:r w:rsidRPr="0075514A">
        <w:rPr>
          <w:i/>
          <w:lang w:val="cy-GB"/>
        </w:rPr>
        <w:t>The Work of An Evangelist: His Calling, Qualifications and Equipment</w:t>
      </w:r>
      <w:r w:rsidRPr="0075514A">
        <w:rPr>
          <w:lang w:val="cy-GB"/>
        </w:rPr>
        <w:t xml:space="preserve"> (Penygroes: The Apostolic Church, 1928),</w:t>
      </w:r>
      <w:r>
        <w:rPr>
          <w:lang w:val="cy-GB"/>
        </w:rPr>
        <w:t xml:space="preserve"> 60, and Williams, </w:t>
      </w:r>
      <w:r w:rsidRPr="0075514A">
        <w:rPr>
          <w:i/>
          <w:lang w:val="cy-GB"/>
        </w:rPr>
        <w:t>Trinity</w:t>
      </w:r>
      <w:r>
        <w:rPr>
          <w:lang w:val="cy-GB"/>
        </w:rPr>
        <w:t>, 1:47.</w:t>
      </w:r>
    </w:p>
  </w:footnote>
  <w:footnote w:id="572">
    <w:p w:rsidR="00AB3F05" w:rsidRPr="00342B16" w:rsidRDefault="00AB3F05" w:rsidP="00062AED">
      <w:pPr>
        <w:pStyle w:val="FootnoteText"/>
        <w:rPr>
          <w:lang w:val="cy-GB"/>
        </w:rPr>
      </w:pPr>
      <w:r w:rsidRPr="007518DE">
        <w:rPr>
          <w:rStyle w:val="FootnoteReference"/>
        </w:rPr>
        <w:footnoteRef/>
      </w:r>
      <w:r w:rsidRPr="007518DE">
        <w:t xml:space="preserve"> A.A. Hodge, </w:t>
      </w:r>
      <w:r w:rsidRPr="007518DE">
        <w:rPr>
          <w:i/>
        </w:rPr>
        <w:t>Banau Duwinyddiaeth</w:t>
      </w:r>
      <w:r w:rsidRPr="007518DE">
        <w:t xml:space="preserve"> (Denbigh: Thomas Gee, 1878)</w:t>
      </w:r>
      <w:r>
        <w:t>.</w:t>
      </w:r>
    </w:p>
  </w:footnote>
  <w:footnote w:id="573">
    <w:p w:rsidR="00AB3F05" w:rsidRPr="00342B16" w:rsidRDefault="00AB3F05" w:rsidP="00062AED">
      <w:pPr>
        <w:pStyle w:val="FootnoteText"/>
        <w:rPr>
          <w:lang w:val="cy-GB"/>
        </w:rPr>
      </w:pPr>
      <w:r w:rsidRPr="007518DE">
        <w:rPr>
          <w:rStyle w:val="FootnoteReference"/>
        </w:rPr>
        <w:footnoteRef/>
      </w:r>
      <w:r w:rsidRPr="00116AAE">
        <w:rPr>
          <w:lang w:val="fr-BE"/>
        </w:rPr>
        <w:t xml:space="preserve"> J. Cynddylan Jones, </w:t>
      </w:r>
      <w:r w:rsidRPr="007518DE">
        <w:rPr>
          <w:i/>
          <w:lang w:val="cy-GB"/>
        </w:rPr>
        <w:t>Cysondeb Y Ffydd</w:t>
      </w:r>
      <w:r>
        <w:rPr>
          <w:lang w:val="cy-GB"/>
        </w:rPr>
        <w:t xml:space="preserve">, 4 vols. For an Apostolic citation of this work,see W.M. Humphreys, ‘The Church Triumphant’, </w:t>
      </w:r>
      <w:r w:rsidRPr="00116AAE">
        <w:rPr>
          <w:i/>
          <w:lang w:val="cy-GB"/>
        </w:rPr>
        <w:t>Amazing Love</w:t>
      </w:r>
      <w:r>
        <w:rPr>
          <w:lang w:val="cy-GB"/>
        </w:rPr>
        <w:t>, 114.</w:t>
      </w:r>
    </w:p>
  </w:footnote>
  <w:footnote w:id="574">
    <w:p w:rsidR="00AB3F05" w:rsidRPr="00C522EF" w:rsidRDefault="00AB3F05" w:rsidP="00062AED">
      <w:pPr>
        <w:pStyle w:val="FootnoteText"/>
        <w:rPr>
          <w:lang w:val="cy-GB"/>
        </w:rPr>
      </w:pPr>
      <w:r>
        <w:rPr>
          <w:rStyle w:val="FootnoteReference"/>
        </w:rPr>
        <w:footnoteRef/>
      </w:r>
      <w:r>
        <w:t xml:space="preserve"> </w:t>
      </w:r>
      <w:r>
        <w:rPr>
          <w:lang w:val="cy-GB"/>
        </w:rPr>
        <w:t xml:space="preserve">Worsford, </w:t>
      </w:r>
      <w:r w:rsidRPr="00C522EF">
        <w:rPr>
          <w:i/>
          <w:lang w:val="cy-GB"/>
        </w:rPr>
        <w:t>Origins</w:t>
      </w:r>
      <w:r>
        <w:rPr>
          <w:lang w:val="cy-GB"/>
        </w:rPr>
        <w:t>, 13, 171, 206.</w:t>
      </w:r>
    </w:p>
  </w:footnote>
  <w:footnote w:id="575">
    <w:p w:rsidR="00AB3F05" w:rsidRPr="00593489" w:rsidRDefault="00AB3F05" w:rsidP="00062AED">
      <w:pPr>
        <w:pStyle w:val="FootnoteText"/>
      </w:pPr>
      <w:r>
        <w:rPr>
          <w:rStyle w:val="FootnoteReference"/>
        </w:rPr>
        <w:footnoteRef/>
      </w:r>
      <w:r>
        <w:t xml:space="preserve"> Neither Luther nor the Lutherans taught anything like consubstantiation, but rather explicitly rejected such a teaching. John R. Stephenson, </w:t>
      </w:r>
      <w:r w:rsidRPr="00700410">
        <w:rPr>
          <w:i/>
        </w:rPr>
        <w:t>The Lord’s Supper</w:t>
      </w:r>
      <w:r>
        <w:t>, Confessional Lutheran Dogmatics, vol. xii (Northville, SD: Luther Academy, 2003), 109.</w:t>
      </w:r>
    </w:p>
  </w:footnote>
  <w:footnote w:id="576">
    <w:p w:rsidR="00AB3F05" w:rsidRPr="00F14161" w:rsidRDefault="00AB3F05" w:rsidP="00062AED">
      <w:pPr>
        <w:pStyle w:val="FootnoteText"/>
        <w:rPr>
          <w:lang w:val="cy-GB"/>
        </w:rPr>
      </w:pPr>
      <w:r>
        <w:rPr>
          <w:rStyle w:val="FootnoteReference"/>
        </w:rPr>
        <w:footnoteRef/>
      </w:r>
      <w:r w:rsidRPr="00F14161">
        <w:rPr>
          <w:lang w:val="cy-GB"/>
        </w:rPr>
        <w:t xml:space="preserve"> </w:t>
      </w:r>
      <w:r>
        <w:rPr>
          <w:lang w:val="cy-GB"/>
        </w:rPr>
        <w:t>Ibid.: ‘</w:t>
      </w:r>
      <w:r w:rsidRPr="00F14161">
        <w:rPr>
          <w:i/>
          <w:lang w:val="cy-GB"/>
        </w:rPr>
        <w:t>yr athrawiaeth hon yn gyfeiliornus, yn wrthun, ac yn niweidiol</w:t>
      </w:r>
      <w:r>
        <w:rPr>
          <w:lang w:val="cy-GB"/>
        </w:rPr>
        <w:t>’</w:t>
      </w:r>
    </w:p>
  </w:footnote>
  <w:footnote w:id="577">
    <w:p w:rsidR="00AB3F05" w:rsidRPr="00F14161" w:rsidRDefault="00AB3F05" w:rsidP="00062AED">
      <w:pPr>
        <w:pStyle w:val="FootnoteText"/>
        <w:rPr>
          <w:lang w:val="cy-GB"/>
        </w:rPr>
      </w:pPr>
      <w:r>
        <w:rPr>
          <w:rStyle w:val="FootnoteReference"/>
        </w:rPr>
        <w:footnoteRef/>
      </w:r>
      <w:r w:rsidRPr="00F14161">
        <w:rPr>
          <w:lang w:val="cy-GB"/>
        </w:rPr>
        <w:t xml:space="preserve"> </w:t>
      </w:r>
      <w:r>
        <w:rPr>
          <w:lang w:val="cy-GB"/>
        </w:rPr>
        <w:t>Ibid.: ‘</w:t>
      </w:r>
      <w:r w:rsidRPr="00F14161">
        <w:rPr>
          <w:i/>
          <w:lang w:val="cy-GB"/>
        </w:rPr>
        <w:t>nid yw ar un cyfrif mor ddirfawr beryglus a’r athrawiaeth o draws-sylweddiad.</w:t>
      </w:r>
      <w:r>
        <w:rPr>
          <w:lang w:val="cy-GB"/>
        </w:rPr>
        <w:t xml:space="preserve">’ This is actually a softening of the English, which uses ‘fatally dangerous’: A.A. Hodge, </w:t>
      </w:r>
      <w:r w:rsidRPr="00031689">
        <w:rPr>
          <w:i/>
          <w:lang w:val="cy-GB"/>
        </w:rPr>
        <w:t>Outlines of Theology</w:t>
      </w:r>
      <w:r>
        <w:rPr>
          <w:lang w:val="cy-GB"/>
        </w:rPr>
        <w:t xml:space="preserve"> (New York: Robert Carter &amp; Brothers, 1866), 509.</w:t>
      </w:r>
    </w:p>
  </w:footnote>
  <w:footnote w:id="578">
    <w:p w:rsidR="00AB3F05" w:rsidRPr="00FE4A67" w:rsidRDefault="00AB3F05" w:rsidP="00062AED">
      <w:pPr>
        <w:pStyle w:val="FootnoteText"/>
        <w:rPr>
          <w:lang w:val="cy-GB"/>
        </w:rPr>
      </w:pPr>
      <w:r>
        <w:rPr>
          <w:rStyle w:val="FootnoteReference"/>
        </w:rPr>
        <w:footnoteRef/>
      </w:r>
      <w:r>
        <w:t xml:space="preserve"> </w:t>
      </w:r>
      <w:r>
        <w:rPr>
          <w:lang w:val="cy-GB"/>
        </w:rPr>
        <w:t xml:space="preserve">Williams, </w:t>
      </w:r>
      <w:r w:rsidRPr="00FE4A67">
        <w:rPr>
          <w:i/>
          <w:lang w:val="cy-GB"/>
        </w:rPr>
        <w:t>Athrawiaethau Sylfeinol</w:t>
      </w:r>
      <w:r>
        <w:rPr>
          <w:lang w:val="cy-GB"/>
        </w:rPr>
        <w:t>, 10.</w:t>
      </w:r>
    </w:p>
  </w:footnote>
  <w:footnote w:id="579">
    <w:p w:rsidR="00AB3F05" w:rsidRPr="00CF0D3C" w:rsidRDefault="00AB3F05" w:rsidP="00062AED">
      <w:pPr>
        <w:pStyle w:val="FootnoteText"/>
        <w:rPr>
          <w:lang w:val="cy-GB"/>
        </w:rPr>
      </w:pPr>
      <w:r>
        <w:rPr>
          <w:rStyle w:val="FootnoteReference"/>
        </w:rPr>
        <w:footnoteRef/>
      </w:r>
      <w:r>
        <w:t xml:space="preserve"> </w:t>
      </w:r>
      <w:r>
        <w:rPr>
          <w:lang w:val="cy-GB"/>
        </w:rPr>
        <w:t>Williams, ‘The Ministry of the Word’, 171.</w:t>
      </w:r>
    </w:p>
  </w:footnote>
  <w:footnote w:id="580">
    <w:p w:rsidR="00AB3F05" w:rsidRPr="000E1F46" w:rsidRDefault="00AB3F05" w:rsidP="00062AED">
      <w:pPr>
        <w:pStyle w:val="FootnoteText"/>
      </w:pPr>
      <w:r>
        <w:rPr>
          <w:rStyle w:val="FootnoteReference"/>
        </w:rPr>
        <w:footnoteRef/>
      </w:r>
      <w:r>
        <w:t xml:space="preserve"> Williams, </w:t>
      </w:r>
      <w:r w:rsidRPr="000E1F46">
        <w:rPr>
          <w:i/>
        </w:rPr>
        <w:t>Trinity</w:t>
      </w:r>
      <w:r>
        <w:t>, 2:32; Williams explicitly links the resurrection with participation in the sacrament on the basis of John 6:54.</w:t>
      </w:r>
    </w:p>
  </w:footnote>
  <w:footnote w:id="581">
    <w:p w:rsidR="00AB3F05" w:rsidRPr="00A402FA" w:rsidRDefault="00AB3F05" w:rsidP="00062AED">
      <w:pPr>
        <w:pStyle w:val="FootnoteText"/>
      </w:pPr>
      <w:r>
        <w:rPr>
          <w:rStyle w:val="FootnoteReference"/>
        </w:rPr>
        <w:footnoteRef/>
      </w:r>
      <w:r>
        <w:t xml:space="preserve"> Interestingly, the Breaking of Bread would have been the main meeting where the gifts of the Holy Spirit would have been expressed, and these gifts were, in Williams’ theology, an expression of the Headship of Christ. There was also a high expectation of healing through partaking of the Lord’s Supper among the early Apostolics. E.g. Edwin Williams, ‘The Lord’s Supper’, </w:t>
      </w:r>
      <w:r>
        <w:rPr>
          <w:i/>
        </w:rPr>
        <w:t>RoG</w:t>
      </w:r>
      <w:r>
        <w:t xml:space="preserve">, vii.5 (May 1932), 214. </w:t>
      </w:r>
    </w:p>
  </w:footnote>
  <w:footnote w:id="582">
    <w:p w:rsidR="00AB3F05" w:rsidRPr="008C0DFD" w:rsidRDefault="00AB3F05" w:rsidP="00062AED">
      <w:pPr>
        <w:pStyle w:val="FootnoteText"/>
      </w:pPr>
      <w:r>
        <w:rPr>
          <w:rStyle w:val="FootnoteReference"/>
        </w:rPr>
        <w:footnoteRef/>
      </w:r>
      <w:r>
        <w:t xml:space="preserve"> </w:t>
      </w:r>
      <w:r>
        <w:rPr>
          <w:lang w:val="cy-GB"/>
        </w:rPr>
        <w:t>Williams, ‘Editorial Note: The Lord’s Table’, 275. Williams calls the sacrament ‘the Holy Eucharist’ on 274.</w:t>
      </w:r>
    </w:p>
  </w:footnote>
  <w:footnote w:id="583">
    <w:p w:rsidR="00AB3F05" w:rsidRPr="003F6A11" w:rsidRDefault="00AB3F05" w:rsidP="00062AED">
      <w:pPr>
        <w:pStyle w:val="FootnoteText"/>
        <w:rPr>
          <w:lang w:val="cy-GB"/>
        </w:rPr>
      </w:pPr>
      <w:r>
        <w:rPr>
          <w:rStyle w:val="FootnoteReference"/>
        </w:rPr>
        <w:footnoteRef/>
      </w:r>
      <w:r>
        <w:t xml:space="preserve"> Ibid., 275; </w:t>
      </w:r>
      <w:r>
        <w:rPr>
          <w:lang w:val="cy-GB"/>
        </w:rPr>
        <w:t>Williams, ‘The Ministry of the Word’</w:t>
      </w:r>
      <w:r>
        <w:t xml:space="preserve">, 170-171; idem, ‘The Priesthood of Jesus Christ’, </w:t>
      </w:r>
      <w:r w:rsidRPr="009C3D38">
        <w:rPr>
          <w:i/>
        </w:rPr>
        <w:t>HoG</w:t>
      </w:r>
      <w:r>
        <w:t xml:space="preserve"> 2.4 (June 1942), 48; </w:t>
      </w:r>
      <w:r>
        <w:rPr>
          <w:lang w:val="cy-GB"/>
        </w:rPr>
        <w:t>Black, ‘The Church as Eucharistic Fellowship’, 89.</w:t>
      </w:r>
    </w:p>
  </w:footnote>
  <w:footnote w:id="584">
    <w:p w:rsidR="00AB3F05" w:rsidRPr="00D4444B" w:rsidRDefault="00AB3F05" w:rsidP="00062AED">
      <w:pPr>
        <w:pStyle w:val="FootnoteText"/>
        <w:rPr>
          <w:lang w:val="cy-GB"/>
        </w:rPr>
      </w:pPr>
      <w:r>
        <w:rPr>
          <w:rStyle w:val="FootnoteReference"/>
        </w:rPr>
        <w:footnoteRef/>
      </w:r>
      <w:r>
        <w:t xml:space="preserve"> </w:t>
      </w:r>
      <w:r>
        <w:rPr>
          <w:lang w:val="cy-GB"/>
        </w:rPr>
        <w:t xml:space="preserve">Williams, ‘The Ministry of the Word’, 171; </w:t>
      </w:r>
      <w:r>
        <w:t xml:space="preserve">Williams, </w:t>
      </w:r>
      <w:r w:rsidRPr="000E1F46">
        <w:rPr>
          <w:i/>
        </w:rPr>
        <w:t>Trinity</w:t>
      </w:r>
      <w:r>
        <w:t>, 2:32.</w:t>
      </w:r>
    </w:p>
  </w:footnote>
  <w:footnote w:id="585">
    <w:p w:rsidR="00AB3F05" w:rsidRDefault="00AB3F05" w:rsidP="00062AED">
      <w:pPr>
        <w:pStyle w:val="FootnoteText"/>
      </w:pPr>
      <w:r>
        <w:rPr>
          <w:rStyle w:val="FootnoteReference"/>
        </w:rPr>
        <w:footnoteRef/>
      </w:r>
      <w:r>
        <w:t xml:space="preserve"> D.P. Williams, </w:t>
      </w:r>
      <w:r w:rsidRPr="00652354">
        <w:rPr>
          <w:i/>
        </w:rPr>
        <w:t>Morning Meditations on the Lord’s Prayer</w:t>
      </w:r>
      <w:r>
        <w:t xml:space="preserve"> (Penygroes: The Apostolic Church, 1923), 45.</w:t>
      </w:r>
    </w:p>
  </w:footnote>
  <w:footnote w:id="586">
    <w:p w:rsidR="00AB3F05" w:rsidRPr="008A025B" w:rsidRDefault="00AB3F05" w:rsidP="00062AED">
      <w:pPr>
        <w:pStyle w:val="FootnoteText"/>
        <w:rPr>
          <w:lang w:val="cy-GB"/>
        </w:rPr>
      </w:pPr>
      <w:r>
        <w:rPr>
          <w:rStyle w:val="FootnoteReference"/>
        </w:rPr>
        <w:footnoteRef/>
      </w:r>
      <w:r>
        <w:t xml:space="preserve"> </w:t>
      </w:r>
      <w:r>
        <w:rPr>
          <w:lang w:val="cy-GB"/>
        </w:rPr>
        <w:t>Williams, ‘Editorial Note: The Lord’s Table’, 275.</w:t>
      </w:r>
    </w:p>
  </w:footnote>
  <w:footnote w:id="587">
    <w:p w:rsidR="00AB3F05" w:rsidRPr="00C909C5" w:rsidRDefault="00AB3F05" w:rsidP="00062AED">
      <w:pPr>
        <w:pStyle w:val="FootnoteText"/>
        <w:rPr>
          <w:lang w:val="cy-GB"/>
        </w:rPr>
      </w:pPr>
      <w:r>
        <w:rPr>
          <w:rStyle w:val="FootnoteReference"/>
        </w:rPr>
        <w:footnoteRef/>
      </w:r>
      <w:r>
        <w:t xml:space="preserve"> </w:t>
      </w:r>
      <w:r>
        <w:rPr>
          <w:lang w:val="cy-GB"/>
        </w:rPr>
        <w:t>Ibid.</w:t>
      </w:r>
    </w:p>
  </w:footnote>
  <w:footnote w:id="588">
    <w:p w:rsidR="00AB3F05" w:rsidRPr="00937CD6" w:rsidRDefault="00AB3F05" w:rsidP="00062AED">
      <w:pPr>
        <w:pStyle w:val="FootnoteText"/>
        <w:rPr>
          <w:lang w:val="cy-GB"/>
        </w:rPr>
      </w:pPr>
      <w:r>
        <w:rPr>
          <w:rStyle w:val="FootnoteReference"/>
        </w:rPr>
        <w:footnoteRef/>
      </w:r>
      <w:r>
        <w:t xml:space="preserve"> D.P. Williams</w:t>
      </w:r>
      <w:r>
        <w:rPr>
          <w:lang w:val="cy-GB"/>
        </w:rPr>
        <w:t xml:space="preserve">, </w:t>
      </w:r>
      <w:r>
        <w:rPr>
          <w:i/>
          <w:lang w:val="cy-GB"/>
        </w:rPr>
        <w:t>MDd</w:t>
      </w:r>
      <w:r>
        <w:rPr>
          <w:lang w:val="cy-GB"/>
        </w:rPr>
        <w:t>, 24.</w:t>
      </w:r>
    </w:p>
  </w:footnote>
  <w:footnote w:id="589">
    <w:p w:rsidR="00AB3F05" w:rsidRPr="002E48E4" w:rsidRDefault="00AB3F05" w:rsidP="00062AED">
      <w:pPr>
        <w:pStyle w:val="FootnoteText"/>
        <w:rPr>
          <w:lang w:val="cy-GB"/>
        </w:rPr>
      </w:pPr>
      <w:r>
        <w:rPr>
          <w:rStyle w:val="FootnoteReference"/>
        </w:rPr>
        <w:footnoteRef/>
      </w:r>
      <w:r>
        <w:t xml:space="preserve"> </w:t>
      </w:r>
      <w:r>
        <w:rPr>
          <w:lang w:val="cy-GB"/>
        </w:rPr>
        <w:t xml:space="preserve">This strong continuity between the Eucharist and the heavenly feast is also seen in the hymns of a later Apostolic hymnwriter, Ian Macpherson, who memorably wrote of heaven as ‘one long Eucharist.’ Ian Macpherson, </w:t>
      </w:r>
      <w:r w:rsidRPr="00E07D39">
        <w:rPr>
          <w:lang w:val="cy-GB"/>
        </w:rPr>
        <w:t xml:space="preserve">‘Here at Our Holy Feast’, </w:t>
      </w:r>
      <w:r w:rsidRPr="00E07D39">
        <w:rPr>
          <w:i/>
          <w:lang w:val="cy-GB"/>
        </w:rPr>
        <w:t>Hymns at the Holy Table</w:t>
      </w:r>
      <w:r w:rsidRPr="00E07D39">
        <w:rPr>
          <w:lang w:val="cy-GB"/>
        </w:rPr>
        <w:t xml:space="preserve">, 52; see further Nos. </w:t>
      </w:r>
      <w:r>
        <w:rPr>
          <w:lang w:val="cy-GB"/>
        </w:rPr>
        <w:t>6, 18, 46, 57.</w:t>
      </w:r>
    </w:p>
  </w:footnote>
  <w:footnote w:id="590">
    <w:p w:rsidR="00AB3F05" w:rsidRPr="00D12099" w:rsidRDefault="00AB3F05" w:rsidP="00062AED">
      <w:pPr>
        <w:pStyle w:val="FootnoteText"/>
        <w:rPr>
          <w:lang w:val="cy-GB"/>
        </w:rPr>
      </w:pPr>
      <w:r>
        <w:rPr>
          <w:rStyle w:val="FootnoteReference"/>
        </w:rPr>
        <w:footnoteRef/>
      </w:r>
      <w:r>
        <w:t xml:space="preserve"> </w:t>
      </w:r>
      <w:r>
        <w:rPr>
          <w:i/>
          <w:lang w:val="cy-GB"/>
        </w:rPr>
        <w:t>MDd</w:t>
      </w:r>
      <w:r>
        <w:rPr>
          <w:lang w:val="cy-GB"/>
        </w:rPr>
        <w:t>, 151.</w:t>
      </w:r>
    </w:p>
  </w:footnote>
  <w:footnote w:id="591">
    <w:p w:rsidR="00AB3F05" w:rsidRPr="00D12099" w:rsidRDefault="00AB3F05" w:rsidP="00062AED">
      <w:pPr>
        <w:pStyle w:val="FootnoteText"/>
        <w:rPr>
          <w:lang w:val="cy-GB"/>
        </w:rPr>
      </w:pPr>
      <w:r>
        <w:rPr>
          <w:rStyle w:val="FootnoteReference"/>
        </w:rPr>
        <w:footnoteRef/>
      </w:r>
      <w:r>
        <w:t xml:space="preserve"> </w:t>
      </w:r>
      <w:r>
        <w:rPr>
          <w:i/>
          <w:lang w:val="cy-GB"/>
        </w:rPr>
        <w:t>MDd</w:t>
      </w:r>
      <w:r>
        <w:rPr>
          <w:lang w:val="cy-GB"/>
        </w:rPr>
        <w:t>, 24.</w:t>
      </w:r>
    </w:p>
  </w:footnote>
  <w:footnote w:id="592">
    <w:p w:rsidR="00AB3F05" w:rsidRPr="00E95C4F" w:rsidRDefault="00AB3F05" w:rsidP="00062AED">
      <w:pPr>
        <w:pStyle w:val="FootnoteText"/>
        <w:rPr>
          <w:lang w:val="cy-GB"/>
        </w:rPr>
      </w:pPr>
      <w:r>
        <w:rPr>
          <w:rStyle w:val="FootnoteReference"/>
        </w:rPr>
        <w:footnoteRef/>
      </w:r>
      <w:r>
        <w:t xml:space="preserve"> </w:t>
      </w:r>
      <w:r w:rsidRPr="00496559">
        <w:rPr>
          <w:lang w:val="cy-GB"/>
        </w:rPr>
        <w:t xml:space="preserve">Gen. 3:8; 2:7. It is the Voice of the LORD God, the Face of the LORD God, who walked with Adam and Eve in the Garden, thus the Word and Son of the Father who is the revelation of God. For the interpretation of Gen. 2:7 as being filled with the Holy Spirit, see Cyril of Alexandria, </w:t>
      </w:r>
      <w:r w:rsidRPr="00496559">
        <w:rPr>
          <w:i/>
        </w:rPr>
        <w:t>Scholia on the Incarnation</w:t>
      </w:r>
      <w:r w:rsidRPr="00496559">
        <w:t xml:space="preserve"> §1; see also idem, </w:t>
      </w:r>
      <w:r w:rsidRPr="00496559">
        <w:rPr>
          <w:i/>
        </w:rPr>
        <w:t>On the Solutions to Dogmatic Questions</w:t>
      </w:r>
      <w:r w:rsidRPr="00496559">
        <w:t>, para. 2.</w:t>
      </w:r>
    </w:p>
  </w:footnote>
  <w:footnote w:id="593">
    <w:p w:rsidR="00AB3F05" w:rsidRPr="000C6640" w:rsidRDefault="00AB3F05" w:rsidP="00062AED">
      <w:pPr>
        <w:pStyle w:val="FootnoteText"/>
        <w:rPr>
          <w:lang w:val="cy-GB"/>
        </w:rPr>
      </w:pPr>
      <w:r>
        <w:rPr>
          <w:rStyle w:val="FootnoteReference"/>
        </w:rPr>
        <w:footnoteRef/>
      </w:r>
      <w:r>
        <w:t xml:space="preserve"> </w:t>
      </w:r>
      <w:r>
        <w:rPr>
          <w:i/>
          <w:lang w:val="cy-GB"/>
        </w:rPr>
        <w:t>MDd</w:t>
      </w:r>
      <w:r>
        <w:rPr>
          <w:lang w:val="cy-GB"/>
        </w:rPr>
        <w:t>, 24. From elsewhere we know that, for Williams, the Holy Spirit is at work at the Table too, making this truly a feast of the love of the Trinity: Williams, ‘Editorial Note: The Lord’s Table’, 276.</w:t>
      </w:r>
    </w:p>
  </w:footnote>
  <w:footnote w:id="594">
    <w:p w:rsidR="00AB3F05" w:rsidRDefault="00AB3F05">
      <w:pPr>
        <w:pStyle w:val="FootnoteText"/>
      </w:pPr>
      <w:r>
        <w:rPr>
          <w:rStyle w:val="FootnoteReference"/>
        </w:rPr>
        <w:footnoteRef/>
      </w:r>
      <w:r>
        <w:t xml:space="preserve"> Williams, ‘Path to Maturity VIII’, 67-68.</w:t>
      </w:r>
    </w:p>
  </w:footnote>
  <w:footnote w:id="595">
    <w:p w:rsidR="00AB3F05" w:rsidRPr="00E36361" w:rsidRDefault="00AB3F05" w:rsidP="00062AED">
      <w:pPr>
        <w:pStyle w:val="FootnoteText"/>
      </w:pPr>
      <w:r>
        <w:rPr>
          <w:rStyle w:val="FootnoteReference"/>
        </w:rPr>
        <w:footnoteRef/>
      </w:r>
      <w:r>
        <w:t xml:space="preserve"> Williams, ‘The Unique Child’, 370.</w:t>
      </w:r>
    </w:p>
  </w:footnote>
  <w:footnote w:id="596">
    <w:p w:rsidR="00AB3F05" w:rsidRDefault="00AB3F05">
      <w:pPr>
        <w:pStyle w:val="FootnoteText"/>
      </w:pPr>
      <w:r>
        <w:rPr>
          <w:rStyle w:val="FootnoteReference"/>
        </w:rPr>
        <w:footnoteRef/>
      </w:r>
      <w:r>
        <w:t xml:space="preserve"> Williams, ‘Path to Maturity VIII’, 68.</w:t>
      </w:r>
    </w:p>
  </w:footnote>
  <w:footnote w:id="597">
    <w:p w:rsidR="00AB3F05" w:rsidRDefault="00AB3F05">
      <w:pPr>
        <w:pStyle w:val="FootnoteText"/>
      </w:pPr>
      <w:r>
        <w:rPr>
          <w:rStyle w:val="FootnoteReference"/>
        </w:rPr>
        <w:footnoteRef/>
      </w:r>
      <w:r>
        <w:t xml:space="preserve"> Williams, ‘Bwrdd Yr Arglwydd’, 14; idem, ‘Path to Maturity VIII’, 67-68.</w:t>
      </w:r>
    </w:p>
  </w:footnote>
  <w:footnote w:id="598">
    <w:p w:rsidR="00AB3F05" w:rsidRPr="00E36361" w:rsidRDefault="00AB3F05" w:rsidP="00062AED">
      <w:pPr>
        <w:pStyle w:val="FootnoteText"/>
        <w:rPr>
          <w:lang w:val="cy-GB"/>
        </w:rPr>
      </w:pPr>
      <w:r>
        <w:rPr>
          <w:rStyle w:val="FootnoteReference"/>
        </w:rPr>
        <w:footnoteRef/>
      </w:r>
      <w:r>
        <w:t xml:space="preserve"> </w:t>
      </w:r>
      <w:r>
        <w:rPr>
          <w:lang w:val="cy-GB"/>
        </w:rPr>
        <w:t>Williams, ‘Three Spheres’, 205.</w:t>
      </w:r>
    </w:p>
  </w:footnote>
  <w:footnote w:id="599">
    <w:p w:rsidR="00AB3F05" w:rsidRPr="001B600F" w:rsidRDefault="00AB3F05" w:rsidP="00062AED">
      <w:pPr>
        <w:pStyle w:val="FootnoteText"/>
        <w:rPr>
          <w:lang w:val="cy-GB"/>
        </w:rPr>
      </w:pPr>
      <w:r>
        <w:rPr>
          <w:rStyle w:val="FootnoteReference"/>
        </w:rPr>
        <w:footnoteRef/>
      </w:r>
      <w:r>
        <w:t xml:space="preserve"> </w:t>
      </w:r>
      <w:r>
        <w:rPr>
          <w:lang w:val="cy-GB"/>
        </w:rPr>
        <w:t xml:space="preserve">Unlike in Reformed Christology, Williams’ Cyrillian Christology held to a stong concept of the </w:t>
      </w:r>
      <w:r w:rsidRPr="00421BA2">
        <w:rPr>
          <w:i/>
          <w:lang w:val="cy-GB"/>
        </w:rPr>
        <w:t>communicatio idiomatum</w:t>
      </w:r>
      <w:r>
        <w:rPr>
          <w:lang w:val="cy-GB"/>
        </w:rPr>
        <w:t xml:space="preserve">. For Williams, </w:t>
      </w:r>
      <w:r w:rsidRPr="00963093">
        <w:rPr>
          <w:lang w:val="cy-GB"/>
        </w:rPr>
        <w:t xml:space="preserve">the Reformed version of the </w:t>
      </w:r>
      <w:r w:rsidRPr="00421BA2">
        <w:rPr>
          <w:i/>
          <w:lang w:val="cy-GB"/>
        </w:rPr>
        <w:t>communicatio</w:t>
      </w:r>
      <w:r>
        <w:rPr>
          <w:lang w:val="cy-GB"/>
        </w:rPr>
        <w:t xml:space="preserve"> ‘undermines the unity of His Divine Person. It was not the human at one time, nor the Divine nature at another time, that were in operation, but His complete Person, the God-Man.’ Williams, </w:t>
      </w:r>
      <w:r w:rsidRPr="001B600F">
        <w:rPr>
          <w:i/>
          <w:lang w:val="cy-GB"/>
        </w:rPr>
        <w:t>Trinity</w:t>
      </w:r>
      <w:r>
        <w:rPr>
          <w:lang w:val="cy-GB"/>
        </w:rPr>
        <w:t>, 2:28. Thus it is not the flesh and blood of the human nature of Christ, but the flesh and blood of God the Son.</w:t>
      </w:r>
    </w:p>
  </w:footnote>
  <w:footnote w:id="600">
    <w:p w:rsidR="00AB3F05" w:rsidRPr="003463E1" w:rsidRDefault="00AB3F05" w:rsidP="00062AED">
      <w:pPr>
        <w:pStyle w:val="FootnoteText"/>
      </w:pPr>
      <w:r>
        <w:rPr>
          <w:rStyle w:val="FootnoteReference"/>
        </w:rPr>
        <w:footnoteRef/>
      </w:r>
      <w:r>
        <w:t xml:space="preserve"> Ezra Gebremedhin, </w:t>
      </w:r>
      <w:r w:rsidRPr="003463E1">
        <w:rPr>
          <w:i/>
        </w:rPr>
        <w:t>Life-Giving Blessing</w:t>
      </w:r>
      <w:r>
        <w:rPr>
          <w:i/>
        </w:rPr>
        <w:t>: An Inquiry into the Eucharistic Doctrine of Cyril of Alexandria</w:t>
      </w:r>
      <w:r>
        <w:t xml:space="preserve">, Studia Doctrinae Christianae Upsaliensia 17 (Uppsala: </w:t>
      </w:r>
      <w:r w:rsidRPr="00FD4627">
        <w:t>Acta Universitatis Upsaliensis</w:t>
      </w:r>
      <w:r>
        <w:t>, 1977), 106.</w:t>
      </w:r>
    </w:p>
  </w:footnote>
  <w:footnote w:id="601">
    <w:p w:rsidR="00AB3F05" w:rsidRPr="00421BA2" w:rsidRDefault="00AB3F05" w:rsidP="00062AED">
      <w:pPr>
        <w:pStyle w:val="FootnoteText"/>
        <w:rPr>
          <w:highlight w:val="yellow"/>
          <w:lang w:val="cy-GB"/>
        </w:rPr>
      </w:pPr>
      <w:r>
        <w:rPr>
          <w:rStyle w:val="FootnoteReference"/>
        </w:rPr>
        <w:footnoteRef/>
      </w:r>
      <w:r>
        <w:t xml:space="preserve"> </w:t>
      </w:r>
      <w:r w:rsidRPr="00CA151A">
        <w:rPr>
          <w:lang w:val="cy-GB"/>
        </w:rPr>
        <w:t xml:space="preserve">Cyril of Alexandria, </w:t>
      </w:r>
      <w:r w:rsidRPr="00CA151A">
        <w:rPr>
          <w:i/>
          <w:lang w:val="cy-GB"/>
        </w:rPr>
        <w:t>Commentary on Luke</w:t>
      </w:r>
      <w:r w:rsidRPr="00CA151A">
        <w:rPr>
          <w:lang w:val="cy-GB"/>
        </w:rPr>
        <w:t>, Sermon cxlii</w:t>
      </w:r>
    </w:p>
  </w:footnote>
  <w:footnote w:id="602">
    <w:p w:rsidR="00AB3F05" w:rsidRPr="00A53651" w:rsidRDefault="00AB3F05" w:rsidP="00062AED">
      <w:pPr>
        <w:pStyle w:val="FootnoteText"/>
      </w:pPr>
      <w:r w:rsidRPr="00CA151A">
        <w:rPr>
          <w:rStyle w:val="FootnoteReference"/>
        </w:rPr>
        <w:footnoteRef/>
      </w:r>
      <w:r w:rsidRPr="00CA151A">
        <w:t xml:space="preserve"> Cyril of Alexandria, </w:t>
      </w:r>
      <w:r w:rsidRPr="00CA151A">
        <w:rPr>
          <w:i/>
        </w:rPr>
        <w:t>In. Io</w:t>
      </w:r>
      <w:r w:rsidRPr="00CA151A">
        <w:t xml:space="preserve">. 4.2, ET:., Cyril of Alexandria, </w:t>
      </w:r>
      <w:r w:rsidRPr="00CA151A">
        <w:rPr>
          <w:i/>
        </w:rPr>
        <w:t xml:space="preserve">Commentary on John, </w:t>
      </w:r>
      <w:r w:rsidRPr="00CA151A">
        <w:t>trans. David R Maxwell (Downers Grove: IVP, 2013) 1:237.</w:t>
      </w:r>
    </w:p>
  </w:footnote>
  <w:footnote w:id="603">
    <w:p w:rsidR="00AB3F05" w:rsidRPr="009C6BFA" w:rsidRDefault="00AB3F05" w:rsidP="00062AED">
      <w:pPr>
        <w:pStyle w:val="FootnoteText"/>
      </w:pPr>
      <w:r>
        <w:rPr>
          <w:rStyle w:val="FootnoteReference"/>
        </w:rPr>
        <w:footnoteRef/>
      </w:r>
      <w:r>
        <w:t xml:space="preserve"> Ibid., 238.</w:t>
      </w:r>
    </w:p>
  </w:footnote>
  <w:footnote w:id="604">
    <w:p w:rsidR="00AB3F05" w:rsidRPr="00850B43" w:rsidRDefault="00AB3F05" w:rsidP="00062AED">
      <w:pPr>
        <w:pStyle w:val="FootnoteText"/>
      </w:pPr>
      <w:r>
        <w:rPr>
          <w:rStyle w:val="FootnoteReference"/>
        </w:rPr>
        <w:footnoteRef/>
      </w:r>
      <w:r>
        <w:t xml:space="preserve"> Ibid., 237.</w:t>
      </w:r>
    </w:p>
  </w:footnote>
  <w:footnote w:id="605">
    <w:p w:rsidR="00AB3F05" w:rsidRPr="007F04AC" w:rsidRDefault="00AB3F05" w:rsidP="00062AED">
      <w:pPr>
        <w:pStyle w:val="FootnoteText"/>
        <w:rPr>
          <w:lang w:val="cy-GB"/>
        </w:rPr>
      </w:pPr>
      <w:r>
        <w:rPr>
          <w:rStyle w:val="FootnoteReference"/>
        </w:rPr>
        <w:footnoteRef/>
      </w:r>
      <w:r>
        <w:t xml:space="preserve"> </w:t>
      </w:r>
      <w:r>
        <w:rPr>
          <w:lang w:val="cy-GB"/>
        </w:rPr>
        <w:t xml:space="preserve">D.P. Williams, ‘The Signs of the Times’, </w:t>
      </w:r>
      <w:r>
        <w:rPr>
          <w:i/>
          <w:lang w:val="cy-GB"/>
        </w:rPr>
        <w:t>RoG</w:t>
      </w:r>
      <w:r>
        <w:rPr>
          <w:lang w:val="cy-GB"/>
        </w:rPr>
        <w:t>, v.2 (November 1929), 81.</w:t>
      </w:r>
    </w:p>
  </w:footnote>
  <w:footnote w:id="606">
    <w:p w:rsidR="00AB3F05" w:rsidRPr="007B097F" w:rsidRDefault="00AB3F05" w:rsidP="00062AED">
      <w:pPr>
        <w:pStyle w:val="FootnoteText"/>
        <w:rPr>
          <w:lang w:val="cy-GB"/>
        </w:rPr>
      </w:pPr>
      <w:r>
        <w:rPr>
          <w:rStyle w:val="FootnoteReference"/>
        </w:rPr>
        <w:footnoteRef/>
      </w:r>
      <w:r>
        <w:t xml:space="preserve"> Williams, ‘Editorial: God’s Image in Man’, 392.</w:t>
      </w:r>
    </w:p>
  </w:footnote>
  <w:footnote w:id="607">
    <w:p w:rsidR="00AB3F05" w:rsidRPr="00E9187B" w:rsidRDefault="00AB3F05" w:rsidP="00062AED">
      <w:pPr>
        <w:pStyle w:val="FootnoteText"/>
        <w:rPr>
          <w:lang w:val="cy-GB"/>
        </w:rPr>
      </w:pPr>
      <w:r>
        <w:rPr>
          <w:rStyle w:val="FootnoteReference"/>
        </w:rPr>
        <w:footnoteRef/>
      </w:r>
      <w:r>
        <w:t xml:space="preserve"> </w:t>
      </w:r>
      <w:r>
        <w:rPr>
          <w:lang w:val="cy-GB"/>
        </w:rPr>
        <w:t xml:space="preserve">Ibid., 393; See also, Williams, </w:t>
      </w:r>
      <w:r w:rsidRPr="008F106E">
        <w:rPr>
          <w:i/>
          <w:lang w:val="cy-GB"/>
        </w:rPr>
        <w:t>Prophetical Ministry</w:t>
      </w:r>
      <w:r>
        <w:rPr>
          <w:lang w:val="cy-GB"/>
        </w:rPr>
        <w:t>, 87.</w:t>
      </w:r>
    </w:p>
  </w:footnote>
  <w:footnote w:id="608">
    <w:p w:rsidR="00AB3F05" w:rsidRPr="00D166A2" w:rsidRDefault="00AB3F05" w:rsidP="00062AED">
      <w:pPr>
        <w:pStyle w:val="FootnoteText"/>
        <w:rPr>
          <w:lang w:val="cy-GB"/>
        </w:rPr>
      </w:pPr>
      <w:r>
        <w:rPr>
          <w:rStyle w:val="FootnoteReference"/>
        </w:rPr>
        <w:footnoteRef/>
      </w:r>
      <w:r>
        <w:t xml:space="preserve"> Williams, ‘Editorial: God’s Image in Man’, 393.</w:t>
      </w:r>
    </w:p>
  </w:footnote>
  <w:footnote w:id="609">
    <w:p w:rsidR="00AB3F05" w:rsidRPr="00DE2D67" w:rsidRDefault="00AB3F05" w:rsidP="00062AED">
      <w:pPr>
        <w:pStyle w:val="FootnoteText"/>
        <w:rPr>
          <w:lang w:val="cy-GB"/>
        </w:rPr>
      </w:pPr>
      <w:r>
        <w:rPr>
          <w:rStyle w:val="FootnoteReference"/>
        </w:rPr>
        <w:footnoteRef/>
      </w:r>
      <w:r>
        <w:t xml:space="preserve"> </w:t>
      </w:r>
      <w:r>
        <w:rPr>
          <w:lang w:val="cy-GB"/>
        </w:rPr>
        <w:t xml:space="preserve">D.P. Williams, ‘Editorial Note’, </w:t>
      </w:r>
      <w:r>
        <w:rPr>
          <w:i/>
          <w:lang w:val="cy-GB"/>
        </w:rPr>
        <w:t>RoG</w:t>
      </w:r>
      <w:r>
        <w:rPr>
          <w:lang w:val="cy-GB"/>
        </w:rPr>
        <w:t>, ii.4 (July 1923), 3. This includes even their ‘mode of thinking and form of ideas.’</w:t>
      </w:r>
    </w:p>
  </w:footnote>
  <w:footnote w:id="610">
    <w:p w:rsidR="00AB3F05" w:rsidRPr="001B03F1" w:rsidRDefault="00AB3F05" w:rsidP="00062AED">
      <w:pPr>
        <w:pStyle w:val="FootnoteText"/>
        <w:rPr>
          <w:lang w:val="cy-GB"/>
        </w:rPr>
      </w:pPr>
      <w:r>
        <w:rPr>
          <w:rStyle w:val="FootnoteReference"/>
        </w:rPr>
        <w:footnoteRef/>
      </w:r>
      <w:r>
        <w:t xml:space="preserve"> </w:t>
      </w:r>
      <w:r>
        <w:rPr>
          <w:lang w:val="cy-GB"/>
        </w:rPr>
        <w:t xml:space="preserve">D.P. Williams, ‘A Vision, A Vessel, A Victory: Expositions of Foregoing Prophecies’, </w:t>
      </w:r>
      <w:r>
        <w:rPr>
          <w:i/>
          <w:lang w:val="cy-GB"/>
        </w:rPr>
        <w:t>RoG</w:t>
      </w:r>
      <w:r>
        <w:rPr>
          <w:lang w:val="cy-GB"/>
        </w:rPr>
        <w:t>, xiv.1 (Sept. 1938), 85.</w:t>
      </w:r>
    </w:p>
  </w:footnote>
  <w:footnote w:id="611">
    <w:p w:rsidR="00AB3F05" w:rsidRPr="0019273D" w:rsidRDefault="00AB3F05" w:rsidP="00062AED">
      <w:pPr>
        <w:pStyle w:val="FootnoteText"/>
        <w:rPr>
          <w:lang w:val="cy-GB"/>
        </w:rPr>
      </w:pPr>
      <w:r>
        <w:rPr>
          <w:rStyle w:val="FootnoteReference"/>
        </w:rPr>
        <w:footnoteRef/>
      </w:r>
      <w:r>
        <w:t xml:space="preserve"> </w:t>
      </w:r>
      <w:r>
        <w:rPr>
          <w:lang w:val="cy-GB"/>
        </w:rPr>
        <w:t xml:space="preserve">D.P. Williams, ‘Grace and Apostleship (II)’, </w:t>
      </w:r>
      <w:r>
        <w:rPr>
          <w:i/>
          <w:lang w:val="cy-GB"/>
        </w:rPr>
        <w:t>RoG</w:t>
      </w:r>
      <w:r>
        <w:rPr>
          <w:lang w:val="cy-GB"/>
        </w:rPr>
        <w:t>, xv.9 (Oct. 1940), 98.</w:t>
      </w:r>
    </w:p>
  </w:footnote>
  <w:footnote w:id="612">
    <w:p w:rsidR="00AB3F05" w:rsidRPr="008F106E" w:rsidRDefault="00AB3F05" w:rsidP="00062AED">
      <w:pPr>
        <w:pStyle w:val="FootnoteText"/>
        <w:rPr>
          <w:lang w:val="cy-GB"/>
        </w:rPr>
      </w:pPr>
      <w:r>
        <w:rPr>
          <w:rStyle w:val="FootnoteReference"/>
        </w:rPr>
        <w:footnoteRef/>
      </w:r>
      <w:r>
        <w:t xml:space="preserve"> Williams, ‘Editorial: God’s Image in Man’, 392.</w:t>
      </w:r>
    </w:p>
  </w:footnote>
  <w:footnote w:id="613">
    <w:p w:rsidR="00AB3F05" w:rsidRPr="005929BD" w:rsidRDefault="00AB3F05" w:rsidP="00062AED">
      <w:pPr>
        <w:pStyle w:val="FootnoteText"/>
        <w:rPr>
          <w:lang w:val="cy-GB"/>
        </w:rPr>
      </w:pPr>
      <w:r>
        <w:rPr>
          <w:rStyle w:val="FootnoteReference"/>
        </w:rPr>
        <w:footnoteRef/>
      </w:r>
      <w:r>
        <w:t xml:space="preserve"> </w:t>
      </w:r>
      <w:r>
        <w:rPr>
          <w:lang w:val="cy-GB"/>
        </w:rPr>
        <w:t>Williams, ‘Liberty in the Holy Spirit’, 46.</w:t>
      </w:r>
    </w:p>
  </w:footnote>
  <w:footnote w:id="614">
    <w:p w:rsidR="00AB3F05" w:rsidRPr="009A23E5" w:rsidRDefault="00AB3F05" w:rsidP="00062AED">
      <w:pPr>
        <w:pStyle w:val="FootnoteText"/>
        <w:rPr>
          <w:lang w:val="cy-GB"/>
        </w:rPr>
      </w:pPr>
      <w:r>
        <w:rPr>
          <w:rStyle w:val="FootnoteReference"/>
        </w:rPr>
        <w:footnoteRef/>
      </w:r>
      <w:r>
        <w:t xml:space="preserve"> </w:t>
      </w:r>
      <w:r>
        <w:rPr>
          <w:lang w:val="cy-GB"/>
        </w:rPr>
        <w:t xml:space="preserve">Ibid.; See also, D.P. Williams, ‘Grace and Apostleship’, </w:t>
      </w:r>
      <w:r>
        <w:rPr>
          <w:i/>
          <w:lang w:val="cy-GB"/>
        </w:rPr>
        <w:t>RoG</w:t>
      </w:r>
      <w:r>
        <w:rPr>
          <w:lang w:val="cy-GB"/>
        </w:rPr>
        <w:t>, xv.8 (Sept. 1940), 85.</w:t>
      </w:r>
    </w:p>
  </w:footnote>
  <w:footnote w:id="615">
    <w:p w:rsidR="00AB3F05" w:rsidRPr="000F0199" w:rsidRDefault="00AB3F05" w:rsidP="00062AED">
      <w:pPr>
        <w:pStyle w:val="FootnoteText"/>
        <w:rPr>
          <w:lang w:val="cy-GB"/>
        </w:rPr>
      </w:pPr>
      <w:r>
        <w:rPr>
          <w:rStyle w:val="FootnoteReference"/>
        </w:rPr>
        <w:footnoteRef/>
      </w:r>
      <w:r>
        <w:t xml:space="preserve"> Williams, ‘The Ministry of the Word’, 178.</w:t>
      </w:r>
    </w:p>
  </w:footnote>
  <w:footnote w:id="616">
    <w:p w:rsidR="00AB3F05" w:rsidRPr="00AB4591" w:rsidRDefault="00AB3F05" w:rsidP="00062AED">
      <w:pPr>
        <w:pStyle w:val="FootnoteText"/>
        <w:rPr>
          <w:lang w:val="cy-GB"/>
        </w:rPr>
      </w:pPr>
      <w:r>
        <w:rPr>
          <w:rStyle w:val="FootnoteReference"/>
        </w:rPr>
        <w:footnoteRef/>
      </w:r>
      <w:r>
        <w:t xml:space="preserve"> </w:t>
      </w:r>
      <w:r>
        <w:rPr>
          <w:lang w:val="cy-GB"/>
        </w:rPr>
        <w:t>Ibid.</w:t>
      </w:r>
    </w:p>
  </w:footnote>
  <w:footnote w:id="617">
    <w:p w:rsidR="00AB3F05" w:rsidRPr="00F04B77" w:rsidRDefault="00AB3F05" w:rsidP="00062AED">
      <w:pPr>
        <w:pStyle w:val="FootnoteText"/>
        <w:rPr>
          <w:lang w:val="cy-GB"/>
        </w:rPr>
      </w:pPr>
      <w:r>
        <w:rPr>
          <w:rStyle w:val="FootnoteReference"/>
        </w:rPr>
        <w:footnoteRef/>
      </w:r>
      <w:r>
        <w:t xml:space="preserve"> </w:t>
      </w:r>
      <w:r>
        <w:rPr>
          <w:lang w:val="cy-GB"/>
        </w:rPr>
        <w:t xml:space="preserve">Williams, </w:t>
      </w:r>
      <w:r>
        <w:rPr>
          <w:i/>
          <w:lang w:val="cy-GB"/>
        </w:rPr>
        <w:t>Prophetical Ministry</w:t>
      </w:r>
      <w:r>
        <w:rPr>
          <w:lang w:val="cy-GB"/>
        </w:rPr>
        <w:t>, 20.</w:t>
      </w:r>
    </w:p>
  </w:footnote>
  <w:footnote w:id="618">
    <w:p w:rsidR="00AB3F05" w:rsidRPr="00407B34" w:rsidRDefault="00AB3F05" w:rsidP="00062AED">
      <w:pPr>
        <w:pStyle w:val="FootnoteText"/>
        <w:rPr>
          <w:lang w:val="cy-GB"/>
        </w:rPr>
      </w:pPr>
      <w:r>
        <w:rPr>
          <w:rStyle w:val="FootnoteReference"/>
        </w:rPr>
        <w:footnoteRef/>
      </w:r>
      <w:r>
        <w:t xml:space="preserve"> </w:t>
      </w:r>
      <w:r>
        <w:rPr>
          <w:lang w:val="cy-GB"/>
        </w:rPr>
        <w:t xml:space="preserve">Williams, </w:t>
      </w:r>
      <w:r w:rsidRPr="00407B34">
        <w:rPr>
          <w:i/>
          <w:lang w:val="cy-GB"/>
        </w:rPr>
        <w:t>Work of An Evangelist</w:t>
      </w:r>
      <w:r>
        <w:rPr>
          <w:lang w:val="cy-GB"/>
        </w:rPr>
        <w:t>, 44.</w:t>
      </w:r>
    </w:p>
  </w:footnote>
  <w:footnote w:id="619">
    <w:p w:rsidR="00AB3F05" w:rsidRPr="003D2D43" w:rsidRDefault="00AB3F05" w:rsidP="00062AED">
      <w:pPr>
        <w:pStyle w:val="FootnoteText"/>
        <w:rPr>
          <w:lang w:val="cy-GB"/>
        </w:rPr>
      </w:pPr>
      <w:r>
        <w:rPr>
          <w:rStyle w:val="FootnoteReference"/>
        </w:rPr>
        <w:footnoteRef/>
      </w:r>
      <w:r>
        <w:t xml:space="preserve"> </w:t>
      </w:r>
      <w:r>
        <w:rPr>
          <w:lang w:val="cy-GB"/>
        </w:rPr>
        <w:t>Williams, ‘Grace and Apostleship’, 86.</w:t>
      </w:r>
    </w:p>
  </w:footnote>
  <w:footnote w:id="620">
    <w:p w:rsidR="00AB3F05" w:rsidRPr="002A460F" w:rsidRDefault="00AB3F05" w:rsidP="00062AED">
      <w:pPr>
        <w:pStyle w:val="FootnoteText"/>
        <w:rPr>
          <w:lang w:val="cy-GB"/>
        </w:rPr>
      </w:pPr>
      <w:r>
        <w:rPr>
          <w:rStyle w:val="FootnoteReference"/>
        </w:rPr>
        <w:footnoteRef/>
      </w:r>
      <w:r>
        <w:t xml:space="preserve"> </w:t>
      </w:r>
      <w:r>
        <w:rPr>
          <w:lang w:val="cy-GB"/>
        </w:rPr>
        <w:t>Ibid.</w:t>
      </w:r>
    </w:p>
  </w:footnote>
  <w:footnote w:id="621">
    <w:p w:rsidR="00AB3F05" w:rsidRPr="00D15469" w:rsidRDefault="00AB3F05" w:rsidP="00062AED">
      <w:pPr>
        <w:pStyle w:val="FootnoteText"/>
        <w:rPr>
          <w:lang w:val="cy-GB"/>
        </w:rPr>
      </w:pPr>
      <w:r>
        <w:rPr>
          <w:rStyle w:val="FootnoteReference"/>
        </w:rPr>
        <w:footnoteRef/>
      </w:r>
      <w:r>
        <w:t xml:space="preserve"> </w:t>
      </w:r>
      <w:r>
        <w:rPr>
          <w:lang w:val="cy-GB"/>
        </w:rPr>
        <w:t xml:space="preserve">Williams, </w:t>
      </w:r>
      <w:r w:rsidRPr="004A0525">
        <w:rPr>
          <w:i/>
          <w:lang w:val="cy-GB"/>
        </w:rPr>
        <w:t>Prophetical Ministry</w:t>
      </w:r>
      <w:r>
        <w:rPr>
          <w:lang w:val="cy-GB"/>
        </w:rPr>
        <w:t>, 77-78.</w:t>
      </w:r>
    </w:p>
  </w:footnote>
  <w:footnote w:id="622">
    <w:p w:rsidR="00AB3F05" w:rsidRPr="004A0525" w:rsidRDefault="00AB3F05" w:rsidP="00062AED">
      <w:pPr>
        <w:pStyle w:val="FootnoteText"/>
        <w:rPr>
          <w:lang w:val="cy-GB"/>
        </w:rPr>
      </w:pPr>
      <w:r>
        <w:rPr>
          <w:rStyle w:val="FootnoteReference"/>
        </w:rPr>
        <w:footnoteRef/>
      </w:r>
      <w:r>
        <w:t xml:space="preserve"> </w:t>
      </w:r>
      <w:r>
        <w:rPr>
          <w:lang w:val="cy-GB"/>
        </w:rPr>
        <w:t>Ibid., 77.</w:t>
      </w:r>
    </w:p>
  </w:footnote>
  <w:footnote w:id="623">
    <w:p w:rsidR="00AB3F05" w:rsidRPr="004A0525" w:rsidRDefault="00AB3F05" w:rsidP="00062AED">
      <w:pPr>
        <w:pStyle w:val="FootnoteText"/>
        <w:rPr>
          <w:lang w:val="cy-GB"/>
        </w:rPr>
      </w:pPr>
      <w:r>
        <w:rPr>
          <w:rStyle w:val="FootnoteReference"/>
        </w:rPr>
        <w:footnoteRef/>
      </w:r>
      <w:r>
        <w:t xml:space="preserve"> </w:t>
      </w:r>
      <w:r>
        <w:rPr>
          <w:lang w:val="cy-GB"/>
        </w:rPr>
        <w:t>Ibid., 78.</w:t>
      </w:r>
    </w:p>
  </w:footnote>
  <w:footnote w:id="624">
    <w:p w:rsidR="00AB3F05" w:rsidRPr="00E07D08" w:rsidRDefault="00AB3F05" w:rsidP="00062AED">
      <w:pPr>
        <w:pStyle w:val="FootnoteText"/>
        <w:rPr>
          <w:lang w:val="cy-GB"/>
        </w:rPr>
      </w:pPr>
      <w:r>
        <w:rPr>
          <w:rStyle w:val="FootnoteReference"/>
        </w:rPr>
        <w:footnoteRef/>
      </w:r>
      <w:r>
        <w:t xml:space="preserve"> </w:t>
      </w:r>
      <w:r>
        <w:rPr>
          <w:lang w:val="cy-GB"/>
        </w:rPr>
        <w:t>Williams, ‘The Ministry of the Word’, 172.</w:t>
      </w:r>
    </w:p>
  </w:footnote>
  <w:footnote w:id="625">
    <w:p w:rsidR="00AB3F05" w:rsidRPr="00E07D08" w:rsidRDefault="00AB3F05" w:rsidP="00062AED">
      <w:pPr>
        <w:pStyle w:val="FootnoteText"/>
        <w:rPr>
          <w:lang w:val="cy-GB"/>
        </w:rPr>
      </w:pPr>
      <w:r>
        <w:rPr>
          <w:rStyle w:val="FootnoteReference"/>
        </w:rPr>
        <w:footnoteRef/>
      </w:r>
      <w:r>
        <w:t xml:space="preserve"> </w:t>
      </w:r>
      <w:r>
        <w:rPr>
          <w:lang w:val="cy-GB"/>
        </w:rPr>
        <w:t>Ibid., 174.</w:t>
      </w:r>
    </w:p>
  </w:footnote>
  <w:footnote w:id="626">
    <w:p w:rsidR="00AB3F05" w:rsidRPr="00CA7236" w:rsidRDefault="00AB3F05" w:rsidP="00062AED">
      <w:pPr>
        <w:pStyle w:val="FootnoteText"/>
        <w:rPr>
          <w:lang w:val="cy-GB"/>
        </w:rPr>
      </w:pPr>
      <w:r>
        <w:rPr>
          <w:rStyle w:val="FootnoteReference"/>
        </w:rPr>
        <w:footnoteRef/>
      </w:r>
      <w:r>
        <w:t xml:space="preserve"> </w:t>
      </w:r>
      <w:r>
        <w:rPr>
          <w:lang w:val="cy-GB"/>
        </w:rPr>
        <w:t xml:space="preserve">D.P. Williams, ‘Exposition of Prophetical Word’, </w:t>
      </w:r>
      <w:r>
        <w:rPr>
          <w:i/>
          <w:lang w:val="cy-GB"/>
        </w:rPr>
        <w:t>RoG</w:t>
      </w:r>
      <w:r>
        <w:rPr>
          <w:lang w:val="cy-GB"/>
        </w:rPr>
        <w:t xml:space="preserve">, x.2 (Nov. 1934), 65; See also, D.P. Williams, ‘Exposition of Prophetical Word’, </w:t>
      </w:r>
      <w:r>
        <w:rPr>
          <w:i/>
          <w:lang w:val="cy-GB"/>
        </w:rPr>
        <w:t>RoG</w:t>
      </w:r>
      <w:r>
        <w:rPr>
          <w:lang w:val="cy-GB"/>
        </w:rPr>
        <w:t>, xi.1 (Sept. 1935), 39.</w:t>
      </w:r>
    </w:p>
  </w:footnote>
  <w:footnote w:id="627">
    <w:p w:rsidR="00AB3F05" w:rsidRPr="00CA7236" w:rsidRDefault="00AB3F05" w:rsidP="00062AED">
      <w:pPr>
        <w:pStyle w:val="FootnoteText"/>
        <w:rPr>
          <w:lang w:val="cy-GB"/>
        </w:rPr>
      </w:pPr>
      <w:r>
        <w:rPr>
          <w:rStyle w:val="FootnoteReference"/>
        </w:rPr>
        <w:footnoteRef/>
      </w:r>
      <w:r>
        <w:t xml:space="preserve"> </w:t>
      </w:r>
      <w:r>
        <w:rPr>
          <w:lang w:val="cy-GB"/>
        </w:rPr>
        <w:t>Tenet 9</w:t>
      </w:r>
    </w:p>
  </w:footnote>
  <w:footnote w:id="628">
    <w:p w:rsidR="00AB3F05" w:rsidRPr="00CA7236" w:rsidRDefault="00AB3F05" w:rsidP="00062AED">
      <w:pPr>
        <w:pStyle w:val="FootnoteText"/>
        <w:rPr>
          <w:lang w:val="cy-GB"/>
        </w:rPr>
      </w:pPr>
      <w:r>
        <w:rPr>
          <w:rStyle w:val="FootnoteReference"/>
        </w:rPr>
        <w:footnoteRef/>
      </w:r>
      <w:r>
        <w:t xml:space="preserve"> D.P. </w:t>
      </w:r>
      <w:r w:rsidRPr="00CA7236">
        <w:t xml:space="preserve">Williams, ‘What the Apostolic Church Stands For: The Apostolic Doctrine as Revealed in the Epistles’, </w:t>
      </w:r>
      <w:r>
        <w:rPr>
          <w:i/>
          <w:iCs/>
        </w:rPr>
        <w:t>RoG</w:t>
      </w:r>
      <w:r w:rsidRPr="00CA7236">
        <w:t>, ix</w:t>
      </w:r>
      <w:r>
        <w:t>.3</w:t>
      </w:r>
      <w:r w:rsidRPr="00CA7236">
        <w:t xml:space="preserve"> </w:t>
      </w:r>
      <w:r>
        <w:t>(</w:t>
      </w:r>
      <w:r w:rsidRPr="00CA7236">
        <w:t>Jan</w:t>
      </w:r>
      <w:r>
        <w:t>. 1934), 83; See also, idem, ‘Apostleship’, (June 1924), 12.</w:t>
      </w:r>
    </w:p>
  </w:footnote>
  <w:footnote w:id="629">
    <w:p w:rsidR="00AB3F05" w:rsidRPr="009C2335" w:rsidRDefault="00AB3F05" w:rsidP="00062AED">
      <w:pPr>
        <w:pStyle w:val="FootnoteText"/>
        <w:rPr>
          <w:lang w:val="cy-GB"/>
        </w:rPr>
      </w:pPr>
      <w:r>
        <w:rPr>
          <w:rStyle w:val="FootnoteReference"/>
        </w:rPr>
        <w:footnoteRef/>
      </w:r>
      <w:r>
        <w:t xml:space="preserve"> </w:t>
      </w:r>
      <w:r>
        <w:rPr>
          <w:lang w:val="cy-GB"/>
        </w:rPr>
        <w:t>Williams, ‘Editorial: Church Unity’, 242. As a consequence, Williams considered this to be the difference between the saints of the Old Testament and the New Testament saints. Both were born again, but only those post-Pentecost were members of the Body. Ibid.</w:t>
      </w:r>
    </w:p>
  </w:footnote>
  <w:footnote w:id="630">
    <w:p w:rsidR="00AB3F05" w:rsidRPr="000944B0" w:rsidRDefault="00AB3F05" w:rsidP="00062AED">
      <w:pPr>
        <w:pStyle w:val="FootnoteText"/>
      </w:pPr>
      <w:r>
        <w:rPr>
          <w:rStyle w:val="FootnoteReference"/>
        </w:rPr>
        <w:footnoteRef/>
      </w:r>
      <w:r>
        <w:t xml:space="preserve"> D.P. Williams, ‘Divine Order in the Assembly of the Saints’, </w:t>
      </w:r>
      <w:r>
        <w:rPr>
          <w:i/>
        </w:rPr>
        <w:t>RoG</w:t>
      </w:r>
      <w:r>
        <w:t>, ii.5 (Dec. 1923), 7.</w:t>
      </w:r>
    </w:p>
  </w:footnote>
  <w:footnote w:id="631">
    <w:p w:rsidR="00AB3F05" w:rsidRPr="003C6027" w:rsidRDefault="00AB3F05" w:rsidP="00062AED">
      <w:pPr>
        <w:pStyle w:val="FootnoteText"/>
        <w:rPr>
          <w:lang w:val="cy-GB"/>
        </w:rPr>
      </w:pPr>
      <w:r>
        <w:rPr>
          <w:rStyle w:val="FootnoteReference"/>
        </w:rPr>
        <w:footnoteRef/>
      </w:r>
      <w:r>
        <w:t xml:space="preserve"> </w:t>
      </w:r>
      <w:r>
        <w:rPr>
          <w:lang w:val="cy-GB"/>
        </w:rPr>
        <w:t>Williams, ‘The Ministry of the Word’, 173.</w:t>
      </w:r>
    </w:p>
  </w:footnote>
  <w:footnote w:id="632">
    <w:p w:rsidR="00AB3F05" w:rsidRPr="00660AD7" w:rsidRDefault="00AB3F05" w:rsidP="00062AED">
      <w:pPr>
        <w:pStyle w:val="FootnoteText"/>
        <w:rPr>
          <w:lang w:val="cy-GB"/>
        </w:rPr>
      </w:pPr>
      <w:r>
        <w:rPr>
          <w:rStyle w:val="FootnoteReference"/>
        </w:rPr>
        <w:footnoteRef/>
      </w:r>
      <w:r>
        <w:t xml:space="preserve"> </w:t>
      </w:r>
      <w:r>
        <w:rPr>
          <w:lang w:val="cy-GB"/>
        </w:rPr>
        <w:t>Ibid.</w:t>
      </w:r>
    </w:p>
  </w:footnote>
  <w:footnote w:id="633">
    <w:p w:rsidR="00AB3F05" w:rsidRPr="0090600D" w:rsidRDefault="00AB3F05" w:rsidP="00062AED">
      <w:pPr>
        <w:pStyle w:val="FootnoteText"/>
        <w:rPr>
          <w:lang w:val="cy-GB"/>
        </w:rPr>
      </w:pPr>
      <w:r>
        <w:rPr>
          <w:rStyle w:val="FootnoteReference"/>
        </w:rPr>
        <w:footnoteRef/>
      </w:r>
      <w:r>
        <w:t xml:space="preserve"> </w:t>
      </w:r>
      <w:r>
        <w:rPr>
          <w:lang w:val="cy-GB"/>
        </w:rPr>
        <w:t xml:space="preserve">Williams, </w:t>
      </w:r>
      <w:r w:rsidRPr="0090600D">
        <w:rPr>
          <w:i/>
          <w:lang w:val="cy-GB"/>
        </w:rPr>
        <w:t>Prophetical Ministry</w:t>
      </w:r>
      <w:r>
        <w:rPr>
          <w:lang w:val="cy-GB"/>
        </w:rPr>
        <w:t>, 76.</w:t>
      </w:r>
    </w:p>
  </w:footnote>
  <w:footnote w:id="634">
    <w:p w:rsidR="00AB3F05" w:rsidRPr="00960DCD" w:rsidRDefault="00AB3F05" w:rsidP="00062AED">
      <w:pPr>
        <w:pStyle w:val="FootnoteText"/>
        <w:rPr>
          <w:lang w:val="cy-GB"/>
        </w:rPr>
      </w:pPr>
      <w:r>
        <w:rPr>
          <w:rStyle w:val="FootnoteReference"/>
        </w:rPr>
        <w:footnoteRef/>
      </w:r>
      <w:r>
        <w:t xml:space="preserve"> </w:t>
      </w:r>
      <w:r>
        <w:rPr>
          <w:lang w:val="cy-GB"/>
        </w:rPr>
        <w:t>Ibid.</w:t>
      </w:r>
    </w:p>
  </w:footnote>
  <w:footnote w:id="635">
    <w:p w:rsidR="00AB3F05" w:rsidRPr="00507CDA" w:rsidRDefault="00AB3F05" w:rsidP="00062AED">
      <w:pPr>
        <w:pStyle w:val="FootnoteText"/>
        <w:rPr>
          <w:lang w:val="cy-GB"/>
        </w:rPr>
      </w:pPr>
      <w:r>
        <w:rPr>
          <w:rStyle w:val="FootnoteReference"/>
        </w:rPr>
        <w:footnoteRef/>
      </w:r>
      <w:r>
        <w:t xml:space="preserve"> </w:t>
      </w:r>
      <w:r>
        <w:rPr>
          <w:lang w:val="cy-GB"/>
        </w:rPr>
        <w:t>Ibid., 62.</w:t>
      </w:r>
    </w:p>
  </w:footnote>
  <w:footnote w:id="636">
    <w:p w:rsidR="00AB3F05" w:rsidRPr="00960DCD" w:rsidRDefault="00AB3F05" w:rsidP="00062AED">
      <w:pPr>
        <w:pStyle w:val="FootnoteText"/>
        <w:rPr>
          <w:lang w:val="cy-GB"/>
        </w:rPr>
      </w:pPr>
      <w:r>
        <w:rPr>
          <w:rStyle w:val="FootnoteReference"/>
        </w:rPr>
        <w:footnoteRef/>
      </w:r>
      <w:r>
        <w:t xml:space="preserve"> </w:t>
      </w:r>
      <w:r>
        <w:rPr>
          <w:lang w:val="cy-GB"/>
        </w:rPr>
        <w:t>Ibid., 76.</w:t>
      </w:r>
    </w:p>
  </w:footnote>
  <w:footnote w:id="637">
    <w:p w:rsidR="00AB3F05" w:rsidRPr="003E016D" w:rsidRDefault="00AB3F05" w:rsidP="00062AED">
      <w:pPr>
        <w:pStyle w:val="FootnoteText"/>
        <w:rPr>
          <w:lang w:val="cy-GB"/>
        </w:rPr>
      </w:pPr>
      <w:r>
        <w:rPr>
          <w:rStyle w:val="FootnoteReference"/>
        </w:rPr>
        <w:footnoteRef/>
      </w:r>
      <w:r>
        <w:t xml:space="preserve"> </w:t>
      </w:r>
      <w:r>
        <w:rPr>
          <w:lang w:val="cy-GB"/>
        </w:rPr>
        <w:t>Williams, ‘Editorial: Church Unity’, 243.</w:t>
      </w:r>
    </w:p>
  </w:footnote>
  <w:footnote w:id="638">
    <w:p w:rsidR="00AB3F05" w:rsidRPr="003673D2" w:rsidRDefault="00AB3F05" w:rsidP="00062AED">
      <w:pPr>
        <w:pStyle w:val="FootnoteText"/>
        <w:rPr>
          <w:lang w:val="cy-GB"/>
        </w:rPr>
      </w:pPr>
      <w:r>
        <w:rPr>
          <w:rStyle w:val="FootnoteReference"/>
        </w:rPr>
        <w:footnoteRef/>
      </w:r>
      <w:r>
        <w:t xml:space="preserve"> </w:t>
      </w:r>
      <w:r>
        <w:rPr>
          <w:lang w:val="cy-GB"/>
        </w:rPr>
        <w:t xml:space="preserve">D.P. Williams, ‘The Godhead’, </w:t>
      </w:r>
      <w:r>
        <w:rPr>
          <w:i/>
          <w:lang w:val="cy-GB"/>
        </w:rPr>
        <w:t>RoG</w:t>
      </w:r>
      <w:r>
        <w:rPr>
          <w:lang w:val="cy-GB"/>
        </w:rPr>
        <w:t xml:space="preserve">, vii.3 (Jan. 1932), 82; idem, </w:t>
      </w:r>
      <w:r w:rsidRPr="003673D2">
        <w:rPr>
          <w:i/>
          <w:lang w:val="cy-GB"/>
        </w:rPr>
        <w:t>Trinity</w:t>
      </w:r>
      <w:r>
        <w:rPr>
          <w:lang w:val="cy-GB"/>
        </w:rPr>
        <w:t>, 1:55.</w:t>
      </w:r>
    </w:p>
  </w:footnote>
  <w:footnote w:id="639">
    <w:p w:rsidR="00AB3F05" w:rsidRPr="000916ED" w:rsidRDefault="00AB3F05" w:rsidP="00062AED">
      <w:pPr>
        <w:pStyle w:val="FootnoteText"/>
        <w:rPr>
          <w:lang w:val="cy-GB"/>
        </w:rPr>
      </w:pPr>
      <w:r>
        <w:rPr>
          <w:rStyle w:val="FootnoteReference"/>
        </w:rPr>
        <w:footnoteRef/>
      </w:r>
      <w:r>
        <w:t xml:space="preserve"> </w:t>
      </w:r>
      <w:r>
        <w:rPr>
          <w:lang w:val="cy-GB"/>
        </w:rPr>
        <w:t xml:space="preserve">Williams, </w:t>
      </w:r>
      <w:r w:rsidRPr="003673D2">
        <w:rPr>
          <w:i/>
          <w:lang w:val="cy-GB"/>
        </w:rPr>
        <w:t>Trinity</w:t>
      </w:r>
      <w:r>
        <w:rPr>
          <w:lang w:val="cy-GB"/>
        </w:rPr>
        <w:t>, 1:56; idem, ‘The Godhead’, 82.</w:t>
      </w:r>
    </w:p>
  </w:footnote>
  <w:footnote w:id="640">
    <w:p w:rsidR="00AB3F05" w:rsidRPr="00932E39" w:rsidRDefault="00AB3F05" w:rsidP="00062AED">
      <w:pPr>
        <w:pStyle w:val="FootnoteText"/>
      </w:pPr>
      <w:r>
        <w:rPr>
          <w:rStyle w:val="FootnoteReference"/>
        </w:rPr>
        <w:footnoteRef/>
      </w:r>
      <w:r>
        <w:t xml:space="preserve"> D.P. Williams, ‘Exposition’, </w:t>
      </w:r>
      <w:r>
        <w:rPr>
          <w:i/>
        </w:rPr>
        <w:t>RoG</w:t>
      </w:r>
      <w:r>
        <w:t>, vi.1 (Sept. 1930), 25.</w:t>
      </w:r>
    </w:p>
  </w:footnote>
  <w:footnote w:id="641">
    <w:p w:rsidR="00AB3F05" w:rsidRPr="000916ED" w:rsidRDefault="00AB3F05" w:rsidP="00062AED">
      <w:pPr>
        <w:pStyle w:val="FootnoteText"/>
        <w:rPr>
          <w:lang w:val="cy-GB"/>
        </w:rPr>
      </w:pPr>
      <w:r>
        <w:rPr>
          <w:rStyle w:val="FootnoteReference"/>
        </w:rPr>
        <w:footnoteRef/>
      </w:r>
      <w:r>
        <w:t xml:space="preserve"> </w:t>
      </w:r>
      <w:r>
        <w:rPr>
          <w:lang w:val="cy-GB"/>
        </w:rPr>
        <w:t xml:space="preserve">Williams, </w:t>
      </w:r>
      <w:r w:rsidRPr="000916ED">
        <w:rPr>
          <w:i/>
          <w:lang w:val="cy-GB"/>
        </w:rPr>
        <w:t>Trinity</w:t>
      </w:r>
      <w:r>
        <w:rPr>
          <w:lang w:val="cy-GB"/>
        </w:rPr>
        <w:t>, 1:56.</w:t>
      </w:r>
    </w:p>
  </w:footnote>
  <w:footnote w:id="642">
    <w:p w:rsidR="00AB3F05" w:rsidRPr="00932E39" w:rsidRDefault="00AB3F05" w:rsidP="00062AED">
      <w:pPr>
        <w:pStyle w:val="FootnoteText"/>
        <w:rPr>
          <w:lang w:val="cy-GB"/>
        </w:rPr>
      </w:pPr>
      <w:r>
        <w:rPr>
          <w:rStyle w:val="FootnoteReference"/>
        </w:rPr>
        <w:footnoteRef/>
      </w:r>
      <w:r>
        <w:t xml:space="preserve"> Williams, ‘Exposition’, (Sept. 1930), 25.</w:t>
      </w:r>
    </w:p>
  </w:footnote>
  <w:footnote w:id="643">
    <w:p w:rsidR="00AB3F05" w:rsidRPr="000916ED" w:rsidRDefault="00AB3F05" w:rsidP="00062AED">
      <w:pPr>
        <w:pStyle w:val="FootnoteText"/>
        <w:rPr>
          <w:lang w:val="cy-GB"/>
        </w:rPr>
      </w:pPr>
      <w:r>
        <w:rPr>
          <w:rStyle w:val="FootnoteReference"/>
        </w:rPr>
        <w:footnoteRef/>
      </w:r>
      <w:r>
        <w:t xml:space="preserve"> </w:t>
      </w:r>
      <w:r>
        <w:rPr>
          <w:lang w:val="cy-GB"/>
        </w:rPr>
        <w:t xml:space="preserve">Williams, </w:t>
      </w:r>
      <w:r w:rsidRPr="000916ED">
        <w:rPr>
          <w:i/>
          <w:lang w:val="cy-GB"/>
        </w:rPr>
        <w:t>Trinity</w:t>
      </w:r>
      <w:r>
        <w:rPr>
          <w:lang w:val="cy-GB"/>
        </w:rPr>
        <w:t>, 1:56.</w:t>
      </w:r>
    </w:p>
  </w:footnote>
  <w:footnote w:id="644">
    <w:p w:rsidR="00AB3F05" w:rsidRPr="00EE5100" w:rsidRDefault="00AB3F05" w:rsidP="00062AED">
      <w:pPr>
        <w:pStyle w:val="FootnoteText"/>
        <w:rPr>
          <w:lang w:val="cy-GB"/>
        </w:rPr>
      </w:pPr>
      <w:r>
        <w:rPr>
          <w:rStyle w:val="FootnoteReference"/>
        </w:rPr>
        <w:footnoteRef/>
      </w:r>
      <w:r>
        <w:t xml:space="preserve"> </w:t>
      </w:r>
      <w:r>
        <w:rPr>
          <w:lang w:val="cy-GB"/>
        </w:rPr>
        <w:t>Ibid., 58.</w:t>
      </w:r>
    </w:p>
  </w:footnote>
  <w:footnote w:id="645">
    <w:p w:rsidR="00AB3F05" w:rsidRPr="00691E24" w:rsidRDefault="00AB3F05" w:rsidP="00062AED">
      <w:pPr>
        <w:pStyle w:val="FootnoteText"/>
      </w:pPr>
      <w:r>
        <w:rPr>
          <w:rStyle w:val="FootnoteReference"/>
        </w:rPr>
        <w:footnoteRef/>
      </w:r>
      <w:r>
        <w:t xml:space="preserve"> D.P. Williams, ‘Gwneler dy Ewyllys’, </w:t>
      </w:r>
      <w:r>
        <w:rPr>
          <w:i/>
        </w:rPr>
        <w:t>RoG</w:t>
      </w:r>
      <w:r>
        <w:t>, i.10 (1920), 13-14.</w:t>
      </w:r>
    </w:p>
  </w:footnote>
  <w:footnote w:id="646">
    <w:p w:rsidR="00AB3F05" w:rsidRPr="00E32C3F" w:rsidRDefault="00AB3F05" w:rsidP="00062AED">
      <w:pPr>
        <w:pStyle w:val="FootnoteText"/>
        <w:rPr>
          <w:lang w:val="cy-GB"/>
        </w:rPr>
      </w:pPr>
      <w:r>
        <w:rPr>
          <w:rStyle w:val="FootnoteReference"/>
        </w:rPr>
        <w:footnoteRef/>
      </w:r>
      <w:r>
        <w:t xml:space="preserve"> </w:t>
      </w:r>
      <w:r>
        <w:rPr>
          <w:lang w:val="cy-GB"/>
        </w:rPr>
        <w:t>Williams, ‘From Glory to Glory’, 47; Seeds of the recognition of the theological difficulties posed by his earlier formulation can perhaps be seen in his writing several years earlier. Even where he makes a strong distinction between the Kingdom and the Church, he appears to write somewhat less directly of the role of Spirit baptism in membership of the Body: ‘[It is] in the baptism of the Holy Spirit that one is equipped and qualified for the Body.’ Williams, ‘Exposition: My Church’, 88.</w:t>
      </w:r>
    </w:p>
  </w:footnote>
  <w:footnote w:id="647">
    <w:p w:rsidR="00AB3F05" w:rsidRPr="00E32C3F" w:rsidRDefault="00AB3F05" w:rsidP="00062AED">
      <w:pPr>
        <w:pStyle w:val="FootnoteText"/>
        <w:rPr>
          <w:lang w:val="cy-GB"/>
        </w:rPr>
      </w:pPr>
      <w:r>
        <w:rPr>
          <w:rStyle w:val="FootnoteReference"/>
        </w:rPr>
        <w:footnoteRef/>
      </w:r>
      <w:r>
        <w:t xml:space="preserve"> </w:t>
      </w:r>
      <w:r>
        <w:rPr>
          <w:lang w:val="cy-GB"/>
        </w:rPr>
        <w:t>Williams, ‘From Glory to Glory’, 45.</w:t>
      </w:r>
    </w:p>
  </w:footnote>
  <w:footnote w:id="648">
    <w:p w:rsidR="00AB3F05" w:rsidRPr="00E32C3F" w:rsidRDefault="00AB3F05" w:rsidP="00062AED">
      <w:pPr>
        <w:pStyle w:val="FootnoteText"/>
        <w:rPr>
          <w:lang w:val="cy-GB"/>
        </w:rPr>
      </w:pPr>
      <w:r>
        <w:rPr>
          <w:rStyle w:val="FootnoteReference"/>
        </w:rPr>
        <w:footnoteRef/>
      </w:r>
      <w:r>
        <w:t xml:space="preserve"> </w:t>
      </w:r>
      <w:r>
        <w:rPr>
          <w:lang w:val="cy-GB"/>
        </w:rPr>
        <w:t>Ibid.</w:t>
      </w:r>
    </w:p>
  </w:footnote>
  <w:footnote w:id="649">
    <w:p w:rsidR="00AB3F05" w:rsidRPr="00286B85" w:rsidRDefault="00AB3F05" w:rsidP="00062AED">
      <w:pPr>
        <w:pStyle w:val="FootnoteText"/>
        <w:rPr>
          <w:lang w:val="cy-GB"/>
        </w:rPr>
      </w:pPr>
      <w:r>
        <w:rPr>
          <w:rStyle w:val="FootnoteReference"/>
        </w:rPr>
        <w:footnoteRef/>
      </w:r>
      <w:r>
        <w:t xml:space="preserve"> </w:t>
      </w:r>
      <w:r>
        <w:rPr>
          <w:lang w:val="cy-GB"/>
        </w:rPr>
        <w:t>D.P. Williams, ‘The Body of Christ and the Throne’, RoG, xiv.4 (March 1939), 350.</w:t>
      </w:r>
    </w:p>
  </w:footnote>
  <w:footnote w:id="650">
    <w:p w:rsidR="00AB3F05" w:rsidRPr="00286B85" w:rsidRDefault="00AB3F05" w:rsidP="00062AED">
      <w:pPr>
        <w:pStyle w:val="FootnoteText"/>
        <w:rPr>
          <w:lang w:val="cy-GB"/>
        </w:rPr>
      </w:pPr>
      <w:r>
        <w:rPr>
          <w:rStyle w:val="FootnoteReference"/>
        </w:rPr>
        <w:footnoteRef/>
      </w:r>
      <w:r>
        <w:t xml:space="preserve"> </w:t>
      </w:r>
      <w:r>
        <w:rPr>
          <w:lang w:val="cy-GB"/>
        </w:rPr>
        <w:t>Ibid., 352.</w:t>
      </w:r>
    </w:p>
  </w:footnote>
  <w:footnote w:id="651">
    <w:p w:rsidR="00AB3F05" w:rsidRPr="00D44652" w:rsidRDefault="00AB3F05" w:rsidP="00062AED">
      <w:pPr>
        <w:pStyle w:val="FootnoteText"/>
        <w:rPr>
          <w:lang w:val="cy-GB"/>
        </w:rPr>
      </w:pPr>
      <w:r>
        <w:rPr>
          <w:rStyle w:val="FootnoteReference"/>
        </w:rPr>
        <w:footnoteRef/>
      </w:r>
      <w:r>
        <w:t xml:space="preserve"> </w:t>
      </w:r>
      <w:r w:rsidRPr="00D44652">
        <w:rPr>
          <w:lang w:val="cy-GB"/>
        </w:rPr>
        <w:t xml:space="preserve">Williams, ‘From Glory to Glory’, </w:t>
      </w:r>
      <w:r>
        <w:rPr>
          <w:lang w:val="cy-GB"/>
        </w:rPr>
        <w:t>45-47.</w:t>
      </w:r>
    </w:p>
  </w:footnote>
  <w:footnote w:id="652">
    <w:p w:rsidR="00AB3F05" w:rsidRPr="00B300EA" w:rsidRDefault="00AB3F05" w:rsidP="00062AED">
      <w:pPr>
        <w:pStyle w:val="FootnoteText"/>
        <w:rPr>
          <w:lang w:val="cy-GB"/>
        </w:rPr>
      </w:pPr>
      <w:r>
        <w:rPr>
          <w:rStyle w:val="FootnoteReference"/>
        </w:rPr>
        <w:footnoteRef/>
      </w:r>
      <w:r>
        <w:t xml:space="preserve"> </w:t>
      </w:r>
      <w:r>
        <w:rPr>
          <w:lang w:val="cy-GB"/>
        </w:rPr>
        <w:t>D.P. Williams, ‘The International Convention of the Apostolic Church at Penygroes, Carmarthenshire, August 3</w:t>
      </w:r>
      <w:r w:rsidRPr="00B300EA">
        <w:rPr>
          <w:vertAlign w:val="superscript"/>
          <w:lang w:val="cy-GB"/>
        </w:rPr>
        <w:t>rd</w:t>
      </w:r>
      <w:r>
        <w:rPr>
          <w:lang w:val="cy-GB"/>
        </w:rPr>
        <w:t xml:space="preserve"> over the 11</w:t>
      </w:r>
      <w:r w:rsidRPr="00B300EA">
        <w:rPr>
          <w:vertAlign w:val="superscript"/>
          <w:lang w:val="cy-GB"/>
        </w:rPr>
        <w:t>th</w:t>
      </w:r>
      <w:r>
        <w:rPr>
          <w:lang w:val="cy-GB"/>
        </w:rPr>
        <w:t>, 1929: Saturday Evening, Aug. 3</w:t>
      </w:r>
      <w:r w:rsidRPr="00B300EA">
        <w:rPr>
          <w:vertAlign w:val="superscript"/>
          <w:lang w:val="cy-GB"/>
        </w:rPr>
        <w:t>rd</w:t>
      </w:r>
      <w:r w:rsidRPr="00B300EA">
        <w:rPr>
          <w:lang w:val="cy-GB"/>
        </w:rPr>
        <w:t>.</w:t>
      </w:r>
      <w:r>
        <w:rPr>
          <w:lang w:val="cy-GB"/>
        </w:rPr>
        <w:t xml:space="preserve">’, </w:t>
      </w:r>
      <w:r>
        <w:rPr>
          <w:i/>
          <w:lang w:val="cy-GB"/>
        </w:rPr>
        <w:t>RoG</w:t>
      </w:r>
      <w:r>
        <w:rPr>
          <w:lang w:val="cy-GB"/>
        </w:rPr>
        <w:t>, v.1 (Sept. 1929), 13.</w:t>
      </w:r>
    </w:p>
  </w:footnote>
  <w:footnote w:id="653">
    <w:p w:rsidR="00AB3F05" w:rsidRPr="003B33DF" w:rsidRDefault="00AB3F05" w:rsidP="00062AED">
      <w:pPr>
        <w:pStyle w:val="FootnoteText"/>
        <w:rPr>
          <w:lang w:val="cy-GB"/>
        </w:rPr>
      </w:pPr>
      <w:r>
        <w:rPr>
          <w:rStyle w:val="FootnoteReference"/>
        </w:rPr>
        <w:footnoteRef/>
      </w:r>
      <w:r>
        <w:t xml:space="preserve"> </w:t>
      </w:r>
      <w:r>
        <w:rPr>
          <w:lang w:val="cy-GB"/>
        </w:rPr>
        <w:t>Ibid.</w:t>
      </w:r>
    </w:p>
  </w:footnote>
  <w:footnote w:id="654">
    <w:p w:rsidR="00AB3F05" w:rsidRPr="00465F3B" w:rsidRDefault="00AB3F05" w:rsidP="00062AED">
      <w:pPr>
        <w:pStyle w:val="FootnoteText"/>
        <w:rPr>
          <w:lang w:val="cy-GB"/>
        </w:rPr>
      </w:pPr>
      <w:r>
        <w:rPr>
          <w:rStyle w:val="FootnoteReference"/>
        </w:rPr>
        <w:footnoteRef/>
      </w:r>
      <w:r>
        <w:t xml:space="preserve"> </w:t>
      </w:r>
      <w:r>
        <w:rPr>
          <w:lang w:val="cy-GB"/>
        </w:rPr>
        <w:t>We shall return to this when we consider Williams’ eschatology further below.</w:t>
      </w:r>
    </w:p>
  </w:footnote>
  <w:footnote w:id="655">
    <w:p w:rsidR="00AB3F05" w:rsidRPr="00803E5A" w:rsidRDefault="00AB3F05" w:rsidP="00062AED">
      <w:pPr>
        <w:pStyle w:val="FootnoteText"/>
        <w:rPr>
          <w:lang w:val="cy-GB"/>
        </w:rPr>
      </w:pPr>
      <w:r>
        <w:rPr>
          <w:rStyle w:val="FootnoteReference"/>
        </w:rPr>
        <w:footnoteRef/>
      </w:r>
      <w:r>
        <w:t xml:space="preserve"> </w:t>
      </w:r>
      <w:r>
        <w:rPr>
          <w:lang w:val="cy-GB"/>
        </w:rPr>
        <w:t>Tenet 9</w:t>
      </w:r>
    </w:p>
  </w:footnote>
  <w:footnote w:id="656">
    <w:p w:rsidR="00AB3F05" w:rsidRPr="006E0D5C" w:rsidRDefault="00AB3F05" w:rsidP="00062AED">
      <w:pPr>
        <w:pStyle w:val="FootnoteText"/>
        <w:rPr>
          <w:lang w:val="cy-GB"/>
        </w:rPr>
      </w:pPr>
      <w:r>
        <w:rPr>
          <w:rStyle w:val="FootnoteReference"/>
        </w:rPr>
        <w:footnoteRef/>
      </w:r>
      <w:r>
        <w:t xml:space="preserve"> </w:t>
      </w:r>
      <w:r>
        <w:rPr>
          <w:lang w:val="cy-GB"/>
        </w:rPr>
        <w:t xml:space="preserve">Williams, </w:t>
      </w:r>
      <w:r w:rsidRPr="006E0D5C">
        <w:rPr>
          <w:i/>
          <w:lang w:val="cy-GB"/>
        </w:rPr>
        <w:t>Athrawiaethau Sylfeinol</w:t>
      </w:r>
      <w:r>
        <w:rPr>
          <w:lang w:val="cy-GB"/>
        </w:rPr>
        <w:t>, 13.</w:t>
      </w:r>
    </w:p>
  </w:footnote>
  <w:footnote w:id="657">
    <w:p w:rsidR="00AB3F05" w:rsidRPr="00546F79" w:rsidRDefault="00AB3F05" w:rsidP="00062AED">
      <w:pPr>
        <w:pStyle w:val="FootnoteText"/>
        <w:rPr>
          <w:lang w:val="cy-GB"/>
        </w:rPr>
      </w:pPr>
      <w:r>
        <w:rPr>
          <w:rStyle w:val="FootnoteReference"/>
        </w:rPr>
        <w:footnoteRef/>
      </w:r>
      <w:r>
        <w:t xml:space="preserve"> </w:t>
      </w:r>
      <w:r>
        <w:rPr>
          <w:lang w:val="cy-GB"/>
        </w:rPr>
        <w:t xml:space="preserve">Williams, </w:t>
      </w:r>
      <w:r w:rsidRPr="005A598E">
        <w:rPr>
          <w:i/>
          <w:lang w:val="cy-GB"/>
        </w:rPr>
        <w:t>Prophetical Ministry</w:t>
      </w:r>
      <w:r>
        <w:rPr>
          <w:lang w:val="cy-GB"/>
        </w:rPr>
        <w:t xml:space="preserve">, 83, 87; For Williams and most of the early Apostolics, pastors and elders fulfilled the same office (the difference was purely administrative in terms of church government, but the spirtual ministry was the same). Thus elders were included among the five-fold ministry of the Ascension Gifts of Christ. </w:t>
      </w:r>
      <w:r w:rsidRPr="00963093">
        <w:rPr>
          <w:lang w:val="cy-GB"/>
        </w:rPr>
        <w:t xml:space="preserve">See, </w:t>
      </w:r>
      <w:r w:rsidRPr="00963093">
        <w:rPr>
          <w:i/>
          <w:lang w:val="cy-GB"/>
        </w:rPr>
        <w:t>The Apostolic Church: Its Principles and Practices</w:t>
      </w:r>
      <w:r>
        <w:rPr>
          <w:lang w:val="cy-GB"/>
        </w:rPr>
        <w:t>, 250.</w:t>
      </w:r>
    </w:p>
  </w:footnote>
  <w:footnote w:id="658">
    <w:p w:rsidR="00AB3F05" w:rsidRPr="00357FB4" w:rsidRDefault="00AB3F05" w:rsidP="00062AED">
      <w:pPr>
        <w:pStyle w:val="FootnoteText"/>
        <w:rPr>
          <w:lang w:val="cy-GB"/>
        </w:rPr>
      </w:pPr>
      <w:r>
        <w:rPr>
          <w:rStyle w:val="FootnoteReference"/>
        </w:rPr>
        <w:footnoteRef/>
      </w:r>
      <w:r>
        <w:t xml:space="preserve"> </w:t>
      </w:r>
      <w:r>
        <w:rPr>
          <w:lang w:val="cy-GB"/>
        </w:rPr>
        <w:t xml:space="preserve">Williams, </w:t>
      </w:r>
      <w:r w:rsidRPr="00357FB4">
        <w:rPr>
          <w:i/>
          <w:lang w:val="cy-GB"/>
        </w:rPr>
        <w:t>Prophetical Ministry</w:t>
      </w:r>
      <w:r>
        <w:rPr>
          <w:lang w:val="cy-GB"/>
        </w:rPr>
        <w:t>, 91; See also Williams, ‘Divine Order’, 7.</w:t>
      </w:r>
    </w:p>
  </w:footnote>
  <w:footnote w:id="659">
    <w:p w:rsidR="00AB3F05" w:rsidRPr="00642A54" w:rsidRDefault="00AB3F05" w:rsidP="00062AED">
      <w:pPr>
        <w:pStyle w:val="FootnoteText"/>
      </w:pPr>
      <w:r>
        <w:rPr>
          <w:rStyle w:val="FootnoteReference"/>
        </w:rPr>
        <w:footnoteRef/>
      </w:r>
      <w:r>
        <w:t xml:space="preserve"> D.P. Williams, ‘Editorial: Church Unity’, 243.</w:t>
      </w:r>
    </w:p>
  </w:footnote>
  <w:footnote w:id="660">
    <w:p w:rsidR="00AB3F05" w:rsidRPr="00951EA4" w:rsidRDefault="00AB3F05" w:rsidP="00062AED">
      <w:pPr>
        <w:pStyle w:val="FootnoteText"/>
      </w:pPr>
      <w:r>
        <w:rPr>
          <w:rStyle w:val="FootnoteReference"/>
        </w:rPr>
        <w:footnoteRef/>
      </w:r>
      <w:r>
        <w:t xml:space="preserve"> Cf. the connection between the Holy Spirit and the church in </w:t>
      </w:r>
      <w:r w:rsidRPr="00330DAD">
        <w:t xml:space="preserve">Irenaeus, </w:t>
      </w:r>
      <w:r w:rsidRPr="00330DAD">
        <w:rPr>
          <w:i/>
        </w:rPr>
        <w:t>A</w:t>
      </w:r>
      <w:r>
        <w:rPr>
          <w:i/>
        </w:rPr>
        <w:t>dv.</w:t>
      </w:r>
      <w:r w:rsidRPr="00330DAD">
        <w:rPr>
          <w:i/>
        </w:rPr>
        <w:t xml:space="preserve"> H</w:t>
      </w:r>
      <w:r>
        <w:rPr>
          <w:i/>
        </w:rPr>
        <w:t>aer.</w:t>
      </w:r>
      <w:r w:rsidRPr="00330DAD">
        <w:t>, 3.24.1</w:t>
      </w:r>
      <w:r>
        <w:t xml:space="preserve">: ‘For where the Church is, there also is the Spirit of God. And where the Spirit of God is, there also is the Church and all grace; for the Spirit is the Truth.’ Cf. Also, </w:t>
      </w:r>
      <w:r w:rsidRPr="00330DAD">
        <w:t xml:space="preserve">Ignatius of Antioch, </w:t>
      </w:r>
      <w:r w:rsidRPr="00330DAD">
        <w:rPr>
          <w:i/>
        </w:rPr>
        <w:t>Smyr</w:t>
      </w:r>
      <w:r w:rsidRPr="00330DAD">
        <w:t>. 8</w:t>
      </w:r>
      <w:r>
        <w:t xml:space="preserve">: ‘wherever Jesus Christ is, there is the catholic church’ (which has been traditionally rendered as the ecclesiological maxim: </w:t>
      </w:r>
      <w:r w:rsidRPr="00993F50">
        <w:rPr>
          <w:i/>
        </w:rPr>
        <w:t>Ubi Christus, ibi ecclesia.</w:t>
      </w:r>
      <w:r>
        <w:t>)</w:t>
      </w:r>
    </w:p>
  </w:footnote>
  <w:footnote w:id="661">
    <w:p w:rsidR="00AB3F05" w:rsidRPr="009B7E7E" w:rsidRDefault="00AB3F05" w:rsidP="00062AED">
      <w:pPr>
        <w:pStyle w:val="FootnoteText"/>
        <w:rPr>
          <w:lang w:val="cy-GB"/>
        </w:rPr>
      </w:pPr>
      <w:r>
        <w:rPr>
          <w:rStyle w:val="FootnoteReference"/>
        </w:rPr>
        <w:footnoteRef/>
      </w:r>
      <w:r>
        <w:t xml:space="preserve"> </w:t>
      </w:r>
      <w:r>
        <w:rPr>
          <w:lang w:val="cy-GB"/>
        </w:rPr>
        <w:t xml:space="preserve">D.P. Williams, ‘The Apostleship’, </w:t>
      </w:r>
      <w:r>
        <w:rPr>
          <w:i/>
          <w:lang w:val="cy-GB"/>
        </w:rPr>
        <w:t>RoG</w:t>
      </w:r>
      <w:r>
        <w:rPr>
          <w:lang w:val="cy-GB"/>
        </w:rPr>
        <w:t xml:space="preserve">, xv.5 (June 1940), 49; idem, </w:t>
      </w:r>
      <w:r w:rsidRPr="00137137">
        <w:rPr>
          <w:i/>
          <w:lang w:val="cy-GB"/>
        </w:rPr>
        <w:t>Prophetical Ministry</w:t>
      </w:r>
      <w:r>
        <w:rPr>
          <w:lang w:val="cy-GB"/>
        </w:rPr>
        <w:t>, 79; idem, ‘Grace and Apostleship’, 85-86; idem, ‘Editorial: God’s Image in Man’, 393; idem, ‘The Leading of the Spirit and the Formation of Character’, RoG, xiv.5 (May 1939), 389.</w:t>
      </w:r>
    </w:p>
  </w:footnote>
  <w:footnote w:id="662">
    <w:p w:rsidR="00AB3F05" w:rsidRPr="00C039BD" w:rsidRDefault="00AB3F05" w:rsidP="00062AED">
      <w:pPr>
        <w:pStyle w:val="FootnoteText"/>
      </w:pPr>
      <w:r>
        <w:rPr>
          <w:rStyle w:val="FootnoteReference"/>
        </w:rPr>
        <w:footnoteRef/>
      </w:r>
      <w:r>
        <w:t xml:space="preserve"> Williams, </w:t>
      </w:r>
      <w:r w:rsidRPr="00C039BD">
        <w:rPr>
          <w:i/>
        </w:rPr>
        <w:t>Prophetical Ministry</w:t>
      </w:r>
      <w:r>
        <w:t>, 83.</w:t>
      </w:r>
    </w:p>
  </w:footnote>
  <w:footnote w:id="663">
    <w:p w:rsidR="00AB3F05" w:rsidRPr="00C57738" w:rsidRDefault="00AB3F05" w:rsidP="00062AED">
      <w:pPr>
        <w:pStyle w:val="FootnoteText"/>
        <w:rPr>
          <w:lang w:val="cy-GB"/>
        </w:rPr>
      </w:pPr>
      <w:r>
        <w:rPr>
          <w:rStyle w:val="FootnoteReference"/>
        </w:rPr>
        <w:footnoteRef/>
      </w:r>
      <w:r>
        <w:t xml:space="preserve"> </w:t>
      </w:r>
      <w:r>
        <w:rPr>
          <w:lang w:val="cy-GB"/>
        </w:rPr>
        <w:t>Williams, ‘The Ministry of the Word’, 177.</w:t>
      </w:r>
    </w:p>
  </w:footnote>
  <w:footnote w:id="664">
    <w:p w:rsidR="00AB3F05" w:rsidRPr="00A96F58" w:rsidRDefault="00AB3F05" w:rsidP="00062AED">
      <w:pPr>
        <w:pStyle w:val="FootnoteText"/>
        <w:rPr>
          <w:lang w:val="cy-GB"/>
        </w:rPr>
      </w:pPr>
      <w:r>
        <w:rPr>
          <w:rStyle w:val="FootnoteReference"/>
        </w:rPr>
        <w:footnoteRef/>
      </w:r>
      <w:r>
        <w:t xml:space="preserve"> </w:t>
      </w:r>
      <w:r>
        <w:rPr>
          <w:lang w:val="cy-GB"/>
        </w:rPr>
        <w:t>Ibid., 178.</w:t>
      </w:r>
    </w:p>
  </w:footnote>
  <w:footnote w:id="665">
    <w:p w:rsidR="00AB3F05" w:rsidRPr="00C83C25" w:rsidRDefault="00AB3F05" w:rsidP="00062AED">
      <w:pPr>
        <w:pStyle w:val="FootnoteText"/>
      </w:pPr>
      <w:r>
        <w:rPr>
          <w:rStyle w:val="FootnoteReference"/>
        </w:rPr>
        <w:footnoteRef/>
      </w:r>
      <w:r>
        <w:t xml:space="preserve"> Williams, ‘Editorial: God’s Image in Man’, 394.</w:t>
      </w:r>
    </w:p>
  </w:footnote>
  <w:footnote w:id="666">
    <w:p w:rsidR="00AB3F05" w:rsidRPr="00ED2579" w:rsidRDefault="00AB3F05" w:rsidP="00062AED">
      <w:pPr>
        <w:pStyle w:val="FootnoteText"/>
        <w:rPr>
          <w:lang w:val="cy-GB"/>
        </w:rPr>
      </w:pPr>
      <w:r>
        <w:rPr>
          <w:rStyle w:val="FootnoteReference"/>
        </w:rPr>
        <w:footnoteRef/>
      </w:r>
      <w:r>
        <w:t xml:space="preserve"> </w:t>
      </w:r>
      <w:r>
        <w:rPr>
          <w:lang w:val="cy-GB"/>
        </w:rPr>
        <w:t>Williams, ‘Grace and Apostleship’, 85.</w:t>
      </w:r>
    </w:p>
  </w:footnote>
  <w:footnote w:id="667">
    <w:p w:rsidR="00AB3F05" w:rsidRPr="00B328C9" w:rsidRDefault="00AB3F05" w:rsidP="00062AED">
      <w:pPr>
        <w:pStyle w:val="FootnoteText"/>
        <w:rPr>
          <w:lang w:val="cy-GB"/>
        </w:rPr>
      </w:pPr>
      <w:r>
        <w:rPr>
          <w:rStyle w:val="FootnoteReference"/>
        </w:rPr>
        <w:footnoteRef/>
      </w:r>
      <w:r>
        <w:t xml:space="preserve"> </w:t>
      </w:r>
      <w:r>
        <w:rPr>
          <w:lang w:val="cy-GB"/>
        </w:rPr>
        <w:t>Ibid., 86.</w:t>
      </w:r>
    </w:p>
  </w:footnote>
  <w:footnote w:id="668">
    <w:p w:rsidR="00AB3F05" w:rsidRPr="00524FF1" w:rsidRDefault="00AB3F05" w:rsidP="00062AED">
      <w:pPr>
        <w:pStyle w:val="FootnoteText"/>
        <w:rPr>
          <w:lang w:val="cy-GB"/>
        </w:rPr>
      </w:pPr>
      <w:r>
        <w:rPr>
          <w:rStyle w:val="FootnoteReference"/>
        </w:rPr>
        <w:footnoteRef/>
      </w:r>
      <w:r>
        <w:t xml:space="preserve"> </w:t>
      </w:r>
      <w:r>
        <w:rPr>
          <w:lang w:val="cy-GB"/>
        </w:rPr>
        <w:t>D.P. Williams, ‘Grace and Apostleship (II)’, 97.</w:t>
      </w:r>
    </w:p>
  </w:footnote>
  <w:footnote w:id="669">
    <w:p w:rsidR="00AB3F05" w:rsidRPr="001674E9" w:rsidRDefault="00AB3F05" w:rsidP="00062AED">
      <w:pPr>
        <w:pStyle w:val="FootnoteText"/>
        <w:rPr>
          <w:lang w:val="cy-GB"/>
        </w:rPr>
      </w:pPr>
      <w:r>
        <w:rPr>
          <w:rStyle w:val="FootnoteReference"/>
        </w:rPr>
        <w:footnoteRef/>
      </w:r>
      <w:r>
        <w:t xml:space="preserve"> </w:t>
      </w:r>
      <w:r>
        <w:rPr>
          <w:lang w:val="cy-GB"/>
        </w:rPr>
        <w:t>Ibid.</w:t>
      </w:r>
    </w:p>
  </w:footnote>
  <w:footnote w:id="670">
    <w:p w:rsidR="00AB3F05" w:rsidRPr="001674E9" w:rsidRDefault="00AB3F05" w:rsidP="00062AED">
      <w:pPr>
        <w:pStyle w:val="FootnoteText"/>
        <w:rPr>
          <w:lang w:val="cy-GB"/>
        </w:rPr>
      </w:pPr>
      <w:r>
        <w:rPr>
          <w:rStyle w:val="FootnoteReference"/>
        </w:rPr>
        <w:footnoteRef/>
      </w:r>
      <w:r>
        <w:t xml:space="preserve"> </w:t>
      </w:r>
      <w:r>
        <w:rPr>
          <w:lang w:val="cy-GB"/>
        </w:rPr>
        <w:t>Ibid.</w:t>
      </w:r>
    </w:p>
  </w:footnote>
  <w:footnote w:id="671">
    <w:p w:rsidR="00AB3F05" w:rsidRPr="00195EB8" w:rsidRDefault="00AB3F05" w:rsidP="00062AED">
      <w:pPr>
        <w:pStyle w:val="FootnoteText"/>
        <w:rPr>
          <w:lang w:val="cy-GB"/>
        </w:rPr>
      </w:pPr>
      <w:r>
        <w:rPr>
          <w:rStyle w:val="FootnoteReference"/>
        </w:rPr>
        <w:footnoteRef/>
      </w:r>
      <w:r>
        <w:t xml:space="preserve"> </w:t>
      </w:r>
      <w:r>
        <w:rPr>
          <w:lang w:val="cy-GB"/>
        </w:rPr>
        <w:t xml:space="preserve">Williams, </w:t>
      </w:r>
      <w:r w:rsidRPr="00195EB8">
        <w:rPr>
          <w:i/>
          <w:lang w:val="cy-GB"/>
        </w:rPr>
        <w:t>Prophetical Ministry</w:t>
      </w:r>
      <w:r>
        <w:rPr>
          <w:lang w:val="cy-GB"/>
        </w:rPr>
        <w:t>, 87.</w:t>
      </w:r>
    </w:p>
  </w:footnote>
  <w:footnote w:id="672">
    <w:p w:rsidR="00AB3F05" w:rsidRPr="00195EB8" w:rsidRDefault="00AB3F05" w:rsidP="00062AED">
      <w:pPr>
        <w:pStyle w:val="FootnoteText"/>
        <w:rPr>
          <w:lang w:val="cy-GB"/>
        </w:rPr>
      </w:pPr>
      <w:r>
        <w:rPr>
          <w:rStyle w:val="FootnoteReference"/>
        </w:rPr>
        <w:footnoteRef/>
      </w:r>
      <w:r>
        <w:t xml:space="preserve"> </w:t>
      </w:r>
      <w:r>
        <w:rPr>
          <w:lang w:val="cy-GB"/>
        </w:rPr>
        <w:t>Ibid., 88.</w:t>
      </w:r>
    </w:p>
  </w:footnote>
  <w:footnote w:id="673">
    <w:p w:rsidR="00AB3F05" w:rsidRPr="0024386A" w:rsidRDefault="00AB3F05" w:rsidP="00062AED">
      <w:pPr>
        <w:pStyle w:val="FootnoteText"/>
        <w:rPr>
          <w:lang w:val="cy-GB"/>
        </w:rPr>
      </w:pPr>
      <w:r>
        <w:rPr>
          <w:rStyle w:val="FootnoteReference"/>
        </w:rPr>
        <w:footnoteRef/>
      </w:r>
      <w:r>
        <w:t xml:space="preserve"> </w:t>
      </w:r>
      <w:r>
        <w:rPr>
          <w:lang w:val="cy-GB"/>
        </w:rPr>
        <w:t>Ibid., 92.</w:t>
      </w:r>
    </w:p>
  </w:footnote>
  <w:footnote w:id="674">
    <w:p w:rsidR="00AB3F05" w:rsidRPr="00B63D15" w:rsidRDefault="00AB3F05" w:rsidP="00062AED">
      <w:pPr>
        <w:pStyle w:val="FootnoteText"/>
        <w:rPr>
          <w:lang w:val="cy-GB"/>
        </w:rPr>
      </w:pPr>
      <w:r>
        <w:rPr>
          <w:rStyle w:val="FootnoteReference"/>
        </w:rPr>
        <w:footnoteRef/>
      </w:r>
      <w:r>
        <w:t xml:space="preserve"> Ibid., 79: ‘Symbolic’ here in the context refers to the bread and wine as visible prophecies, not as mere memorial symbols. Cf. the reference here to the Word itself as ‘symbolic’. For Williams the Word is far from an empty symbol, as we shall see below. </w:t>
      </w:r>
    </w:p>
  </w:footnote>
  <w:footnote w:id="675">
    <w:p w:rsidR="00AB3F05" w:rsidRPr="00155BCC" w:rsidRDefault="00AB3F05" w:rsidP="00062AED">
      <w:pPr>
        <w:pStyle w:val="FootnoteText"/>
        <w:rPr>
          <w:lang w:val="cy-GB"/>
        </w:rPr>
      </w:pPr>
      <w:r>
        <w:rPr>
          <w:rStyle w:val="FootnoteReference"/>
        </w:rPr>
        <w:footnoteRef/>
      </w:r>
      <w:r>
        <w:t xml:space="preserve"> </w:t>
      </w:r>
      <w:r>
        <w:rPr>
          <w:lang w:val="cy-GB"/>
        </w:rPr>
        <w:t xml:space="preserve">Williams, </w:t>
      </w:r>
      <w:r w:rsidRPr="00FE1E28">
        <w:rPr>
          <w:i/>
          <w:lang w:val="cy-GB"/>
        </w:rPr>
        <w:t>Prophetical Ministry</w:t>
      </w:r>
      <w:r>
        <w:rPr>
          <w:lang w:val="cy-GB"/>
        </w:rPr>
        <w:t>, 79.</w:t>
      </w:r>
    </w:p>
  </w:footnote>
  <w:footnote w:id="676">
    <w:p w:rsidR="00AB3F05" w:rsidRPr="009F3D3B" w:rsidRDefault="00AB3F05" w:rsidP="00062AED">
      <w:pPr>
        <w:pStyle w:val="FootnoteText"/>
      </w:pPr>
      <w:r>
        <w:rPr>
          <w:rStyle w:val="FootnoteReference"/>
        </w:rPr>
        <w:footnoteRef/>
      </w:r>
      <w:r>
        <w:t xml:space="preserve"> Williams, ‘Apostleship’, (June 1924), 15.</w:t>
      </w:r>
    </w:p>
  </w:footnote>
  <w:footnote w:id="677">
    <w:p w:rsidR="00AB3F05" w:rsidRPr="008C5CE6" w:rsidRDefault="00AB3F05" w:rsidP="00062AED">
      <w:pPr>
        <w:pStyle w:val="FootnoteText"/>
      </w:pPr>
      <w:r>
        <w:rPr>
          <w:rStyle w:val="FootnoteReference"/>
        </w:rPr>
        <w:footnoteRef/>
      </w:r>
      <w:r>
        <w:t xml:space="preserve"> Ibid., 16.</w:t>
      </w:r>
    </w:p>
  </w:footnote>
  <w:footnote w:id="678">
    <w:p w:rsidR="00AB3F05" w:rsidRPr="000D3D36" w:rsidRDefault="00AB3F05" w:rsidP="00062AED">
      <w:pPr>
        <w:pStyle w:val="FootnoteText"/>
        <w:rPr>
          <w:lang w:val="cy-GB"/>
        </w:rPr>
      </w:pPr>
      <w:r>
        <w:rPr>
          <w:rStyle w:val="FootnoteReference"/>
        </w:rPr>
        <w:footnoteRef/>
      </w:r>
      <w:r>
        <w:t xml:space="preserve"> </w:t>
      </w:r>
      <w:r>
        <w:rPr>
          <w:lang w:val="cy-GB"/>
        </w:rPr>
        <w:t>Williams, ‘Divine Order’, 8.</w:t>
      </w:r>
    </w:p>
  </w:footnote>
  <w:footnote w:id="679">
    <w:p w:rsidR="00AB3F05" w:rsidRPr="00BD180E" w:rsidRDefault="00AB3F05" w:rsidP="00062AED">
      <w:pPr>
        <w:pStyle w:val="FootnoteText"/>
        <w:rPr>
          <w:lang w:val="cy-GB"/>
        </w:rPr>
      </w:pPr>
      <w:r>
        <w:rPr>
          <w:rStyle w:val="FootnoteReference"/>
        </w:rPr>
        <w:footnoteRef/>
      </w:r>
      <w:r>
        <w:t xml:space="preserve"> </w:t>
      </w:r>
      <w:r>
        <w:rPr>
          <w:lang w:val="cy-GB"/>
        </w:rPr>
        <w:t>Ibid.</w:t>
      </w:r>
    </w:p>
  </w:footnote>
  <w:footnote w:id="680">
    <w:p w:rsidR="00AB3F05" w:rsidRPr="0034790D" w:rsidRDefault="00AB3F05" w:rsidP="00062AED">
      <w:pPr>
        <w:pStyle w:val="FootnoteText"/>
        <w:rPr>
          <w:lang w:val="cy-GB"/>
        </w:rPr>
      </w:pPr>
      <w:r>
        <w:rPr>
          <w:rStyle w:val="FootnoteReference"/>
        </w:rPr>
        <w:footnoteRef/>
      </w:r>
      <w:r>
        <w:t xml:space="preserve"> M</w:t>
      </w:r>
      <w:r w:rsidRPr="0034790D">
        <w:t xml:space="preserve">acchia, </w:t>
      </w:r>
      <w:r w:rsidRPr="0034790D">
        <w:rPr>
          <w:i/>
        </w:rPr>
        <w:t>Baptized in the Spirit</w:t>
      </w:r>
      <w:r w:rsidRPr="0034790D">
        <w:t>, 232</w:t>
      </w:r>
      <w:r>
        <w:t xml:space="preserve">; cf. Chan, </w:t>
      </w:r>
      <w:r w:rsidRPr="0004314A">
        <w:rPr>
          <w:i/>
        </w:rPr>
        <w:t>Pentecostal Ecclesiology</w:t>
      </w:r>
      <w:r>
        <w:t xml:space="preserve">, 113; Benjamin McNair Scott, </w:t>
      </w:r>
      <w:r w:rsidRPr="00082E7A">
        <w:rPr>
          <w:i/>
        </w:rPr>
        <w:t xml:space="preserve">Apostles Today: Making Sense of Contemporary Charismatic Apostolates: A Historical and Theological Appraisal </w:t>
      </w:r>
      <w:r>
        <w:t>(Eugene: Pickwick, 2014), 67-70.</w:t>
      </w:r>
    </w:p>
  </w:footnote>
  <w:footnote w:id="681">
    <w:p w:rsidR="00AB3F05" w:rsidRPr="0034790D" w:rsidRDefault="00AB3F05" w:rsidP="00062AED">
      <w:pPr>
        <w:pStyle w:val="FootnoteText"/>
        <w:rPr>
          <w:lang w:val="cy-GB"/>
        </w:rPr>
      </w:pPr>
      <w:r>
        <w:rPr>
          <w:rStyle w:val="FootnoteReference"/>
        </w:rPr>
        <w:footnoteRef/>
      </w:r>
      <w:r>
        <w:t xml:space="preserve"> </w:t>
      </w:r>
      <w:r w:rsidRPr="0034790D">
        <w:t xml:space="preserve">Williams, ‘Divine Order’, </w:t>
      </w:r>
      <w:r>
        <w:t>10; idem, ‘The Apostleship’</w:t>
      </w:r>
      <w:r w:rsidRPr="0034790D">
        <w:t>(1940), 50</w:t>
      </w:r>
      <w:r>
        <w:t>.</w:t>
      </w:r>
    </w:p>
  </w:footnote>
  <w:footnote w:id="682">
    <w:p w:rsidR="00AB3F05" w:rsidRPr="00501FF8" w:rsidRDefault="00AB3F05" w:rsidP="00062AED">
      <w:pPr>
        <w:pStyle w:val="FootnoteText"/>
        <w:rPr>
          <w:lang w:val="cy-GB"/>
        </w:rPr>
      </w:pPr>
      <w:r>
        <w:rPr>
          <w:rStyle w:val="FootnoteReference"/>
        </w:rPr>
        <w:footnoteRef/>
      </w:r>
      <w:r>
        <w:t xml:space="preserve"> S</w:t>
      </w:r>
      <w:r w:rsidRPr="00501FF8">
        <w:t xml:space="preserve">ee </w:t>
      </w:r>
      <w:r w:rsidRPr="00501FF8">
        <w:rPr>
          <w:i/>
        </w:rPr>
        <w:t>The Apostolic Church: Its Principles and Practices</w:t>
      </w:r>
      <w:r w:rsidRPr="00501FF8">
        <w:t>, 244-251</w:t>
      </w:r>
      <w:r>
        <w:t>.</w:t>
      </w:r>
    </w:p>
  </w:footnote>
  <w:footnote w:id="683">
    <w:p w:rsidR="00AB3F05" w:rsidRPr="00236556" w:rsidRDefault="00AB3F05" w:rsidP="00062AED">
      <w:pPr>
        <w:pStyle w:val="FootnoteText"/>
        <w:rPr>
          <w:lang w:val="cy-GB"/>
        </w:rPr>
      </w:pPr>
      <w:r>
        <w:rPr>
          <w:rStyle w:val="FootnoteReference"/>
        </w:rPr>
        <w:footnoteRef/>
      </w:r>
      <w:r>
        <w:t xml:space="preserve"> </w:t>
      </w:r>
      <w:r>
        <w:rPr>
          <w:lang w:val="cy-GB"/>
        </w:rPr>
        <w:t xml:space="preserve">Williams, </w:t>
      </w:r>
      <w:r w:rsidRPr="00236556">
        <w:rPr>
          <w:i/>
          <w:lang w:val="cy-GB"/>
        </w:rPr>
        <w:t>Prophetical Ministry</w:t>
      </w:r>
      <w:r>
        <w:rPr>
          <w:lang w:val="cy-GB"/>
        </w:rPr>
        <w:t xml:space="preserve">, 79-80; </w:t>
      </w:r>
      <w:r>
        <w:t>idem</w:t>
      </w:r>
      <w:r w:rsidRPr="0034790D">
        <w:t xml:space="preserve">, ‘Divine Order’, </w:t>
      </w:r>
      <w:r>
        <w:t>9-11. NB The use of oil in ordination is ‘not of human institution but by the command of God the Holy Ghost, to use the oil of Consecration in the setting apart of Elders and Apostles, but not the Diaconate’ (p.11). Although this is attributed to prophecy, Williams defends the practice by appeal to ‘the Early Church.’</w:t>
      </w:r>
    </w:p>
  </w:footnote>
  <w:footnote w:id="684">
    <w:p w:rsidR="00AB3F05" w:rsidRPr="000D5632" w:rsidRDefault="00AB3F05" w:rsidP="00062AED">
      <w:pPr>
        <w:pStyle w:val="FootnoteText"/>
        <w:rPr>
          <w:lang w:val="cy-GB"/>
        </w:rPr>
      </w:pPr>
      <w:r>
        <w:rPr>
          <w:rStyle w:val="FootnoteReference"/>
        </w:rPr>
        <w:footnoteRef/>
      </w:r>
      <w:r>
        <w:t xml:space="preserve"> </w:t>
      </w:r>
      <w:r>
        <w:rPr>
          <w:lang w:val="cy-GB"/>
        </w:rPr>
        <w:t>Williams, ‘Divine Order’, 11.</w:t>
      </w:r>
    </w:p>
  </w:footnote>
  <w:footnote w:id="685">
    <w:p w:rsidR="00AB3F05" w:rsidRPr="002437CE" w:rsidRDefault="00AB3F05" w:rsidP="00062AED">
      <w:pPr>
        <w:pStyle w:val="FootnoteText"/>
        <w:rPr>
          <w:lang w:val="cy-GB"/>
        </w:rPr>
      </w:pPr>
      <w:r>
        <w:rPr>
          <w:rStyle w:val="FootnoteReference"/>
        </w:rPr>
        <w:footnoteRef/>
      </w:r>
      <w:r>
        <w:t xml:space="preserve"> </w:t>
      </w:r>
      <w:r>
        <w:rPr>
          <w:lang w:val="cy-GB"/>
        </w:rPr>
        <w:t xml:space="preserve">D.P. Williams, ‘The Diaconate’, </w:t>
      </w:r>
      <w:r>
        <w:rPr>
          <w:i/>
          <w:lang w:val="cy-GB"/>
        </w:rPr>
        <w:t>RoG</w:t>
      </w:r>
      <w:r>
        <w:rPr>
          <w:lang w:val="cy-GB"/>
        </w:rPr>
        <w:t>, vi.4 (March 1931), 155; The three orders of ‘Apostles, Elders and Deacons’ are also noted in the ‘Rules of Belief’ of the Apostolic Church; see ‘Guiding Principles’, 252.</w:t>
      </w:r>
    </w:p>
  </w:footnote>
  <w:footnote w:id="686">
    <w:p w:rsidR="00AB3F05" w:rsidRPr="00792485" w:rsidRDefault="00AB3F05" w:rsidP="00062AED">
      <w:pPr>
        <w:pStyle w:val="FootnoteText"/>
        <w:rPr>
          <w:lang w:val="cy-GB"/>
        </w:rPr>
      </w:pPr>
      <w:r>
        <w:rPr>
          <w:rStyle w:val="FootnoteReference"/>
        </w:rPr>
        <w:footnoteRef/>
      </w:r>
      <w:r>
        <w:t xml:space="preserve"> </w:t>
      </w:r>
      <w:r>
        <w:rPr>
          <w:lang w:val="cy-GB"/>
        </w:rPr>
        <w:t xml:space="preserve">D.P. Williams, ‘The Diaconate’, </w:t>
      </w:r>
      <w:r>
        <w:rPr>
          <w:i/>
          <w:lang w:val="cy-GB"/>
        </w:rPr>
        <w:t>RoG</w:t>
      </w:r>
      <w:r>
        <w:rPr>
          <w:lang w:val="cy-GB"/>
        </w:rPr>
        <w:t>, vi.5 (May 1931), 197.</w:t>
      </w:r>
    </w:p>
  </w:footnote>
  <w:footnote w:id="687">
    <w:p w:rsidR="00AB3F05" w:rsidRPr="0062796F" w:rsidRDefault="00AB3F05" w:rsidP="00062AED">
      <w:pPr>
        <w:pStyle w:val="FootnoteText"/>
        <w:rPr>
          <w:lang w:val="cy-GB"/>
        </w:rPr>
      </w:pPr>
      <w:r>
        <w:rPr>
          <w:rStyle w:val="FootnoteReference"/>
        </w:rPr>
        <w:footnoteRef/>
      </w:r>
      <w:r>
        <w:t xml:space="preserve"> </w:t>
      </w:r>
      <w:r>
        <w:rPr>
          <w:lang w:val="cy-GB"/>
        </w:rPr>
        <w:t xml:space="preserve">Ibid., 200; See also the distinction between the orders of deacon and elder in D.P. Williams, ‘The Diaconate (Concluded)’, </w:t>
      </w:r>
      <w:r>
        <w:rPr>
          <w:i/>
          <w:lang w:val="cy-GB"/>
        </w:rPr>
        <w:t>RoG</w:t>
      </w:r>
      <w:r>
        <w:rPr>
          <w:lang w:val="cy-GB"/>
        </w:rPr>
        <w:t xml:space="preserve">, vi.6 (July 1931), 237. See further Williams’ distinction of the two governmental orders, that of ‘apostle, which is universal in his setting, and that of Pastor or Elder, which are local in their setting.’ Williams, </w:t>
      </w:r>
      <w:r w:rsidRPr="005A598E">
        <w:rPr>
          <w:i/>
          <w:lang w:val="cy-GB"/>
        </w:rPr>
        <w:t>Prophetical Ministry</w:t>
      </w:r>
      <w:r>
        <w:rPr>
          <w:lang w:val="cy-GB"/>
        </w:rPr>
        <w:t>, 83.</w:t>
      </w:r>
    </w:p>
  </w:footnote>
  <w:footnote w:id="688">
    <w:p w:rsidR="00AB3F05" w:rsidRPr="0049631C" w:rsidRDefault="00AB3F05" w:rsidP="00062AED">
      <w:pPr>
        <w:pStyle w:val="FootnoteText"/>
        <w:rPr>
          <w:lang w:val="cy-GB"/>
        </w:rPr>
      </w:pPr>
      <w:r>
        <w:rPr>
          <w:rStyle w:val="FootnoteReference"/>
        </w:rPr>
        <w:footnoteRef/>
      </w:r>
      <w:r>
        <w:t xml:space="preserve"> </w:t>
      </w:r>
      <w:r>
        <w:rPr>
          <w:lang w:val="cy-GB"/>
        </w:rPr>
        <w:t xml:space="preserve">Williams, </w:t>
      </w:r>
      <w:r w:rsidRPr="005A598E">
        <w:rPr>
          <w:i/>
          <w:lang w:val="cy-GB"/>
        </w:rPr>
        <w:t>Prophetical Ministry</w:t>
      </w:r>
      <w:r>
        <w:rPr>
          <w:lang w:val="cy-GB"/>
        </w:rPr>
        <w:t>, 83, 87.</w:t>
      </w:r>
    </w:p>
  </w:footnote>
  <w:footnote w:id="689">
    <w:p w:rsidR="00AB3F05" w:rsidRPr="0010701B" w:rsidRDefault="00AB3F05" w:rsidP="00062AED">
      <w:pPr>
        <w:pStyle w:val="FootnoteText"/>
        <w:rPr>
          <w:lang w:val="cy-GB"/>
        </w:rPr>
      </w:pPr>
      <w:r>
        <w:rPr>
          <w:rStyle w:val="FootnoteReference"/>
        </w:rPr>
        <w:footnoteRef/>
      </w:r>
      <w:r>
        <w:t xml:space="preserve"> ‘</w:t>
      </w:r>
      <w:r w:rsidRPr="00624655">
        <w:rPr>
          <w:lang w:val="cy-GB"/>
        </w:rPr>
        <w:t>International Council of Apostles and Prophets, Jan. 19th over Jan. 25th, 1932, Great Horton Church Ante-Rooms, Bradford’, Minutes, 5.</w:t>
      </w:r>
    </w:p>
  </w:footnote>
  <w:footnote w:id="690">
    <w:p w:rsidR="00AB3F05" w:rsidRPr="004B689E" w:rsidRDefault="00AB3F05" w:rsidP="00062AED">
      <w:pPr>
        <w:pStyle w:val="FootnoteText"/>
        <w:rPr>
          <w:lang w:val="cy-GB"/>
        </w:rPr>
      </w:pPr>
      <w:r>
        <w:rPr>
          <w:rStyle w:val="FootnoteReference"/>
        </w:rPr>
        <w:footnoteRef/>
      </w:r>
      <w:r>
        <w:t xml:space="preserve"> </w:t>
      </w:r>
      <w:r>
        <w:rPr>
          <w:lang w:val="cy-GB"/>
        </w:rPr>
        <w:t>Interestingly this policy has since been reversed and there is no longer a distinction in title between salaried and non-salaried pastors.</w:t>
      </w:r>
    </w:p>
  </w:footnote>
  <w:footnote w:id="691">
    <w:p w:rsidR="00AB3F05" w:rsidRPr="00D55DC3" w:rsidRDefault="00AB3F05" w:rsidP="00062AED">
      <w:pPr>
        <w:pStyle w:val="FootnoteText"/>
        <w:rPr>
          <w:lang w:val="cy-GB"/>
        </w:rPr>
      </w:pPr>
      <w:r>
        <w:rPr>
          <w:rStyle w:val="FootnoteReference"/>
        </w:rPr>
        <w:footnoteRef/>
      </w:r>
      <w:r>
        <w:t xml:space="preserve"> </w:t>
      </w:r>
      <w:r w:rsidRPr="00D55DC3">
        <w:rPr>
          <w:i/>
          <w:lang w:val="cy-GB"/>
        </w:rPr>
        <w:t>Report of the Convocation of Apostles and Prophets, Bradford, Oct. 15th-18th 1929</w:t>
      </w:r>
      <w:r>
        <w:rPr>
          <w:lang w:val="cy-GB"/>
        </w:rPr>
        <w:t>, 170.</w:t>
      </w:r>
    </w:p>
  </w:footnote>
  <w:footnote w:id="692">
    <w:p w:rsidR="00AB3F05" w:rsidRPr="006C20E3" w:rsidRDefault="00AB3F05" w:rsidP="00062AED">
      <w:pPr>
        <w:pStyle w:val="FootnoteText"/>
        <w:rPr>
          <w:lang w:val="cy-GB"/>
        </w:rPr>
      </w:pPr>
      <w:r>
        <w:rPr>
          <w:rStyle w:val="FootnoteReference"/>
        </w:rPr>
        <w:footnoteRef/>
      </w:r>
      <w:r>
        <w:t xml:space="preserve"> </w:t>
      </w:r>
      <w:r>
        <w:rPr>
          <w:lang w:val="cy-GB"/>
        </w:rPr>
        <w:t>Ibid., 175. This prophecy was noted as ‘The Word of the Lord through the Prophet W. Jones Williams.’</w:t>
      </w:r>
    </w:p>
  </w:footnote>
  <w:footnote w:id="693">
    <w:p w:rsidR="00AB3F05" w:rsidRPr="00E94F2C" w:rsidRDefault="00AB3F05" w:rsidP="00062AED">
      <w:pPr>
        <w:pStyle w:val="FootnoteText"/>
        <w:rPr>
          <w:lang w:val="cy-GB"/>
        </w:rPr>
      </w:pPr>
      <w:r>
        <w:rPr>
          <w:rStyle w:val="FootnoteReference"/>
        </w:rPr>
        <w:footnoteRef/>
      </w:r>
      <w:r>
        <w:t xml:space="preserve"> ‘</w:t>
      </w:r>
      <w:r>
        <w:rPr>
          <w:lang w:val="cy-GB"/>
        </w:rPr>
        <w:t xml:space="preserve">Fundamental Truths’, </w:t>
      </w:r>
      <w:r w:rsidRPr="00E94F2C">
        <w:rPr>
          <w:i/>
          <w:lang w:val="cy-GB"/>
        </w:rPr>
        <w:t>The Apostolic Church:Its Principles and Practices</w:t>
      </w:r>
      <w:r>
        <w:rPr>
          <w:lang w:val="cy-GB"/>
        </w:rPr>
        <w:t>, 231, 233.</w:t>
      </w:r>
    </w:p>
  </w:footnote>
  <w:footnote w:id="694">
    <w:p w:rsidR="00AB3F05" w:rsidRPr="00607B36" w:rsidRDefault="00AB3F05" w:rsidP="00062AED">
      <w:pPr>
        <w:pStyle w:val="FootnoteText"/>
        <w:rPr>
          <w:lang w:val="cy-GB"/>
        </w:rPr>
      </w:pPr>
      <w:r>
        <w:rPr>
          <w:rStyle w:val="FootnoteReference"/>
        </w:rPr>
        <w:footnoteRef/>
      </w:r>
      <w:r>
        <w:t xml:space="preserve"> Ibid.</w:t>
      </w:r>
      <w:r>
        <w:rPr>
          <w:lang w:val="cy-GB"/>
        </w:rPr>
        <w:t>, 250-251.</w:t>
      </w:r>
    </w:p>
  </w:footnote>
  <w:footnote w:id="695">
    <w:p w:rsidR="00AB3F05" w:rsidRPr="00F0641C" w:rsidRDefault="00AB3F05" w:rsidP="00062AED">
      <w:pPr>
        <w:pStyle w:val="FootnoteText"/>
        <w:rPr>
          <w:lang w:val="cy-GB"/>
        </w:rPr>
      </w:pPr>
      <w:r>
        <w:rPr>
          <w:rStyle w:val="FootnoteReference"/>
        </w:rPr>
        <w:footnoteRef/>
      </w:r>
      <w:r>
        <w:t xml:space="preserve"> </w:t>
      </w:r>
      <w:r>
        <w:rPr>
          <w:lang w:val="cy-GB"/>
        </w:rPr>
        <w:t xml:space="preserve">Williams, </w:t>
      </w:r>
      <w:r w:rsidRPr="00F0641C">
        <w:rPr>
          <w:i/>
          <w:lang w:val="cy-GB"/>
        </w:rPr>
        <w:t>Work of an Evangelist</w:t>
      </w:r>
      <w:r>
        <w:rPr>
          <w:lang w:val="cy-GB"/>
        </w:rPr>
        <w:t>, 111.</w:t>
      </w:r>
    </w:p>
  </w:footnote>
  <w:footnote w:id="696">
    <w:p w:rsidR="00AB3F05" w:rsidRPr="00F0641C" w:rsidRDefault="00AB3F05" w:rsidP="00062AED">
      <w:pPr>
        <w:pStyle w:val="FootnoteText"/>
        <w:rPr>
          <w:lang w:val="cy-GB"/>
        </w:rPr>
      </w:pPr>
      <w:r>
        <w:rPr>
          <w:rStyle w:val="FootnoteReference"/>
        </w:rPr>
        <w:footnoteRef/>
      </w:r>
      <w:r>
        <w:t xml:space="preserve"> ‘</w:t>
      </w:r>
      <w:r>
        <w:rPr>
          <w:lang w:val="cy-GB"/>
        </w:rPr>
        <w:t>Fundamental Truths’, 215; However, ‘the brethren should readily respond to the Word of the Lord, should direction be given by Him to make an exception in any particular instance’ to the order of precedence for the charge of services. Ibid., 179.</w:t>
      </w:r>
    </w:p>
  </w:footnote>
  <w:footnote w:id="697">
    <w:p w:rsidR="00AB3F05" w:rsidRPr="00A37C44" w:rsidRDefault="00AB3F05" w:rsidP="00062AED">
      <w:pPr>
        <w:pStyle w:val="FootnoteText"/>
        <w:rPr>
          <w:lang w:val="cy-GB"/>
        </w:rPr>
      </w:pPr>
      <w:r>
        <w:rPr>
          <w:rStyle w:val="FootnoteReference"/>
        </w:rPr>
        <w:footnoteRef/>
      </w:r>
      <w:r>
        <w:t xml:space="preserve"> Williams, ‘Apostleship’, (Nov. 1924), </w:t>
      </w:r>
      <w:r>
        <w:rPr>
          <w:lang w:val="cy-GB"/>
        </w:rPr>
        <w:t>9.</w:t>
      </w:r>
    </w:p>
  </w:footnote>
  <w:footnote w:id="698">
    <w:p w:rsidR="00AB3F05" w:rsidRPr="003C5F75" w:rsidRDefault="00AB3F05" w:rsidP="00062AED">
      <w:pPr>
        <w:pStyle w:val="FootnoteText"/>
        <w:rPr>
          <w:lang w:val="cy-GB"/>
        </w:rPr>
      </w:pPr>
      <w:r>
        <w:rPr>
          <w:rStyle w:val="FootnoteReference"/>
        </w:rPr>
        <w:footnoteRef/>
      </w:r>
      <w:r>
        <w:t xml:space="preserve"> </w:t>
      </w:r>
      <w:r>
        <w:rPr>
          <w:lang w:val="cy-GB"/>
        </w:rPr>
        <w:t xml:space="preserve">Ibid., 11; Williams, </w:t>
      </w:r>
      <w:r w:rsidRPr="006733C0">
        <w:rPr>
          <w:i/>
          <w:lang w:val="cy-GB"/>
        </w:rPr>
        <w:t>Prophetical Ministry</w:t>
      </w:r>
      <w:r>
        <w:rPr>
          <w:lang w:val="cy-GB"/>
        </w:rPr>
        <w:t>, 78-79.</w:t>
      </w:r>
    </w:p>
  </w:footnote>
  <w:footnote w:id="699">
    <w:p w:rsidR="00AB3F05" w:rsidRPr="007C1C77" w:rsidRDefault="00AB3F05" w:rsidP="00062AED">
      <w:pPr>
        <w:pStyle w:val="FootnoteText"/>
        <w:rPr>
          <w:lang w:val="cy-GB"/>
        </w:rPr>
      </w:pPr>
      <w:r>
        <w:rPr>
          <w:rStyle w:val="FootnoteReference"/>
        </w:rPr>
        <w:footnoteRef/>
      </w:r>
      <w:r>
        <w:t xml:space="preserve"> </w:t>
      </w:r>
      <w:r>
        <w:rPr>
          <w:lang w:val="cy-GB"/>
        </w:rPr>
        <w:t>Williams, ‘Apostleship’, (Nov. 1924), 5.</w:t>
      </w:r>
    </w:p>
  </w:footnote>
  <w:footnote w:id="700">
    <w:p w:rsidR="00AB3F05" w:rsidRPr="006733C0" w:rsidRDefault="00AB3F05" w:rsidP="00062AED">
      <w:pPr>
        <w:pStyle w:val="FootnoteText"/>
        <w:rPr>
          <w:lang w:val="cy-GB"/>
        </w:rPr>
      </w:pPr>
      <w:r>
        <w:rPr>
          <w:rStyle w:val="FootnoteReference"/>
        </w:rPr>
        <w:footnoteRef/>
      </w:r>
      <w:r>
        <w:t xml:space="preserve"> </w:t>
      </w:r>
      <w:r>
        <w:rPr>
          <w:lang w:val="cy-GB"/>
        </w:rPr>
        <w:t xml:space="preserve">Ibid., 6; It is not only the apostleship who represent Christ; all of the five-fold ministries (thus all apostles and presbyters) ‘are Christ’s representatives.’ Williams, </w:t>
      </w:r>
      <w:r w:rsidRPr="006733C0">
        <w:rPr>
          <w:i/>
          <w:lang w:val="cy-GB"/>
        </w:rPr>
        <w:t>Prophetical Ministry</w:t>
      </w:r>
      <w:r>
        <w:rPr>
          <w:lang w:val="cy-GB"/>
        </w:rPr>
        <w:t>, 79.</w:t>
      </w:r>
    </w:p>
  </w:footnote>
  <w:footnote w:id="701">
    <w:p w:rsidR="00AB3F05" w:rsidRPr="006733C0" w:rsidRDefault="00AB3F05" w:rsidP="00062AED">
      <w:pPr>
        <w:pStyle w:val="FootnoteText"/>
        <w:rPr>
          <w:lang w:val="cy-GB"/>
        </w:rPr>
      </w:pPr>
      <w:r>
        <w:rPr>
          <w:rStyle w:val="FootnoteReference"/>
        </w:rPr>
        <w:footnoteRef/>
      </w:r>
      <w:r>
        <w:t xml:space="preserve"> </w:t>
      </w:r>
      <w:r>
        <w:rPr>
          <w:lang w:val="cy-GB"/>
        </w:rPr>
        <w:t>Williams, ‘Apostleship’, (Nov. 1924), 9-10.</w:t>
      </w:r>
    </w:p>
  </w:footnote>
  <w:footnote w:id="702">
    <w:p w:rsidR="00AB3F05" w:rsidRPr="000269A6" w:rsidRDefault="00AB3F05" w:rsidP="00062AED">
      <w:pPr>
        <w:pStyle w:val="FootnoteText"/>
        <w:rPr>
          <w:lang w:val="cy-GB"/>
        </w:rPr>
      </w:pPr>
      <w:r>
        <w:rPr>
          <w:rStyle w:val="FootnoteReference"/>
        </w:rPr>
        <w:footnoteRef/>
      </w:r>
      <w:r>
        <w:t xml:space="preserve"> </w:t>
      </w:r>
      <w:r w:rsidRPr="007543AA">
        <w:rPr>
          <w:lang w:val="cy-GB"/>
        </w:rPr>
        <w:t xml:space="preserve">J. Nelson Parr, The Apostolic Church Error (Lewisham: AoG, n.d.);  cf. </w:t>
      </w:r>
      <w:r>
        <w:rPr>
          <w:lang w:val="cy-GB"/>
        </w:rPr>
        <w:t xml:space="preserve">Rowe, </w:t>
      </w:r>
      <w:r w:rsidRPr="007543AA">
        <w:rPr>
          <w:i/>
          <w:lang w:val="cy-GB"/>
        </w:rPr>
        <w:t>One Lord, One Faith</w:t>
      </w:r>
      <w:r>
        <w:rPr>
          <w:lang w:val="cy-GB"/>
        </w:rPr>
        <w:t>, 81.</w:t>
      </w:r>
    </w:p>
  </w:footnote>
  <w:footnote w:id="703">
    <w:p w:rsidR="00AB3F05" w:rsidRPr="00261C20" w:rsidRDefault="00AB3F05" w:rsidP="00062AED">
      <w:pPr>
        <w:pStyle w:val="FootnoteText"/>
      </w:pPr>
      <w:r>
        <w:rPr>
          <w:rStyle w:val="FootnoteReference"/>
        </w:rPr>
        <w:footnoteRef/>
      </w:r>
      <w:r>
        <w:t xml:space="preserve"> Williams, ‘The Apostleship’, (June 1940), 49.</w:t>
      </w:r>
    </w:p>
  </w:footnote>
  <w:footnote w:id="704">
    <w:p w:rsidR="00AB3F05" w:rsidRPr="000269A6" w:rsidRDefault="00AB3F05" w:rsidP="00062AED">
      <w:pPr>
        <w:pStyle w:val="FootnoteText"/>
        <w:rPr>
          <w:lang w:val="cy-GB"/>
        </w:rPr>
      </w:pPr>
      <w:r>
        <w:rPr>
          <w:rStyle w:val="FootnoteReference"/>
        </w:rPr>
        <w:footnoteRef/>
      </w:r>
      <w:r>
        <w:t xml:space="preserve"> </w:t>
      </w:r>
      <w:r>
        <w:rPr>
          <w:lang w:val="cy-GB"/>
        </w:rPr>
        <w:t xml:space="preserve">D.P. Williams, ‘Exposition of Prophetical Word’, </w:t>
      </w:r>
      <w:r>
        <w:rPr>
          <w:i/>
          <w:lang w:val="cy-GB"/>
        </w:rPr>
        <w:t>RoG</w:t>
      </w:r>
      <w:r>
        <w:rPr>
          <w:lang w:val="cy-GB"/>
        </w:rPr>
        <w:t>, xi.1 (September 1935), 39.</w:t>
      </w:r>
    </w:p>
  </w:footnote>
  <w:footnote w:id="705">
    <w:p w:rsidR="00AB3F05" w:rsidRPr="00261C20" w:rsidRDefault="00AB3F05" w:rsidP="00062AED">
      <w:pPr>
        <w:pStyle w:val="FootnoteText"/>
        <w:rPr>
          <w:lang w:val="cy-GB"/>
        </w:rPr>
      </w:pPr>
      <w:r>
        <w:rPr>
          <w:rStyle w:val="FootnoteReference"/>
        </w:rPr>
        <w:footnoteRef/>
      </w:r>
      <w:r>
        <w:t xml:space="preserve"> </w:t>
      </w:r>
      <w:r>
        <w:rPr>
          <w:lang w:val="cy-GB"/>
        </w:rPr>
        <w:t>Williams, ‘The Apostleship’ (June 1940), 49.</w:t>
      </w:r>
    </w:p>
  </w:footnote>
  <w:footnote w:id="706">
    <w:p w:rsidR="00AB3F05" w:rsidRPr="004175C7" w:rsidRDefault="00AB3F05" w:rsidP="00062AED">
      <w:pPr>
        <w:pStyle w:val="FootnoteText"/>
        <w:rPr>
          <w:lang w:val="cy-GB"/>
        </w:rPr>
      </w:pPr>
      <w:r>
        <w:rPr>
          <w:rStyle w:val="FootnoteReference"/>
        </w:rPr>
        <w:footnoteRef/>
      </w:r>
      <w:r>
        <w:t xml:space="preserve"> </w:t>
      </w:r>
      <w:r>
        <w:rPr>
          <w:lang w:val="cy-GB"/>
        </w:rPr>
        <w:t>Williams, ‘Apostleship’ (Nov. 1924), 5.</w:t>
      </w:r>
    </w:p>
  </w:footnote>
  <w:footnote w:id="707">
    <w:p w:rsidR="00AB3F05" w:rsidRPr="00A2067D" w:rsidRDefault="00AB3F05" w:rsidP="00062AED">
      <w:pPr>
        <w:pStyle w:val="FootnoteText"/>
        <w:rPr>
          <w:lang w:val="cy-GB"/>
        </w:rPr>
      </w:pPr>
      <w:r>
        <w:rPr>
          <w:rStyle w:val="FootnoteReference"/>
        </w:rPr>
        <w:footnoteRef/>
      </w:r>
      <w:r>
        <w:t xml:space="preserve"> </w:t>
      </w:r>
      <w:r>
        <w:rPr>
          <w:lang w:val="cy-GB"/>
        </w:rPr>
        <w:t>Williams, ‘The Apostleship’ (June 1940), 49.</w:t>
      </w:r>
    </w:p>
  </w:footnote>
  <w:footnote w:id="708">
    <w:p w:rsidR="00AB3F05" w:rsidRPr="00E87098" w:rsidRDefault="00AB3F05" w:rsidP="00062AED">
      <w:pPr>
        <w:pStyle w:val="FootnoteText"/>
        <w:rPr>
          <w:lang w:val="cy-GB"/>
        </w:rPr>
      </w:pPr>
      <w:r>
        <w:rPr>
          <w:rStyle w:val="FootnoteReference"/>
        </w:rPr>
        <w:footnoteRef/>
      </w:r>
      <w:r>
        <w:t xml:space="preserve"> </w:t>
      </w:r>
      <w:r>
        <w:rPr>
          <w:lang w:val="cy-GB"/>
        </w:rPr>
        <w:t>Williams, ‘Apostleship’ (June 1924), 13.</w:t>
      </w:r>
    </w:p>
  </w:footnote>
  <w:footnote w:id="709">
    <w:p w:rsidR="00AB3F05" w:rsidRPr="003B69A0" w:rsidRDefault="00AB3F05" w:rsidP="00062AED">
      <w:pPr>
        <w:pStyle w:val="FootnoteText"/>
        <w:rPr>
          <w:lang w:val="cy-GB"/>
        </w:rPr>
      </w:pPr>
      <w:r>
        <w:rPr>
          <w:rStyle w:val="FootnoteReference"/>
        </w:rPr>
        <w:footnoteRef/>
      </w:r>
      <w:r>
        <w:t xml:space="preserve"> </w:t>
      </w:r>
      <w:r>
        <w:rPr>
          <w:lang w:val="cy-GB"/>
        </w:rPr>
        <w:t>Ibid., 12.</w:t>
      </w:r>
    </w:p>
  </w:footnote>
  <w:footnote w:id="710">
    <w:p w:rsidR="00AB3F05" w:rsidRPr="00454B7D" w:rsidRDefault="00AB3F05" w:rsidP="00062AED">
      <w:pPr>
        <w:pStyle w:val="FootnoteText"/>
        <w:rPr>
          <w:lang w:val="cy-GB"/>
        </w:rPr>
      </w:pPr>
      <w:r>
        <w:rPr>
          <w:rStyle w:val="FootnoteReference"/>
        </w:rPr>
        <w:footnoteRef/>
      </w:r>
      <w:r>
        <w:t xml:space="preserve"> </w:t>
      </w:r>
      <w:r>
        <w:rPr>
          <w:lang w:val="cy-GB"/>
        </w:rPr>
        <w:t>Williams, ‘The Apostleship’ (June 1940), 50-51.</w:t>
      </w:r>
    </w:p>
  </w:footnote>
  <w:footnote w:id="711">
    <w:p w:rsidR="00AB3F05" w:rsidRPr="00341B62" w:rsidRDefault="00AB3F05" w:rsidP="00062AED">
      <w:pPr>
        <w:pStyle w:val="FootnoteText"/>
        <w:rPr>
          <w:lang w:val="cy-GB"/>
        </w:rPr>
      </w:pPr>
      <w:r>
        <w:rPr>
          <w:rStyle w:val="FootnoteReference"/>
        </w:rPr>
        <w:footnoteRef/>
      </w:r>
      <w:r>
        <w:t xml:space="preserve"> </w:t>
      </w:r>
      <w:r>
        <w:rPr>
          <w:lang w:val="cy-GB"/>
        </w:rPr>
        <w:t>Williams, ‘Apostleship’ (June 1924), 13.</w:t>
      </w:r>
    </w:p>
  </w:footnote>
  <w:footnote w:id="712">
    <w:p w:rsidR="00AB3F05" w:rsidRPr="00B22536" w:rsidRDefault="00AB3F05" w:rsidP="00062AED">
      <w:pPr>
        <w:pStyle w:val="FootnoteText"/>
        <w:rPr>
          <w:lang w:val="cy-GB"/>
        </w:rPr>
      </w:pPr>
      <w:r>
        <w:rPr>
          <w:rStyle w:val="FootnoteReference"/>
        </w:rPr>
        <w:footnoteRef/>
      </w:r>
      <w:r>
        <w:t xml:space="preserve"> </w:t>
      </w:r>
      <w:r>
        <w:rPr>
          <w:lang w:val="cy-GB"/>
        </w:rPr>
        <w:t>Ibid., 16. Williams illustrates this by reference to the ministry of the Apostle Paul.</w:t>
      </w:r>
    </w:p>
  </w:footnote>
  <w:footnote w:id="713">
    <w:p w:rsidR="00AB3F05" w:rsidRPr="007A2822" w:rsidRDefault="00AB3F05" w:rsidP="00062AED">
      <w:pPr>
        <w:pStyle w:val="FootnoteText"/>
        <w:rPr>
          <w:lang w:val="cy-GB"/>
        </w:rPr>
      </w:pPr>
      <w:r>
        <w:rPr>
          <w:rStyle w:val="FootnoteReference"/>
        </w:rPr>
        <w:footnoteRef/>
      </w:r>
      <w:r>
        <w:t xml:space="preserve"> </w:t>
      </w:r>
      <w:r>
        <w:rPr>
          <w:lang w:val="cy-GB"/>
        </w:rPr>
        <w:t>Williams, ‘Divine Order’, 8.</w:t>
      </w:r>
    </w:p>
  </w:footnote>
  <w:footnote w:id="714">
    <w:p w:rsidR="00AB3F05" w:rsidRPr="00B20A17" w:rsidRDefault="00AB3F05" w:rsidP="00062AED">
      <w:pPr>
        <w:pStyle w:val="FootnoteText"/>
      </w:pPr>
      <w:r>
        <w:rPr>
          <w:rStyle w:val="FootnoteReference"/>
        </w:rPr>
        <w:footnoteRef/>
      </w:r>
      <w:r>
        <w:t xml:space="preserve"> Ibid., 9.</w:t>
      </w:r>
    </w:p>
  </w:footnote>
  <w:footnote w:id="715">
    <w:p w:rsidR="00AB3F05" w:rsidRPr="00F24B93" w:rsidRDefault="00AB3F05" w:rsidP="00062AED">
      <w:pPr>
        <w:pStyle w:val="FootnoteText"/>
        <w:rPr>
          <w:lang w:val="cy-GB"/>
        </w:rPr>
      </w:pPr>
      <w:r>
        <w:rPr>
          <w:rStyle w:val="FootnoteReference"/>
        </w:rPr>
        <w:footnoteRef/>
      </w:r>
      <w:r>
        <w:t xml:space="preserve"> </w:t>
      </w:r>
      <w:r>
        <w:rPr>
          <w:lang w:val="cy-GB"/>
        </w:rPr>
        <w:t>Williams, ‘Apostleship’ (June 1924), 15.</w:t>
      </w:r>
    </w:p>
  </w:footnote>
  <w:footnote w:id="716">
    <w:p w:rsidR="00AB3F05" w:rsidRPr="00BE022B" w:rsidRDefault="00AB3F05" w:rsidP="00062AED">
      <w:pPr>
        <w:pStyle w:val="FootnoteText"/>
        <w:rPr>
          <w:lang w:val="cy-GB"/>
        </w:rPr>
      </w:pPr>
      <w:r>
        <w:rPr>
          <w:rStyle w:val="FootnoteReference"/>
        </w:rPr>
        <w:footnoteRef/>
      </w:r>
      <w:r>
        <w:t xml:space="preserve"> </w:t>
      </w:r>
      <w:r>
        <w:rPr>
          <w:lang w:val="cy-GB"/>
        </w:rPr>
        <w:t>Williams, ‘Apostleship’ (Nov. 1924), 6.</w:t>
      </w:r>
    </w:p>
  </w:footnote>
  <w:footnote w:id="717">
    <w:p w:rsidR="00AB3F05" w:rsidRPr="00803C93" w:rsidRDefault="00AB3F05" w:rsidP="00062AED">
      <w:pPr>
        <w:pStyle w:val="FootnoteText"/>
        <w:rPr>
          <w:lang w:val="cy-GB"/>
        </w:rPr>
      </w:pPr>
      <w:r>
        <w:rPr>
          <w:rStyle w:val="FootnoteReference"/>
        </w:rPr>
        <w:footnoteRef/>
      </w:r>
      <w:r>
        <w:t xml:space="preserve"> </w:t>
      </w:r>
      <w:r>
        <w:rPr>
          <w:lang w:val="cy-GB"/>
        </w:rPr>
        <w:t>Williams, ‘Apostleship’ (June 1924), 15.</w:t>
      </w:r>
    </w:p>
  </w:footnote>
  <w:footnote w:id="718">
    <w:p w:rsidR="00AB3F05" w:rsidRPr="00803C93" w:rsidRDefault="00AB3F05" w:rsidP="00062AED">
      <w:pPr>
        <w:pStyle w:val="FootnoteText"/>
        <w:rPr>
          <w:lang w:val="cy-GB"/>
        </w:rPr>
      </w:pPr>
      <w:r>
        <w:rPr>
          <w:rStyle w:val="FootnoteReference"/>
        </w:rPr>
        <w:footnoteRef/>
      </w:r>
      <w:r>
        <w:t xml:space="preserve"> Ibid.</w:t>
      </w:r>
    </w:p>
  </w:footnote>
  <w:footnote w:id="719">
    <w:p w:rsidR="00AB3F05" w:rsidRPr="003D15BF" w:rsidRDefault="00AB3F05" w:rsidP="00062AED">
      <w:pPr>
        <w:pStyle w:val="FootnoteText"/>
        <w:rPr>
          <w:lang w:val="cy-GB"/>
        </w:rPr>
      </w:pPr>
      <w:r>
        <w:rPr>
          <w:rStyle w:val="FootnoteReference"/>
        </w:rPr>
        <w:footnoteRef/>
      </w:r>
      <w:r>
        <w:t xml:space="preserve"> </w:t>
      </w:r>
      <w:r>
        <w:rPr>
          <w:lang w:val="cy-GB"/>
        </w:rPr>
        <w:t>Ibid.</w:t>
      </w:r>
    </w:p>
  </w:footnote>
  <w:footnote w:id="720">
    <w:p w:rsidR="00AB3F05" w:rsidRPr="001675B7" w:rsidRDefault="00AB3F05" w:rsidP="00062AED">
      <w:pPr>
        <w:pStyle w:val="FootnoteText"/>
        <w:rPr>
          <w:lang w:val="cy-GB"/>
        </w:rPr>
      </w:pPr>
      <w:r>
        <w:rPr>
          <w:rStyle w:val="FootnoteReference"/>
        </w:rPr>
        <w:footnoteRef/>
      </w:r>
      <w:r>
        <w:t xml:space="preserve"> </w:t>
      </w:r>
      <w:r>
        <w:rPr>
          <w:lang w:val="cy-GB"/>
        </w:rPr>
        <w:t xml:space="preserve">Williams, ‘Apostleship’ (Nov. 1924), 6-11;  idem, ‘Apostleship (Concluded)’, </w:t>
      </w:r>
      <w:r>
        <w:rPr>
          <w:i/>
          <w:lang w:val="cy-GB"/>
        </w:rPr>
        <w:t>RoG</w:t>
      </w:r>
      <w:r>
        <w:rPr>
          <w:lang w:val="cy-GB"/>
        </w:rPr>
        <w:t>, ii.8 (May 1925), 10-13.</w:t>
      </w:r>
    </w:p>
  </w:footnote>
  <w:footnote w:id="721">
    <w:p w:rsidR="00AB3F05" w:rsidRPr="001675B7" w:rsidRDefault="00AB3F05" w:rsidP="00062AED">
      <w:pPr>
        <w:pStyle w:val="FootnoteText"/>
        <w:rPr>
          <w:lang w:val="cy-GB"/>
        </w:rPr>
      </w:pPr>
      <w:r>
        <w:rPr>
          <w:rStyle w:val="FootnoteReference"/>
        </w:rPr>
        <w:footnoteRef/>
      </w:r>
      <w:r>
        <w:t xml:space="preserve"> </w:t>
      </w:r>
      <w:r>
        <w:rPr>
          <w:lang w:val="cy-GB"/>
        </w:rPr>
        <w:t>Williams, ‘Apostleship’ (June 1924), 17.</w:t>
      </w:r>
    </w:p>
  </w:footnote>
  <w:footnote w:id="722">
    <w:p w:rsidR="00AB3F05" w:rsidRPr="0051102A" w:rsidRDefault="00AB3F05" w:rsidP="00062AED">
      <w:pPr>
        <w:pStyle w:val="FootnoteText"/>
        <w:rPr>
          <w:lang w:val="cy-GB"/>
        </w:rPr>
      </w:pPr>
      <w:r>
        <w:rPr>
          <w:rStyle w:val="FootnoteReference"/>
        </w:rPr>
        <w:footnoteRef/>
      </w:r>
      <w:r>
        <w:t xml:space="preserve"> </w:t>
      </w:r>
      <w:r>
        <w:rPr>
          <w:lang w:val="cy-GB"/>
        </w:rPr>
        <w:t xml:space="preserve">Williams, </w:t>
      </w:r>
      <w:r w:rsidRPr="0051102A">
        <w:rPr>
          <w:i/>
          <w:lang w:val="cy-GB"/>
        </w:rPr>
        <w:t>Prophetical Ministry</w:t>
      </w:r>
      <w:r>
        <w:rPr>
          <w:lang w:val="cy-GB"/>
        </w:rPr>
        <w:t>, 23-43, 85-93.</w:t>
      </w:r>
    </w:p>
  </w:footnote>
  <w:footnote w:id="723">
    <w:p w:rsidR="00AB3F05" w:rsidRPr="00AD1C46" w:rsidRDefault="00AB3F05" w:rsidP="00062AED">
      <w:pPr>
        <w:pStyle w:val="FootnoteText"/>
        <w:rPr>
          <w:lang w:val="cy-GB"/>
        </w:rPr>
      </w:pPr>
      <w:r>
        <w:rPr>
          <w:rStyle w:val="FootnoteReference"/>
        </w:rPr>
        <w:footnoteRef/>
      </w:r>
      <w:r>
        <w:t xml:space="preserve"> </w:t>
      </w:r>
      <w:r>
        <w:rPr>
          <w:lang w:val="cy-GB"/>
        </w:rPr>
        <w:t>Ibid., 86.</w:t>
      </w:r>
    </w:p>
  </w:footnote>
  <w:footnote w:id="724">
    <w:p w:rsidR="00AB3F05" w:rsidRPr="00E45E56" w:rsidRDefault="00AB3F05" w:rsidP="00062AED">
      <w:pPr>
        <w:pStyle w:val="FootnoteText"/>
        <w:rPr>
          <w:lang w:val="cy-GB"/>
        </w:rPr>
      </w:pPr>
      <w:r>
        <w:rPr>
          <w:rStyle w:val="FootnoteReference"/>
        </w:rPr>
        <w:footnoteRef/>
      </w:r>
      <w:r>
        <w:t xml:space="preserve"> </w:t>
      </w:r>
      <w:r>
        <w:rPr>
          <w:lang w:val="cy-GB"/>
        </w:rPr>
        <w:t>Ibid., 81-83, 87; Williams, ‘Apostleship’ (June 1924), 16-17.</w:t>
      </w:r>
    </w:p>
  </w:footnote>
  <w:footnote w:id="725">
    <w:p w:rsidR="00AB3F05" w:rsidRPr="00267027" w:rsidRDefault="00AB3F05" w:rsidP="00062AED">
      <w:pPr>
        <w:pStyle w:val="FootnoteText"/>
        <w:rPr>
          <w:lang w:val="cy-GB"/>
        </w:rPr>
      </w:pPr>
      <w:r>
        <w:rPr>
          <w:rStyle w:val="FootnoteReference"/>
        </w:rPr>
        <w:footnoteRef/>
      </w:r>
      <w:r>
        <w:t xml:space="preserve"> </w:t>
      </w:r>
      <w:r>
        <w:rPr>
          <w:lang w:val="cy-GB"/>
        </w:rPr>
        <w:t>Williams, ‘Divine Order’, 8-9.</w:t>
      </w:r>
    </w:p>
  </w:footnote>
  <w:footnote w:id="726">
    <w:p w:rsidR="00AB3F05" w:rsidRPr="0088639B" w:rsidRDefault="00AB3F05" w:rsidP="00062AED">
      <w:pPr>
        <w:pStyle w:val="FootnoteText"/>
      </w:pPr>
      <w:r>
        <w:rPr>
          <w:rStyle w:val="FootnoteReference"/>
        </w:rPr>
        <w:footnoteRef/>
      </w:r>
      <w:r>
        <w:t xml:space="preserve"> Ibid., 9-11; </w:t>
      </w:r>
      <w:r>
        <w:rPr>
          <w:lang w:val="cy-GB"/>
        </w:rPr>
        <w:t>Williams, ‘The Apostleship’ (June 1940), 50.</w:t>
      </w:r>
    </w:p>
  </w:footnote>
  <w:footnote w:id="727">
    <w:p w:rsidR="00AB3F05" w:rsidRPr="00025AAF" w:rsidRDefault="00AB3F05" w:rsidP="00062AED">
      <w:pPr>
        <w:pStyle w:val="FootnoteText"/>
      </w:pPr>
      <w:r>
        <w:rPr>
          <w:rStyle w:val="FootnoteReference"/>
        </w:rPr>
        <w:footnoteRef/>
      </w:r>
      <w:r>
        <w:t xml:space="preserve"> </w:t>
      </w:r>
      <w:r w:rsidRPr="00F07600">
        <w:rPr>
          <w:i/>
        </w:rPr>
        <w:t>The Apostolic Church: Its Principles and Practices</w:t>
      </w:r>
      <w:r>
        <w:t>, 244-246.</w:t>
      </w:r>
    </w:p>
  </w:footnote>
  <w:footnote w:id="728">
    <w:p w:rsidR="00AB3F05" w:rsidRPr="003106DF" w:rsidRDefault="00AB3F05" w:rsidP="00062AED">
      <w:pPr>
        <w:pStyle w:val="FootnoteText"/>
      </w:pPr>
      <w:r>
        <w:rPr>
          <w:rStyle w:val="FootnoteReference"/>
        </w:rPr>
        <w:footnoteRef/>
      </w:r>
      <w:r>
        <w:t xml:space="preserve"> </w:t>
      </w:r>
      <w:r>
        <w:rPr>
          <w:lang w:val="cy-GB"/>
        </w:rPr>
        <w:t>Williams, ‘The Apostleship’ (June 1940), 50.</w:t>
      </w:r>
    </w:p>
  </w:footnote>
  <w:footnote w:id="729">
    <w:p w:rsidR="00AB3F05" w:rsidRPr="00F353E1" w:rsidRDefault="00AB3F05" w:rsidP="00062AED">
      <w:pPr>
        <w:pStyle w:val="FootnoteText"/>
      </w:pPr>
      <w:r>
        <w:rPr>
          <w:rStyle w:val="FootnoteReference"/>
        </w:rPr>
        <w:footnoteRef/>
      </w:r>
      <w:r>
        <w:t xml:space="preserve"> Williams, </w:t>
      </w:r>
      <w:r>
        <w:rPr>
          <w:i/>
        </w:rPr>
        <w:t>Prophetical Ministry</w:t>
      </w:r>
      <w:r>
        <w:t>, 100.</w:t>
      </w:r>
    </w:p>
  </w:footnote>
  <w:footnote w:id="730">
    <w:p w:rsidR="00AB3F05" w:rsidRPr="00C73418" w:rsidRDefault="00AB3F05" w:rsidP="00062AED">
      <w:pPr>
        <w:pStyle w:val="FootnoteText"/>
      </w:pPr>
      <w:r>
        <w:rPr>
          <w:rStyle w:val="FootnoteReference"/>
        </w:rPr>
        <w:footnoteRef/>
      </w:r>
      <w:r>
        <w:t xml:space="preserve"> Williams, </w:t>
      </w:r>
      <w:r w:rsidRPr="00F07600">
        <w:rPr>
          <w:i/>
        </w:rPr>
        <w:t>Trinity</w:t>
      </w:r>
      <w:r>
        <w:t>, 1:77; idem, ‘Ministry of the Word’, 178.</w:t>
      </w:r>
    </w:p>
  </w:footnote>
  <w:footnote w:id="731">
    <w:p w:rsidR="00AB3F05" w:rsidRPr="00B64A32" w:rsidRDefault="00AB3F05" w:rsidP="00062AED">
      <w:pPr>
        <w:pStyle w:val="FootnoteText"/>
        <w:rPr>
          <w:lang w:val="cy-GB"/>
        </w:rPr>
      </w:pPr>
      <w:r>
        <w:rPr>
          <w:rStyle w:val="FootnoteReference"/>
        </w:rPr>
        <w:footnoteRef/>
      </w:r>
      <w:r>
        <w:t xml:space="preserve"> </w:t>
      </w:r>
      <w:r>
        <w:rPr>
          <w:lang w:val="cy-GB"/>
        </w:rPr>
        <w:t xml:space="preserve">Williams described this role of the apostle in the exposition of the prophetic word as ‘to divide to the flock for their edification, or to further expound on it in the light of the Written Word.’ Williams, ‘Divine Order’, 9. </w:t>
      </w:r>
    </w:p>
  </w:footnote>
  <w:footnote w:id="732">
    <w:p w:rsidR="00AB3F05" w:rsidRPr="005545D7" w:rsidRDefault="00AB3F05" w:rsidP="00062AED">
      <w:pPr>
        <w:pStyle w:val="FootnoteText"/>
        <w:rPr>
          <w:lang w:val="cy-GB"/>
        </w:rPr>
      </w:pPr>
      <w:r>
        <w:rPr>
          <w:rStyle w:val="FootnoteReference"/>
        </w:rPr>
        <w:footnoteRef/>
      </w:r>
      <w:r>
        <w:t xml:space="preserve"> </w:t>
      </w:r>
      <w:r>
        <w:rPr>
          <w:lang w:val="cy-GB"/>
        </w:rPr>
        <w:t xml:space="preserve">Wayne Grudem, </w:t>
      </w:r>
      <w:r w:rsidRPr="005545D7">
        <w:rPr>
          <w:i/>
          <w:lang w:val="cy-GB"/>
        </w:rPr>
        <w:t>The Gift of Prophecy in the New Testament and Today</w:t>
      </w:r>
      <w:r>
        <w:rPr>
          <w:lang w:val="cy-GB"/>
        </w:rPr>
        <w:t xml:space="preserve"> (Eastbourne: Kingsway, 1988, 2000)</w:t>
      </w:r>
    </w:p>
  </w:footnote>
  <w:footnote w:id="733">
    <w:p w:rsidR="00AB3F05" w:rsidRPr="00C37D8D" w:rsidRDefault="00AB3F05" w:rsidP="00062AED">
      <w:pPr>
        <w:pStyle w:val="FootnoteText"/>
        <w:rPr>
          <w:lang w:val="cy-GB"/>
        </w:rPr>
      </w:pPr>
      <w:r>
        <w:rPr>
          <w:rStyle w:val="FootnoteReference"/>
        </w:rPr>
        <w:footnoteRef/>
      </w:r>
      <w:r>
        <w:t xml:space="preserve"> </w:t>
      </w:r>
      <w:r>
        <w:rPr>
          <w:lang w:val="cy-GB"/>
        </w:rPr>
        <w:t>Ibid., 51, 71.</w:t>
      </w:r>
    </w:p>
  </w:footnote>
  <w:footnote w:id="734">
    <w:p w:rsidR="00AB3F05" w:rsidRPr="00C37D8D" w:rsidRDefault="00AB3F05" w:rsidP="00062AED">
      <w:pPr>
        <w:pStyle w:val="FootnoteText"/>
        <w:rPr>
          <w:lang w:val="cy-GB"/>
        </w:rPr>
      </w:pPr>
      <w:r>
        <w:rPr>
          <w:rStyle w:val="FootnoteReference"/>
        </w:rPr>
        <w:footnoteRef/>
      </w:r>
      <w:r>
        <w:t xml:space="preserve"> </w:t>
      </w:r>
      <w:r>
        <w:rPr>
          <w:lang w:val="cy-GB"/>
        </w:rPr>
        <w:t xml:space="preserve">Williams, </w:t>
      </w:r>
      <w:r w:rsidRPr="00C37D8D">
        <w:rPr>
          <w:i/>
          <w:lang w:val="cy-GB"/>
        </w:rPr>
        <w:t>Prophetical Ministry</w:t>
      </w:r>
      <w:r>
        <w:rPr>
          <w:lang w:val="cy-GB"/>
        </w:rPr>
        <w:t>, 15.</w:t>
      </w:r>
    </w:p>
  </w:footnote>
  <w:footnote w:id="735">
    <w:p w:rsidR="00AB3F05" w:rsidRPr="00C37D8D" w:rsidRDefault="00AB3F05" w:rsidP="00062AED">
      <w:pPr>
        <w:pStyle w:val="FootnoteText"/>
        <w:rPr>
          <w:lang w:val="cy-GB"/>
        </w:rPr>
      </w:pPr>
      <w:r>
        <w:rPr>
          <w:rStyle w:val="FootnoteReference"/>
        </w:rPr>
        <w:footnoteRef/>
      </w:r>
      <w:r w:rsidRPr="00652354">
        <w:rPr>
          <w:lang w:val="cy-GB"/>
        </w:rPr>
        <w:t xml:space="preserve"> Ibid., 7</w:t>
      </w:r>
      <w:r>
        <w:rPr>
          <w:lang w:val="cy-GB"/>
        </w:rPr>
        <w:t>.</w:t>
      </w:r>
    </w:p>
  </w:footnote>
  <w:footnote w:id="736">
    <w:p w:rsidR="00AB3F05" w:rsidRPr="008E2E86" w:rsidRDefault="00AB3F05" w:rsidP="00062AED">
      <w:pPr>
        <w:pStyle w:val="FootnoteText"/>
        <w:rPr>
          <w:lang w:val="cy-GB"/>
        </w:rPr>
      </w:pPr>
      <w:r>
        <w:rPr>
          <w:rStyle w:val="FootnoteReference"/>
        </w:rPr>
        <w:footnoteRef/>
      </w:r>
      <w:r w:rsidRPr="001501AA">
        <w:rPr>
          <w:lang w:val="cy-GB"/>
        </w:rPr>
        <w:t xml:space="preserve"> </w:t>
      </w:r>
      <w:r>
        <w:rPr>
          <w:lang w:val="cy-GB"/>
        </w:rPr>
        <w:t xml:space="preserve">‘Yr Eglwys Apostolaidd yn Nghymru’, </w:t>
      </w:r>
      <w:r w:rsidRPr="008E2E86">
        <w:rPr>
          <w:i/>
          <w:lang w:val="cy-GB"/>
        </w:rPr>
        <w:t>Cyfoeth y Gras</w:t>
      </w:r>
      <w:r>
        <w:rPr>
          <w:lang w:val="cy-GB"/>
        </w:rPr>
        <w:t xml:space="preserve"> (</w:t>
      </w:r>
      <w:r>
        <w:rPr>
          <w:i/>
          <w:lang w:val="cy-GB"/>
        </w:rPr>
        <w:t>RoG</w:t>
      </w:r>
      <w:r>
        <w:rPr>
          <w:lang w:val="cy-GB"/>
        </w:rPr>
        <w:t>) i.1 (April 1916), inside cover: ‘eiriau yr Yspryd Glan trwy y Prophwydi.’ The plural is used here in the Welsh for ‘words’, thus referring to the specific words spoken rather than the message in general.</w:t>
      </w:r>
    </w:p>
  </w:footnote>
  <w:footnote w:id="737">
    <w:p w:rsidR="00AB3F05" w:rsidRPr="00D351C9" w:rsidRDefault="00AB3F05" w:rsidP="00062AED">
      <w:pPr>
        <w:pStyle w:val="FootnoteText"/>
        <w:rPr>
          <w:lang w:val="cy-GB"/>
        </w:rPr>
      </w:pPr>
      <w:r>
        <w:rPr>
          <w:rStyle w:val="FootnoteReference"/>
        </w:rPr>
        <w:footnoteRef/>
      </w:r>
      <w:r>
        <w:t xml:space="preserve"> </w:t>
      </w:r>
      <w:r>
        <w:rPr>
          <w:lang w:val="cy-GB"/>
        </w:rPr>
        <w:t xml:space="preserve">Williams, </w:t>
      </w:r>
      <w:r w:rsidRPr="00C37D8D">
        <w:rPr>
          <w:i/>
          <w:lang w:val="cy-GB"/>
        </w:rPr>
        <w:t>Prophetical Ministry</w:t>
      </w:r>
      <w:r>
        <w:rPr>
          <w:lang w:val="cy-GB"/>
        </w:rPr>
        <w:t>, 10; idem, ‘Divine Order’, 8-9.</w:t>
      </w:r>
    </w:p>
  </w:footnote>
  <w:footnote w:id="738">
    <w:p w:rsidR="00AB3F05" w:rsidRPr="007F522E" w:rsidRDefault="00AB3F05" w:rsidP="00062AED">
      <w:pPr>
        <w:pStyle w:val="FootnoteText"/>
        <w:rPr>
          <w:lang w:val="cy-GB"/>
        </w:rPr>
      </w:pPr>
      <w:r>
        <w:rPr>
          <w:rStyle w:val="FootnoteReference"/>
        </w:rPr>
        <w:footnoteRef/>
      </w:r>
      <w:r>
        <w:t xml:space="preserve"> </w:t>
      </w:r>
      <w:r>
        <w:rPr>
          <w:lang w:val="cy-GB"/>
        </w:rPr>
        <w:t xml:space="preserve">See </w:t>
      </w:r>
      <w:r w:rsidRPr="007F522E">
        <w:rPr>
          <w:i/>
          <w:lang w:val="cy-GB"/>
        </w:rPr>
        <w:t>The Apostolic Church: Its Principles and Practices</w:t>
      </w:r>
      <w:r>
        <w:rPr>
          <w:lang w:val="cy-GB"/>
        </w:rPr>
        <w:t>, 225 on the denial of the infallibility of the prophets, yet upholding the infalliblity of the Word given by God.</w:t>
      </w:r>
    </w:p>
  </w:footnote>
  <w:footnote w:id="739">
    <w:p w:rsidR="00AB3F05" w:rsidRPr="002C2A27" w:rsidRDefault="00AB3F05" w:rsidP="00062AED">
      <w:pPr>
        <w:pStyle w:val="FootnoteText"/>
        <w:rPr>
          <w:lang w:val="cy-GB"/>
        </w:rPr>
      </w:pPr>
      <w:r>
        <w:rPr>
          <w:rStyle w:val="FootnoteReference"/>
        </w:rPr>
        <w:footnoteRef/>
      </w:r>
      <w:r>
        <w:t xml:space="preserve"> </w:t>
      </w:r>
      <w:r>
        <w:rPr>
          <w:lang w:val="cy-GB"/>
        </w:rPr>
        <w:t>Williams, ‘Divine Order’, 8-9.</w:t>
      </w:r>
    </w:p>
  </w:footnote>
  <w:footnote w:id="740">
    <w:p w:rsidR="00AB3F05" w:rsidRPr="00E064D3" w:rsidRDefault="00AB3F05" w:rsidP="00062AED">
      <w:pPr>
        <w:pStyle w:val="FootnoteText"/>
        <w:rPr>
          <w:lang w:val="cy-GB"/>
        </w:rPr>
      </w:pPr>
      <w:r>
        <w:rPr>
          <w:rStyle w:val="FootnoteReference"/>
        </w:rPr>
        <w:footnoteRef/>
      </w:r>
      <w:r>
        <w:t xml:space="preserve"> </w:t>
      </w:r>
      <w:r>
        <w:rPr>
          <w:lang w:val="cy-GB"/>
        </w:rPr>
        <w:t>Williams, ‘The Ministry of the Word’, 174.</w:t>
      </w:r>
    </w:p>
  </w:footnote>
  <w:footnote w:id="741">
    <w:p w:rsidR="00AB3F05" w:rsidRPr="00CF1AFE" w:rsidRDefault="00AB3F05" w:rsidP="00062AED">
      <w:pPr>
        <w:pStyle w:val="FootnoteText"/>
        <w:rPr>
          <w:lang w:val="cy-GB"/>
        </w:rPr>
      </w:pPr>
      <w:r>
        <w:rPr>
          <w:rStyle w:val="FootnoteReference"/>
        </w:rPr>
        <w:footnoteRef/>
      </w:r>
      <w:r>
        <w:t xml:space="preserve"> </w:t>
      </w:r>
      <w:r>
        <w:rPr>
          <w:lang w:val="cy-GB"/>
        </w:rPr>
        <w:t xml:space="preserve">D.P. Williams, ‘Exposition’, </w:t>
      </w:r>
      <w:r>
        <w:rPr>
          <w:i/>
          <w:lang w:val="cy-GB"/>
        </w:rPr>
        <w:t>RoG</w:t>
      </w:r>
      <w:r>
        <w:rPr>
          <w:lang w:val="cy-GB"/>
        </w:rPr>
        <w:t>, iii.1 (March 1927), 9-10.</w:t>
      </w:r>
    </w:p>
  </w:footnote>
  <w:footnote w:id="742">
    <w:p w:rsidR="00AB3F05" w:rsidRPr="004C0875" w:rsidRDefault="00AB3F05" w:rsidP="00062AED">
      <w:pPr>
        <w:pStyle w:val="FootnoteText"/>
        <w:rPr>
          <w:lang w:val="cy-GB"/>
        </w:rPr>
      </w:pPr>
      <w:r>
        <w:rPr>
          <w:rStyle w:val="FootnoteReference"/>
        </w:rPr>
        <w:footnoteRef/>
      </w:r>
      <w:r>
        <w:t xml:space="preserve"> </w:t>
      </w:r>
      <w:r>
        <w:rPr>
          <w:lang w:val="cy-GB"/>
        </w:rPr>
        <w:t xml:space="preserve">D.P. Williams, ‘Exposition of the Word of the Lord’, </w:t>
      </w:r>
      <w:r>
        <w:rPr>
          <w:i/>
          <w:lang w:val="cy-GB"/>
        </w:rPr>
        <w:t>RoG</w:t>
      </w:r>
      <w:r>
        <w:rPr>
          <w:lang w:val="cy-GB"/>
        </w:rPr>
        <w:t>, ii.9 (August 1925), 51.</w:t>
      </w:r>
    </w:p>
  </w:footnote>
  <w:footnote w:id="743">
    <w:p w:rsidR="00AB3F05" w:rsidRPr="004C0875" w:rsidRDefault="00AB3F05" w:rsidP="00062AED">
      <w:pPr>
        <w:pStyle w:val="FootnoteText"/>
        <w:rPr>
          <w:lang w:val="cy-GB"/>
        </w:rPr>
      </w:pPr>
      <w:r>
        <w:rPr>
          <w:rStyle w:val="FootnoteReference"/>
        </w:rPr>
        <w:footnoteRef/>
      </w:r>
      <w:r>
        <w:t xml:space="preserve"> </w:t>
      </w:r>
      <w:r>
        <w:rPr>
          <w:lang w:val="cy-GB"/>
        </w:rPr>
        <w:t xml:space="preserve">D.P. Williams, ‘Exposition of the Foregoing Prophecy’, </w:t>
      </w:r>
      <w:r>
        <w:rPr>
          <w:i/>
          <w:lang w:val="cy-GB"/>
        </w:rPr>
        <w:t>RoG</w:t>
      </w:r>
      <w:r>
        <w:rPr>
          <w:lang w:val="cy-GB"/>
        </w:rPr>
        <w:t>, i.9 (1920),5.</w:t>
      </w:r>
    </w:p>
  </w:footnote>
  <w:footnote w:id="744">
    <w:p w:rsidR="00AB3F05" w:rsidRPr="00432255" w:rsidRDefault="00AB3F05" w:rsidP="00062AED">
      <w:pPr>
        <w:pStyle w:val="FootnoteText"/>
        <w:rPr>
          <w:lang w:val="cy-GB"/>
        </w:rPr>
      </w:pPr>
      <w:r>
        <w:rPr>
          <w:rStyle w:val="FootnoteReference"/>
        </w:rPr>
        <w:footnoteRef/>
      </w:r>
      <w:r>
        <w:t xml:space="preserve"> </w:t>
      </w:r>
      <w:r>
        <w:rPr>
          <w:lang w:val="cy-GB"/>
        </w:rPr>
        <w:t>Williams, ‘Weapons of our Warfare’, 25-26.</w:t>
      </w:r>
    </w:p>
  </w:footnote>
  <w:footnote w:id="745">
    <w:p w:rsidR="00AB3F05" w:rsidRPr="00F02E6C" w:rsidRDefault="00AB3F05" w:rsidP="00062AED">
      <w:pPr>
        <w:pStyle w:val="FootnoteText"/>
        <w:rPr>
          <w:lang w:val="cy-GB"/>
        </w:rPr>
      </w:pPr>
      <w:r>
        <w:rPr>
          <w:rStyle w:val="FootnoteReference"/>
        </w:rPr>
        <w:footnoteRef/>
      </w:r>
      <w:r>
        <w:t xml:space="preserve"> </w:t>
      </w:r>
      <w:r>
        <w:rPr>
          <w:lang w:val="cy-GB"/>
        </w:rPr>
        <w:t>Ibid., 25.</w:t>
      </w:r>
    </w:p>
  </w:footnote>
  <w:footnote w:id="746">
    <w:p w:rsidR="00AB3F05" w:rsidRPr="008D354E" w:rsidRDefault="00AB3F05" w:rsidP="00062AED">
      <w:pPr>
        <w:pStyle w:val="FootnoteText"/>
        <w:rPr>
          <w:lang w:val="cy-GB"/>
        </w:rPr>
      </w:pPr>
      <w:r>
        <w:rPr>
          <w:rStyle w:val="FootnoteReference"/>
        </w:rPr>
        <w:footnoteRef/>
      </w:r>
      <w:r>
        <w:t xml:space="preserve"> </w:t>
      </w:r>
      <w:r>
        <w:rPr>
          <w:lang w:val="cy-GB"/>
        </w:rPr>
        <w:t>Ibid.</w:t>
      </w:r>
    </w:p>
  </w:footnote>
  <w:footnote w:id="747">
    <w:p w:rsidR="00AB3F05" w:rsidRPr="008F5F89" w:rsidRDefault="00AB3F05" w:rsidP="00062AED">
      <w:pPr>
        <w:pStyle w:val="FootnoteText"/>
        <w:rPr>
          <w:lang w:val="cy-GB"/>
        </w:rPr>
      </w:pPr>
      <w:r>
        <w:rPr>
          <w:rStyle w:val="FootnoteReference"/>
        </w:rPr>
        <w:footnoteRef/>
      </w:r>
      <w:r>
        <w:t xml:space="preserve"> </w:t>
      </w:r>
      <w:r>
        <w:rPr>
          <w:lang w:val="cy-GB"/>
        </w:rPr>
        <w:t xml:space="preserve">D.P. Williams, ‘Exposition’, </w:t>
      </w:r>
      <w:r>
        <w:rPr>
          <w:i/>
          <w:lang w:val="cy-GB"/>
        </w:rPr>
        <w:t>RoG</w:t>
      </w:r>
      <w:r>
        <w:rPr>
          <w:lang w:val="cy-GB"/>
        </w:rPr>
        <w:t>, iii.1 (March 1927), 45.</w:t>
      </w:r>
    </w:p>
  </w:footnote>
  <w:footnote w:id="748">
    <w:p w:rsidR="00AB3F05" w:rsidRPr="008F5F89" w:rsidRDefault="00AB3F05" w:rsidP="00062AED">
      <w:pPr>
        <w:pStyle w:val="FootnoteText"/>
        <w:rPr>
          <w:lang w:val="cy-GB"/>
        </w:rPr>
      </w:pPr>
      <w:r>
        <w:rPr>
          <w:rStyle w:val="FootnoteReference"/>
        </w:rPr>
        <w:footnoteRef/>
      </w:r>
      <w:r>
        <w:t xml:space="preserve"> </w:t>
      </w:r>
      <w:r>
        <w:rPr>
          <w:lang w:val="cy-GB"/>
        </w:rPr>
        <w:t>Ibid., 46.</w:t>
      </w:r>
    </w:p>
  </w:footnote>
  <w:footnote w:id="749">
    <w:p w:rsidR="00AB3F05" w:rsidRPr="000C0979" w:rsidRDefault="00AB3F05" w:rsidP="00062AED">
      <w:pPr>
        <w:pStyle w:val="FootnoteText"/>
        <w:rPr>
          <w:lang w:val="cy-GB"/>
        </w:rPr>
      </w:pPr>
      <w:r>
        <w:rPr>
          <w:rStyle w:val="FootnoteReference"/>
        </w:rPr>
        <w:footnoteRef/>
      </w:r>
      <w:r>
        <w:t xml:space="preserve"> </w:t>
      </w:r>
      <w:r>
        <w:rPr>
          <w:lang w:val="cy-GB"/>
        </w:rPr>
        <w:t xml:space="preserve">D.P. Williams, ‘Exposition of the Foregoing Word’, </w:t>
      </w:r>
      <w:r>
        <w:rPr>
          <w:i/>
          <w:lang w:val="cy-GB"/>
        </w:rPr>
        <w:t>RoG</w:t>
      </w:r>
      <w:r>
        <w:rPr>
          <w:lang w:val="cy-GB"/>
        </w:rPr>
        <w:t>, ii.9 (August 1925), 27.</w:t>
      </w:r>
    </w:p>
  </w:footnote>
  <w:footnote w:id="750">
    <w:p w:rsidR="00AB3F05" w:rsidRPr="00644805" w:rsidRDefault="00AB3F05" w:rsidP="00062AED">
      <w:pPr>
        <w:pStyle w:val="FootnoteText"/>
        <w:rPr>
          <w:lang w:val="cy-GB"/>
        </w:rPr>
      </w:pPr>
      <w:r>
        <w:rPr>
          <w:rStyle w:val="FootnoteReference"/>
        </w:rPr>
        <w:footnoteRef/>
      </w:r>
      <w:r>
        <w:t xml:space="preserve"> </w:t>
      </w:r>
      <w:r>
        <w:rPr>
          <w:lang w:val="cy-GB"/>
        </w:rPr>
        <w:t>Ibid.</w:t>
      </w:r>
    </w:p>
  </w:footnote>
  <w:footnote w:id="751">
    <w:p w:rsidR="00AB3F05" w:rsidRPr="00644805" w:rsidRDefault="00AB3F05" w:rsidP="00062AED">
      <w:pPr>
        <w:pStyle w:val="FootnoteText"/>
        <w:rPr>
          <w:lang w:val="cy-GB"/>
        </w:rPr>
      </w:pPr>
      <w:r>
        <w:rPr>
          <w:rStyle w:val="FootnoteReference"/>
        </w:rPr>
        <w:footnoteRef/>
      </w:r>
      <w:r>
        <w:t xml:space="preserve"> </w:t>
      </w:r>
      <w:r>
        <w:rPr>
          <w:lang w:val="cy-GB"/>
        </w:rPr>
        <w:t xml:space="preserve">Karl Barth, </w:t>
      </w:r>
      <w:r w:rsidRPr="00644805">
        <w:rPr>
          <w:i/>
          <w:lang w:val="cy-GB"/>
        </w:rPr>
        <w:t>Church Dogmatics Volume I: The Doctrine of the Word of God, Part 1</w:t>
      </w:r>
      <w:r>
        <w:rPr>
          <w:lang w:val="cy-GB"/>
        </w:rPr>
        <w:t xml:space="preserve"> (Edinburgh: T&amp;T Clarke, 1936).</w:t>
      </w:r>
    </w:p>
  </w:footnote>
  <w:footnote w:id="752">
    <w:p w:rsidR="00AB3F05" w:rsidRPr="00C43A94" w:rsidRDefault="00AB3F05" w:rsidP="00062AED">
      <w:pPr>
        <w:pStyle w:val="FootnoteText"/>
        <w:rPr>
          <w:b/>
          <w:bCs/>
        </w:rPr>
      </w:pPr>
      <w:r>
        <w:rPr>
          <w:rStyle w:val="FootnoteReference"/>
        </w:rPr>
        <w:footnoteRef/>
      </w:r>
      <w:r>
        <w:t xml:space="preserve"> The </w:t>
      </w:r>
      <w:r w:rsidRPr="0046618D">
        <w:t>Göttingen</w:t>
      </w:r>
      <w:r>
        <w:t xml:space="preserve"> lectures were published in German the 1990s with the English translation of the first volume appearing in 1991: Karl Barth, </w:t>
      </w:r>
      <w:r w:rsidRPr="00C43A94">
        <w:rPr>
          <w:bCs/>
          <w:i/>
        </w:rPr>
        <w:t>The Göttingen Dogmatics: Instruction in the Christian Religion</w:t>
      </w:r>
      <w:r>
        <w:rPr>
          <w:bCs/>
        </w:rPr>
        <w:t xml:space="preserve"> (Grand Rapids: Eerdmans, 1991). For the chronology of the development of the three-fold word in Barth’s thought, see</w:t>
      </w:r>
      <w:r w:rsidRPr="003D5104">
        <w:rPr>
          <w:bCs/>
        </w:rPr>
        <w:t>, Thomas Christian Currie, ‘The Threeforld Word of God in the Theology of Karl Barth’, (PhD diss., Edinburgh, 2013), 5-7.</w:t>
      </w:r>
    </w:p>
  </w:footnote>
  <w:footnote w:id="753">
    <w:p w:rsidR="00AB3F05" w:rsidRPr="00644805" w:rsidRDefault="00AB3F05" w:rsidP="00062AED">
      <w:pPr>
        <w:pStyle w:val="FootnoteText"/>
        <w:rPr>
          <w:lang w:val="cy-GB"/>
        </w:rPr>
      </w:pPr>
      <w:r>
        <w:rPr>
          <w:rStyle w:val="FootnoteReference"/>
        </w:rPr>
        <w:footnoteRef/>
      </w:r>
      <w:r>
        <w:t xml:space="preserve"> </w:t>
      </w:r>
      <w:r>
        <w:rPr>
          <w:lang w:val="cy-GB"/>
        </w:rPr>
        <w:t>Williams, ‘Exposition of the Foregoing Word’ (Aug. 1925), 27.</w:t>
      </w:r>
    </w:p>
  </w:footnote>
  <w:footnote w:id="754">
    <w:p w:rsidR="00AB3F05" w:rsidRPr="00221E04" w:rsidRDefault="00AB3F05" w:rsidP="00062AED">
      <w:pPr>
        <w:pStyle w:val="FootnoteText"/>
        <w:rPr>
          <w:lang w:val="cy-GB"/>
        </w:rPr>
      </w:pPr>
      <w:r>
        <w:rPr>
          <w:rStyle w:val="FootnoteReference"/>
        </w:rPr>
        <w:footnoteRef/>
      </w:r>
      <w:r>
        <w:t xml:space="preserve"> </w:t>
      </w:r>
      <w:r>
        <w:rPr>
          <w:lang w:val="cy-GB"/>
        </w:rPr>
        <w:t xml:space="preserve">Peter Martyr Vermigli, ‘Dedication to Thomas Cranmer’, </w:t>
      </w:r>
      <w:r w:rsidRPr="00221E04">
        <w:rPr>
          <w:i/>
          <w:lang w:val="cy-GB"/>
        </w:rPr>
        <w:t>Treatise on the Sacrament of the Eucharist</w:t>
      </w:r>
      <w:r>
        <w:rPr>
          <w:lang w:val="cy-GB"/>
        </w:rPr>
        <w:t xml:space="preserve">, in </w:t>
      </w:r>
      <w:r w:rsidRPr="00221E04">
        <w:rPr>
          <w:i/>
          <w:lang w:val="cy-GB"/>
        </w:rPr>
        <w:t>The Oxford Treatise and Disputation on the Eucharist, 1549</w:t>
      </w:r>
      <w:r>
        <w:rPr>
          <w:lang w:val="cy-GB"/>
        </w:rPr>
        <w:t xml:space="preserve"> (Kirksville, Missouri: Truman State University Press, 2000), 10; Jason Zuidema, </w:t>
      </w:r>
      <w:r w:rsidRPr="00221E04">
        <w:rPr>
          <w:i/>
          <w:lang w:val="cy-GB"/>
        </w:rPr>
        <w:t>Peter Martyr Vermigli (1499-1562) and the Outward Instruments of Divine Grace</w:t>
      </w:r>
      <w:r>
        <w:rPr>
          <w:lang w:val="cy-GB"/>
        </w:rPr>
        <w:t xml:space="preserve"> (Göttingen: Vanderhoeck &amp; Ruprecht, 2008), 15.</w:t>
      </w:r>
    </w:p>
  </w:footnote>
  <w:footnote w:id="755">
    <w:p w:rsidR="00AB3F05" w:rsidRPr="00221E04" w:rsidRDefault="00AB3F05" w:rsidP="00062AED">
      <w:pPr>
        <w:pStyle w:val="FootnoteText"/>
      </w:pPr>
      <w:r>
        <w:rPr>
          <w:rStyle w:val="FootnoteReference"/>
        </w:rPr>
        <w:footnoteRef/>
      </w:r>
      <w:r>
        <w:t xml:space="preserve"> E.g. </w:t>
      </w:r>
      <w:r w:rsidRPr="001A6218">
        <w:t xml:space="preserve">Martin Luther, </w:t>
      </w:r>
      <w:r w:rsidRPr="001A6218">
        <w:rPr>
          <w:i/>
        </w:rPr>
        <w:t>Dictata super Psalterium</w:t>
      </w:r>
      <w:r w:rsidRPr="001A6218">
        <w:t>, LW 10:220</w:t>
      </w:r>
      <w:r>
        <w:t>; See further, William Henry Lazareth</w:t>
      </w:r>
      <w:r w:rsidRPr="007E18DA">
        <w:rPr>
          <w:i/>
        </w:rPr>
        <w:t>, Christians in Society: Luther, the Bible, and Social Ethics</w:t>
      </w:r>
      <w:r>
        <w:t xml:space="preserve"> (Minneapolis: Fortress Press, 2001), 35; Robert Kolb and Charles P. Arand, </w:t>
      </w:r>
      <w:r w:rsidRPr="007E18DA">
        <w:rPr>
          <w:i/>
        </w:rPr>
        <w:t>The Genius of Luther’s Theology: A Wittenberg Way of Thinking for the Contemporary Church</w:t>
      </w:r>
      <w:r>
        <w:t xml:space="preserve"> (Grand Rapids: Baker Academic, 2008), 181-183; Paul Althaus, </w:t>
      </w:r>
      <w:r w:rsidRPr="007E18DA">
        <w:rPr>
          <w:i/>
        </w:rPr>
        <w:t>The Theology of Martin Luther</w:t>
      </w:r>
      <w:r>
        <w:t xml:space="preserve"> (Philadelphia: Fortress Press, 1966), 35-36, 74.</w:t>
      </w:r>
    </w:p>
  </w:footnote>
  <w:footnote w:id="756">
    <w:p w:rsidR="00AB3F05" w:rsidRPr="00803692" w:rsidRDefault="00AB3F05" w:rsidP="00062AED">
      <w:pPr>
        <w:pStyle w:val="FootnoteText"/>
        <w:rPr>
          <w:lang w:val="cy-GB"/>
        </w:rPr>
      </w:pPr>
      <w:r>
        <w:rPr>
          <w:rStyle w:val="FootnoteReference"/>
        </w:rPr>
        <w:footnoteRef/>
      </w:r>
      <w:r>
        <w:t xml:space="preserve"> </w:t>
      </w:r>
      <w:r>
        <w:rPr>
          <w:lang w:val="cy-GB"/>
        </w:rPr>
        <w:t>Williams, ‘Exposition of the Foregoing Word’ (Aug. 1925), 26.</w:t>
      </w:r>
    </w:p>
  </w:footnote>
  <w:footnote w:id="757">
    <w:p w:rsidR="00AB3F05" w:rsidRPr="00716198" w:rsidRDefault="00AB3F05" w:rsidP="00062AED">
      <w:pPr>
        <w:pStyle w:val="FootnoteText"/>
        <w:rPr>
          <w:lang w:val="cy-GB"/>
        </w:rPr>
      </w:pPr>
      <w:r>
        <w:rPr>
          <w:rStyle w:val="FootnoteReference"/>
        </w:rPr>
        <w:footnoteRef/>
      </w:r>
      <w:r>
        <w:t xml:space="preserve"> </w:t>
      </w:r>
      <w:r>
        <w:rPr>
          <w:lang w:val="cy-GB"/>
        </w:rPr>
        <w:t xml:space="preserve">E.g. D.P. Williams, ‘Exposition of the Foregoing Prophecy’, </w:t>
      </w:r>
      <w:r w:rsidRPr="008E5E99">
        <w:rPr>
          <w:i/>
          <w:lang w:val="cy-GB"/>
        </w:rPr>
        <w:t>RoG</w:t>
      </w:r>
      <w:r>
        <w:rPr>
          <w:lang w:val="cy-GB"/>
        </w:rPr>
        <w:t xml:space="preserve">, ii.10 (July 1926), 17; idem, ‘Exposition’, </w:t>
      </w:r>
      <w:r>
        <w:rPr>
          <w:i/>
          <w:lang w:val="cy-GB"/>
        </w:rPr>
        <w:t>RoG</w:t>
      </w:r>
      <w:r>
        <w:rPr>
          <w:lang w:val="cy-GB"/>
        </w:rPr>
        <w:t>, iii.1 (March 1927), 45.</w:t>
      </w:r>
    </w:p>
  </w:footnote>
  <w:footnote w:id="758">
    <w:p w:rsidR="00AB3F05" w:rsidRPr="00C12455" w:rsidRDefault="00AB3F05" w:rsidP="00062AED">
      <w:pPr>
        <w:pStyle w:val="FootnoteText"/>
        <w:rPr>
          <w:lang w:val="cy-GB"/>
        </w:rPr>
      </w:pPr>
      <w:r>
        <w:rPr>
          <w:rStyle w:val="FootnoteReference"/>
        </w:rPr>
        <w:footnoteRef/>
      </w:r>
      <w:r w:rsidRPr="00C12455">
        <w:rPr>
          <w:lang w:val="fr-BE"/>
        </w:rPr>
        <w:t xml:space="preserve"> </w:t>
      </w:r>
      <w:r>
        <w:rPr>
          <w:lang w:val="cy-GB"/>
        </w:rPr>
        <w:t xml:space="preserve">Cf. Hunnius’ Lutheran aphorism, ‘Unio Verbi &amp; Spiritus S. est perpetua, &amp; ubicunque Verbum est, illic Spiritus S. est.’ Cited in Robert Preus, </w:t>
      </w:r>
      <w:r w:rsidRPr="00C12455">
        <w:rPr>
          <w:i/>
          <w:lang w:val="cy-GB"/>
        </w:rPr>
        <w:t>The Inspiration of Scripture: A Study of the Theology of the 17th Century Lutheran Dogmaticians</w:t>
      </w:r>
      <w:r>
        <w:rPr>
          <w:lang w:val="cy-GB"/>
        </w:rPr>
        <w:t xml:space="preserve">, (St Louis: Concordia, 1955,1957), </w:t>
      </w:r>
      <w:r w:rsidRPr="007C1175">
        <w:rPr>
          <w:lang w:val="cy-GB"/>
        </w:rPr>
        <w:t>Kindle Edition, Loc. 4448, footnote 1.</w:t>
      </w:r>
    </w:p>
  </w:footnote>
  <w:footnote w:id="759">
    <w:p w:rsidR="00AB3F05" w:rsidRPr="00835CFF" w:rsidRDefault="00AB3F05" w:rsidP="00062AED">
      <w:pPr>
        <w:pStyle w:val="FootnoteText"/>
        <w:rPr>
          <w:lang w:val="cy-GB"/>
        </w:rPr>
      </w:pPr>
      <w:r>
        <w:rPr>
          <w:rStyle w:val="FootnoteReference"/>
        </w:rPr>
        <w:footnoteRef/>
      </w:r>
      <w:r>
        <w:t xml:space="preserve"> </w:t>
      </w:r>
      <w:r>
        <w:rPr>
          <w:lang w:val="cy-GB"/>
        </w:rPr>
        <w:t>Williams, ‘The Enduring Word’, 16-17.</w:t>
      </w:r>
    </w:p>
  </w:footnote>
  <w:footnote w:id="760">
    <w:p w:rsidR="00AB3F05" w:rsidRPr="0084439E" w:rsidRDefault="00AB3F05" w:rsidP="00062AED">
      <w:pPr>
        <w:pStyle w:val="FootnoteText"/>
        <w:rPr>
          <w:lang w:val="cy-GB"/>
        </w:rPr>
      </w:pPr>
      <w:r>
        <w:rPr>
          <w:rStyle w:val="FootnoteReference"/>
        </w:rPr>
        <w:footnoteRef/>
      </w:r>
      <w:r>
        <w:t xml:space="preserve"> </w:t>
      </w:r>
      <w:r>
        <w:rPr>
          <w:lang w:val="cy-GB"/>
        </w:rPr>
        <w:t xml:space="preserve">For this distinction see Herman Bavinck, </w:t>
      </w:r>
      <w:r w:rsidRPr="00A21C00">
        <w:rPr>
          <w:i/>
          <w:lang w:val="cy-GB"/>
        </w:rPr>
        <w:t>Reformed Dogmatics</w:t>
      </w:r>
      <w:r>
        <w:rPr>
          <w:lang w:val="cy-GB"/>
        </w:rPr>
        <w:t xml:space="preserve"> (Grand Rapids: Baker, 2008), 4:457; For the Lutheran approach see Preus, </w:t>
      </w:r>
      <w:r w:rsidRPr="0084439E">
        <w:rPr>
          <w:i/>
          <w:lang w:val="cy-GB"/>
        </w:rPr>
        <w:t>The Inspiration of Scripture</w:t>
      </w:r>
      <w:r>
        <w:rPr>
          <w:lang w:val="cy-GB"/>
        </w:rPr>
        <w:t>, chapter ix.</w:t>
      </w:r>
    </w:p>
  </w:footnote>
  <w:footnote w:id="761">
    <w:p w:rsidR="00AB3F05" w:rsidRPr="00FE2214" w:rsidRDefault="00AB3F05" w:rsidP="00062AED">
      <w:pPr>
        <w:pStyle w:val="FootnoteText"/>
        <w:rPr>
          <w:lang w:val="cy-GB"/>
        </w:rPr>
      </w:pPr>
      <w:r>
        <w:rPr>
          <w:rStyle w:val="FootnoteReference"/>
        </w:rPr>
        <w:footnoteRef/>
      </w:r>
      <w:r>
        <w:t xml:space="preserve"> </w:t>
      </w:r>
      <w:r>
        <w:rPr>
          <w:lang w:val="cy-GB"/>
        </w:rPr>
        <w:t>Williams, ‘The Enduring Word’, 14.</w:t>
      </w:r>
    </w:p>
  </w:footnote>
  <w:footnote w:id="762">
    <w:p w:rsidR="00AB3F05" w:rsidRPr="00B834C0" w:rsidRDefault="00AB3F05" w:rsidP="00062AED">
      <w:pPr>
        <w:pStyle w:val="FootnoteText"/>
        <w:rPr>
          <w:lang w:val="cy-GB"/>
        </w:rPr>
      </w:pPr>
      <w:r>
        <w:rPr>
          <w:rStyle w:val="FootnoteReference"/>
        </w:rPr>
        <w:footnoteRef/>
      </w:r>
      <w:r>
        <w:t xml:space="preserve"> </w:t>
      </w:r>
      <w:r>
        <w:rPr>
          <w:lang w:val="cy-GB"/>
        </w:rPr>
        <w:t>Ibid.</w:t>
      </w:r>
    </w:p>
  </w:footnote>
  <w:footnote w:id="763">
    <w:p w:rsidR="00AB3F05" w:rsidRPr="00AA635A" w:rsidRDefault="00AB3F05" w:rsidP="00062AED">
      <w:pPr>
        <w:pStyle w:val="FootnoteText"/>
        <w:rPr>
          <w:lang w:val="cy-GB"/>
        </w:rPr>
      </w:pPr>
      <w:r>
        <w:rPr>
          <w:rStyle w:val="FootnoteReference"/>
        </w:rPr>
        <w:footnoteRef/>
      </w:r>
      <w:r>
        <w:t xml:space="preserve"> </w:t>
      </w:r>
      <w:r>
        <w:rPr>
          <w:lang w:val="cy-GB"/>
        </w:rPr>
        <w:t>Williams, ‘Exposition of the Foregoing Word’ (Aug. 1925), 26-27.</w:t>
      </w:r>
    </w:p>
  </w:footnote>
  <w:footnote w:id="764">
    <w:p w:rsidR="00AB3F05" w:rsidRPr="00E40AEC" w:rsidRDefault="00AB3F05" w:rsidP="00062AED">
      <w:pPr>
        <w:pStyle w:val="FootnoteText"/>
        <w:rPr>
          <w:lang w:val="cy-GB"/>
        </w:rPr>
      </w:pPr>
      <w:r>
        <w:rPr>
          <w:rStyle w:val="FootnoteReference"/>
        </w:rPr>
        <w:footnoteRef/>
      </w:r>
      <w:r>
        <w:t xml:space="preserve"> </w:t>
      </w:r>
      <w:r>
        <w:rPr>
          <w:lang w:val="cy-GB"/>
        </w:rPr>
        <w:t xml:space="preserve">Williams, </w:t>
      </w:r>
      <w:r w:rsidRPr="00E40AEC">
        <w:rPr>
          <w:i/>
          <w:lang w:val="cy-GB"/>
        </w:rPr>
        <w:t>Prophetical Ministry</w:t>
      </w:r>
      <w:r>
        <w:rPr>
          <w:lang w:val="cy-GB"/>
        </w:rPr>
        <w:t>, 78-79.</w:t>
      </w:r>
    </w:p>
  </w:footnote>
  <w:footnote w:id="765">
    <w:p w:rsidR="00AB3F05" w:rsidRPr="00CF1DFD" w:rsidRDefault="00AB3F05" w:rsidP="00062AED">
      <w:pPr>
        <w:pStyle w:val="FootnoteText"/>
        <w:rPr>
          <w:lang w:val="cy-GB"/>
        </w:rPr>
      </w:pPr>
      <w:r>
        <w:rPr>
          <w:rStyle w:val="FootnoteReference"/>
        </w:rPr>
        <w:footnoteRef/>
      </w:r>
      <w:r>
        <w:t xml:space="preserve"> </w:t>
      </w:r>
      <w:r>
        <w:rPr>
          <w:lang w:val="cy-GB"/>
        </w:rPr>
        <w:t>Ibid., 79.</w:t>
      </w:r>
    </w:p>
  </w:footnote>
  <w:footnote w:id="766">
    <w:p w:rsidR="00AB3F05" w:rsidRPr="00FA69FD" w:rsidRDefault="00AB3F05" w:rsidP="00062AED">
      <w:pPr>
        <w:pStyle w:val="FootnoteText"/>
        <w:rPr>
          <w:lang w:val="cy-GB"/>
        </w:rPr>
      </w:pPr>
      <w:r>
        <w:rPr>
          <w:rStyle w:val="FootnoteReference"/>
        </w:rPr>
        <w:footnoteRef/>
      </w:r>
      <w:r>
        <w:t xml:space="preserve"> </w:t>
      </w:r>
      <w:r>
        <w:rPr>
          <w:lang w:val="cy-GB"/>
        </w:rPr>
        <w:t>Ibid.</w:t>
      </w:r>
    </w:p>
  </w:footnote>
  <w:footnote w:id="767">
    <w:p w:rsidR="00AB3F05" w:rsidRPr="00FA69FD" w:rsidRDefault="00AB3F05" w:rsidP="00062AED">
      <w:pPr>
        <w:pStyle w:val="FootnoteText"/>
        <w:rPr>
          <w:lang w:val="cy-GB"/>
        </w:rPr>
      </w:pPr>
      <w:r>
        <w:rPr>
          <w:rStyle w:val="FootnoteReference"/>
        </w:rPr>
        <w:footnoteRef/>
      </w:r>
      <w:r>
        <w:t xml:space="preserve"> </w:t>
      </w:r>
      <w:r>
        <w:rPr>
          <w:lang w:val="cy-GB"/>
        </w:rPr>
        <w:t>Williams, ‘The Enduring Word’, 16.</w:t>
      </w:r>
    </w:p>
  </w:footnote>
  <w:footnote w:id="768">
    <w:p w:rsidR="00AB3F05" w:rsidRPr="003C302D" w:rsidRDefault="00AB3F05" w:rsidP="00062AED">
      <w:pPr>
        <w:pStyle w:val="FootnoteText"/>
        <w:rPr>
          <w:lang w:val="cy-GB"/>
        </w:rPr>
      </w:pPr>
      <w:r>
        <w:rPr>
          <w:rStyle w:val="FootnoteReference"/>
        </w:rPr>
        <w:footnoteRef/>
      </w:r>
      <w:r>
        <w:t xml:space="preserve"> </w:t>
      </w:r>
      <w:r>
        <w:rPr>
          <w:lang w:val="cy-GB"/>
        </w:rPr>
        <w:t xml:space="preserve">Williams, </w:t>
      </w:r>
      <w:r w:rsidRPr="00E40AEC">
        <w:rPr>
          <w:i/>
          <w:lang w:val="cy-GB"/>
        </w:rPr>
        <w:t>Prophetical Ministry</w:t>
      </w:r>
      <w:r>
        <w:rPr>
          <w:lang w:val="cy-GB"/>
        </w:rPr>
        <w:t>, 78-79.</w:t>
      </w:r>
    </w:p>
  </w:footnote>
  <w:footnote w:id="769">
    <w:p w:rsidR="00AB3F05" w:rsidRPr="003C302D" w:rsidRDefault="00AB3F05" w:rsidP="00062AED">
      <w:pPr>
        <w:pStyle w:val="FootnoteText"/>
        <w:rPr>
          <w:lang w:val="cy-GB"/>
        </w:rPr>
      </w:pPr>
      <w:r>
        <w:rPr>
          <w:rStyle w:val="FootnoteReference"/>
        </w:rPr>
        <w:footnoteRef/>
      </w:r>
      <w:r>
        <w:t xml:space="preserve"> </w:t>
      </w:r>
      <w:r>
        <w:rPr>
          <w:lang w:val="cy-GB"/>
        </w:rPr>
        <w:t xml:space="preserve">D.P. Williams, ‘Exposition of Foregoing Prophecy’, </w:t>
      </w:r>
      <w:r>
        <w:rPr>
          <w:i/>
          <w:lang w:val="cy-GB"/>
        </w:rPr>
        <w:t>RoG</w:t>
      </w:r>
      <w:r>
        <w:rPr>
          <w:lang w:val="cy-GB"/>
        </w:rPr>
        <w:t>, ii.10 (July 1926), 17-18.</w:t>
      </w:r>
    </w:p>
  </w:footnote>
  <w:footnote w:id="770">
    <w:p w:rsidR="00AB3F05" w:rsidRPr="0045070F" w:rsidRDefault="00AB3F05" w:rsidP="00062AED">
      <w:pPr>
        <w:pStyle w:val="FootnoteText"/>
        <w:rPr>
          <w:lang w:val="cy-GB"/>
        </w:rPr>
      </w:pPr>
      <w:r>
        <w:rPr>
          <w:rStyle w:val="FootnoteReference"/>
        </w:rPr>
        <w:footnoteRef/>
      </w:r>
      <w:r>
        <w:t xml:space="preserve"> </w:t>
      </w:r>
      <w:r>
        <w:rPr>
          <w:lang w:val="cy-GB"/>
        </w:rPr>
        <w:t>Williams, ‘Exposition of the Foregoing Word’ (Aug. 1925), 25.</w:t>
      </w:r>
    </w:p>
  </w:footnote>
  <w:footnote w:id="771">
    <w:p w:rsidR="00AB3F05" w:rsidRPr="00767D6B" w:rsidRDefault="00AB3F05" w:rsidP="00062AED">
      <w:pPr>
        <w:pStyle w:val="FootnoteText"/>
        <w:rPr>
          <w:lang w:val="cy-GB"/>
        </w:rPr>
      </w:pPr>
      <w:r>
        <w:rPr>
          <w:rStyle w:val="FootnoteReference"/>
        </w:rPr>
        <w:footnoteRef/>
      </w:r>
      <w:r>
        <w:t xml:space="preserve"> </w:t>
      </w:r>
      <w:r>
        <w:rPr>
          <w:lang w:val="cy-GB"/>
        </w:rPr>
        <w:t xml:space="preserve">Ibid.; NB it seems that, for Williams, even the gift of healing was tied to the Word: see Williams, </w:t>
      </w:r>
      <w:r w:rsidRPr="007269E3">
        <w:rPr>
          <w:i/>
          <w:lang w:val="cy-GB"/>
        </w:rPr>
        <w:t>Prophetical Ministry</w:t>
      </w:r>
      <w:r>
        <w:rPr>
          <w:lang w:val="cy-GB"/>
        </w:rPr>
        <w:t xml:space="preserve">, 79; idem ‘Iachad Trwy Ffydd’, </w:t>
      </w:r>
      <w:r w:rsidRPr="00840FC4">
        <w:rPr>
          <w:i/>
          <w:lang w:val="cy-GB"/>
        </w:rPr>
        <w:t>Cyfoeth Gras</w:t>
      </w:r>
      <w:r>
        <w:rPr>
          <w:lang w:val="cy-GB"/>
        </w:rPr>
        <w:t xml:space="preserve"> (</w:t>
      </w:r>
      <w:r>
        <w:rPr>
          <w:i/>
          <w:lang w:val="cy-GB"/>
        </w:rPr>
        <w:t>RoG</w:t>
      </w:r>
      <w:r>
        <w:rPr>
          <w:lang w:val="cy-GB"/>
        </w:rPr>
        <w:t>), i.4 (though numbered ii.1 – the following issue numbers reverted to vol.i) (1917), 1-2.</w:t>
      </w:r>
    </w:p>
  </w:footnote>
  <w:footnote w:id="772">
    <w:p w:rsidR="00AB3F05" w:rsidRPr="0081388B" w:rsidRDefault="00AB3F05" w:rsidP="00062AED">
      <w:pPr>
        <w:pStyle w:val="FootnoteText"/>
        <w:rPr>
          <w:lang w:val="cy-GB"/>
        </w:rPr>
      </w:pPr>
      <w:r>
        <w:rPr>
          <w:rStyle w:val="FootnoteReference"/>
        </w:rPr>
        <w:footnoteRef/>
      </w:r>
      <w:r>
        <w:t xml:space="preserve"> </w:t>
      </w:r>
      <w:r>
        <w:rPr>
          <w:lang w:val="cy-GB"/>
        </w:rPr>
        <w:t>Williams, ‘Exposition of the Foregoing Word’ (Aug. 1925), 25-26.</w:t>
      </w:r>
    </w:p>
  </w:footnote>
  <w:footnote w:id="773">
    <w:p w:rsidR="00AB3F05" w:rsidRPr="00D03B37" w:rsidRDefault="00AB3F05" w:rsidP="00062AED">
      <w:pPr>
        <w:pStyle w:val="FootnoteText"/>
        <w:rPr>
          <w:lang w:val="cy-GB"/>
        </w:rPr>
      </w:pPr>
      <w:r>
        <w:rPr>
          <w:rStyle w:val="FootnoteReference"/>
        </w:rPr>
        <w:footnoteRef/>
      </w:r>
      <w:r>
        <w:t xml:space="preserve"> </w:t>
      </w:r>
      <w:r>
        <w:rPr>
          <w:lang w:val="cy-GB"/>
        </w:rPr>
        <w:t>Ibid., 25.</w:t>
      </w:r>
    </w:p>
  </w:footnote>
  <w:footnote w:id="774">
    <w:p w:rsidR="00AB3F05" w:rsidRPr="00FB3C55" w:rsidRDefault="00AB3F05" w:rsidP="00062AED">
      <w:pPr>
        <w:pStyle w:val="FootnoteText"/>
        <w:rPr>
          <w:lang w:val="cy-GB"/>
        </w:rPr>
      </w:pPr>
      <w:r>
        <w:rPr>
          <w:rStyle w:val="FootnoteReference"/>
        </w:rPr>
        <w:footnoteRef/>
      </w:r>
      <w:r>
        <w:t xml:space="preserve"> </w:t>
      </w:r>
      <w:r>
        <w:rPr>
          <w:lang w:val="cy-GB"/>
        </w:rPr>
        <w:t>By ‘Historical’, Williams is referring to the Written Word; we can see this in his use of the terms synonymously in ibid., 26.</w:t>
      </w:r>
    </w:p>
  </w:footnote>
  <w:footnote w:id="775">
    <w:p w:rsidR="00AB3F05" w:rsidRPr="00FF59E6" w:rsidRDefault="00AB3F05" w:rsidP="00062AED">
      <w:pPr>
        <w:pStyle w:val="FootnoteText"/>
        <w:rPr>
          <w:lang w:val="cy-GB"/>
        </w:rPr>
      </w:pPr>
      <w:r>
        <w:rPr>
          <w:rStyle w:val="FootnoteReference"/>
        </w:rPr>
        <w:footnoteRef/>
      </w:r>
      <w:r>
        <w:t xml:space="preserve"> </w:t>
      </w:r>
      <w:r>
        <w:rPr>
          <w:lang w:val="cy-GB"/>
        </w:rPr>
        <w:t xml:space="preserve">D.P. Williams, ‘Preface’, </w:t>
      </w:r>
      <w:r>
        <w:rPr>
          <w:i/>
          <w:lang w:val="cy-GB"/>
        </w:rPr>
        <w:t>RoG</w:t>
      </w:r>
      <w:r>
        <w:rPr>
          <w:lang w:val="cy-GB"/>
        </w:rPr>
        <w:t>, ii.9 (August 1925), 5.</w:t>
      </w:r>
    </w:p>
  </w:footnote>
  <w:footnote w:id="776">
    <w:p w:rsidR="00AB3F05" w:rsidRPr="00482757" w:rsidRDefault="00AB3F05" w:rsidP="00062AED">
      <w:pPr>
        <w:pStyle w:val="FootnoteText"/>
      </w:pPr>
      <w:r>
        <w:rPr>
          <w:rStyle w:val="FootnoteReference"/>
        </w:rPr>
        <w:footnoteRef/>
      </w:r>
      <w:r>
        <w:t xml:space="preserve"> </w:t>
      </w:r>
      <w:r>
        <w:rPr>
          <w:lang w:val="cy-GB"/>
        </w:rPr>
        <w:t>Williams, ‘Exposition of the Foregoing Word’, (Aug. 1925), 26.</w:t>
      </w:r>
    </w:p>
  </w:footnote>
  <w:footnote w:id="777">
    <w:p w:rsidR="00AB3F05" w:rsidRPr="00AD074B" w:rsidRDefault="00AB3F05" w:rsidP="00062AED">
      <w:pPr>
        <w:pStyle w:val="FootnoteText"/>
        <w:rPr>
          <w:lang w:val="cy-GB"/>
        </w:rPr>
      </w:pPr>
      <w:r>
        <w:rPr>
          <w:rStyle w:val="FootnoteReference"/>
        </w:rPr>
        <w:footnoteRef/>
      </w:r>
      <w:r>
        <w:t xml:space="preserve"> </w:t>
      </w:r>
      <w:r>
        <w:rPr>
          <w:lang w:val="cy-GB"/>
        </w:rPr>
        <w:t>Ibid.</w:t>
      </w:r>
    </w:p>
  </w:footnote>
  <w:footnote w:id="778">
    <w:p w:rsidR="00AB3F05" w:rsidRPr="00FF59E6" w:rsidRDefault="00AB3F05" w:rsidP="00062AED">
      <w:pPr>
        <w:pStyle w:val="FootnoteText"/>
        <w:rPr>
          <w:lang w:val="cy-GB"/>
        </w:rPr>
      </w:pPr>
      <w:r>
        <w:rPr>
          <w:rStyle w:val="FootnoteReference"/>
        </w:rPr>
        <w:footnoteRef/>
      </w:r>
      <w:r>
        <w:t xml:space="preserve"> </w:t>
      </w:r>
      <w:r>
        <w:rPr>
          <w:lang w:val="cy-GB"/>
        </w:rPr>
        <w:t>Ibid.</w:t>
      </w:r>
    </w:p>
  </w:footnote>
  <w:footnote w:id="779">
    <w:p w:rsidR="00AB3F05" w:rsidRPr="00FF59E6" w:rsidRDefault="00AB3F05" w:rsidP="00062AED">
      <w:pPr>
        <w:pStyle w:val="FootnoteText"/>
        <w:rPr>
          <w:lang w:val="cy-GB"/>
        </w:rPr>
      </w:pPr>
      <w:r>
        <w:rPr>
          <w:rStyle w:val="FootnoteReference"/>
        </w:rPr>
        <w:footnoteRef/>
      </w:r>
      <w:r>
        <w:t xml:space="preserve"> </w:t>
      </w:r>
      <w:r>
        <w:rPr>
          <w:lang w:val="cy-GB"/>
        </w:rPr>
        <w:t>Ibid.</w:t>
      </w:r>
    </w:p>
  </w:footnote>
  <w:footnote w:id="780">
    <w:p w:rsidR="00AB3F05" w:rsidRPr="00150DB8" w:rsidRDefault="00AB3F05" w:rsidP="00062AED">
      <w:pPr>
        <w:pStyle w:val="FootnoteText"/>
        <w:rPr>
          <w:lang w:val="cy-GB"/>
        </w:rPr>
      </w:pPr>
      <w:r>
        <w:rPr>
          <w:rStyle w:val="FootnoteReference"/>
        </w:rPr>
        <w:footnoteRef/>
      </w:r>
      <w:r>
        <w:t xml:space="preserve"> </w:t>
      </w:r>
      <w:r>
        <w:rPr>
          <w:lang w:val="cy-GB"/>
        </w:rPr>
        <w:t xml:space="preserve">Ibid. Williams takes the concept of </w:t>
      </w:r>
      <w:r w:rsidRPr="00EC7CE3">
        <w:rPr>
          <w:i/>
          <w:lang w:val="cy-GB"/>
        </w:rPr>
        <w:t>gagendor</w:t>
      </w:r>
      <w:r>
        <w:rPr>
          <w:lang w:val="cy-GB"/>
        </w:rPr>
        <w:t xml:space="preserve"> from prophetical ministry through W.J. Williams. See, ‘Gair yr Arglwydd (Trwy enau y Prophwyd W.Jones Williams)’, </w:t>
      </w:r>
      <w:r>
        <w:rPr>
          <w:i/>
          <w:lang w:val="cy-GB"/>
        </w:rPr>
        <w:t>RoG</w:t>
      </w:r>
      <w:r>
        <w:rPr>
          <w:lang w:val="cy-GB"/>
        </w:rPr>
        <w:t>, ii.9 (Aug. 1925), 23-25.</w:t>
      </w:r>
    </w:p>
  </w:footnote>
  <w:footnote w:id="781">
    <w:p w:rsidR="00AB3F05" w:rsidRPr="00150DB8" w:rsidRDefault="00AB3F05" w:rsidP="00062AED">
      <w:pPr>
        <w:pStyle w:val="FootnoteText"/>
        <w:rPr>
          <w:lang w:val="cy-GB"/>
        </w:rPr>
      </w:pPr>
      <w:r>
        <w:rPr>
          <w:rStyle w:val="FootnoteReference"/>
        </w:rPr>
        <w:footnoteRef/>
      </w:r>
      <w:r>
        <w:t xml:space="preserve"> </w:t>
      </w:r>
      <w:r>
        <w:rPr>
          <w:lang w:val="cy-GB"/>
        </w:rPr>
        <w:t>Williams, ‘Exposition of the Foregoing Word’ (Aug. 1925), 26.</w:t>
      </w:r>
    </w:p>
  </w:footnote>
  <w:footnote w:id="782">
    <w:p w:rsidR="00AB3F05" w:rsidRPr="00150DB8" w:rsidRDefault="00AB3F05" w:rsidP="00062AED">
      <w:pPr>
        <w:pStyle w:val="FootnoteText"/>
        <w:rPr>
          <w:lang w:val="cy-GB"/>
        </w:rPr>
      </w:pPr>
      <w:r>
        <w:rPr>
          <w:rStyle w:val="FootnoteReference"/>
        </w:rPr>
        <w:footnoteRef/>
      </w:r>
      <w:r>
        <w:t xml:space="preserve"> </w:t>
      </w:r>
      <w:r>
        <w:rPr>
          <w:lang w:val="cy-GB"/>
        </w:rPr>
        <w:t>Ibid.</w:t>
      </w:r>
    </w:p>
  </w:footnote>
  <w:footnote w:id="783">
    <w:p w:rsidR="00AB3F05" w:rsidRPr="00EC7CE3" w:rsidRDefault="00AB3F05" w:rsidP="00062AED">
      <w:pPr>
        <w:pStyle w:val="FootnoteText"/>
        <w:rPr>
          <w:lang w:val="cy-GB"/>
        </w:rPr>
      </w:pPr>
      <w:r>
        <w:rPr>
          <w:rStyle w:val="FootnoteReference"/>
        </w:rPr>
        <w:footnoteRef/>
      </w:r>
      <w:r>
        <w:t xml:space="preserve"> </w:t>
      </w:r>
      <w:r>
        <w:rPr>
          <w:lang w:val="cy-GB"/>
        </w:rPr>
        <w:t>Ibid.</w:t>
      </w:r>
    </w:p>
  </w:footnote>
  <w:footnote w:id="784">
    <w:p w:rsidR="00AB3F05" w:rsidRPr="00EC7CE3" w:rsidRDefault="00AB3F05" w:rsidP="00062AED">
      <w:pPr>
        <w:pStyle w:val="FootnoteText"/>
        <w:rPr>
          <w:lang w:val="cy-GB"/>
        </w:rPr>
      </w:pPr>
      <w:r>
        <w:rPr>
          <w:rStyle w:val="FootnoteReference"/>
        </w:rPr>
        <w:footnoteRef/>
      </w:r>
      <w:r>
        <w:t xml:space="preserve"> </w:t>
      </w:r>
      <w:r>
        <w:rPr>
          <w:lang w:val="cy-GB"/>
        </w:rPr>
        <w:t>Ibid.</w:t>
      </w:r>
    </w:p>
  </w:footnote>
  <w:footnote w:id="785">
    <w:p w:rsidR="00AB3F05" w:rsidRPr="004324B5" w:rsidRDefault="00AB3F05" w:rsidP="00062AED">
      <w:pPr>
        <w:pStyle w:val="FootnoteText"/>
        <w:rPr>
          <w:lang w:val="cy-GB"/>
        </w:rPr>
      </w:pPr>
      <w:r>
        <w:rPr>
          <w:rStyle w:val="FootnoteReference"/>
        </w:rPr>
        <w:footnoteRef/>
      </w:r>
      <w:r>
        <w:t xml:space="preserve"> </w:t>
      </w:r>
      <w:r>
        <w:rPr>
          <w:lang w:val="cy-GB"/>
        </w:rPr>
        <w:t xml:space="preserve">Interestingly this seems to have played a significant role in the development of the Apostolic form of worship. In a prophecy through J. Omri Jones, which was reprinted by Williams in one of his books and appears to have had a widespread influence, sermons at the Breaking of Bread service (the main Sunday service of the Apostolic Church) appear to be banned. Yet this is not precisely the case. As can be seen from a close examination of the wording, as well as the ensuing practice and official forms of the Apostolic Church, it is not preaching </w:t>
      </w:r>
      <w:r w:rsidRPr="004324B5">
        <w:rPr>
          <w:i/>
          <w:lang w:val="cy-GB"/>
        </w:rPr>
        <w:t>per se</w:t>
      </w:r>
      <w:r>
        <w:rPr>
          <w:lang w:val="cy-GB"/>
        </w:rPr>
        <w:t xml:space="preserve"> which was banned from the Breaking of Bread, but ‘preaching’ which was other than the proclamation of Christ crucified. The prophecy continues by explaining the cessation of ‘sermons’ at the Breaking of Bread by saying, ‘I desire every utterance with is not connected with the “Remembering” to cease.’ ‘Till He Come: The Word of the Lord through the Prophet J. Omri Jones, Ammanford’, in Williams, </w:t>
      </w:r>
      <w:r w:rsidRPr="004324B5">
        <w:rPr>
          <w:i/>
          <w:lang w:val="cy-GB"/>
        </w:rPr>
        <w:t>Prophetical Ministry</w:t>
      </w:r>
      <w:r>
        <w:rPr>
          <w:lang w:val="cy-GB"/>
        </w:rPr>
        <w:t xml:space="preserve">, 124. This was interpreted in practice with the rubric on Ministry at the Breaking of Bread: ‘Any preaching ministry given ... should be ... centred around the Cross.’ </w:t>
      </w:r>
      <w:r w:rsidRPr="004324B5">
        <w:rPr>
          <w:i/>
          <w:lang w:val="cy-GB"/>
        </w:rPr>
        <w:t>The Apostolic Church: Its Principles and Practices</w:t>
      </w:r>
      <w:r>
        <w:rPr>
          <w:lang w:val="cy-GB"/>
        </w:rPr>
        <w:t>, 216. The prophecy and the rubric (and the ensuing church practice) would appear to be rooted in a distinction between two types of preaching: a ‘preaching’ which consists of mere human words, and a preaching of Christ crucified where ‘the preaching of the Word of God is the Word of God.’ For Williams, it is the latter which would be considered true preaching.</w:t>
      </w:r>
    </w:p>
  </w:footnote>
  <w:footnote w:id="786">
    <w:p w:rsidR="00AB3F05" w:rsidRPr="00A318E8" w:rsidRDefault="00AB3F05" w:rsidP="00062AED">
      <w:pPr>
        <w:pStyle w:val="FootnoteText"/>
        <w:rPr>
          <w:lang w:val="cy-GB"/>
        </w:rPr>
      </w:pPr>
      <w:r>
        <w:rPr>
          <w:rStyle w:val="FootnoteReference"/>
        </w:rPr>
        <w:footnoteRef/>
      </w:r>
      <w:r>
        <w:t xml:space="preserve"> </w:t>
      </w:r>
      <w:r>
        <w:rPr>
          <w:lang w:val="cy-GB"/>
        </w:rPr>
        <w:t xml:space="preserve">Williams, </w:t>
      </w:r>
      <w:r w:rsidRPr="00A318E8">
        <w:rPr>
          <w:i/>
          <w:lang w:val="cy-GB"/>
        </w:rPr>
        <w:t>Prophetical Ministry</w:t>
      </w:r>
      <w:r>
        <w:rPr>
          <w:lang w:val="cy-GB"/>
        </w:rPr>
        <w:t>, 79.</w:t>
      </w:r>
    </w:p>
  </w:footnote>
  <w:footnote w:id="787">
    <w:p w:rsidR="00AB3F05" w:rsidRPr="003C332F" w:rsidRDefault="00AB3F05" w:rsidP="00062AED">
      <w:pPr>
        <w:pStyle w:val="FootnoteText"/>
        <w:rPr>
          <w:lang w:val="cy-GB"/>
        </w:rPr>
      </w:pPr>
      <w:r>
        <w:rPr>
          <w:rStyle w:val="FootnoteReference"/>
        </w:rPr>
        <w:footnoteRef/>
      </w:r>
      <w:r>
        <w:t xml:space="preserve"> </w:t>
      </w:r>
      <w:r>
        <w:rPr>
          <w:lang w:val="cy-GB"/>
        </w:rPr>
        <w:t xml:space="preserve">D.P. Williams, ‘Exposition’, </w:t>
      </w:r>
      <w:r>
        <w:rPr>
          <w:i/>
          <w:lang w:val="cy-GB"/>
        </w:rPr>
        <w:t>RoG</w:t>
      </w:r>
      <w:r>
        <w:rPr>
          <w:lang w:val="cy-GB"/>
        </w:rPr>
        <w:t xml:space="preserve">, iii.1 (March 1927), 9-10; idem, ‘Exposition of the Foregoing Prophecy’, </w:t>
      </w:r>
      <w:r>
        <w:rPr>
          <w:i/>
          <w:lang w:val="cy-GB"/>
        </w:rPr>
        <w:t>RoG</w:t>
      </w:r>
      <w:r>
        <w:rPr>
          <w:lang w:val="cy-GB"/>
        </w:rPr>
        <w:t xml:space="preserve">, ii.10 (July 1926), 17-18; idem, ‘Exposition of the Word of the Lord’, </w:t>
      </w:r>
      <w:r>
        <w:rPr>
          <w:i/>
          <w:lang w:val="cy-GB"/>
        </w:rPr>
        <w:t>RoG</w:t>
      </w:r>
      <w:r>
        <w:rPr>
          <w:lang w:val="cy-GB"/>
        </w:rPr>
        <w:t xml:space="preserve">, ii.9 (August 1925), 51; idem, ‘Exposition of the Foregoing Word’ (August 1925), 26-27; idem, ‘The Ministry of the Word’, 174; idem, ‘Exposition’, </w:t>
      </w:r>
      <w:r>
        <w:rPr>
          <w:i/>
          <w:lang w:val="cy-GB"/>
        </w:rPr>
        <w:t>RoG</w:t>
      </w:r>
      <w:r>
        <w:rPr>
          <w:lang w:val="cy-GB"/>
        </w:rPr>
        <w:t xml:space="preserve">, iii.1 (March 1927), 45-46; idem, ‘Weapons of Our Warfare’, 26; idem, ‘Exposition of the Foregoing Prophecy’, </w:t>
      </w:r>
      <w:r>
        <w:rPr>
          <w:i/>
          <w:lang w:val="cy-GB"/>
        </w:rPr>
        <w:t>RoG</w:t>
      </w:r>
      <w:r>
        <w:rPr>
          <w:lang w:val="cy-GB"/>
        </w:rPr>
        <w:t>, i.9 (1920), 5.</w:t>
      </w:r>
    </w:p>
  </w:footnote>
  <w:footnote w:id="788">
    <w:p w:rsidR="00AB3F05" w:rsidRPr="00A3404E" w:rsidRDefault="00AB3F05" w:rsidP="00062AED">
      <w:pPr>
        <w:pStyle w:val="FootnoteText"/>
        <w:rPr>
          <w:lang w:val="cy-GB"/>
        </w:rPr>
      </w:pPr>
      <w:r>
        <w:rPr>
          <w:rStyle w:val="FootnoteReference"/>
        </w:rPr>
        <w:footnoteRef/>
      </w:r>
      <w:r>
        <w:t xml:space="preserve"> </w:t>
      </w:r>
      <w:r>
        <w:rPr>
          <w:lang w:val="cy-GB"/>
        </w:rPr>
        <w:t xml:space="preserve">D.P. Williams, ‘The Leading of the Spirit and the Formation of the Church’, </w:t>
      </w:r>
      <w:r>
        <w:rPr>
          <w:i/>
          <w:lang w:val="cy-GB"/>
        </w:rPr>
        <w:t>RoG</w:t>
      </w:r>
      <w:r>
        <w:rPr>
          <w:lang w:val="cy-GB"/>
        </w:rPr>
        <w:t>, xiv.5 (May 1939), 389.</w:t>
      </w:r>
    </w:p>
  </w:footnote>
  <w:footnote w:id="789">
    <w:p w:rsidR="00AB3F05" w:rsidRPr="00A3404E" w:rsidRDefault="00AB3F05" w:rsidP="00062AED">
      <w:pPr>
        <w:pStyle w:val="FootnoteText"/>
        <w:rPr>
          <w:lang w:val="cy-GB"/>
        </w:rPr>
      </w:pPr>
      <w:r>
        <w:rPr>
          <w:rStyle w:val="FootnoteReference"/>
        </w:rPr>
        <w:footnoteRef/>
      </w:r>
      <w:r>
        <w:t xml:space="preserve"> </w:t>
      </w:r>
      <w:r>
        <w:rPr>
          <w:lang w:val="cy-GB"/>
        </w:rPr>
        <w:t>Williams, ‘Divine Order’, 9.</w:t>
      </w:r>
    </w:p>
  </w:footnote>
  <w:footnote w:id="790">
    <w:p w:rsidR="00AB3F05" w:rsidRPr="00D2640E" w:rsidRDefault="00AB3F05" w:rsidP="00062AED">
      <w:pPr>
        <w:pStyle w:val="FootnoteText"/>
        <w:rPr>
          <w:lang w:val="cy-GB"/>
        </w:rPr>
      </w:pPr>
      <w:r>
        <w:rPr>
          <w:rStyle w:val="FootnoteReference"/>
        </w:rPr>
        <w:footnoteRef/>
      </w:r>
      <w:r>
        <w:t xml:space="preserve"> </w:t>
      </w:r>
      <w:r>
        <w:rPr>
          <w:lang w:val="cy-GB"/>
        </w:rPr>
        <w:t xml:space="preserve">Williams, </w:t>
      </w:r>
      <w:r w:rsidRPr="00D2640E">
        <w:rPr>
          <w:i/>
          <w:lang w:val="cy-GB"/>
        </w:rPr>
        <w:t>Trinity</w:t>
      </w:r>
      <w:r>
        <w:rPr>
          <w:lang w:val="cy-GB"/>
        </w:rPr>
        <w:t>, 1:88.</w:t>
      </w:r>
    </w:p>
  </w:footnote>
  <w:footnote w:id="791">
    <w:p w:rsidR="00AB3F05" w:rsidRPr="00A41FC4" w:rsidRDefault="00AB3F05" w:rsidP="00062AED">
      <w:pPr>
        <w:pStyle w:val="FootnoteText"/>
        <w:rPr>
          <w:lang w:val="cy-GB"/>
        </w:rPr>
      </w:pPr>
      <w:r>
        <w:rPr>
          <w:rStyle w:val="FootnoteReference"/>
        </w:rPr>
        <w:footnoteRef/>
      </w:r>
      <w:r>
        <w:t xml:space="preserve"> </w:t>
      </w:r>
      <w:r>
        <w:rPr>
          <w:lang w:val="cy-GB"/>
        </w:rPr>
        <w:t xml:space="preserve">D.P. Williams, ‘Exposition of Prophetical Word’, </w:t>
      </w:r>
      <w:r>
        <w:rPr>
          <w:i/>
          <w:lang w:val="cy-GB"/>
        </w:rPr>
        <w:t>RoG</w:t>
      </w:r>
      <w:r>
        <w:rPr>
          <w:lang w:val="cy-GB"/>
        </w:rPr>
        <w:t>, xi.1 (September 1935), 39.</w:t>
      </w:r>
    </w:p>
  </w:footnote>
  <w:footnote w:id="792">
    <w:p w:rsidR="00AB3F05" w:rsidRPr="00A41FC4" w:rsidRDefault="00AB3F05" w:rsidP="00062AED">
      <w:pPr>
        <w:pStyle w:val="FootnoteText"/>
        <w:rPr>
          <w:lang w:val="cy-GB"/>
        </w:rPr>
      </w:pPr>
      <w:r>
        <w:rPr>
          <w:rStyle w:val="FootnoteReference"/>
        </w:rPr>
        <w:footnoteRef/>
      </w:r>
      <w:r>
        <w:t xml:space="preserve"> Ibid.</w:t>
      </w:r>
    </w:p>
  </w:footnote>
  <w:footnote w:id="793">
    <w:p w:rsidR="00AB3F05" w:rsidRPr="00F3121F" w:rsidRDefault="00AB3F05" w:rsidP="00062AED">
      <w:pPr>
        <w:pStyle w:val="FootnoteText"/>
        <w:rPr>
          <w:lang w:val="cy-GB"/>
        </w:rPr>
      </w:pPr>
      <w:r>
        <w:rPr>
          <w:rStyle w:val="FootnoteReference"/>
        </w:rPr>
        <w:footnoteRef/>
      </w:r>
      <w:r>
        <w:t xml:space="preserve"> </w:t>
      </w:r>
      <w:r>
        <w:rPr>
          <w:lang w:val="cy-GB"/>
        </w:rPr>
        <w:t xml:space="preserve">Williams, </w:t>
      </w:r>
      <w:r w:rsidRPr="00D2640E">
        <w:rPr>
          <w:i/>
          <w:lang w:val="cy-GB"/>
        </w:rPr>
        <w:t>Trinity</w:t>
      </w:r>
      <w:r>
        <w:rPr>
          <w:lang w:val="cy-GB"/>
        </w:rPr>
        <w:t>, 1:60.</w:t>
      </w:r>
    </w:p>
  </w:footnote>
  <w:footnote w:id="794">
    <w:p w:rsidR="00AB3F05" w:rsidRPr="00F3121F" w:rsidRDefault="00AB3F05" w:rsidP="00062AED">
      <w:pPr>
        <w:pStyle w:val="FootnoteText"/>
        <w:rPr>
          <w:lang w:val="cy-GB"/>
        </w:rPr>
      </w:pPr>
      <w:r>
        <w:rPr>
          <w:rStyle w:val="FootnoteReference"/>
        </w:rPr>
        <w:footnoteRef/>
      </w:r>
      <w:r>
        <w:t xml:space="preserve"> </w:t>
      </w:r>
      <w:r>
        <w:rPr>
          <w:lang w:val="cy-GB"/>
        </w:rPr>
        <w:t xml:space="preserve">D.P. Williams, ‘The Unity of the Body’, </w:t>
      </w:r>
      <w:r>
        <w:rPr>
          <w:i/>
          <w:lang w:val="cy-GB"/>
        </w:rPr>
        <w:t>RoG</w:t>
      </w:r>
      <w:r>
        <w:rPr>
          <w:lang w:val="cy-GB"/>
        </w:rPr>
        <w:t>, x.1 (September 1934), 10.</w:t>
      </w:r>
    </w:p>
  </w:footnote>
  <w:footnote w:id="795">
    <w:p w:rsidR="00AB3F05" w:rsidRPr="0056632B" w:rsidRDefault="00AB3F05" w:rsidP="00062AED">
      <w:pPr>
        <w:pStyle w:val="FootnoteText"/>
        <w:rPr>
          <w:lang w:val="cy-GB"/>
        </w:rPr>
      </w:pPr>
      <w:r>
        <w:rPr>
          <w:rStyle w:val="FootnoteReference"/>
        </w:rPr>
        <w:footnoteRef/>
      </w:r>
      <w:r>
        <w:t xml:space="preserve"> </w:t>
      </w:r>
      <w:r>
        <w:rPr>
          <w:lang w:val="cy-GB"/>
        </w:rPr>
        <w:t xml:space="preserve">Thomas Jones, ‘Christ the Shepherd’, </w:t>
      </w:r>
      <w:r>
        <w:rPr>
          <w:i/>
          <w:lang w:val="cy-GB"/>
        </w:rPr>
        <w:t>RoG</w:t>
      </w:r>
      <w:r>
        <w:rPr>
          <w:lang w:val="cy-GB"/>
        </w:rPr>
        <w:t>, i.9 (1920), 16.</w:t>
      </w:r>
    </w:p>
  </w:footnote>
  <w:footnote w:id="796">
    <w:p w:rsidR="00AB3F05" w:rsidRPr="00AA21D4" w:rsidRDefault="00AB3F05" w:rsidP="00062AED">
      <w:pPr>
        <w:pStyle w:val="FootnoteText"/>
      </w:pPr>
      <w:r>
        <w:rPr>
          <w:rStyle w:val="FootnoteReference"/>
        </w:rPr>
        <w:footnoteRef/>
      </w:r>
      <w:r>
        <w:t xml:space="preserve"> Williams, ‘From Glory to Glory’, 46.</w:t>
      </w:r>
    </w:p>
  </w:footnote>
  <w:footnote w:id="797">
    <w:p w:rsidR="00AB3F05" w:rsidRPr="0017151A" w:rsidRDefault="00AB3F05" w:rsidP="00062AED">
      <w:pPr>
        <w:pStyle w:val="FootnoteText"/>
      </w:pPr>
      <w:r>
        <w:rPr>
          <w:rStyle w:val="FootnoteReference"/>
        </w:rPr>
        <w:footnoteRef/>
      </w:r>
      <w:r>
        <w:t xml:space="preserve"> Williams, </w:t>
      </w:r>
      <w:r w:rsidRPr="0017151A">
        <w:rPr>
          <w:i/>
        </w:rPr>
        <w:t>Trinity</w:t>
      </w:r>
      <w:r>
        <w:t>, 2:53.</w:t>
      </w:r>
    </w:p>
  </w:footnote>
  <w:footnote w:id="798">
    <w:p w:rsidR="00AB3F05" w:rsidRPr="005C65BB" w:rsidRDefault="00AB3F05" w:rsidP="00062AED">
      <w:pPr>
        <w:pStyle w:val="FootnoteText"/>
        <w:rPr>
          <w:lang w:val="cy-GB"/>
        </w:rPr>
      </w:pPr>
      <w:r>
        <w:rPr>
          <w:rStyle w:val="FootnoteReference"/>
        </w:rPr>
        <w:footnoteRef/>
      </w:r>
      <w:r>
        <w:t xml:space="preserve"> </w:t>
      </w:r>
      <w:r>
        <w:rPr>
          <w:lang w:val="cy-GB"/>
        </w:rPr>
        <w:t>Williams, ‘The Ministry of the Word’, 178.</w:t>
      </w:r>
    </w:p>
  </w:footnote>
  <w:footnote w:id="799">
    <w:p w:rsidR="00AB3F05" w:rsidRPr="003E4FC2" w:rsidRDefault="00AB3F05" w:rsidP="00062AED">
      <w:pPr>
        <w:pStyle w:val="FootnoteText"/>
      </w:pPr>
      <w:r>
        <w:rPr>
          <w:rStyle w:val="FootnoteReference"/>
        </w:rPr>
        <w:footnoteRef/>
      </w:r>
      <w:r>
        <w:t xml:space="preserve"> ‘Prophecy through Pastor D.P. Williams; spoken at the Lesser Town Hall, Pontypridd, Dec. 26</w:t>
      </w:r>
      <w:r w:rsidRPr="003E4FC2">
        <w:rPr>
          <w:vertAlign w:val="superscript"/>
        </w:rPr>
        <w:t>th</w:t>
      </w:r>
      <w:r>
        <w:t xml:space="preserve">, 1919’, </w:t>
      </w:r>
      <w:r>
        <w:rPr>
          <w:i/>
        </w:rPr>
        <w:t>RoG</w:t>
      </w:r>
      <w:r>
        <w:t>, i.9 (1920), 21.</w:t>
      </w:r>
    </w:p>
  </w:footnote>
  <w:footnote w:id="800">
    <w:p w:rsidR="00AB3F05" w:rsidRPr="006C0B09" w:rsidRDefault="00AB3F05" w:rsidP="00062AED">
      <w:pPr>
        <w:pStyle w:val="FootnoteText"/>
        <w:rPr>
          <w:lang w:val="cy-GB"/>
        </w:rPr>
      </w:pPr>
      <w:r>
        <w:rPr>
          <w:rStyle w:val="FootnoteReference"/>
        </w:rPr>
        <w:footnoteRef/>
      </w:r>
      <w:r>
        <w:t xml:space="preserve"> </w:t>
      </w:r>
      <w:r>
        <w:rPr>
          <w:lang w:val="cy-GB"/>
        </w:rPr>
        <w:t xml:space="preserve">On the Eternal Purpose as the central feature of Apostolic Theology, see Rowe, </w:t>
      </w:r>
      <w:r w:rsidRPr="00F25547">
        <w:rPr>
          <w:i/>
          <w:lang w:val="cy-GB"/>
        </w:rPr>
        <w:t>One Lord, One Faith</w:t>
      </w:r>
      <w:r>
        <w:rPr>
          <w:lang w:val="cy-GB"/>
        </w:rPr>
        <w:t>, 81.</w:t>
      </w:r>
    </w:p>
  </w:footnote>
  <w:footnote w:id="801">
    <w:p w:rsidR="00AB3F05" w:rsidRPr="00A567F6" w:rsidRDefault="00AB3F05" w:rsidP="00062AED">
      <w:pPr>
        <w:pStyle w:val="FootnoteText"/>
        <w:rPr>
          <w:lang w:val="cy-GB"/>
        </w:rPr>
      </w:pPr>
      <w:r>
        <w:rPr>
          <w:rStyle w:val="FootnoteReference"/>
        </w:rPr>
        <w:footnoteRef/>
      </w:r>
      <w:r>
        <w:t xml:space="preserve"> </w:t>
      </w:r>
      <w:r>
        <w:rPr>
          <w:lang w:val="cy-GB"/>
        </w:rPr>
        <w:t xml:space="preserve">Williams, </w:t>
      </w:r>
      <w:r w:rsidRPr="00A567F6">
        <w:rPr>
          <w:i/>
          <w:lang w:val="cy-GB"/>
        </w:rPr>
        <w:t>Lord’s Prayer</w:t>
      </w:r>
      <w:r>
        <w:rPr>
          <w:lang w:val="cy-GB"/>
        </w:rPr>
        <w:t>, 65-66.</w:t>
      </w:r>
    </w:p>
  </w:footnote>
  <w:footnote w:id="802">
    <w:p w:rsidR="00AB3F05" w:rsidRPr="00855391" w:rsidRDefault="00AB3F05" w:rsidP="00062AED">
      <w:pPr>
        <w:pStyle w:val="FootnoteText"/>
        <w:rPr>
          <w:lang w:val="cy-GB"/>
        </w:rPr>
      </w:pPr>
      <w:r>
        <w:rPr>
          <w:rStyle w:val="FootnoteReference"/>
        </w:rPr>
        <w:footnoteRef/>
      </w:r>
      <w:r>
        <w:t xml:space="preserve"> </w:t>
      </w:r>
      <w:r>
        <w:rPr>
          <w:lang w:val="cy-GB"/>
        </w:rPr>
        <w:t xml:space="preserve">D.P. Williams, ‘Editorial: What the Apostolic Church Stands For’, </w:t>
      </w:r>
      <w:r>
        <w:rPr>
          <w:i/>
          <w:lang w:val="cy-GB"/>
        </w:rPr>
        <w:t>RoG</w:t>
      </w:r>
      <w:r>
        <w:rPr>
          <w:lang w:val="cy-GB"/>
        </w:rPr>
        <w:t>, ix.3 (January 1934), 82.</w:t>
      </w:r>
    </w:p>
  </w:footnote>
  <w:footnote w:id="803">
    <w:p w:rsidR="00AB3F05" w:rsidRPr="00F15929" w:rsidRDefault="00AB3F05" w:rsidP="00062AED">
      <w:pPr>
        <w:pStyle w:val="FootnoteText"/>
        <w:rPr>
          <w:lang w:val="cy-GB"/>
        </w:rPr>
      </w:pPr>
      <w:r>
        <w:rPr>
          <w:rStyle w:val="FootnoteReference"/>
        </w:rPr>
        <w:footnoteRef/>
      </w:r>
      <w:r>
        <w:t xml:space="preserve"> </w:t>
      </w:r>
      <w:r>
        <w:rPr>
          <w:lang w:val="cy-GB"/>
        </w:rPr>
        <w:t>Williams, ‘The Unity of the Body’, 6.</w:t>
      </w:r>
    </w:p>
  </w:footnote>
  <w:footnote w:id="804">
    <w:p w:rsidR="00AB3F05" w:rsidRPr="00105E34" w:rsidRDefault="00AB3F05" w:rsidP="00062AED">
      <w:pPr>
        <w:pStyle w:val="FootnoteText"/>
        <w:rPr>
          <w:lang w:val="cy-GB"/>
        </w:rPr>
      </w:pPr>
      <w:r>
        <w:rPr>
          <w:rStyle w:val="FootnoteReference"/>
        </w:rPr>
        <w:footnoteRef/>
      </w:r>
      <w:r>
        <w:t xml:space="preserve"> </w:t>
      </w:r>
      <w:r>
        <w:rPr>
          <w:lang w:val="cy-GB"/>
        </w:rPr>
        <w:t>Williams, ‘Grace and Apostleship’, 98.</w:t>
      </w:r>
    </w:p>
  </w:footnote>
  <w:footnote w:id="805">
    <w:p w:rsidR="00AB3F05" w:rsidRPr="0042520D" w:rsidRDefault="00AB3F05" w:rsidP="00062AED">
      <w:pPr>
        <w:pStyle w:val="FootnoteText"/>
        <w:rPr>
          <w:lang w:val="cy-GB"/>
        </w:rPr>
      </w:pPr>
      <w:r>
        <w:rPr>
          <w:rStyle w:val="FootnoteReference"/>
        </w:rPr>
        <w:footnoteRef/>
      </w:r>
      <w:r>
        <w:t xml:space="preserve"> </w:t>
      </w:r>
      <w:r>
        <w:rPr>
          <w:lang w:val="cy-GB"/>
        </w:rPr>
        <w:t xml:space="preserve">Ibid.; See also, Williams, </w:t>
      </w:r>
      <w:r w:rsidRPr="00F21001">
        <w:rPr>
          <w:i/>
          <w:lang w:val="cy-GB"/>
        </w:rPr>
        <w:t>Trinity</w:t>
      </w:r>
      <w:r>
        <w:rPr>
          <w:lang w:val="cy-GB"/>
        </w:rPr>
        <w:t>, 2:53-54.</w:t>
      </w:r>
    </w:p>
  </w:footnote>
  <w:footnote w:id="806">
    <w:p w:rsidR="00AB3F05" w:rsidRPr="00864F52" w:rsidRDefault="00AB3F05" w:rsidP="00062AED">
      <w:pPr>
        <w:pStyle w:val="FootnoteText"/>
        <w:rPr>
          <w:lang w:val="cy-GB"/>
        </w:rPr>
      </w:pPr>
      <w:r>
        <w:rPr>
          <w:rStyle w:val="FootnoteReference"/>
        </w:rPr>
        <w:footnoteRef/>
      </w:r>
      <w:r>
        <w:t xml:space="preserve"> </w:t>
      </w:r>
      <w:r>
        <w:rPr>
          <w:lang w:val="cy-GB"/>
        </w:rPr>
        <w:t>Williams, ‘Grace and Apostleship’, 98.</w:t>
      </w:r>
    </w:p>
  </w:footnote>
  <w:footnote w:id="807">
    <w:p w:rsidR="00AB3F05" w:rsidRPr="00D71FF4" w:rsidRDefault="00AB3F05" w:rsidP="00062AED">
      <w:pPr>
        <w:pStyle w:val="FootnoteText"/>
        <w:rPr>
          <w:lang w:val="cy-GB"/>
        </w:rPr>
      </w:pPr>
      <w:r>
        <w:rPr>
          <w:rStyle w:val="FootnoteReference"/>
        </w:rPr>
        <w:footnoteRef/>
      </w:r>
      <w:r>
        <w:t xml:space="preserve"> </w:t>
      </w:r>
      <w:r>
        <w:rPr>
          <w:lang w:val="cy-GB"/>
        </w:rPr>
        <w:t>Willimas, ‘Editorial: Church Unity’, 248.</w:t>
      </w:r>
    </w:p>
  </w:footnote>
  <w:footnote w:id="808">
    <w:p w:rsidR="00AB3F05" w:rsidRPr="00C83C4D" w:rsidRDefault="00AB3F05" w:rsidP="00062AED">
      <w:pPr>
        <w:pStyle w:val="FootnoteText"/>
        <w:rPr>
          <w:lang w:val="cy-GB"/>
        </w:rPr>
      </w:pPr>
      <w:r>
        <w:rPr>
          <w:rStyle w:val="FootnoteReference"/>
        </w:rPr>
        <w:footnoteRef/>
      </w:r>
      <w:r>
        <w:t xml:space="preserve"> </w:t>
      </w:r>
      <w:r>
        <w:rPr>
          <w:lang w:val="cy-GB"/>
        </w:rPr>
        <w:t>Ibid.</w:t>
      </w:r>
    </w:p>
  </w:footnote>
  <w:footnote w:id="809">
    <w:p w:rsidR="00AB3F05" w:rsidRPr="00F21001" w:rsidRDefault="00AB3F05" w:rsidP="00062AED">
      <w:pPr>
        <w:pStyle w:val="FootnoteText"/>
        <w:rPr>
          <w:lang w:val="cy-GB"/>
        </w:rPr>
      </w:pPr>
      <w:r>
        <w:rPr>
          <w:rStyle w:val="FootnoteReference"/>
        </w:rPr>
        <w:footnoteRef/>
      </w:r>
      <w:r>
        <w:t xml:space="preserve"> </w:t>
      </w:r>
      <w:r>
        <w:rPr>
          <w:lang w:val="cy-GB"/>
        </w:rPr>
        <w:t>Williams, ‘The Unity of the Body’, 8.</w:t>
      </w:r>
    </w:p>
  </w:footnote>
  <w:footnote w:id="810">
    <w:p w:rsidR="00AB3F05" w:rsidRPr="00F21001" w:rsidRDefault="00AB3F05" w:rsidP="00062AED">
      <w:pPr>
        <w:pStyle w:val="FootnoteText"/>
        <w:rPr>
          <w:lang w:val="cy-GB"/>
        </w:rPr>
      </w:pPr>
      <w:r>
        <w:rPr>
          <w:rStyle w:val="FootnoteReference"/>
        </w:rPr>
        <w:footnoteRef/>
      </w:r>
      <w:r>
        <w:t xml:space="preserve"> </w:t>
      </w:r>
      <w:r>
        <w:rPr>
          <w:lang w:val="cy-GB"/>
        </w:rPr>
        <w:t>Ibid., 8-9; The ‘in this world’ is necessary to distinguish the life of the church from the life of the ontological Trinity.</w:t>
      </w:r>
    </w:p>
  </w:footnote>
  <w:footnote w:id="811">
    <w:p w:rsidR="00AB3F05" w:rsidRPr="00F52234" w:rsidRDefault="00AB3F05" w:rsidP="00062AED">
      <w:pPr>
        <w:pStyle w:val="FootnoteText"/>
        <w:rPr>
          <w:lang w:val="cy-GB"/>
        </w:rPr>
      </w:pPr>
      <w:r>
        <w:rPr>
          <w:rStyle w:val="FootnoteReference"/>
        </w:rPr>
        <w:footnoteRef/>
      </w:r>
      <w:r>
        <w:t xml:space="preserve"> </w:t>
      </w:r>
      <w:r>
        <w:rPr>
          <w:lang w:val="cy-GB"/>
        </w:rPr>
        <w:t xml:space="preserve">D.P. Williams, ‘Editorial Note’, </w:t>
      </w:r>
      <w:r>
        <w:rPr>
          <w:i/>
          <w:lang w:val="cy-GB"/>
        </w:rPr>
        <w:t>RoG</w:t>
      </w:r>
      <w:r>
        <w:rPr>
          <w:lang w:val="cy-GB"/>
        </w:rPr>
        <w:t>, v.3 (January 1930), 88-89.</w:t>
      </w:r>
    </w:p>
  </w:footnote>
  <w:footnote w:id="812">
    <w:p w:rsidR="00AB3F05" w:rsidRPr="00F52234" w:rsidRDefault="00AB3F05" w:rsidP="00062AED">
      <w:pPr>
        <w:pStyle w:val="FootnoteText"/>
        <w:rPr>
          <w:lang w:val="cy-GB"/>
        </w:rPr>
      </w:pPr>
      <w:r>
        <w:rPr>
          <w:rStyle w:val="FootnoteReference"/>
        </w:rPr>
        <w:footnoteRef/>
      </w:r>
      <w:r>
        <w:t xml:space="preserve"> </w:t>
      </w:r>
      <w:r>
        <w:rPr>
          <w:lang w:val="cy-GB"/>
        </w:rPr>
        <w:t>Ibid.</w:t>
      </w:r>
    </w:p>
  </w:footnote>
  <w:footnote w:id="813">
    <w:p w:rsidR="00AB3F05" w:rsidRPr="00EF2C0F" w:rsidRDefault="00AB3F05" w:rsidP="00062AED">
      <w:pPr>
        <w:pStyle w:val="FootnoteText"/>
        <w:rPr>
          <w:lang w:val="cy-GB"/>
        </w:rPr>
      </w:pPr>
      <w:r>
        <w:rPr>
          <w:rStyle w:val="FootnoteReference"/>
        </w:rPr>
        <w:footnoteRef/>
      </w:r>
      <w:r>
        <w:t xml:space="preserve"> </w:t>
      </w:r>
      <w:r>
        <w:rPr>
          <w:lang w:val="cy-GB"/>
        </w:rPr>
        <w:t>Williams, ‘The International Convention, 1929’, 13.</w:t>
      </w:r>
    </w:p>
  </w:footnote>
  <w:footnote w:id="814">
    <w:p w:rsidR="00AB3F05" w:rsidRPr="006B16A2" w:rsidRDefault="00AB3F05" w:rsidP="00062AED">
      <w:pPr>
        <w:pStyle w:val="FootnoteText"/>
        <w:rPr>
          <w:lang w:val="cy-GB"/>
        </w:rPr>
      </w:pPr>
      <w:r>
        <w:rPr>
          <w:rStyle w:val="FootnoteReference"/>
        </w:rPr>
        <w:footnoteRef/>
      </w:r>
      <w:r>
        <w:t xml:space="preserve"> </w:t>
      </w:r>
      <w:r>
        <w:rPr>
          <w:lang w:val="cy-GB"/>
        </w:rPr>
        <w:t xml:space="preserve">‘Wednesday, August 8: Prophetical Ministry (thorugh W. Jones Williams)’, </w:t>
      </w:r>
      <w:r>
        <w:rPr>
          <w:i/>
          <w:lang w:val="cy-GB"/>
        </w:rPr>
        <w:t>RoG</w:t>
      </w:r>
      <w:r>
        <w:rPr>
          <w:lang w:val="cy-GB"/>
        </w:rPr>
        <w:t>, x.6 (July 1935), 229-230.</w:t>
      </w:r>
    </w:p>
  </w:footnote>
  <w:footnote w:id="815">
    <w:p w:rsidR="00AB3F05" w:rsidRPr="0045255C" w:rsidRDefault="00AB3F05" w:rsidP="00062AED">
      <w:pPr>
        <w:pStyle w:val="FootnoteText"/>
        <w:rPr>
          <w:lang w:val="cy-GB"/>
        </w:rPr>
      </w:pPr>
      <w:r>
        <w:rPr>
          <w:rStyle w:val="FootnoteReference"/>
        </w:rPr>
        <w:footnoteRef/>
      </w:r>
      <w:r>
        <w:t xml:space="preserve"> </w:t>
      </w:r>
      <w:r w:rsidRPr="0045255C">
        <w:rPr>
          <w:i/>
          <w:lang w:val="cy-GB"/>
        </w:rPr>
        <w:t>One Lord, One Faith</w:t>
      </w:r>
      <w:r>
        <w:rPr>
          <w:lang w:val="cy-GB"/>
        </w:rPr>
        <w:t>, 81.</w:t>
      </w:r>
    </w:p>
  </w:footnote>
  <w:footnote w:id="816">
    <w:p w:rsidR="00AB3F05" w:rsidRPr="0045255C" w:rsidRDefault="00AB3F05" w:rsidP="00062AED">
      <w:pPr>
        <w:pStyle w:val="FootnoteText"/>
        <w:rPr>
          <w:lang w:val="cy-GB"/>
        </w:rPr>
      </w:pPr>
      <w:r>
        <w:rPr>
          <w:rStyle w:val="FootnoteReference"/>
        </w:rPr>
        <w:footnoteRef/>
      </w:r>
      <w:r>
        <w:t xml:space="preserve"> </w:t>
      </w:r>
      <w:r>
        <w:rPr>
          <w:lang w:val="cy-GB"/>
        </w:rPr>
        <w:t>Ibid.</w:t>
      </w:r>
    </w:p>
  </w:footnote>
  <w:footnote w:id="817">
    <w:p w:rsidR="00AB3F05" w:rsidRPr="0045255C" w:rsidRDefault="00AB3F05" w:rsidP="00062AED">
      <w:pPr>
        <w:pStyle w:val="FootnoteText"/>
        <w:rPr>
          <w:lang w:val="cy-GB"/>
        </w:rPr>
      </w:pPr>
      <w:r>
        <w:rPr>
          <w:rStyle w:val="FootnoteReference"/>
        </w:rPr>
        <w:footnoteRef/>
      </w:r>
      <w:r>
        <w:t xml:space="preserve"> </w:t>
      </w:r>
      <w:r>
        <w:rPr>
          <w:lang w:val="cy-GB"/>
        </w:rPr>
        <w:t>Ibid.</w:t>
      </w:r>
    </w:p>
  </w:footnote>
  <w:footnote w:id="818">
    <w:p w:rsidR="00AB3F05" w:rsidRPr="0045255C" w:rsidRDefault="00AB3F05" w:rsidP="00062AED">
      <w:pPr>
        <w:pStyle w:val="FootnoteText"/>
        <w:rPr>
          <w:lang w:val="cy-GB"/>
        </w:rPr>
      </w:pPr>
      <w:r>
        <w:rPr>
          <w:rStyle w:val="FootnoteReference"/>
        </w:rPr>
        <w:footnoteRef/>
      </w:r>
      <w:r>
        <w:t xml:space="preserve"> </w:t>
      </w:r>
      <w:r>
        <w:rPr>
          <w:lang w:val="cy-GB"/>
        </w:rPr>
        <w:t xml:space="preserve">Rees, </w:t>
      </w:r>
      <w:r w:rsidRPr="00562F7C">
        <w:rPr>
          <w:i/>
          <w:lang w:val="cy-GB"/>
        </w:rPr>
        <w:t>Divine Masterpiece</w:t>
      </w:r>
      <w:r>
        <w:rPr>
          <w:lang w:val="cy-GB"/>
        </w:rPr>
        <w:t xml:space="preserve">, 26,45; idem, ‘Oneness’, </w:t>
      </w:r>
      <w:r>
        <w:rPr>
          <w:i/>
          <w:lang w:val="cy-GB"/>
        </w:rPr>
        <w:t>RoG</w:t>
      </w:r>
      <w:r>
        <w:rPr>
          <w:lang w:val="cy-GB"/>
        </w:rPr>
        <w:t xml:space="preserve">, x.1 (Sept. 1934), 19; W.H. Lewis, ‘Unity’, </w:t>
      </w:r>
      <w:r>
        <w:rPr>
          <w:i/>
          <w:lang w:val="cy-GB"/>
        </w:rPr>
        <w:t>RoG</w:t>
      </w:r>
      <w:r>
        <w:rPr>
          <w:lang w:val="cy-GB"/>
        </w:rPr>
        <w:t xml:space="preserve">, x.1 (Sept. 1934), 30; Jacob Purnell, ‘God’s Perfect Gifts’, </w:t>
      </w:r>
      <w:r>
        <w:rPr>
          <w:i/>
          <w:lang w:val="cy-GB"/>
        </w:rPr>
        <w:t>RoG</w:t>
      </w:r>
      <w:r>
        <w:rPr>
          <w:lang w:val="cy-GB"/>
        </w:rPr>
        <w:t>, vi.6 (July 1931), 246.</w:t>
      </w:r>
    </w:p>
  </w:footnote>
  <w:footnote w:id="819">
    <w:p w:rsidR="00AB3F05" w:rsidRPr="007534CD" w:rsidRDefault="00AB3F05" w:rsidP="00062AED">
      <w:pPr>
        <w:pStyle w:val="FootnoteText"/>
        <w:rPr>
          <w:lang w:val="cy-GB"/>
        </w:rPr>
      </w:pPr>
      <w:r>
        <w:rPr>
          <w:rStyle w:val="FootnoteReference"/>
        </w:rPr>
        <w:footnoteRef/>
      </w:r>
      <w:r>
        <w:t xml:space="preserve"> </w:t>
      </w:r>
      <w:r>
        <w:rPr>
          <w:lang w:val="cy-GB"/>
        </w:rPr>
        <w:t xml:space="preserve">Williams, </w:t>
      </w:r>
      <w:r w:rsidRPr="007534CD">
        <w:rPr>
          <w:i/>
          <w:lang w:val="cy-GB"/>
        </w:rPr>
        <w:t>Athrawiaethau Sylfeinol</w:t>
      </w:r>
      <w:r>
        <w:rPr>
          <w:lang w:val="cy-GB"/>
        </w:rPr>
        <w:t xml:space="preserve">, 4; See also D.P. Williams, foreword to Rees, </w:t>
      </w:r>
      <w:r w:rsidRPr="00144A37">
        <w:rPr>
          <w:i/>
          <w:lang w:val="cy-GB"/>
        </w:rPr>
        <w:t>Divine Materpiece</w:t>
      </w:r>
      <w:r>
        <w:rPr>
          <w:lang w:val="cy-GB"/>
        </w:rPr>
        <w:t>, 1-2.</w:t>
      </w:r>
    </w:p>
  </w:footnote>
  <w:footnote w:id="820">
    <w:p w:rsidR="00AB3F05" w:rsidRPr="00562F7C" w:rsidRDefault="00AB3F05" w:rsidP="00062AED">
      <w:pPr>
        <w:pStyle w:val="FootnoteText"/>
        <w:rPr>
          <w:lang w:val="cy-GB"/>
        </w:rPr>
      </w:pPr>
      <w:r>
        <w:rPr>
          <w:rStyle w:val="FootnoteReference"/>
        </w:rPr>
        <w:footnoteRef/>
      </w:r>
      <w:r>
        <w:t xml:space="preserve"> </w:t>
      </w:r>
      <w:r>
        <w:rPr>
          <w:lang w:val="cy-GB"/>
        </w:rPr>
        <w:t xml:space="preserve">Thomas Jones, ‘Eglwys Iesu Grist’, </w:t>
      </w:r>
      <w:r w:rsidRPr="00562F7C">
        <w:rPr>
          <w:i/>
          <w:lang w:val="cy-GB"/>
        </w:rPr>
        <w:t>Cyfoeth y Gras</w:t>
      </w:r>
      <w:r>
        <w:rPr>
          <w:lang w:val="cy-GB"/>
        </w:rPr>
        <w:t xml:space="preserve"> (</w:t>
      </w:r>
      <w:r>
        <w:rPr>
          <w:i/>
          <w:lang w:val="cy-GB"/>
        </w:rPr>
        <w:t>RoG</w:t>
      </w:r>
      <w:r>
        <w:rPr>
          <w:lang w:val="cy-GB"/>
        </w:rPr>
        <w:t xml:space="preserve">), i.1 (April 1916), 5. See further, e.g.: D.T. Rennie, ‘Our Heritage: Pentecostal’, </w:t>
      </w:r>
      <w:r>
        <w:rPr>
          <w:i/>
          <w:lang w:val="cy-GB"/>
        </w:rPr>
        <w:t>RoG</w:t>
      </w:r>
      <w:r>
        <w:rPr>
          <w:lang w:val="cy-GB"/>
        </w:rPr>
        <w:t xml:space="preserve">, 12.3 (March 1959), 81; Thomas, </w:t>
      </w:r>
      <w:r w:rsidRPr="00026E06">
        <w:rPr>
          <w:i/>
          <w:lang w:val="cy-GB"/>
        </w:rPr>
        <w:t>On Ephesians</w:t>
      </w:r>
      <w:r>
        <w:rPr>
          <w:lang w:val="cy-GB"/>
        </w:rPr>
        <w:t>, 2.</w:t>
      </w:r>
    </w:p>
  </w:footnote>
  <w:footnote w:id="821">
    <w:p w:rsidR="00AB3F05" w:rsidRPr="00026E06" w:rsidRDefault="00AB3F05" w:rsidP="00062AED">
      <w:pPr>
        <w:pStyle w:val="FootnoteText"/>
        <w:rPr>
          <w:lang w:val="cy-GB"/>
        </w:rPr>
      </w:pPr>
      <w:r>
        <w:rPr>
          <w:rStyle w:val="FootnoteReference"/>
        </w:rPr>
        <w:footnoteRef/>
      </w:r>
      <w:r>
        <w:t xml:space="preserve"> </w:t>
      </w:r>
      <w:r w:rsidRPr="006E0759">
        <w:rPr>
          <w:i/>
          <w:lang w:val="cy-GB"/>
        </w:rPr>
        <w:t>Westminster Shorter Catechism</w:t>
      </w:r>
      <w:r>
        <w:rPr>
          <w:lang w:val="cy-GB"/>
        </w:rPr>
        <w:t>, 7.</w:t>
      </w:r>
    </w:p>
  </w:footnote>
  <w:footnote w:id="822">
    <w:p w:rsidR="00AB3F05" w:rsidRPr="00144A37" w:rsidRDefault="00AB3F05" w:rsidP="00062AED">
      <w:pPr>
        <w:pStyle w:val="FootnoteText"/>
        <w:rPr>
          <w:lang w:val="cy-GB"/>
        </w:rPr>
      </w:pPr>
      <w:r>
        <w:rPr>
          <w:rStyle w:val="FootnoteReference"/>
        </w:rPr>
        <w:footnoteRef/>
      </w:r>
      <w:r>
        <w:t xml:space="preserve"> </w:t>
      </w:r>
      <w:r>
        <w:rPr>
          <w:lang w:val="cy-GB"/>
        </w:rPr>
        <w:t xml:space="preserve">D.P. Williams, ‘Editorial Note’, </w:t>
      </w:r>
      <w:r>
        <w:rPr>
          <w:i/>
          <w:lang w:val="cy-GB"/>
        </w:rPr>
        <w:t>RoG</w:t>
      </w:r>
      <w:r>
        <w:rPr>
          <w:lang w:val="cy-GB"/>
        </w:rPr>
        <w:t>, v.3 (Jan. 1930), 88-89.</w:t>
      </w:r>
    </w:p>
  </w:footnote>
  <w:footnote w:id="823">
    <w:p w:rsidR="00AB3F05" w:rsidRPr="00144A37" w:rsidRDefault="00AB3F05" w:rsidP="00062AED">
      <w:pPr>
        <w:pStyle w:val="FootnoteText"/>
        <w:rPr>
          <w:lang w:val="cy-GB"/>
        </w:rPr>
      </w:pPr>
      <w:r>
        <w:rPr>
          <w:rStyle w:val="FootnoteReference"/>
        </w:rPr>
        <w:footnoteRef/>
      </w:r>
      <w:r>
        <w:t xml:space="preserve"> </w:t>
      </w:r>
      <w:r>
        <w:rPr>
          <w:lang w:val="cy-GB"/>
        </w:rPr>
        <w:t>Ibid.</w:t>
      </w:r>
    </w:p>
  </w:footnote>
  <w:footnote w:id="824">
    <w:p w:rsidR="00AB3F05" w:rsidRPr="0084568B" w:rsidRDefault="00AB3F05" w:rsidP="00062AED">
      <w:pPr>
        <w:pStyle w:val="FootnoteText"/>
      </w:pPr>
      <w:r>
        <w:rPr>
          <w:rStyle w:val="FootnoteReference"/>
        </w:rPr>
        <w:footnoteRef/>
      </w:r>
      <w:r>
        <w:t xml:space="preserve"> </w:t>
      </w:r>
      <w:r w:rsidRPr="0084568B">
        <w:rPr>
          <w:i/>
        </w:rPr>
        <w:t>Westminster Shorter Catechism</w:t>
      </w:r>
      <w:r>
        <w:t>, 8.</w:t>
      </w:r>
    </w:p>
  </w:footnote>
  <w:footnote w:id="825">
    <w:p w:rsidR="00AB3F05" w:rsidRPr="009347F7" w:rsidRDefault="00AB3F05" w:rsidP="00062AED">
      <w:pPr>
        <w:pStyle w:val="FootnoteText"/>
        <w:rPr>
          <w:lang w:val="cy-GB"/>
        </w:rPr>
      </w:pPr>
      <w:r>
        <w:rPr>
          <w:rStyle w:val="FootnoteReference"/>
        </w:rPr>
        <w:footnoteRef/>
      </w:r>
      <w:r w:rsidRPr="009347F7">
        <w:rPr>
          <w:lang w:val="cy-GB"/>
        </w:rPr>
        <w:t xml:space="preserve"> </w:t>
      </w:r>
      <w:r>
        <w:rPr>
          <w:lang w:val="cy-GB"/>
        </w:rPr>
        <w:t>Chiefly:</w:t>
      </w:r>
      <w:r w:rsidRPr="009347F7">
        <w:rPr>
          <w:lang w:val="cy-GB"/>
        </w:rPr>
        <w:t xml:space="preserve"> </w:t>
      </w:r>
      <w:r w:rsidRPr="009347F7">
        <w:rPr>
          <w:i/>
          <w:lang w:val="cy-GB"/>
        </w:rPr>
        <w:t xml:space="preserve">Arfaeth, Bwriad, Dibenion, Drefn, </w:t>
      </w:r>
      <w:r>
        <w:rPr>
          <w:i/>
          <w:lang w:val="cy-GB"/>
        </w:rPr>
        <w:t xml:space="preserve">Cynllun, </w:t>
      </w:r>
      <w:r w:rsidRPr="009347F7">
        <w:rPr>
          <w:i/>
          <w:lang w:val="cy-GB"/>
        </w:rPr>
        <w:t>Gweledigaeth</w:t>
      </w:r>
      <w:r>
        <w:rPr>
          <w:lang w:val="cy-GB"/>
        </w:rPr>
        <w:t>.</w:t>
      </w:r>
    </w:p>
  </w:footnote>
  <w:footnote w:id="826">
    <w:p w:rsidR="00AB3F05" w:rsidRPr="002A7699" w:rsidRDefault="00AB3F05" w:rsidP="00062AED">
      <w:pPr>
        <w:pStyle w:val="FootnoteText"/>
        <w:rPr>
          <w:lang w:val="cy-GB"/>
        </w:rPr>
      </w:pPr>
      <w:r>
        <w:rPr>
          <w:rStyle w:val="FootnoteReference"/>
        </w:rPr>
        <w:footnoteRef/>
      </w:r>
      <w:r>
        <w:t xml:space="preserve"> </w:t>
      </w:r>
      <w:r>
        <w:rPr>
          <w:lang w:val="cy-GB"/>
        </w:rPr>
        <w:t xml:space="preserve">Jacob Purnell, ‘St Paul’s Apostleship’, </w:t>
      </w:r>
      <w:r>
        <w:rPr>
          <w:i/>
          <w:lang w:val="cy-GB"/>
        </w:rPr>
        <w:t>RoG</w:t>
      </w:r>
      <w:r>
        <w:rPr>
          <w:lang w:val="cy-GB"/>
        </w:rPr>
        <w:t>, v.5 (May 1930), 209.</w:t>
      </w:r>
    </w:p>
  </w:footnote>
  <w:footnote w:id="827">
    <w:p w:rsidR="00AB3F05" w:rsidRPr="00643054" w:rsidRDefault="00AB3F05" w:rsidP="00062AED">
      <w:pPr>
        <w:pStyle w:val="FootnoteText"/>
        <w:rPr>
          <w:lang w:val="cy-GB"/>
        </w:rPr>
      </w:pPr>
      <w:r>
        <w:rPr>
          <w:rStyle w:val="FootnoteReference"/>
        </w:rPr>
        <w:footnoteRef/>
      </w:r>
      <w:r>
        <w:t xml:space="preserve"> </w:t>
      </w:r>
      <w:r>
        <w:rPr>
          <w:lang w:val="cy-GB"/>
        </w:rPr>
        <w:t xml:space="preserve">Williams, </w:t>
      </w:r>
      <w:r w:rsidRPr="00643054">
        <w:rPr>
          <w:i/>
          <w:lang w:val="cy-GB"/>
        </w:rPr>
        <w:t>Athrawiaethau Sylfeinol</w:t>
      </w:r>
      <w:r>
        <w:rPr>
          <w:lang w:val="cy-GB"/>
        </w:rPr>
        <w:t>, 4,7.</w:t>
      </w:r>
    </w:p>
  </w:footnote>
  <w:footnote w:id="828">
    <w:p w:rsidR="00AB3F05" w:rsidRPr="00E10CEA" w:rsidRDefault="00AB3F05" w:rsidP="00062AED">
      <w:pPr>
        <w:pStyle w:val="FootnoteText"/>
      </w:pPr>
      <w:r>
        <w:rPr>
          <w:rStyle w:val="FootnoteReference"/>
        </w:rPr>
        <w:footnoteRef/>
      </w:r>
      <w:r>
        <w:t xml:space="preserve"> D.P. Williams, ‘Exposition of Foregoing Prophecies’, </w:t>
      </w:r>
      <w:r>
        <w:rPr>
          <w:i/>
        </w:rPr>
        <w:t>RoG</w:t>
      </w:r>
      <w:r>
        <w:t>, xii.1 (Sept. 1936), 16.</w:t>
      </w:r>
    </w:p>
  </w:footnote>
  <w:footnote w:id="829">
    <w:p w:rsidR="00AB3F05" w:rsidRPr="006A297C" w:rsidRDefault="00AB3F05" w:rsidP="00062AED">
      <w:pPr>
        <w:pStyle w:val="FootnoteText"/>
        <w:rPr>
          <w:lang w:val="cy-GB"/>
        </w:rPr>
      </w:pPr>
      <w:r>
        <w:rPr>
          <w:rStyle w:val="FootnoteReference"/>
        </w:rPr>
        <w:footnoteRef/>
      </w:r>
      <w:r>
        <w:t xml:space="preserve"> </w:t>
      </w:r>
      <w:r>
        <w:rPr>
          <w:lang w:val="cy-GB"/>
        </w:rPr>
        <w:t xml:space="preserve">D.P. Williams, ‘Y Tri Perffeithiad’, </w:t>
      </w:r>
      <w:r>
        <w:rPr>
          <w:i/>
          <w:lang w:val="cy-GB"/>
        </w:rPr>
        <w:t>RoG</w:t>
      </w:r>
      <w:r>
        <w:rPr>
          <w:lang w:val="cy-GB"/>
        </w:rPr>
        <w:t xml:space="preserve">, ii.4 (July 1923), 10; see also idem, </w:t>
      </w:r>
      <w:r w:rsidRPr="006A297C">
        <w:rPr>
          <w:i/>
          <w:lang w:val="cy-GB"/>
        </w:rPr>
        <w:t>Athrawiaethau Sylfeinol</w:t>
      </w:r>
      <w:r>
        <w:rPr>
          <w:lang w:val="cy-GB"/>
        </w:rPr>
        <w:t>, 7, where it is the Father who ‘purposes’ (</w:t>
      </w:r>
      <w:r w:rsidRPr="006A297C">
        <w:rPr>
          <w:i/>
          <w:lang w:val="cy-GB"/>
        </w:rPr>
        <w:t>arfaethu</w:t>
      </w:r>
      <w:r>
        <w:rPr>
          <w:lang w:val="cy-GB"/>
        </w:rPr>
        <w:t>).</w:t>
      </w:r>
    </w:p>
  </w:footnote>
  <w:footnote w:id="830">
    <w:p w:rsidR="00AB3F05" w:rsidRPr="00455841" w:rsidRDefault="00AB3F05" w:rsidP="00062AED">
      <w:pPr>
        <w:pStyle w:val="FootnoteText"/>
        <w:rPr>
          <w:lang w:val="cy-GB"/>
        </w:rPr>
      </w:pPr>
      <w:r>
        <w:rPr>
          <w:rStyle w:val="FootnoteReference"/>
        </w:rPr>
        <w:footnoteRef/>
      </w:r>
      <w:r>
        <w:t xml:space="preserve"> </w:t>
      </w:r>
      <w:r>
        <w:rPr>
          <w:lang w:val="cy-GB"/>
        </w:rPr>
        <w:t xml:space="preserve">Williams, ‘Y Tri Perffeithiad’, 10-11; idem, ‘Exposition of Prophetical Word’, </w:t>
      </w:r>
      <w:r>
        <w:rPr>
          <w:i/>
          <w:lang w:val="cy-GB"/>
        </w:rPr>
        <w:t>RoG</w:t>
      </w:r>
      <w:r>
        <w:rPr>
          <w:lang w:val="cy-GB"/>
        </w:rPr>
        <w:t xml:space="preserve">, x.2 (Nov. 1934), 65; idem, </w:t>
      </w:r>
      <w:r w:rsidRPr="003F5433">
        <w:rPr>
          <w:i/>
          <w:lang w:val="cy-GB"/>
        </w:rPr>
        <w:t>Lord’s Prayer</w:t>
      </w:r>
      <w:r>
        <w:rPr>
          <w:lang w:val="cy-GB"/>
        </w:rPr>
        <w:t>, 65.</w:t>
      </w:r>
    </w:p>
  </w:footnote>
  <w:footnote w:id="831">
    <w:p w:rsidR="00AB3F05" w:rsidRPr="005A6D86" w:rsidRDefault="00AB3F05" w:rsidP="00062AED">
      <w:pPr>
        <w:pStyle w:val="FootnoteText"/>
        <w:rPr>
          <w:lang w:val="cy-GB"/>
        </w:rPr>
      </w:pPr>
      <w:r>
        <w:rPr>
          <w:rStyle w:val="FootnoteReference"/>
        </w:rPr>
        <w:footnoteRef/>
      </w:r>
      <w:r>
        <w:t xml:space="preserve"> </w:t>
      </w:r>
      <w:r>
        <w:rPr>
          <w:lang w:val="cy-GB"/>
        </w:rPr>
        <w:t>Williams, ‘Y Tri Perffeithiad’, 11.</w:t>
      </w:r>
    </w:p>
  </w:footnote>
  <w:footnote w:id="832">
    <w:p w:rsidR="00AB3F05" w:rsidRPr="00AD0723" w:rsidRDefault="00AB3F05" w:rsidP="00062AED">
      <w:pPr>
        <w:pStyle w:val="FootnoteText"/>
      </w:pPr>
      <w:r>
        <w:rPr>
          <w:rStyle w:val="FootnoteReference"/>
        </w:rPr>
        <w:footnoteRef/>
      </w:r>
      <w:r>
        <w:t xml:space="preserve"> D.P. Williams, ‘Exposition’, </w:t>
      </w:r>
      <w:r>
        <w:rPr>
          <w:i/>
        </w:rPr>
        <w:t>RoG</w:t>
      </w:r>
      <w:r>
        <w:t xml:space="preserve">, iii.1 (March 1927), 30; idem, ‘Highpriestly Prayer’, 15; idem, ‘Editorial Note’, </w:t>
      </w:r>
      <w:r>
        <w:rPr>
          <w:i/>
        </w:rPr>
        <w:t>RoG</w:t>
      </w:r>
      <w:r>
        <w:t xml:space="preserve">, v.3 (Jan. 1930), 88-89; see also </w:t>
      </w:r>
      <w:r>
        <w:rPr>
          <w:i/>
        </w:rPr>
        <w:t>MDd</w:t>
      </w:r>
      <w:r>
        <w:t>, 139 and 305. Also note the close connection between the Eternal Purpose and the blood of Christ in many of D.P. Williams’ hymns.</w:t>
      </w:r>
    </w:p>
  </w:footnote>
  <w:footnote w:id="833">
    <w:p w:rsidR="00AB3F05" w:rsidRPr="00AA0437" w:rsidRDefault="00AB3F05" w:rsidP="00062AED">
      <w:pPr>
        <w:pStyle w:val="FootnoteText"/>
        <w:rPr>
          <w:lang w:val="cy-GB"/>
        </w:rPr>
      </w:pPr>
      <w:r>
        <w:rPr>
          <w:rStyle w:val="FootnoteReference"/>
        </w:rPr>
        <w:footnoteRef/>
      </w:r>
      <w:r>
        <w:t xml:space="preserve"> </w:t>
      </w:r>
      <w:r>
        <w:rPr>
          <w:lang w:val="cy-GB"/>
        </w:rPr>
        <w:t>Williams, ‘Exposition’ (March 1927), 30.</w:t>
      </w:r>
    </w:p>
  </w:footnote>
  <w:footnote w:id="834">
    <w:p w:rsidR="00AB3F05" w:rsidRPr="00AA0437" w:rsidRDefault="00AB3F05" w:rsidP="00062AED">
      <w:pPr>
        <w:pStyle w:val="FootnoteText"/>
        <w:rPr>
          <w:lang w:val="cy-GB"/>
        </w:rPr>
      </w:pPr>
      <w:r>
        <w:rPr>
          <w:rStyle w:val="FootnoteReference"/>
        </w:rPr>
        <w:footnoteRef/>
      </w:r>
      <w:r>
        <w:t xml:space="preserve"> </w:t>
      </w:r>
      <w:r>
        <w:rPr>
          <w:lang w:val="cy-GB"/>
        </w:rPr>
        <w:t>Ibid.</w:t>
      </w:r>
    </w:p>
  </w:footnote>
  <w:footnote w:id="835">
    <w:p w:rsidR="00AB3F05" w:rsidRPr="00AA0437" w:rsidRDefault="00AB3F05" w:rsidP="00062AED">
      <w:pPr>
        <w:pStyle w:val="FootnoteText"/>
        <w:rPr>
          <w:lang w:val="cy-GB"/>
        </w:rPr>
      </w:pPr>
      <w:r>
        <w:rPr>
          <w:rStyle w:val="FootnoteReference"/>
        </w:rPr>
        <w:footnoteRef/>
      </w:r>
      <w:r>
        <w:t xml:space="preserve"> </w:t>
      </w:r>
      <w:r>
        <w:rPr>
          <w:lang w:val="cy-GB"/>
        </w:rPr>
        <w:t>Ibid.</w:t>
      </w:r>
    </w:p>
  </w:footnote>
  <w:footnote w:id="836">
    <w:p w:rsidR="00AB3F05" w:rsidRPr="002A5503" w:rsidRDefault="00AB3F05" w:rsidP="00062AED">
      <w:pPr>
        <w:pStyle w:val="FootnoteText"/>
      </w:pPr>
      <w:r>
        <w:rPr>
          <w:rStyle w:val="FootnoteReference"/>
        </w:rPr>
        <w:footnoteRef/>
      </w:r>
      <w:r>
        <w:t xml:space="preserve"> See especially </w:t>
      </w:r>
      <w:r>
        <w:rPr>
          <w:i/>
        </w:rPr>
        <w:t>MDd,</w:t>
      </w:r>
      <w:r>
        <w:t xml:space="preserve"> 305.</w:t>
      </w:r>
    </w:p>
  </w:footnote>
  <w:footnote w:id="837">
    <w:p w:rsidR="00AB3F05" w:rsidRPr="00055652" w:rsidRDefault="00AB3F05" w:rsidP="00062AED">
      <w:pPr>
        <w:pStyle w:val="FootnoteText"/>
      </w:pPr>
      <w:r>
        <w:rPr>
          <w:rStyle w:val="FootnoteReference"/>
        </w:rPr>
        <w:footnoteRef/>
      </w:r>
      <w:r>
        <w:t xml:space="preserve"> D.P. Williams, ‘The International Convention of the Apostolic Church at Penygroes, Carmarthenshire, 1929: Saturday Evening, Aug. 3</w:t>
      </w:r>
      <w:r w:rsidRPr="00055652">
        <w:rPr>
          <w:vertAlign w:val="superscript"/>
        </w:rPr>
        <w:t>rd</w:t>
      </w:r>
      <w:r>
        <w:t xml:space="preserve">’, </w:t>
      </w:r>
      <w:r>
        <w:rPr>
          <w:i/>
        </w:rPr>
        <w:t>RoG</w:t>
      </w:r>
      <w:r>
        <w:t>, v.1 (Sept. 1929), 10.</w:t>
      </w:r>
    </w:p>
  </w:footnote>
  <w:footnote w:id="838">
    <w:p w:rsidR="00AB3F05" w:rsidRPr="00055652" w:rsidRDefault="00AB3F05" w:rsidP="00062AED">
      <w:pPr>
        <w:pStyle w:val="FootnoteText"/>
      </w:pPr>
      <w:r>
        <w:rPr>
          <w:rStyle w:val="FootnoteReference"/>
        </w:rPr>
        <w:footnoteRef/>
      </w:r>
      <w:r>
        <w:t xml:space="preserve"> Ibid.</w:t>
      </w:r>
    </w:p>
  </w:footnote>
  <w:footnote w:id="839">
    <w:p w:rsidR="00AB3F05" w:rsidRPr="0043799A" w:rsidRDefault="00AB3F05" w:rsidP="00062AED">
      <w:pPr>
        <w:pStyle w:val="FootnoteText"/>
      </w:pPr>
      <w:r>
        <w:rPr>
          <w:rStyle w:val="FootnoteReference"/>
        </w:rPr>
        <w:footnoteRef/>
      </w:r>
      <w:r>
        <w:t xml:space="preserve"> D.P. Williams, ‘The Body of Christ and the Throne’, </w:t>
      </w:r>
      <w:r>
        <w:rPr>
          <w:i/>
        </w:rPr>
        <w:t>RoG</w:t>
      </w:r>
      <w:r>
        <w:t>, xiv.4 (March 1939), 351.</w:t>
      </w:r>
    </w:p>
  </w:footnote>
  <w:footnote w:id="840">
    <w:p w:rsidR="00AB3F05" w:rsidRPr="00D617F4" w:rsidRDefault="00AB3F05" w:rsidP="00062AED">
      <w:pPr>
        <w:pStyle w:val="FootnoteText"/>
      </w:pPr>
      <w:r>
        <w:rPr>
          <w:rStyle w:val="FootnoteReference"/>
        </w:rPr>
        <w:footnoteRef/>
      </w:r>
      <w:r>
        <w:t xml:space="preserve"> D.P. Williams, ‘Exposition of Prophecy’, </w:t>
      </w:r>
      <w:r>
        <w:rPr>
          <w:i/>
        </w:rPr>
        <w:t>RoG</w:t>
      </w:r>
      <w:r>
        <w:t>, v.1 (Sept. 1929), 27.</w:t>
      </w:r>
    </w:p>
  </w:footnote>
  <w:footnote w:id="841">
    <w:p w:rsidR="00AB3F05" w:rsidRPr="00D617F4" w:rsidRDefault="00AB3F05" w:rsidP="00062AED">
      <w:pPr>
        <w:pStyle w:val="FootnoteText"/>
      </w:pPr>
      <w:r>
        <w:rPr>
          <w:rStyle w:val="FootnoteReference"/>
        </w:rPr>
        <w:footnoteRef/>
      </w:r>
      <w:r>
        <w:t xml:space="preserve"> D.P. Williams, ‘Editorial Note’, </w:t>
      </w:r>
      <w:r>
        <w:rPr>
          <w:i/>
        </w:rPr>
        <w:t>RoG</w:t>
      </w:r>
      <w:r>
        <w:t xml:space="preserve">, v.3 (Jan. 1930), 89; idem, Foreword to Rees, </w:t>
      </w:r>
      <w:r w:rsidRPr="003F5433">
        <w:rPr>
          <w:i/>
        </w:rPr>
        <w:t>Divine Masterpiece</w:t>
      </w:r>
      <w:r>
        <w:t>, 1.</w:t>
      </w:r>
    </w:p>
  </w:footnote>
  <w:footnote w:id="842">
    <w:p w:rsidR="00AB3F05" w:rsidRPr="003E3F48" w:rsidRDefault="00AB3F05" w:rsidP="00062AED">
      <w:pPr>
        <w:pStyle w:val="FootnoteText"/>
      </w:pPr>
      <w:r>
        <w:rPr>
          <w:rStyle w:val="FootnoteReference"/>
        </w:rPr>
        <w:footnoteRef/>
      </w:r>
      <w:r>
        <w:t xml:space="preserve"> </w:t>
      </w:r>
      <w:r w:rsidRPr="00A37641">
        <w:t>D.P. Williams, ‘All Sovereignty is His’, 74.</w:t>
      </w:r>
    </w:p>
  </w:footnote>
  <w:footnote w:id="843">
    <w:p w:rsidR="00AB3F05" w:rsidRPr="00402A55" w:rsidRDefault="00AB3F05" w:rsidP="00062AED">
      <w:pPr>
        <w:pStyle w:val="FootnoteText"/>
      </w:pPr>
      <w:r>
        <w:rPr>
          <w:rStyle w:val="FootnoteReference"/>
        </w:rPr>
        <w:footnoteRef/>
      </w:r>
      <w:r>
        <w:t xml:space="preserve"> Ibid.</w:t>
      </w:r>
    </w:p>
  </w:footnote>
  <w:footnote w:id="844">
    <w:p w:rsidR="00AB3F05" w:rsidRPr="00C068FC" w:rsidRDefault="00AB3F05" w:rsidP="00062AED">
      <w:pPr>
        <w:pStyle w:val="FootnoteText"/>
      </w:pPr>
      <w:r>
        <w:rPr>
          <w:rStyle w:val="FootnoteReference"/>
        </w:rPr>
        <w:footnoteRef/>
      </w:r>
      <w:r>
        <w:t xml:space="preserve"> Ibid.</w:t>
      </w:r>
    </w:p>
  </w:footnote>
  <w:footnote w:id="845">
    <w:p w:rsidR="00AB3F05" w:rsidRPr="006B5393" w:rsidRDefault="00AB3F05" w:rsidP="00062AED">
      <w:pPr>
        <w:pStyle w:val="FootnoteText"/>
      </w:pPr>
      <w:r>
        <w:rPr>
          <w:rStyle w:val="FootnoteReference"/>
        </w:rPr>
        <w:footnoteRef/>
      </w:r>
      <w:r>
        <w:t xml:space="preserve"> Ibid. Cf. D.P. Williams, ‘The Inception of the World-Wide Missionary Cause 2’, </w:t>
      </w:r>
      <w:r w:rsidRPr="00EB538F">
        <w:rPr>
          <w:i/>
        </w:rPr>
        <w:t>AH</w:t>
      </w:r>
      <w:r>
        <w:t xml:space="preserve"> 1.8 (Oct. 1925), 258-259; idem, ‘The Eternal Word’, </w:t>
      </w:r>
      <w:r w:rsidRPr="00EB538F">
        <w:rPr>
          <w:i/>
        </w:rPr>
        <w:t>AH</w:t>
      </w:r>
      <w:r>
        <w:t xml:space="preserve"> 2.3 (Oct. 1927), 58.</w:t>
      </w:r>
    </w:p>
  </w:footnote>
  <w:footnote w:id="846">
    <w:p w:rsidR="00AB3F05" w:rsidRPr="00823E21" w:rsidRDefault="00AB3F05" w:rsidP="00062AED">
      <w:pPr>
        <w:pStyle w:val="FootnoteText"/>
      </w:pPr>
      <w:r>
        <w:rPr>
          <w:rStyle w:val="FootnoteReference"/>
        </w:rPr>
        <w:footnoteRef/>
      </w:r>
      <w:r>
        <w:t xml:space="preserve"> </w:t>
      </w:r>
      <w:r w:rsidRPr="00EB538F">
        <w:t xml:space="preserve">While research on North American Pentecostalism has pointed to Wesleyan and Arminian backgrounds, the same is not true of British Pentecostalism in general, and particularly when it comes to the Apostolic Church. </w:t>
      </w:r>
    </w:p>
  </w:footnote>
  <w:footnote w:id="847">
    <w:p w:rsidR="00AB3F05" w:rsidRPr="003F168C" w:rsidRDefault="00AB3F05" w:rsidP="00062AED">
      <w:pPr>
        <w:pStyle w:val="FootnoteText"/>
      </w:pPr>
      <w:r>
        <w:rPr>
          <w:rStyle w:val="FootnoteReference"/>
        </w:rPr>
        <w:footnoteRef/>
      </w:r>
      <w:r>
        <w:t xml:space="preserve"> Williams, ‘Three Spheres’, 204.</w:t>
      </w:r>
    </w:p>
  </w:footnote>
  <w:footnote w:id="848">
    <w:p w:rsidR="00AB3F05" w:rsidRPr="00484719" w:rsidRDefault="00AB3F05" w:rsidP="00062AED">
      <w:pPr>
        <w:pStyle w:val="FootnoteText"/>
      </w:pPr>
      <w:r>
        <w:rPr>
          <w:rStyle w:val="FootnoteReference"/>
        </w:rPr>
        <w:footnoteRef/>
      </w:r>
      <w:r>
        <w:t xml:space="preserve"> Ibid., 203. Although the article is written in English, Williams does use some Welsh here as he is referring back to a Welsh prophecy. Hence the combination of languages.</w:t>
      </w:r>
    </w:p>
  </w:footnote>
  <w:footnote w:id="849">
    <w:p w:rsidR="00AB3F05" w:rsidRPr="006252EE" w:rsidRDefault="00AB3F05" w:rsidP="00062AED">
      <w:pPr>
        <w:pStyle w:val="FootnoteText"/>
      </w:pPr>
      <w:r>
        <w:rPr>
          <w:rStyle w:val="FootnoteReference"/>
        </w:rPr>
        <w:footnoteRef/>
      </w:r>
      <w:r>
        <w:t xml:space="preserve"> Ibid., 205.</w:t>
      </w:r>
    </w:p>
  </w:footnote>
  <w:footnote w:id="850">
    <w:p w:rsidR="00AB3F05" w:rsidRPr="00524B9A" w:rsidRDefault="00AB3F05" w:rsidP="00062AED">
      <w:pPr>
        <w:pStyle w:val="FootnoteText"/>
      </w:pPr>
      <w:r>
        <w:rPr>
          <w:rStyle w:val="FootnoteReference"/>
        </w:rPr>
        <w:footnoteRef/>
      </w:r>
      <w:r>
        <w:t xml:space="preserve"> Ibid.</w:t>
      </w:r>
    </w:p>
  </w:footnote>
  <w:footnote w:id="851">
    <w:p w:rsidR="00AB3F05" w:rsidRPr="00524B9A" w:rsidRDefault="00AB3F05" w:rsidP="00062AED">
      <w:pPr>
        <w:pStyle w:val="FootnoteText"/>
      </w:pPr>
      <w:r>
        <w:rPr>
          <w:rStyle w:val="FootnoteReference"/>
        </w:rPr>
        <w:footnoteRef/>
      </w:r>
      <w:r>
        <w:t xml:space="preserve"> D.P. Williams, ‘Foreword’, </w:t>
      </w:r>
      <w:r>
        <w:rPr>
          <w:i/>
        </w:rPr>
        <w:t>RoG</w:t>
      </w:r>
      <w:r>
        <w:t>, x.1 (Sept. 1934), 1.</w:t>
      </w:r>
    </w:p>
  </w:footnote>
  <w:footnote w:id="852">
    <w:p w:rsidR="00AB3F05" w:rsidRPr="00E04D18" w:rsidRDefault="00AB3F05" w:rsidP="00062AED">
      <w:pPr>
        <w:pStyle w:val="FootnoteText"/>
      </w:pPr>
      <w:r>
        <w:rPr>
          <w:rStyle w:val="FootnoteReference"/>
        </w:rPr>
        <w:footnoteRef/>
      </w:r>
      <w:r>
        <w:t xml:space="preserve"> Williams, ‘Three Spheres’, 205.</w:t>
      </w:r>
    </w:p>
  </w:footnote>
  <w:footnote w:id="853">
    <w:p w:rsidR="00AB3F05" w:rsidRPr="0009195B" w:rsidRDefault="00AB3F05" w:rsidP="00062AED">
      <w:pPr>
        <w:pStyle w:val="FootnoteText"/>
      </w:pPr>
      <w:r>
        <w:rPr>
          <w:rStyle w:val="FootnoteReference"/>
        </w:rPr>
        <w:footnoteRef/>
      </w:r>
      <w:r>
        <w:t xml:space="preserve"> Ibid.</w:t>
      </w:r>
    </w:p>
  </w:footnote>
  <w:footnote w:id="854">
    <w:p w:rsidR="00AB3F05" w:rsidRPr="00D049EC" w:rsidRDefault="00AB3F05" w:rsidP="00062AED">
      <w:pPr>
        <w:pStyle w:val="FootnoteText"/>
      </w:pPr>
      <w:r>
        <w:rPr>
          <w:rStyle w:val="FootnoteReference"/>
        </w:rPr>
        <w:footnoteRef/>
      </w:r>
      <w:r>
        <w:t xml:space="preserve"> D.P. Williams, ‘Exposition of Foregoing Prophecies’, </w:t>
      </w:r>
      <w:r>
        <w:rPr>
          <w:i/>
        </w:rPr>
        <w:t>RoG</w:t>
      </w:r>
      <w:r>
        <w:t>, xii.1 (Sept. 1936), 13.</w:t>
      </w:r>
    </w:p>
  </w:footnote>
  <w:footnote w:id="855">
    <w:p w:rsidR="00AB3F05" w:rsidRPr="00AF3C78" w:rsidRDefault="00AB3F05" w:rsidP="00062AED">
      <w:pPr>
        <w:pStyle w:val="FootnoteText"/>
      </w:pPr>
      <w:r>
        <w:rPr>
          <w:rStyle w:val="FootnoteReference"/>
        </w:rPr>
        <w:footnoteRef/>
      </w:r>
      <w:r>
        <w:t xml:space="preserve"> Ibid., 13-14; For the same 3 points see also: W.H. Lewis, ‘The Relationships of the Body of Christ’, </w:t>
      </w:r>
      <w:r>
        <w:rPr>
          <w:i/>
        </w:rPr>
        <w:t>RoG</w:t>
      </w:r>
      <w:r>
        <w:t xml:space="preserve">, vii.4 (March 1932), 125; Thomas Rees, ‘Four Epochal Pictures of the Church’, </w:t>
      </w:r>
      <w:r>
        <w:rPr>
          <w:i/>
        </w:rPr>
        <w:t>RoG</w:t>
      </w:r>
      <w:r>
        <w:t xml:space="preserve">, xv.10 (Nov. 1940), 114; Thomas, </w:t>
      </w:r>
      <w:r w:rsidRPr="00AF3C78">
        <w:rPr>
          <w:i/>
        </w:rPr>
        <w:t>On Ephesians</w:t>
      </w:r>
      <w:r>
        <w:t>, 60.</w:t>
      </w:r>
    </w:p>
  </w:footnote>
  <w:footnote w:id="856">
    <w:p w:rsidR="00AB3F05" w:rsidRPr="00C82D3B" w:rsidRDefault="00AB3F05" w:rsidP="00062AED">
      <w:pPr>
        <w:pStyle w:val="FootnoteText"/>
      </w:pPr>
      <w:r>
        <w:rPr>
          <w:rStyle w:val="FootnoteReference"/>
        </w:rPr>
        <w:footnoteRef/>
      </w:r>
      <w:r>
        <w:t xml:space="preserve"> Williams, ‘Exposition of Foregoing Prophecies’ (Sept.  1936), 14.</w:t>
      </w:r>
    </w:p>
  </w:footnote>
  <w:footnote w:id="857">
    <w:p w:rsidR="00AB3F05" w:rsidRPr="00253320" w:rsidRDefault="00AB3F05" w:rsidP="00062AED">
      <w:pPr>
        <w:pStyle w:val="FootnoteText"/>
      </w:pPr>
      <w:r>
        <w:rPr>
          <w:rStyle w:val="FootnoteReference"/>
        </w:rPr>
        <w:footnoteRef/>
      </w:r>
      <w:r>
        <w:t xml:space="preserve"> Ibid., 17.</w:t>
      </w:r>
    </w:p>
  </w:footnote>
  <w:footnote w:id="858">
    <w:p w:rsidR="00AB3F05" w:rsidRPr="0016349E" w:rsidRDefault="00AB3F05" w:rsidP="00062AED">
      <w:pPr>
        <w:pStyle w:val="FootnoteText"/>
      </w:pPr>
      <w:r>
        <w:rPr>
          <w:rStyle w:val="FootnoteReference"/>
        </w:rPr>
        <w:footnoteRef/>
      </w:r>
      <w:r>
        <w:t xml:space="preserve"> D.P. Williams, ‘The Cross and the Tabernacle’, </w:t>
      </w:r>
      <w:r>
        <w:rPr>
          <w:i/>
        </w:rPr>
        <w:t>RoG</w:t>
      </w:r>
      <w:r>
        <w:t>, v.3 (Jan. 1930), 98.</w:t>
      </w:r>
    </w:p>
  </w:footnote>
  <w:footnote w:id="859">
    <w:p w:rsidR="00AB3F05" w:rsidRPr="005A5870" w:rsidRDefault="00AB3F05" w:rsidP="00062AED">
      <w:pPr>
        <w:pStyle w:val="FootnoteText"/>
      </w:pPr>
      <w:r>
        <w:rPr>
          <w:rStyle w:val="FootnoteReference"/>
        </w:rPr>
        <w:footnoteRef/>
      </w:r>
      <w:r>
        <w:t xml:space="preserve"> </w:t>
      </w:r>
      <w:r w:rsidRPr="00E26797">
        <w:t xml:space="preserve">Williams, </w:t>
      </w:r>
      <w:r w:rsidRPr="00E26797">
        <w:rPr>
          <w:i/>
        </w:rPr>
        <w:t>Sanctuary</w:t>
      </w:r>
      <w:r w:rsidRPr="00E26797">
        <w:t>, 21.</w:t>
      </w:r>
    </w:p>
  </w:footnote>
  <w:footnote w:id="860">
    <w:p w:rsidR="00AB3F05" w:rsidRPr="002B5494" w:rsidRDefault="00AB3F05" w:rsidP="00062AED">
      <w:pPr>
        <w:pStyle w:val="FootnoteText"/>
      </w:pPr>
      <w:r>
        <w:rPr>
          <w:rStyle w:val="FootnoteReference"/>
        </w:rPr>
        <w:footnoteRef/>
      </w:r>
      <w:r>
        <w:t xml:space="preserve"> Williams, ‘The Cross and the Tabernacle’, 98.</w:t>
      </w:r>
    </w:p>
  </w:footnote>
  <w:footnote w:id="861">
    <w:p w:rsidR="00AB3F05" w:rsidRPr="002B5494" w:rsidRDefault="00AB3F05" w:rsidP="00062AED">
      <w:pPr>
        <w:pStyle w:val="FootnoteText"/>
      </w:pPr>
      <w:r>
        <w:rPr>
          <w:rStyle w:val="FootnoteReference"/>
        </w:rPr>
        <w:footnoteRef/>
      </w:r>
      <w:r>
        <w:t xml:space="preserve"> Ibid.</w:t>
      </w:r>
    </w:p>
  </w:footnote>
  <w:footnote w:id="862">
    <w:p w:rsidR="00AB3F05" w:rsidRPr="009A0FE1" w:rsidRDefault="00AB3F05" w:rsidP="00062AED">
      <w:pPr>
        <w:pStyle w:val="FootnoteText"/>
      </w:pPr>
      <w:r>
        <w:rPr>
          <w:rStyle w:val="FootnoteReference"/>
        </w:rPr>
        <w:footnoteRef/>
      </w:r>
      <w:r>
        <w:t xml:space="preserve"> Ibid.</w:t>
      </w:r>
    </w:p>
  </w:footnote>
  <w:footnote w:id="863">
    <w:p w:rsidR="00AB3F05" w:rsidRPr="00CC04EC" w:rsidRDefault="00AB3F05" w:rsidP="00062AED">
      <w:pPr>
        <w:pStyle w:val="FootnoteText"/>
      </w:pPr>
      <w:r>
        <w:rPr>
          <w:rStyle w:val="FootnoteReference"/>
        </w:rPr>
        <w:footnoteRef/>
      </w:r>
      <w:r>
        <w:t xml:space="preserve"> Williams, ‘Highpriestly Prayer’, 15.</w:t>
      </w:r>
    </w:p>
  </w:footnote>
  <w:footnote w:id="864">
    <w:p w:rsidR="00AB3F05" w:rsidRPr="00390E61" w:rsidRDefault="00AB3F05" w:rsidP="00062AED">
      <w:pPr>
        <w:pStyle w:val="FootnoteText"/>
        <w:rPr>
          <w:lang w:val="cy-GB"/>
        </w:rPr>
      </w:pPr>
      <w:r>
        <w:rPr>
          <w:rStyle w:val="FootnoteReference"/>
        </w:rPr>
        <w:footnoteRef/>
      </w:r>
      <w:r>
        <w:t xml:space="preserve"> </w:t>
      </w:r>
      <w:r>
        <w:rPr>
          <w:lang w:val="cy-GB"/>
        </w:rPr>
        <w:t>Williams, ‘The Ministry of the Word’, 178.</w:t>
      </w:r>
    </w:p>
  </w:footnote>
  <w:footnote w:id="865">
    <w:p w:rsidR="00AB3F05" w:rsidRPr="0016349E" w:rsidRDefault="00AB3F05" w:rsidP="00062AED">
      <w:pPr>
        <w:pStyle w:val="FootnoteText"/>
      </w:pPr>
      <w:r>
        <w:rPr>
          <w:rStyle w:val="FootnoteReference"/>
        </w:rPr>
        <w:footnoteRef/>
      </w:r>
      <w:r>
        <w:t xml:space="preserve"> Williams, ‘The Cross and the Tabernacle’, 98; see also idem, ‘Editorial: Life Out of Death’, </w:t>
      </w:r>
      <w:r>
        <w:rPr>
          <w:i/>
        </w:rPr>
        <w:t>RoG</w:t>
      </w:r>
      <w:r>
        <w:t>, xi.4 (March 1936), 309.</w:t>
      </w:r>
    </w:p>
  </w:footnote>
  <w:footnote w:id="866">
    <w:p w:rsidR="00AB3F05" w:rsidRPr="00390E61" w:rsidRDefault="00AB3F05" w:rsidP="00062AED">
      <w:pPr>
        <w:pStyle w:val="FootnoteText"/>
        <w:rPr>
          <w:lang w:val="cy-GB"/>
        </w:rPr>
      </w:pPr>
      <w:r>
        <w:rPr>
          <w:rStyle w:val="FootnoteReference"/>
        </w:rPr>
        <w:footnoteRef/>
      </w:r>
      <w:r>
        <w:t xml:space="preserve"> </w:t>
      </w:r>
      <w:r>
        <w:rPr>
          <w:lang w:val="cy-GB"/>
        </w:rPr>
        <w:t xml:space="preserve">D.P. Williams, ‘Exposition of Prophecy’, </w:t>
      </w:r>
      <w:r>
        <w:rPr>
          <w:i/>
          <w:lang w:val="cy-GB"/>
        </w:rPr>
        <w:t>RoG</w:t>
      </w:r>
      <w:r>
        <w:rPr>
          <w:lang w:val="cy-GB"/>
        </w:rPr>
        <w:t>, v.1 (Sept. 1929), 27.</w:t>
      </w:r>
    </w:p>
  </w:footnote>
  <w:footnote w:id="867">
    <w:p w:rsidR="00AB3F05" w:rsidRPr="00C02ACB" w:rsidRDefault="00AB3F05" w:rsidP="00062AED">
      <w:pPr>
        <w:pStyle w:val="FootnoteText"/>
        <w:rPr>
          <w:lang w:val="cy-GB"/>
        </w:rPr>
      </w:pPr>
      <w:r>
        <w:rPr>
          <w:rStyle w:val="FootnoteReference"/>
        </w:rPr>
        <w:footnoteRef/>
      </w:r>
      <w:r>
        <w:t xml:space="preserve"> </w:t>
      </w:r>
      <w:r>
        <w:rPr>
          <w:lang w:val="cy-GB"/>
        </w:rPr>
        <w:t xml:space="preserve">D.P. Williams, </w:t>
      </w:r>
      <w:r>
        <w:rPr>
          <w:i/>
          <w:lang w:val="cy-GB"/>
        </w:rPr>
        <w:t>MDd</w:t>
      </w:r>
      <w:r>
        <w:rPr>
          <w:lang w:val="cy-GB"/>
        </w:rPr>
        <w:t>, 139.</w:t>
      </w:r>
    </w:p>
  </w:footnote>
  <w:footnote w:id="868">
    <w:p w:rsidR="00AB3F05" w:rsidRPr="00C71554" w:rsidRDefault="00AB3F05" w:rsidP="00062AED">
      <w:pPr>
        <w:pStyle w:val="FootnoteText"/>
      </w:pPr>
      <w:r>
        <w:rPr>
          <w:rStyle w:val="FootnoteReference"/>
        </w:rPr>
        <w:footnoteRef/>
      </w:r>
      <w:r>
        <w:t xml:space="preserve"> Thomas, </w:t>
      </w:r>
      <w:r w:rsidRPr="00C71554">
        <w:rPr>
          <w:i/>
        </w:rPr>
        <w:t>On Ephesians</w:t>
      </w:r>
      <w:r>
        <w:t>, 68.</w:t>
      </w:r>
    </w:p>
  </w:footnote>
  <w:footnote w:id="869">
    <w:p w:rsidR="00AB3F05" w:rsidRPr="00C71554" w:rsidRDefault="00AB3F05" w:rsidP="00062AED">
      <w:pPr>
        <w:pStyle w:val="FootnoteText"/>
      </w:pPr>
      <w:r>
        <w:rPr>
          <w:rStyle w:val="FootnoteReference"/>
        </w:rPr>
        <w:footnoteRef/>
      </w:r>
      <w:r>
        <w:t xml:space="preserve"> Ibid., 65.</w:t>
      </w:r>
    </w:p>
  </w:footnote>
  <w:footnote w:id="870">
    <w:p w:rsidR="00AB3F05" w:rsidRPr="00872923" w:rsidRDefault="00AB3F05" w:rsidP="00062AED">
      <w:pPr>
        <w:pStyle w:val="FootnoteText"/>
        <w:rPr>
          <w:lang w:val="cy-GB"/>
        </w:rPr>
      </w:pPr>
      <w:r>
        <w:rPr>
          <w:rStyle w:val="FootnoteReference"/>
        </w:rPr>
        <w:footnoteRef/>
      </w:r>
      <w:r>
        <w:t xml:space="preserve"> </w:t>
      </w:r>
      <w:r>
        <w:rPr>
          <w:lang w:val="cy-GB"/>
        </w:rPr>
        <w:t xml:space="preserve">D.P. Williams, ‘Exposition’, </w:t>
      </w:r>
      <w:r>
        <w:rPr>
          <w:i/>
          <w:lang w:val="cy-GB"/>
        </w:rPr>
        <w:t>RoG</w:t>
      </w:r>
      <w:r>
        <w:rPr>
          <w:lang w:val="cy-GB"/>
        </w:rPr>
        <w:t>, iii.1 (March 1927), 31.</w:t>
      </w:r>
    </w:p>
  </w:footnote>
  <w:footnote w:id="871">
    <w:p w:rsidR="00AB3F05" w:rsidRPr="00872923" w:rsidRDefault="00AB3F05" w:rsidP="00062AED">
      <w:pPr>
        <w:pStyle w:val="FootnoteText"/>
        <w:rPr>
          <w:lang w:val="cy-GB"/>
        </w:rPr>
      </w:pPr>
      <w:r>
        <w:rPr>
          <w:rStyle w:val="FootnoteReference"/>
        </w:rPr>
        <w:footnoteRef/>
      </w:r>
      <w:r>
        <w:t xml:space="preserve"> </w:t>
      </w:r>
      <w:r>
        <w:rPr>
          <w:lang w:val="cy-GB"/>
        </w:rPr>
        <w:t>Ibid., 34.</w:t>
      </w:r>
    </w:p>
  </w:footnote>
  <w:footnote w:id="872">
    <w:p w:rsidR="00AB3F05" w:rsidRPr="000C76A1" w:rsidRDefault="00AB3F05" w:rsidP="00062AED">
      <w:pPr>
        <w:pStyle w:val="FootnoteText"/>
        <w:rPr>
          <w:lang w:val="cy-GB"/>
        </w:rPr>
      </w:pPr>
      <w:r>
        <w:rPr>
          <w:rStyle w:val="FootnoteReference"/>
        </w:rPr>
        <w:footnoteRef/>
      </w:r>
      <w:r>
        <w:t xml:space="preserve"> </w:t>
      </w:r>
      <w:r>
        <w:rPr>
          <w:lang w:val="cy-GB"/>
        </w:rPr>
        <w:t xml:space="preserve">D.P. Williams, ‘Editorial Note’, </w:t>
      </w:r>
      <w:r>
        <w:rPr>
          <w:i/>
          <w:lang w:val="cy-GB"/>
        </w:rPr>
        <w:t>RoG</w:t>
      </w:r>
      <w:r>
        <w:rPr>
          <w:lang w:val="cy-GB"/>
        </w:rPr>
        <w:t>, ii.4 (July 1923), 3.</w:t>
      </w:r>
    </w:p>
  </w:footnote>
  <w:footnote w:id="873">
    <w:p w:rsidR="00AB3F05" w:rsidRPr="00231790" w:rsidRDefault="00AB3F05" w:rsidP="00062AED">
      <w:pPr>
        <w:pStyle w:val="FootnoteText"/>
        <w:rPr>
          <w:lang w:val="cy-GB"/>
        </w:rPr>
      </w:pPr>
      <w:r>
        <w:rPr>
          <w:rStyle w:val="FootnoteReference"/>
        </w:rPr>
        <w:footnoteRef/>
      </w:r>
      <w:r>
        <w:t xml:space="preserve"> </w:t>
      </w:r>
      <w:r>
        <w:rPr>
          <w:lang w:val="cy-GB"/>
        </w:rPr>
        <w:t>Ibid.</w:t>
      </w:r>
    </w:p>
  </w:footnote>
  <w:footnote w:id="874">
    <w:p w:rsidR="00AB3F05" w:rsidRPr="00827164" w:rsidRDefault="00AB3F05" w:rsidP="00062AED">
      <w:pPr>
        <w:pStyle w:val="FootnoteText"/>
      </w:pPr>
      <w:r>
        <w:rPr>
          <w:rStyle w:val="FootnoteReference"/>
        </w:rPr>
        <w:footnoteRef/>
      </w:r>
      <w:r>
        <w:t xml:space="preserve"> Cf. </w:t>
      </w:r>
      <w:r w:rsidRPr="00884D23">
        <w:t>Dionysius the Areopagite</w:t>
      </w:r>
      <w:r>
        <w:t xml:space="preserve">’s definition of theosis; </w:t>
      </w:r>
      <w:r w:rsidRPr="00787AAC">
        <w:t xml:space="preserve">Norman Russell, </w:t>
      </w:r>
      <w:r w:rsidRPr="00787AAC">
        <w:rPr>
          <w:i/>
        </w:rPr>
        <w:t xml:space="preserve">The Doctrine of Deification in the Greek Patristic Tradition </w:t>
      </w:r>
      <w:r w:rsidRPr="00787AAC">
        <w:t>(Oxford: OUP, 2004), 1.</w:t>
      </w:r>
    </w:p>
  </w:footnote>
  <w:footnote w:id="875">
    <w:p w:rsidR="00AB3F05" w:rsidRPr="001F4951" w:rsidRDefault="00AB3F05" w:rsidP="00062AED">
      <w:pPr>
        <w:pStyle w:val="FootnoteText"/>
        <w:rPr>
          <w:lang w:val="cy-GB"/>
        </w:rPr>
      </w:pPr>
      <w:r>
        <w:rPr>
          <w:rStyle w:val="FootnoteReference"/>
        </w:rPr>
        <w:footnoteRef/>
      </w:r>
      <w:r>
        <w:t xml:space="preserve"> </w:t>
      </w:r>
      <w:r>
        <w:rPr>
          <w:lang w:val="cy-GB"/>
        </w:rPr>
        <w:t xml:space="preserve">D.P. Williams, ‘Editorial Note’, </w:t>
      </w:r>
      <w:r>
        <w:rPr>
          <w:i/>
          <w:lang w:val="cy-GB"/>
        </w:rPr>
        <w:t>RoG</w:t>
      </w:r>
      <w:r>
        <w:rPr>
          <w:lang w:val="cy-GB"/>
        </w:rPr>
        <w:t>,ii.4 (July 1923), 3.</w:t>
      </w:r>
    </w:p>
  </w:footnote>
  <w:footnote w:id="876">
    <w:p w:rsidR="00AB3F05" w:rsidRPr="00444CB4" w:rsidRDefault="00AB3F05" w:rsidP="00062AED">
      <w:pPr>
        <w:pStyle w:val="FootnoteText"/>
        <w:rPr>
          <w:lang w:val="cy-GB"/>
        </w:rPr>
      </w:pPr>
      <w:r>
        <w:rPr>
          <w:rStyle w:val="FootnoteReference"/>
        </w:rPr>
        <w:footnoteRef/>
      </w:r>
      <w:r>
        <w:t xml:space="preserve"> </w:t>
      </w:r>
      <w:r>
        <w:rPr>
          <w:lang w:val="cy-GB"/>
        </w:rPr>
        <w:t>Ibid., 5.</w:t>
      </w:r>
    </w:p>
  </w:footnote>
  <w:footnote w:id="877">
    <w:p w:rsidR="00AB3F05" w:rsidRPr="00AF5FF3" w:rsidRDefault="00AB3F05" w:rsidP="00062AED">
      <w:pPr>
        <w:pStyle w:val="FootnoteText"/>
        <w:rPr>
          <w:lang w:val="cy-GB"/>
        </w:rPr>
      </w:pPr>
      <w:r>
        <w:rPr>
          <w:rStyle w:val="FootnoteReference"/>
        </w:rPr>
        <w:footnoteRef/>
      </w:r>
      <w:r>
        <w:t xml:space="preserve"> </w:t>
      </w:r>
      <w:r>
        <w:rPr>
          <w:lang w:val="cy-GB"/>
        </w:rPr>
        <w:t>Williams, ‘Y Tri Perffeithiad’, 9.</w:t>
      </w:r>
    </w:p>
  </w:footnote>
  <w:footnote w:id="878">
    <w:p w:rsidR="00AB3F05" w:rsidRPr="004F5AA0" w:rsidRDefault="00AB3F05" w:rsidP="00062AED">
      <w:pPr>
        <w:pStyle w:val="FootnoteText"/>
        <w:rPr>
          <w:lang w:val="cy-GB"/>
        </w:rPr>
      </w:pPr>
      <w:r>
        <w:rPr>
          <w:rStyle w:val="FootnoteReference"/>
        </w:rPr>
        <w:footnoteRef/>
      </w:r>
      <w:r>
        <w:t xml:space="preserve"> </w:t>
      </w:r>
      <w:r>
        <w:rPr>
          <w:lang w:val="cy-GB"/>
        </w:rPr>
        <w:t>Ibid.</w:t>
      </w:r>
    </w:p>
  </w:footnote>
  <w:footnote w:id="879">
    <w:p w:rsidR="00AB3F05" w:rsidRPr="00C85129" w:rsidRDefault="00AB3F05" w:rsidP="00062AED">
      <w:pPr>
        <w:pStyle w:val="FootnoteText"/>
        <w:rPr>
          <w:lang w:val="cy-GB"/>
        </w:rPr>
      </w:pPr>
      <w:r>
        <w:rPr>
          <w:rStyle w:val="FootnoteReference"/>
        </w:rPr>
        <w:footnoteRef/>
      </w:r>
      <w:r>
        <w:t xml:space="preserve"> </w:t>
      </w:r>
      <w:r>
        <w:rPr>
          <w:lang w:val="cy-GB"/>
        </w:rPr>
        <w:t>Ibid., 10.</w:t>
      </w:r>
    </w:p>
  </w:footnote>
  <w:footnote w:id="880">
    <w:p w:rsidR="00AB3F05" w:rsidRPr="005A6D86" w:rsidRDefault="00AB3F05" w:rsidP="00062AED">
      <w:pPr>
        <w:pStyle w:val="FootnoteText"/>
        <w:rPr>
          <w:lang w:val="cy-GB"/>
        </w:rPr>
      </w:pPr>
      <w:r>
        <w:rPr>
          <w:rStyle w:val="FootnoteReference"/>
        </w:rPr>
        <w:footnoteRef/>
      </w:r>
      <w:r>
        <w:t xml:space="preserve"> </w:t>
      </w:r>
      <w:r>
        <w:rPr>
          <w:lang w:val="cy-GB"/>
        </w:rPr>
        <w:t>Ibid.</w:t>
      </w:r>
    </w:p>
  </w:footnote>
  <w:footnote w:id="881">
    <w:p w:rsidR="00AB3F05" w:rsidRPr="00FF5230" w:rsidRDefault="00AB3F05" w:rsidP="00062AED">
      <w:pPr>
        <w:pStyle w:val="FootnoteText"/>
        <w:rPr>
          <w:lang w:val="cy-GB"/>
        </w:rPr>
      </w:pPr>
      <w:r>
        <w:rPr>
          <w:rStyle w:val="FootnoteReference"/>
        </w:rPr>
        <w:footnoteRef/>
      </w:r>
      <w:r>
        <w:t xml:space="preserve"> </w:t>
      </w:r>
      <w:r>
        <w:rPr>
          <w:lang w:val="cy-GB"/>
        </w:rPr>
        <w:t xml:space="preserve">D.P. Williams, ‘Exposition’, </w:t>
      </w:r>
      <w:r>
        <w:rPr>
          <w:i/>
          <w:lang w:val="cy-GB"/>
        </w:rPr>
        <w:t>RoG</w:t>
      </w:r>
      <w:r>
        <w:rPr>
          <w:lang w:val="cy-GB"/>
        </w:rPr>
        <w:t>, iii.1 (March 1927), 46.</w:t>
      </w:r>
    </w:p>
  </w:footnote>
  <w:footnote w:id="882">
    <w:p w:rsidR="00AB3F05" w:rsidRPr="00131993" w:rsidRDefault="00AB3F05" w:rsidP="00062AED">
      <w:pPr>
        <w:pStyle w:val="FootnoteText"/>
      </w:pPr>
      <w:r>
        <w:rPr>
          <w:rStyle w:val="FootnoteReference"/>
        </w:rPr>
        <w:footnoteRef/>
      </w:r>
      <w:r>
        <w:t xml:space="preserve"> Ibid., 45.</w:t>
      </w:r>
    </w:p>
  </w:footnote>
  <w:footnote w:id="883">
    <w:p w:rsidR="00AB3F05" w:rsidRPr="00131993" w:rsidRDefault="00AB3F05" w:rsidP="00062AED">
      <w:pPr>
        <w:pStyle w:val="FootnoteText"/>
      </w:pPr>
      <w:r>
        <w:rPr>
          <w:rStyle w:val="FootnoteReference"/>
        </w:rPr>
        <w:footnoteRef/>
      </w:r>
      <w:r>
        <w:t xml:space="preserve"> Ibid., 46.</w:t>
      </w:r>
    </w:p>
  </w:footnote>
  <w:footnote w:id="884">
    <w:p w:rsidR="00AB3F05" w:rsidRPr="00131993" w:rsidRDefault="00AB3F05" w:rsidP="00062AED">
      <w:pPr>
        <w:pStyle w:val="FootnoteText"/>
      </w:pPr>
      <w:r>
        <w:rPr>
          <w:rStyle w:val="FootnoteReference"/>
        </w:rPr>
        <w:footnoteRef/>
      </w:r>
      <w:r>
        <w:t xml:space="preserve"> Ibid., 47.</w:t>
      </w:r>
    </w:p>
  </w:footnote>
  <w:footnote w:id="885">
    <w:p w:rsidR="00AB3F05" w:rsidRPr="00FF5230" w:rsidRDefault="00AB3F05" w:rsidP="00062AED">
      <w:pPr>
        <w:pStyle w:val="FootnoteText"/>
        <w:rPr>
          <w:lang w:val="cy-GB"/>
        </w:rPr>
      </w:pPr>
      <w:r>
        <w:rPr>
          <w:rStyle w:val="FootnoteReference"/>
        </w:rPr>
        <w:footnoteRef/>
      </w:r>
      <w:r>
        <w:t xml:space="preserve"> </w:t>
      </w:r>
      <w:r>
        <w:rPr>
          <w:lang w:val="cy-GB"/>
        </w:rPr>
        <w:t xml:space="preserve">D.P. Williams, ‘Exposition’, </w:t>
      </w:r>
      <w:r>
        <w:rPr>
          <w:i/>
          <w:lang w:val="cy-GB"/>
        </w:rPr>
        <w:t>RoG</w:t>
      </w:r>
      <w:r>
        <w:rPr>
          <w:lang w:val="cy-GB"/>
        </w:rPr>
        <w:t>, iii.1 (March 1927), 103.</w:t>
      </w:r>
    </w:p>
  </w:footnote>
  <w:footnote w:id="886">
    <w:p w:rsidR="00AB3F05" w:rsidRPr="001B1175" w:rsidRDefault="00AB3F05" w:rsidP="00062AED">
      <w:pPr>
        <w:pStyle w:val="FootnoteText"/>
        <w:rPr>
          <w:lang w:val="cy-GB"/>
        </w:rPr>
      </w:pPr>
      <w:r>
        <w:rPr>
          <w:rStyle w:val="FootnoteReference"/>
        </w:rPr>
        <w:footnoteRef/>
      </w:r>
      <w:r>
        <w:t xml:space="preserve"> </w:t>
      </w:r>
      <w:r>
        <w:rPr>
          <w:lang w:val="cy-GB"/>
        </w:rPr>
        <w:t>Ibid., 105-106.</w:t>
      </w:r>
    </w:p>
  </w:footnote>
  <w:footnote w:id="887">
    <w:p w:rsidR="00AB3F05" w:rsidRPr="00722B00" w:rsidRDefault="00AB3F05" w:rsidP="00062AED">
      <w:pPr>
        <w:pStyle w:val="FootnoteText"/>
        <w:rPr>
          <w:lang w:val="cy-GB"/>
        </w:rPr>
      </w:pPr>
      <w:r>
        <w:rPr>
          <w:rStyle w:val="FootnoteReference"/>
        </w:rPr>
        <w:footnoteRef/>
      </w:r>
      <w:r>
        <w:t xml:space="preserve"> </w:t>
      </w:r>
      <w:r>
        <w:rPr>
          <w:lang w:val="cy-GB"/>
        </w:rPr>
        <w:t xml:space="preserve">D.P. Williams, ‘Exposition’, </w:t>
      </w:r>
      <w:r>
        <w:rPr>
          <w:i/>
          <w:lang w:val="cy-GB"/>
        </w:rPr>
        <w:t>RoG</w:t>
      </w:r>
      <w:r>
        <w:rPr>
          <w:lang w:val="cy-GB"/>
        </w:rPr>
        <w:t>, iii.3 (Sept. 1927), 154.</w:t>
      </w:r>
    </w:p>
  </w:footnote>
  <w:footnote w:id="888">
    <w:p w:rsidR="00AB3F05" w:rsidRPr="009E2419" w:rsidRDefault="00AB3F05" w:rsidP="00062AED">
      <w:pPr>
        <w:pStyle w:val="FootnoteText"/>
      </w:pPr>
      <w:r>
        <w:rPr>
          <w:rStyle w:val="FootnoteReference"/>
        </w:rPr>
        <w:footnoteRef/>
      </w:r>
      <w:r>
        <w:t xml:space="preserve"> D.P. Williams, ‘Editorial: Life Out of Death’, </w:t>
      </w:r>
      <w:r>
        <w:rPr>
          <w:i/>
        </w:rPr>
        <w:t>RoG</w:t>
      </w:r>
      <w:r>
        <w:t>, xi.4 (March 1936), 306-307.</w:t>
      </w:r>
    </w:p>
  </w:footnote>
  <w:footnote w:id="889">
    <w:p w:rsidR="00AB3F05" w:rsidRPr="007304B1" w:rsidRDefault="00AB3F05" w:rsidP="00062AED">
      <w:pPr>
        <w:pStyle w:val="FootnoteText"/>
      </w:pPr>
      <w:r>
        <w:rPr>
          <w:rStyle w:val="FootnoteReference"/>
        </w:rPr>
        <w:footnoteRef/>
      </w:r>
      <w:r>
        <w:t xml:space="preserve"> Ibid., 307, 309.</w:t>
      </w:r>
    </w:p>
  </w:footnote>
  <w:footnote w:id="890">
    <w:p w:rsidR="00AB3F05" w:rsidRPr="00986966" w:rsidRDefault="00AB3F05" w:rsidP="00062AED">
      <w:pPr>
        <w:pStyle w:val="FootnoteText"/>
      </w:pPr>
      <w:r>
        <w:rPr>
          <w:rStyle w:val="FootnoteReference"/>
        </w:rPr>
        <w:footnoteRef/>
      </w:r>
      <w:r>
        <w:t xml:space="preserve"> Williams, ‘Grace and Apostleship (II)’, 98.</w:t>
      </w:r>
    </w:p>
  </w:footnote>
  <w:footnote w:id="891">
    <w:p w:rsidR="00AB3F05" w:rsidRPr="004E2825" w:rsidRDefault="00AB3F05" w:rsidP="00062AED">
      <w:pPr>
        <w:pStyle w:val="FootnoteText"/>
        <w:rPr>
          <w:lang w:val="cy-GB"/>
        </w:rPr>
      </w:pPr>
      <w:r>
        <w:rPr>
          <w:rStyle w:val="FootnoteReference"/>
        </w:rPr>
        <w:footnoteRef/>
      </w:r>
      <w:r>
        <w:t xml:space="preserve"> </w:t>
      </w:r>
      <w:r>
        <w:rPr>
          <w:lang w:val="cy-GB"/>
        </w:rPr>
        <w:t xml:space="preserve">D.P. Williams, ‘Exposition of Foregoing Prophecies’, </w:t>
      </w:r>
      <w:r>
        <w:rPr>
          <w:i/>
          <w:lang w:val="cy-GB"/>
        </w:rPr>
        <w:t>RoG</w:t>
      </w:r>
      <w:r>
        <w:rPr>
          <w:lang w:val="cy-GB"/>
        </w:rPr>
        <w:t>, iv.4 (March 1929), 139-140.</w:t>
      </w:r>
    </w:p>
  </w:footnote>
  <w:footnote w:id="892">
    <w:p w:rsidR="00AB3F05" w:rsidRPr="00446608" w:rsidRDefault="00AB3F05" w:rsidP="00062AED">
      <w:pPr>
        <w:pStyle w:val="FootnoteText"/>
        <w:rPr>
          <w:lang w:val="cy-GB"/>
        </w:rPr>
      </w:pPr>
      <w:r>
        <w:rPr>
          <w:rStyle w:val="FootnoteReference"/>
        </w:rPr>
        <w:footnoteRef/>
      </w:r>
      <w:r>
        <w:t xml:space="preserve"> </w:t>
      </w:r>
      <w:r>
        <w:rPr>
          <w:lang w:val="cy-GB"/>
        </w:rPr>
        <w:t xml:space="preserve">See Williams, </w:t>
      </w:r>
      <w:r w:rsidRPr="00446608">
        <w:rPr>
          <w:i/>
          <w:lang w:val="cy-GB"/>
        </w:rPr>
        <w:t>Athrawiathau Sylfeinol</w:t>
      </w:r>
      <w:r>
        <w:rPr>
          <w:lang w:val="cy-GB"/>
        </w:rPr>
        <w:t>, 13.</w:t>
      </w:r>
    </w:p>
  </w:footnote>
  <w:footnote w:id="893">
    <w:p w:rsidR="00AB3F05" w:rsidRPr="00916581" w:rsidRDefault="00AB3F05" w:rsidP="00062AED">
      <w:pPr>
        <w:pStyle w:val="FootnoteText"/>
        <w:rPr>
          <w:lang w:val="cy-GB"/>
        </w:rPr>
      </w:pPr>
      <w:r>
        <w:rPr>
          <w:rStyle w:val="FootnoteReference"/>
        </w:rPr>
        <w:footnoteRef/>
      </w:r>
      <w:r>
        <w:t xml:space="preserve"> </w:t>
      </w:r>
      <w:r>
        <w:rPr>
          <w:lang w:val="cy-GB"/>
        </w:rPr>
        <w:t xml:space="preserve">Williams, foreword to Rees, </w:t>
      </w:r>
      <w:r w:rsidRPr="00916581">
        <w:rPr>
          <w:i/>
          <w:lang w:val="cy-GB"/>
        </w:rPr>
        <w:t>Divine Masterpiece</w:t>
      </w:r>
      <w:r>
        <w:rPr>
          <w:lang w:val="cy-GB"/>
        </w:rPr>
        <w:t>, 2.</w:t>
      </w:r>
    </w:p>
  </w:footnote>
  <w:footnote w:id="894">
    <w:p w:rsidR="00AB3F05" w:rsidRPr="00CC2C7A" w:rsidRDefault="00AB3F05" w:rsidP="00062AED">
      <w:pPr>
        <w:pStyle w:val="FootnoteText"/>
      </w:pPr>
      <w:r>
        <w:rPr>
          <w:rStyle w:val="FootnoteReference"/>
        </w:rPr>
        <w:footnoteRef/>
      </w:r>
      <w:r>
        <w:t xml:space="preserve"> Williams, ‘Highpriestly Prayer’, 16.</w:t>
      </w:r>
    </w:p>
  </w:footnote>
  <w:footnote w:id="895">
    <w:p w:rsidR="00AB3F05" w:rsidRPr="00511B21" w:rsidRDefault="00AB3F05" w:rsidP="00062AED">
      <w:pPr>
        <w:pStyle w:val="FootnoteText"/>
      </w:pPr>
      <w:r>
        <w:rPr>
          <w:rStyle w:val="FootnoteReference"/>
        </w:rPr>
        <w:footnoteRef/>
      </w:r>
      <w:r>
        <w:t xml:space="preserve"> Ibid.</w:t>
      </w:r>
    </w:p>
  </w:footnote>
  <w:footnote w:id="896">
    <w:p w:rsidR="00AB3F05" w:rsidRPr="00511B21" w:rsidRDefault="00AB3F05" w:rsidP="00062AED">
      <w:pPr>
        <w:pStyle w:val="FootnoteText"/>
      </w:pPr>
      <w:r>
        <w:rPr>
          <w:rStyle w:val="FootnoteReference"/>
        </w:rPr>
        <w:footnoteRef/>
      </w:r>
      <w:r>
        <w:t xml:space="preserve"> Ibid., 15.</w:t>
      </w:r>
    </w:p>
  </w:footnote>
  <w:footnote w:id="897">
    <w:p w:rsidR="00AB3F05" w:rsidRPr="00AC75A5" w:rsidRDefault="00AB3F05" w:rsidP="00062AED">
      <w:pPr>
        <w:pStyle w:val="FootnoteText"/>
      </w:pPr>
      <w:r>
        <w:rPr>
          <w:rStyle w:val="FootnoteReference"/>
        </w:rPr>
        <w:footnoteRef/>
      </w:r>
      <w:r>
        <w:t xml:space="preserve"> Ibid.</w:t>
      </w:r>
    </w:p>
  </w:footnote>
  <w:footnote w:id="898">
    <w:p w:rsidR="00AB3F05" w:rsidRPr="00474F93" w:rsidRDefault="00AB3F05" w:rsidP="00062AED">
      <w:pPr>
        <w:pStyle w:val="FootnoteText"/>
      </w:pPr>
      <w:r>
        <w:rPr>
          <w:rStyle w:val="FootnoteReference"/>
        </w:rPr>
        <w:footnoteRef/>
      </w:r>
      <w:r>
        <w:t xml:space="preserve"> Ibid.</w:t>
      </w:r>
    </w:p>
  </w:footnote>
  <w:footnote w:id="899">
    <w:p w:rsidR="00AB3F05" w:rsidRPr="00474F93" w:rsidRDefault="00AB3F05" w:rsidP="00062AED">
      <w:pPr>
        <w:pStyle w:val="FootnoteText"/>
      </w:pPr>
      <w:r>
        <w:rPr>
          <w:rStyle w:val="FootnoteReference"/>
        </w:rPr>
        <w:footnoteRef/>
      </w:r>
      <w:r>
        <w:t xml:space="preserve"> Ibid. </w:t>
      </w:r>
      <w:r w:rsidRPr="00474F93">
        <w:t xml:space="preserve">Williams is so emphatic that this is a participation in </w:t>
      </w:r>
      <w:r>
        <w:t>‘</w:t>
      </w:r>
      <w:r w:rsidRPr="00474F93">
        <w:t>the life of God</w:t>
      </w:r>
      <w:r>
        <w:t>’</w:t>
      </w:r>
      <w:r w:rsidRPr="00474F93">
        <w:t xml:space="preserve"> (which in the context of the article must be understood in strongly Trinitarian terms) that he repeats the expression several</w:t>
      </w:r>
      <w:r>
        <w:t xml:space="preserve"> times throughout the article.</w:t>
      </w:r>
    </w:p>
  </w:footnote>
  <w:footnote w:id="900">
    <w:p w:rsidR="00AB3F05" w:rsidRPr="008066BB" w:rsidRDefault="00AB3F05" w:rsidP="00062AED">
      <w:pPr>
        <w:pStyle w:val="FootnoteText"/>
      </w:pPr>
      <w:r>
        <w:rPr>
          <w:rStyle w:val="FootnoteReference"/>
        </w:rPr>
        <w:footnoteRef/>
      </w:r>
      <w:r>
        <w:t xml:space="preserve"> Williams, ‘Exposition of Foregoing Prophecies’, (Sept. 1936), 17.</w:t>
      </w:r>
    </w:p>
  </w:footnote>
  <w:footnote w:id="901">
    <w:p w:rsidR="00AB3F05" w:rsidRPr="00055963" w:rsidRDefault="00AB3F05" w:rsidP="00062AED">
      <w:pPr>
        <w:pStyle w:val="FootnoteText"/>
      </w:pPr>
      <w:r>
        <w:rPr>
          <w:rStyle w:val="FootnoteReference"/>
        </w:rPr>
        <w:footnoteRef/>
      </w:r>
      <w:r>
        <w:t xml:space="preserve"> Ibid.</w:t>
      </w:r>
    </w:p>
  </w:footnote>
  <w:footnote w:id="902">
    <w:p w:rsidR="00AB3F05" w:rsidRPr="004300F2" w:rsidRDefault="00AB3F05" w:rsidP="00062AED">
      <w:pPr>
        <w:pStyle w:val="FootnoteText"/>
      </w:pPr>
      <w:r>
        <w:rPr>
          <w:rStyle w:val="FootnoteReference"/>
        </w:rPr>
        <w:footnoteRef/>
      </w:r>
      <w:r>
        <w:t xml:space="preserve"> D.P. Williams, ‘The Leading of the Spirit and the Formation of Character’, </w:t>
      </w:r>
      <w:r>
        <w:rPr>
          <w:i/>
        </w:rPr>
        <w:t>RoG</w:t>
      </w:r>
      <w:r>
        <w:t>, xiv.5 (May 1939), 390.</w:t>
      </w:r>
    </w:p>
  </w:footnote>
  <w:footnote w:id="903">
    <w:p w:rsidR="00AB3F05" w:rsidRPr="004300F2" w:rsidRDefault="00AB3F05" w:rsidP="00062AED">
      <w:pPr>
        <w:pStyle w:val="FootnoteText"/>
      </w:pPr>
      <w:r>
        <w:rPr>
          <w:rStyle w:val="FootnoteReference"/>
        </w:rPr>
        <w:footnoteRef/>
      </w:r>
      <w:r>
        <w:t xml:space="preserve"> Ibid.</w:t>
      </w:r>
    </w:p>
  </w:footnote>
  <w:footnote w:id="904">
    <w:p w:rsidR="00AB3F05" w:rsidRPr="00917361" w:rsidRDefault="00AB3F05" w:rsidP="00062AED">
      <w:pPr>
        <w:pStyle w:val="FootnoteText"/>
      </w:pPr>
      <w:r>
        <w:rPr>
          <w:rStyle w:val="FootnoteReference"/>
        </w:rPr>
        <w:footnoteRef/>
      </w:r>
      <w:r>
        <w:t xml:space="preserve"> Ibid., 393.</w:t>
      </w:r>
    </w:p>
  </w:footnote>
  <w:footnote w:id="905">
    <w:p w:rsidR="00AB3F05" w:rsidRPr="00460741" w:rsidRDefault="00AB3F05" w:rsidP="00062AED">
      <w:pPr>
        <w:pStyle w:val="FootnoteText"/>
      </w:pPr>
      <w:r>
        <w:rPr>
          <w:rStyle w:val="FootnoteReference"/>
        </w:rPr>
        <w:footnoteRef/>
      </w:r>
      <w:r>
        <w:t xml:space="preserve"> Ibid.</w:t>
      </w:r>
    </w:p>
  </w:footnote>
  <w:footnote w:id="906">
    <w:p w:rsidR="00AB3F05" w:rsidRPr="00460741" w:rsidRDefault="00AB3F05" w:rsidP="00062AED">
      <w:pPr>
        <w:pStyle w:val="FootnoteText"/>
      </w:pPr>
      <w:r>
        <w:rPr>
          <w:rStyle w:val="FootnoteReference"/>
        </w:rPr>
        <w:footnoteRef/>
      </w:r>
      <w:r>
        <w:t xml:space="preserve"> Ibid.</w:t>
      </w:r>
    </w:p>
  </w:footnote>
  <w:footnote w:id="907">
    <w:p w:rsidR="00AB3F05" w:rsidRPr="000F76E8" w:rsidRDefault="00AB3F05" w:rsidP="00062AED">
      <w:pPr>
        <w:pStyle w:val="FootnoteText"/>
      </w:pPr>
      <w:r>
        <w:rPr>
          <w:rStyle w:val="FootnoteReference"/>
        </w:rPr>
        <w:footnoteRef/>
      </w:r>
      <w:r>
        <w:t xml:space="preserve"> Williams, </w:t>
      </w:r>
      <w:r w:rsidRPr="000F76E8">
        <w:rPr>
          <w:i/>
        </w:rPr>
        <w:t>Trinity</w:t>
      </w:r>
      <w:r>
        <w:t>, 1:56.</w:t>
      </w:r>
    </w:p>
  </w:footnote>
  <w:footnote w:id="908">
    <w:p w:rsidR="00AB3F05" w:rsidRPr="000F76E8" w:rsidRDefault="00AB3F05" w:rsidP="00062AED">
      <w:pPr>
        <w:pStyle w:val="FootnoteText"/>
      </w:pPr>
      <w:r>
        <w:rPr>
          <w:rStyle w:val="FootnoteReference"/>
        </w:rPr>
        <w:footnoteRef/>
      </w:r>
      <w:r>
        <w:t xml:space="preserve"> Ibid., 1:58.</w:t>
      </w:r>
    </w:p>
  </w:footnote>
  <w:footnote w:id="909">
    <w:p w:rsidR="00AB3F05" w:rsidRPr="00251E81" w:rsidRDefault="00AB3F05" w:rsidP="00062AED">
      <w:pPr>
        <w:pStyle w:val="FootnoteText"/>
      </w:pPr>
      <w:r>
        <w:rPr>
          <w:rStyle w:val="FootnoteReference"/>
        </w:rPr>
        <w:footnoteRef/>
      </w:r>
      <w:r>
        <w:t xml:space="preserve"> Ibid., 2:57.</w:t>
      </w:r>
    </w:p>
  </w:footnote>
  <w:footnote w:id="910">
    <w:p w:rsidR="00AB3F05" w:rsidRPr="006E0349" w:rsidRDefault="00AB3F05" w:rsidP="00062AED">
      <w:pPr>
        <w:pStyle w:val="FootnoteText"/>
        <w:rPr>
          <w:lang w:val="cy-GB"/>
        </w:rPr>
      </w:pPr>
      <w:r>
        <w:rPr>
          <w:rStyle w:val="FootnoteReference"/>
        </w:rPr>
        <w:footnoteRef/>
      </w:r>
      <w:r>
        <w:t xml:space="preserve"> Donald </w:t>
      </w:r>
      <w:r>
        <w:rPr>
          <w:lang w:val="cy-GB"/>
        </w:rPr>
        <w:t xml:space="preserve">Fairbairn, ‘Patristic Soteriology: Three Trajectories’, </w:t>
      </w:r>
      <w:r w:rsidRPr="006D70ED">
        <w:rPr>
          <w:i/>
          <w:lang w:val="cy-GB"/>
        </w:rPr>
        <w:t>Journal of the Evangelical Theological Society</w:t>
      </w:r>
      <w:r w:rsidRPr="006D70ED">
        <w:rPr>
          <w:lang w:val="cy-GB"/>
        </w:rPr>
        <w:t xml:space="preserve"> 50.2 (June 2007)</w:t>
      </w:r>
      <w:r>
        <w:rPr>
          <w:lang w:val="cy-GB"/>
        </w:rPr>
        <w:t>, 307.</w:t>
      </w:r>
    </w:p>
  </w:footnote>
  <w:footnote w:id="911">
    <w:p w:rsidR="00AB3F05" w:rsidRPr="006D3901" w:rsidRDefault="00AB3F05" w:rsidP="00062AED">
      <w:pPr>
        <w:pStyle w:val="FootnoteText"/>
      </w:pPr>
      <w:r>
        <w:rPr>
          <w:rStyle w:val="FootnoteReference"/>
        </w:rPr>
        <w:footnoteRef/>
      </w:r>
      <w:r>
        <w:t xml:space="preserve"> </w:t>
      </w:r>
      <w:r w:rsidRPr="00787AAC">
        <w:t>Cyril of Alexandria</w:t>
      </w:r>
      <w:r w:rsidRPr="00787AAC">
        <w:rPr>
          <w:i/>
        </w:rPr>
        <w:t>, In Ioh</w:t>
      </w:r>
      <w:r w:rsidRPr="00787AAC">
        <w:t>. 9.1 (ET 2:187)</w:t>
      </w:r>
      <w:r>
        <w:t>.</w:t>
      </w:r>
    </w:p>
  </w:footnote>
  <w:footnote w:id="912">
    <w:p w:rsidR="00AB3F05" w:rsidRPr="00FC0CC8" w:rsidRDefault="00AB3F05" w:rsidP="00062AED">
      <w:pPr>
        <w:pStyle w:val="FootnoteText"/>
        <w:rPr>
          <w:lang w:val="fr-BE"/>
        </w:rPr>
      </w:pPr>
      <w:r>
        <w:rPr>
          <w:rStyle w:val="FootnoteReference"/>
        </w:rPr>
        <w:footnoteRef/>
      </w:r>
      <w:r w:rsidRPr="00FC0CC8">
        <w:rPr>
          <w:lang w:val="fr-BE"/>
        </w:rPr>
        <w:t xml:space="preserve"> Ibid. (ET 2:188)</w:t>
      </w:r>
      <w:r>
        <w:rPr>
          <w:lang w:val="fr-BE"/>
        </w:rPr>
        <w:t>.</w:t>
      </w:r>
    </w:p>
  </w:footnote>
  <w:footnote w:id="913">
    <w:p w:rsidR="00AB3F05" w:rsidRPr="00FC0CC8" w:rsidRDefault="00AB3F05" w:rsidP="00062AED">
      <w:pPr>
        <w:pStyle w:val="FootnoteText"/>
        <w:rPr>
          <w:lang w:val="fr-BE"/>
        </w:rPr>
      </w:pPr>
      <w:r>
        <w:rPr>
          <w:rStyle w:val="FootnoteReference"/>
        </w:rPr>
        <w:footnoteRef/>
      </w:r>
      <w:r w:rsidRPr="00FC0CC8">
        <w:rPr>
          <w:lang w:val="fr-BE"/>
        </w:rPr>
        <w:t xml:space="preserve"> Ibid.</w:t>
      </w:r>
    </w:p>
  </w:footnote>
  <w:footnote w:id="914">
    <w:p w:rsidR="00AB3F05" w:rsidRPr="00FC0CC8" w:rsidRDefault="00AB3F05" w:rsidP="00062AED">
      <w:pPr>
        <w:pStyle w:val="FootnoteText"/>
        <w:rPr>
          <w:lang w:val="fr-BE"/>
        </w:rPr>
      </w:pPr>
      <w:r>
        <w:rPr>
          <w:rStyle w:val="FootnoteReference"/>
        </w:rPr>
        <w:footnoteRef/>
      </w:r>
      <w:r w:rsidRPr="00FC0CC8">
        <w:rPr>
          <w:lang w:val="fr-BE"/>
        </w:rPr>
        <w:t xml:space="preserve"> Ibid., 10.2 (ET 2:228)</w:t>
      </w:r>
      <w:r>
        <w:rPr>
          <w:lang w:val="fr-BE"/>
        </w:rPr>
        <w:t>.</w:t>
      </w:r>
    </w:p>
  </w:footnote>
  <w:footnote w:id="915">
    <w:p w:rsidR="00AB3F05" w:rsidRPr="00A446B1" w:rsidRDefault="00AB3F05" w:rsidP="00062AED">
      <w:pPr>
        <w:pStyle w:val="FootnoteText"/>
        <w:rPr>
          <w:lang w:val="cy-GB"/>
        </w:rPr>
      </w:pPr>
      <w:r>
        <w:rPr>
          <w:rStyle w:val="FootnoteReference"/>
        </w:rPr>
        <w:footnoteRef/>
      </w:r>
      <w:r>
        <w:t xml:space="preserve"> </w:t>
      </w:r>
      <w:r>
        <w:rPr>
          <w:lang w:val="cy-GB"/>
        </w:rPr>
        <w:t xml:space="preserve">Fairbairn, ‘Patristic Soteriology: Three Trajectories’, 306; See further, idem, </w:t>
      </w:r>
      <w:r w:rsidRPr="00F82150">
        <w:rPr>
          <w:i/>
          <w:lang w:val="cy-GB"/>
        </w:rPr>
        <w:t>Grace and Christology</w:t>
      </w:r>
      <w:r>
        <w:rPr>
          <w:lang w:val="cy-GB"/>
        </w:rPr>
        <w:t>, 69-78.</w:t>
      </w:r>
    </w:p>
  </w:footnote>
  <w:footnote w:id="916">
    <w:p w:rsidR="00AB3F05" w:rsidRPr="005F7BDB" w:rsidRDefault="00AB3F05" w:rsidP="00062AED">
      <w:pPr>
        <w:pStyle w:val="FootnoteText"/>
        <w:rPr>
          <w:lang w:val="cy-GB"/>
        </w:rPr>
      </w:pPr>
      <w:r>
        <w:rPr>
          <w:rStyle w:val="FootnoteReference"/>
        </w:rPr>
        <w:footnoteRef/>
      </w:r>
      <w:r w:rsidRPr="005F7BDB">
        <w:rPr>
          <w:lang w:val="cy-GB"/>
        </w:rPr>
        <w:t xml:space="preserve"> </w:t>
      </w:r>
      <w:r w:rsidRPr="005F7BDB">
        <w:rPr>
          <w:i/>
          <w:lang w:val="cy-GB"/>
        </w:rPr>
        <w:t>MDd</w:t>
      </w:r>
      <w:r w:rsidRPr="005F7BDB">
        <w:rPr>
          <w:lang w:val="cy-GB"/>
        </w:rPr>
        <w:t>, 186.</w:t>
      </w:r>
    </w:p>
  </w:footnote>
  <w:footnote w:id="917">
    <w:p w:rsidR="00AB3F05" w:rsidRPr="005F7BDB" w:rsidRDefault="00AB3F05" w:rsidP="00062AED">
      <w:pPr>
        <w:pStyle w:val="FootnoteText"/>
        <w:rPr>
          <w:lang w:val="cy-GB"/>
        </w:rPr>
      </w:pPr>
      <w:r>
        <w:rPr>
          <w:rStyle w:val="FootnoteReference"/>
        </w:rPr>
        <w:footnoteRef/>
      </w:r>
      <w:r w:rsidRPr="005F7BDB">
        <w:rPr>
          <w:lang w:val="cy-GB"/>
        </w:rPr>
        <w:t xml:space="preserve"> </w:t>
      </w:r>
      <w:r w:rsidRPr="005F7BDB">
        <w:rPr>
          <w:i/>
          <w:lang w:val="cy-GB"/>
        </w:rPr>
        <w:t>MDd</w:t>
      </w:r>
      <w:r w:rsidRPr="005F7BDB">
        <w:rPr>
          <w:lang w:val="cy-GB"/>
        </w:rPr>
        <w:t>, 297.</w:t>
      </w:r>
    </w:p>
  </w:footnote>
  <w:footnote w:id="918">
    <w:p w:rsidR="00AB3F05" w:rsidRPr="005F7BDB" w:rsidRDefault="00AB3F05" w:rsidP="00062AED">
      <w:pPr>
        <w:pStyle w:val="FootnoteText"/>
        <w:rPr>
          <w:lang w:val="cy-GB"/>
        </w:rPr>
      </w:pPr>
      <w:r>
        <w:rPr>
          <w:rStyle w:val="FootnoteReference"/>
        </w:rPr>
        <w:footnoteRef/>
      </w:r>
      <w:r w:rsidRPr="005F7BDB">
        <w:rPr>
          <w:lang w:val="cy-GB"/>
        </w:rPr>
        <w:t xml:space="preserve"> </w:t>
      </w:r>
      <w:r w:rsidRPr="005F7BDB">
        <w:rPr>
          <w:i/>
          <w:lang w:val="cy-GB"/>
        </w:rPr>
        <w:t>MDd</w:t>
      </w:r>
      <w:r w:rsidRPr="005F7BDB">
        <w:rPr>
          <w:lang w:val="cy-GB"/>
        </w:rPr>
        <w:t>, 14.</w:t>
      </w:r>
    </w:p>
  </w:footnote>
  <w:footnote w:id="919">
    <w:p w:rsidR="00AB3F05" w:rsidRPr="005F7BDB" w:rsidRDefault="00AB3F05" w:rsidP="00062AED">
      <w:pPr>
        <w:pStyle w:val="FootnoteText"/>
        <w:rPr>
          <w:lang w:val="cy-GB"/>
        </w:rPr>
      </w:pPr>
      <w:r>
        <w:rPr>
          <w:rStyle w:val="FootnoteReference"/>
        </w:rPr>
        <w:footnoteRef/>
      </w:r>
      <w:r w:rsidRPr="005F7BDB">
        <w:rPr>
          <w:lang w:val="cy-GB"/>
        </w:rPr>
        <w:t xml:space="preserve"> </w:t>
      </w:r>
      <w:r w:rsidRPr="005F7BDB">
        <w:rPr>
          <w:i/>
          <w:lang w:val="cy-GB"/>
        </w:rPr>
        <w:t>MDd</w:t>
      </w:r>
      <w:r w:rsidRPr="005F7BDB">
        <w:rPr>
          <w:lang w:val="cy-GB"/>
        </w:rPr>
        <w:t>, 23.</w:t>
      </w:r>
    </w:p>
  </w:footnote>
  <w:footnote w:id="920">
    <w:p w:rsidR="00AB3F05" w:rsidRPr="005F7BDB" w:rsidRDefault="00AB3F05" w:rsidP="00062AED">
      <w:pPr>
        <w:pStyle w:val="FootnoteText"/>
        <w:rPr>
          <w:lang w:val="cy-GB"/>
        </w:rPr>
      </w:pPr>
      <w:r>
        <w:rPr>
          <w:rStyle w:val="FootnoteReference"/>
        </w:rPr>
        <w:footnoteRef/>
      </w:r>
      <w:r w:rsidRPr="005F7BDB">
        <w:rPr>
          <w:lang w:val="cy-GB"/>
        </w:rPr>
        <w:t xml:space="preserve"> </w:t>
      </w:r>
      <w:r w:rsidRPr="005F7BDB">
        <w:rPr>
          <w:i/>
          <w:lang w:val="cy-GB"/>
        </w:rPr>
        <w:t>MDd</w:t>
      </w:r>
      <w:r w:rsidRPr="005F7BDB">
        <w:rPr>
          <w:lang w:val="cy-GB"/>
        </w:rPr>
        <w:t>, 16.</w:t>
      </w:r>
    </w:p>
  </w:footnote>
  <w:footnote w:id="921">
    <w:p w:rsidR="00AB3F05" w:rsidRPr="005F7BDB" w:rsidRDefault="00AB3F05" w:rsidP="00062AED">
      <w:pPr>
        <w:pStyle w:val="FootnoteText"/>
        <w:rPr>
          <w:lang w:val="cy-GB"/>
        </w:rPr>
      </w:pPr>
      <w:r>
        <w:rPr>
          <w:rStyle w:val="FootnoteReference"/>
        </w:rPr>
        <w:footnoteRef/>
      </w:r>
      <w:r w:rsidRPr="005F7BDB">
        <w:rPr>
          <w:lang w:val="cy-GB"/>
        </w:rPr>
        <w:t xml:space="preserve"> </w:t>
      </w:r>
      <w:r w:rsidRPr="005F7BDB">
        <w:rPr>
          <w:i/>
          <w:lang w:val="cy-GB"/>
        </w:rPr>
        <w:t>MDd</w:t>
      </w:r>
      <w:r w:rsidRPr="005F7BDB">
        <w:rPr>
          <w:lang w:val="cy-GB"/>
        </w:rPr>
        <w:t>, 17.</w:t>
      </w:r>
    </w:p>
  </w:footnote>
  <w:footnote w:id="922">
    <w:p w:rsidR="00AB3F05" w:rsidRPr="005F7BDB" w:rsidRDefault="00AB3F05" w:rsidP="00062AED">
      <w:pPr>
        <w:pStyle w:val="FootnoteText"/>
        <w:rPr>
          <w:lang w:val="cy-GB"/>
        </w:rPr>
      </w:pPr>
      <w:r>
        <w:rPr>
          <w:rStyle w:val="FootnoteReference"/>
        </w:rPr>
        <w:footnoteRef/>
      </w:r>
      <w:r w:rsidRPr="005F7BDB">
        <w:rPr>
          <w:lang w:val="cy-GB"/>
        </w:rPr>
        <w:t xml:space="preserve"> </w:t>
      </w:r>
      <w:r w:rsidRPr="005F7BDB">
        <w:rPr>
          <w:i/>
          <w:lang w:val="cy-GB"/>
        </w:rPr>
        <w:t>MDd</w:t>
      </w:r>
      <w:r w:rsidRPr="005F7BDB">
        <w:rPr>
          <w:lang w:val="cy-GB"/>
        </w:rPr>
        <w:t>, 19.</w:t>
      </w:r>
    </w:p>
  </w:footnote>
  <w:footnote w:id="923">
    <w:p w:rsidR="00AB3F05" w:rsidRPr="005F7BDB" w:rsidRDefault="00AB3F05" w:rsidP="00062AED">
      <w:pPr>
        <w:pStyle w:val="FootnoteText"/>
        <w:rPr>
          <w:lang w:val="cy-GB"/>
        </w:rPr>
      </w:pPr>
      <w:r>
        <w:rPr>
          <w:rStyle w:val="FootnoteReference"/>
        </w:rPr>
        <w:footnoteRef/>
      </w:r>
      <w:r w:rsidRPr="005F7BDB">
        <w:rPr>
          <w:lang w:val="cy-GB"/>
        </w:rPr>
        <w:t xml:space="preserve"> </w:t>
      </w:r>
      <w:r w:rsidRPr="005F7BDB">
        <w:rPr>
          <w:i/>
          <w:lang w:val="cy-GB"/>
        </w:rPr>
        <w:t>MDd</w:t>
      </w:r>
      <w:r w:rsidRPr="005F7BDB">
        <w:rPr>
          <w:lang w:val="cy-GB"/>
        </w:rPr>
        <w:t>, 169.</w:t>
      </w:r>
    </w:p>
  </w:footnote>
  <w:footnote w:id="924">
    <w:p w:rsidR="00AB3F05" w:rsidRPr="005F7BDB" w:rsidRDefault="00AB3F05" w:rsidP="00062AED">
      <w:pPr>
        <w:pStyle w:val="FootnoteText"/>
        <w:rPr>
          <w:lang w:val="cy-GB"/>
        </w:rPr>
      </w:pPr>
      <w:r>
        <w:rPr>
          <w:rStyle w:val="FootnoteReference"/>
        </w:rPr>
        <w:footnoteRef/>
      </w:r>
      <w:r w:rsidRPr="005F7BDB">
        <w:rPr>
          <w:lang w:val="cy-GB"/>
        </w:rPr>
        <w:t xml:space="preserve"> </w:t>
      </w:r>
      <w:r w:rsidRPr="005F7BDB">
        <w:rPr>
          <w:i/>
          <w:lang w:val="cy-GB"/>
        </w:rPr>
        <w:t>MDd</w:t>
      </w:r>
      <w:r w:rsidRPr="005F7BDB">
        <w:rPr>
          <w:lang w:val="cy-GB"/>
        </w:rPr>
        <w:t>, 24.</w:t>
      </w:r>
    </w:p>
  </w:footnote>
  <w:footnote w:id="925">
    <w:p w:rsidR="00AB3F05" w:rsidRPr="005F7BDB" w:rsidRDefault="00AB3F05" w:rsidP="00062AED">
      <w:pPr>
        <w:pStyle w:val="FootnoteText"/>
        <w:rPr>
          <w:lang w:val="cy-GB"/>
        </w:rPr>
      </w:pPr>
      <w:r>
        <w:rPr>
          <w:rStyle w:val="FootnoteReference"/>
        </w:rPr>
        <w:footnoteRef/>
      </w:r>
      <w:r w:rsidRPr="005F7BDB">
        <w:rPr>
          <w:lang w:val="cy-GB"/>
        </w:rPr>
        <w:t xml:space="preserve"> </w:t>
      </w:r>
      <w:r w:rsidRPr="005F7BDB">
        <w:rPr>
          <w:i/>
          <w:lang w:val="cy-GB"/>
        </w:rPr>
        <w:t>MDd</w:t>
      </w:r>
      <w:r w:rsidRPr="005F7BDB">
        <w:rPr>
          <w:lang w:val="cy-GB"/>
        </w:rPr>
        <w:t>, 33.</w:t>
      </w:r>
    </w:p>
  </w:footnote>
  <w:footnote w:id="926">
    <w:p w:rsidR="00AB3F05" w:rsidRPr="00A23A2B" w:rsidRDefault="00AB3F05" w:rsidP="00062AED">
      <w:pPr>
        <w:pStyle w:val="FootnoteText"/>
        <w:rPr>
          <w:lang w:val="cy-GB"/>
        </w:rPr>
      </w:pPr>
      <w:r>
        <w:rPr>
          <w:rStyle w:val="FootnoteReference"/>
        </w:rPr>
        <w:footnoteRef/>
      </w:r>
      <w:r w:rsidRPr="00A23A2B">
        <w:rPr>
          <w:lang w:val="cy-GB"/>
        </w:rPr>
        <w:t xml:space="preserve"> </w:t>
      </w:r>
      <w:r w:rsidRPr="00A23A2B">
        <w:rPr>
          <w:i/>
          <w:lang w:val="cy-GB"/>
        </w:rPr>
        <w:t>MDd</w:t>
      </w:r>
      <w:r w:rsidRPr="00A23A2B">
        <w:rPr>
          <w:lang w:val="cy-GB"/>
        </w:rPr>
        <w:t>, 151.</w:t>
      </w:r>
    </w:p>
  </w:footnote>
  <w:footnote w:id="927">
    <w:p w:rsidR="00AB3F05" w:rsidRPr="00A23A2B" w:rsidRDefault="00AB3F05" w:rsidP="00062AED">
      <w:pPr>
        <w:pStyle w:val="FootnoteText"/>
        <w:rPr>
          <w:lang w:val="cy-GB"/>
        </w:rPr>
      </w:pPr>
      <w:r>
        <w:rPr>
          <w:rStyle w:val="FootnoteReference"/>
        </w:rPr>
        <w:footnoteRef/>
      </w:r>
      <w:r w:rsidRPr="00A23A2B">
        <w:rPr>
          <w:lang w:val="cy-GB"/>
        </w:rPr>
        <w:t xml:space="preserve"> </w:t>
      </w:r>
      <w:r w:rsidRPr="00A23A2B">
        <w:rPr>
          <w:i/>
          <w:lang w:val="cy-GB"/>
        </w:rPr>
        <w:t>MDd</w:t>
      </w:r>
      <w:r w:rsidRPr="00A23A2B">
        <w:rPr>
          <w:lang w:val="cy-GB"/>
        </w:rPr>
        <w:t>, 98.</w:t>
      </w:r>
    </w:p>
  </w:footnote>
  <w:footnote w:id="928">
    <w:p w:rsidR="00AB3F05" w:rsidRPr="007D09A5" w:rsidRDefault="00AB3F05" w:rsidP="00062AED">
      <w:pPr>
        <w:pStyle w:val="FootnoteText"/>
      </w:pPr>
      <w:r>
        <w:rPr>
          <w:rStyle w:val="FootnoteReference"/>
        </w:rPr>
        <w:footnoteRef/>
      </w:r>
      <w:r>
        <w:t xml:space="preserve"> For decades, every issue of the RoG had a picture of the Good Shepherd with his sheep on the cover. This eventually became the identifying image of the Apostolic Church (in much the same way as the Burning Bush is the identifying image of Presbyterianism). The motto of the Apostolic Church, taken from John 10:16, accompanied the image from at least 1922 onward: ‘Un Gorlan ac Un Bugail/One Fold and One Shepherd.’</w:t>
      </w:r>
    </w:p>
  </w:footnote>
  <w:footnote w:id="929">
    <w:p w:rsidR="00AB3F05" w:rsidRPr="004A766C" w:rsidRDefault="00AB3F05" w:rsidP="00062AED">
      <w:pPr>
        <w:pStyle w:val="FootnoteText"/>
      </w:pPr>
      <w:r>
        <w:rPr>
          <w:rStyle w:val="FootnoteReference"/>
        </w:rPr>
        <w:footnoteRef/>
      </w:r>
      <w:r>
        <w:t xml:space="preserve"> </w:t>
      </w:r>
      <w:r>
        <w:rPr>
          <w:i/>
        </w:rPr>
        <w:t>MDd</w:t>
      </w:r>
      <w:r>
        <w:t>, 150.</w:t>
      </w:r>
    </w:p>
  </w:footnote>
  <w:footnote w:id="930">
    <w:p w:rsidR="00AB3F05" w:rsidRPr="00D539DB" w:rsidRDefault="00AB3F05" w:rsidP="00062AED">
      <w:pPr>
        <w:pStyle w:val="FootnoteText"/>
      </w:pPr>
      <w:r>
        <w:rPr>
          <w:rStyle w:val="FootnoteReference"/>
        </w:rPr>
        <w:footnoteRef/>
      </w:r>
      <w:r>
        <w:t xml:space="preserve"> Ibid.</w:t>
      </w:r>
    </w:p>
  </w:footnote>
  <w:footnote w:id="931">
    <w:p w:rsidR="00AB3F05" w:rsidRPr="00DD3B1D" w:rsidRDefault="00AB3F05" w:rsidP="00062AED">
      <w:pPr>
        <w:pStyle w:val="FootnoteText"/>
      </w:pPr>
      <w:r>
        <w:rPr>
          <w:rStyle w:val="FootnoteReference"/>
        </w:rPr>
        <w:footnoteRef/>
      </w:r>
      <w:r>
        <w:t xml:space="preserve"> Ibid.</w:t>
      </w:r>
    </w:p>
  </w:footnote>
  <w:footnote w:id="932">
    <w:p w:rsidR="00AB3F05" w:rsidRPr="00E004DF" w:rsidRDefault="00AB3F05" w:rsidP="00062AED">
      <w:pPr>
        <w:pStyle w:val="FootnoteText"/>
      </w:pPr>
      <w:r>
        <w:rPr>
          <w:rStyle w:val="FootnoteReference"/>
        </w:rPr>
        <w:footnoteRef/>
      </w:r>
      <w:r>
        <w:t xml:space="preserve"> </w:t>
      </w:r>
      <w:r>
        <w:rPr>
          <w:i/>
        </w:rPr>
        <w:t>MDd</w:t>
      </w:r>
      <w:r>
        <w:t>, 278.</w:t>
      </w:r>
    </w:p>
  </w:footnote>
  <w:footnote w:id="933">
    <w:p w:rsidR="00AB3F05" w:rsidRPr="003D7EE6" w:rsidRDefault="00AB3F05" w:rsidP="00062AED">
      <w:pPr>
        <w:pStyle w:val="FootnoteText"/>
        <w:rPr>
          <w:lang w:val="cy-GB"/>
        </w:rPr>
      </w:pPr>
      <w:r>
        <w:rPr>
          <w:rStyle w:val="FootnoteReference"/>
        </w:rPr>
        <w:footnoteRef/>
      </w:r>
      <w:r>
        <w:t xml:space="preserve"> </w:t>
      </w:r>
      <w:r>
        <w:rPr>
          <w:lang w:val="cy-GB"/>
        </w:rPr>
        <w:t xml:space="preserve">D.P. Williams, ‘The Signs of the Times’, </w:t>
      </w:r>
      <w:r>
        <w:rPr>
          <w:i/>
          <w:lang w:val="cy-GB"/>
        </w:rPr>
        <w:t>RoG</w:t>
      </w:r>
      <w:r>
        <w:rPr>
          <w:lang w:val="cy-GB"/>
        </w:rPr>
        <w:t>, v.2 (Nov. 1929), 81.</w:t>
      </w:r>
    </w:p>
  </w:footnote>
  <w:footnote w:id="934">
    <w:p w:rsidR="00AB3F05" w:rsidRPr="00ED6435" w:rsidRDefault="00AB3F05" w:rsidP="00062AED">
      <w:pPr>
        <w:pStyle w:val="FootnoteText"/>
        <w:rPr>
          <w:lang w:val="cy-GB"/>
        </w:rPr>
      </w:pPr>
      <w:r>
        <w:rPr>
          <w:rStyle w:val="FootnoteReference"/>
        </w:rPr>
        <w:footnoteRef/>
      </w:r>
      <w:r>
        <w:t xml:space="preserve"> </w:t>
      </w:r>
      <w:r>
        <w:rPr>
          <w:lang w:val="cy-GB"/>
        </w:rPr>
        <w:t>Williams, ‘From Glory to Glory’, 45.</w:t>
      </w:r>
    </w:p>
  </w:footnote>
  <w:footnote w:id="935">
    <w:p w:rsidR="00AB3F05" w:rsidRPr="000C6FF5" w:rsidRDefault="00AB3F05" w:rsidP="00062AED">
      <w:pPr>
        <w:pStyle w:val="FootnoteText"/>
        <w:rPr>
          <w:lang w:val="cy-GB"/>
        </w:rPr>
      </w:pPr>
      <w:r>
        <w:rPr>
          <w:rStyle w:val="FootnoteReference"/>
        </w:rPr>
        <w:footnoteRef/>
      </w:r>
      <w:r>
        <w:t xml:space="preserve"> </w:t>
      </w:r>
      <w:r>
        <w:rPr>
          <w:lang w:val="cy-GB"/>
        </w:rPr>
        <w:t>Williams, ‘Grace and Apostleship (II)’, 98.</w:t>
      </w:r>
    </w:p>
  </w:footnote>
  <w:footnote w:id="936">
    <w:p w:rsidR="00AB3F05" w:rsidRPr="00CC2D43" w:rsidRDefault="00AB3F05" w:rsidP="00062AED">
      <w:pPr>
        <w:pStyle w:val="FootnoteText"/>
        <w:rPr>
          <w:lang w:val="cy-GB"/>
        </w:rPr>
      </w:pPr>
      <w:r>
        <w:rPr>
          <w:rStyle w:val="FootnoteReference"/>
        </w:rPr>
        <w:footnoteRef/>
      </w:r>
      <w:r>
        <w:t xml:space="preserve"> </w:t>
      </w:r>
      <w:r w:rsidRPr="00C10341">
        <w:rPr>
          <w:lang w:val="cy-GB"/>
        </w:rPr>
        <w:t xml:space="preserve">Irenaeus, </w:t>
      </w:r>
      <w:r w:rsidRPr="00C10341">
        <w:rPr>
          <w:i/>
          <w:lang w:val="cy-GB"/>
        </w:rPr>
        <w:t>On the Apostolic Preaching,</w:t>
      </w:r>
      <w:r w:rsidRPr="00C10341">
        <w:rPr>
          <w:lang w:val="cy-GB"/>
        </w:rPr>
        <w:t xml:space="preserve"> (Crestwood: SVS, 1997), 40 (p.65)</w:t>
      </w:r>
      <w:r>
        <w:rPr>
          <w:lang w:val="cy-GB"/>
        </w:rPr>
        <w:t>.</w:t>
      </w:r>
    </w:p>
  </w:footnote>
  <w:footnote w:id="937">
    <w:p w:rsidR="00AB3F05" w:rsidRPr="00C10341" w:rsidRDefault="00AB3F05" w:rsidP="00062AED">
      <w:pPr>
        <w:pStyle w:val="FootnoteText"/>
        <w:rPr>
          <w:highlight w:val="yellow"/>
          <w:lang w:val="cy-GB"/>
        </w:rPr>
      </w:pPr>
      <w:r>
        <w:rPr>
          <w:rStyle w:val="FootnoteReference"/>
        </w:rPr>
        <w:footnoteRef/>
      </w:r>
      <w:r>
        <w:t xml:space="preserve"> </w:t>
      </w:r>
      <w:r w:rsidRPr="00C10341">
        <w:rPr>
          <w:lang w:val="cy-GB"/>
        </w:rPr>
        <w:t xml:space="preserve">Irenaeus, </w:t>
      </w:r>
      <w:r w:rsidRPr="00C10341">
        <w:rPr>
          <w:i/>
          <w:lang w:val="cy-GB"/>
        </w:rPr>
        <w:t>Adv. Haer.</w:t>
      </w:r>
      <w:r w:rsidRPr="00C10341">
        <w:rPr>
          <w:lang w:val="cy-GB"/>
        </w:rPr>
        <w:t xml:space="preserve">, 3.18.7. ET </w:t>
      </w:r>
      <w:r w:rsidRPr="00C10341">
        <w:rPr>
          <w:i/>
          <w:lang w:val="cy-GB"/>
        </w:rPr>
        <w:t>Against the Heresies</w:t>
      </w:r>
      <w:r>
        <w:rPr>
          <w:i/>
          <w:lang w:val="cy-GB"/>
        </w:rPr>
        <w:t>:</w:t>
      </w:r>
      <w:r w:rsidRPr="00C10341">
        <w:rPr>
          <w:i/>
          <w:lang w:val="cy-GB"/>
        </w:rPr>
        <w:t xml:space="preserve"> Book 3</w:t>
      </w:r>
      <w:r w:rsidRPr="00C10341">
        <w:rPr>
          <w:lang w:val="cy-GB"/>
        </w:rPr>
        <w:t>, Dominic J. Unger, trans., Ancient Christian Writers (New York: Newman Press, 2012).</w:t>
      </w:r>
    </w:p>
  </w:footnote>
  <w:footnote w:id="938">
    <w:p w:rsidR="00AB3F05" w:rsidRPr="00D27B6D" w:rsidRDefault="00AB3F05" w:rsidP="00062AED">
      <w:pPr>
        <w:pStyle w:val="FootnoteText"/>
      </w:pPr>
      <w:r w:rsidRPr="00C10341">
        <w:rPr>
          <w:rStyle w:val="FootnoteReference"/>
        </w:rPr>
        <w:footnoteRef/>
      </w:r>
      <w:r w:rsidRPr="00C10341">
        <w:t xml:space="preserve"> </w:t>
      </w:r>
      <w:r w:rsidRPr="00C10341">
        <w:rPr>
          <w:lang w:val="cy-GB"/>
        </w:rPr>
        <w:t xml:space="preserve">Irenaeus, </w:t>
      </w:r>
      <w:r w:rsidRPr="00C10341">
        <w:rPr>
          <w:i/>
          <w:lang w:val="cy-GB"/>
        </w:rPr>
        <w:t>Adv. Haer.</w:t>
      </w:r>
      <w:r w:rsidRPr="00C10341">
        <w:rPr>
          <w:lang w:val="cy-GB"/>
        </w:rPr>
        <w:t>, 3.19.1.</w:t>
      </w:r>
    </w:p>
  </w:footnote>
  <w:footnote w:id="939">
    <w:p w:rsidR="00AB3F05" w:rsidRPr="009949DF" w:rsidRDefault="00AB3F05" w:rsidP="00062AED">
      <w:pPr>
        <w:pStyle w:val="FootnoteText"/>
        <w:rPr>
          <w:lang w:val="cy-GB"/>
        </w:rPr>
      </w:pPr>
      <w:r>
        <w:rPr>
          <w:rStyle w:val="FootnoteReference"/>
        </w:rPr>
        <w:footnoteRef/>
      </w:r>
      <w:r>
        <w:t xml:space="preserve"> </w:t>
      </w:r>
      <w:r>
        <w:rPr>
          <w:lang w:val="cy-GB"/>
        </w:rPr>
        <w:t>Fairbairn, ‘Patristic Soteriology: Three Trajectories’, 296.</w:t>
      </w:r>
    </w:p>
  </w:footnote>
  <w:footnote w:id="940">
    <w:p w:rsidR="00AB3F05" w:rsidRPr="00E36361" w:rsidRDefault="00AB3F05" w:rsidP="00062AED">
      <w:pPr>
        <w:pStyle w:val="FootnoteText"/>
        <w:rPr>
          <w:lang w:val="cy-GB"/>
        </w:rPr>
      </w:pPr>
      <w:r>
        <w:rPr>
          <w:rStyle w:val="FootnoteReference"/>
        </w:rPr>
        <w:footnoteRef/>
      </w:r>
      <w:r>
        <w:t xml:space="preserve"> </w:t>
      </w:r>
      <w:r>
        <w:rPr>
          <w:lang w:val="cy-GB"/>
        </w:rPr>
        <w:t>Williams, ‘Three Spheres’, 205.</w:t>
      </w:r>
    </w:p>
  </w:footnote>
  <w:footnote w:id="941">
    <w:p w:rsidR="00AB3F05" w:rsidRPr="005C3925" w:rsidRDefault="00AB3F05" w:rsidP="00062AED">
      <w:pPr>
        <w:pStyle w:val="FootnoteText"/>
      </w:pPr>
      <w:r>
        <w:rPr>
          <w:rStyle w:val="FootnoteReference"/>
        </w:rPr>
        <w:footnoteRef/>
      </w:r>
      <w:r>
        <w:t xml:space="preserve"> Williams, ‘The Ministry of the Word’, 171.</w:t>
      </w:r>
    </w:p>
  </w:footnote>
  <w:footnote w:id="942">
    <w:p w:rsidR="00AB3F05" w:rsidRDefault="00AB3F05" w:rsidP="00062AED">
      <w:pPr>
        <w:pStyle w:val="FootnoteText"/>
      </w:pPr>
      <w:r>
        <w:rPr>
          <w:rStyle w:val="FootnoteReference"/>
        </w:rPr>
        <w:footnoteRef/>
      </w:r>
      <w:r>
        <w:t xml:space="preserve"> Cf. J.B. Clyne, ‘Taste the Bread of Sweet Communion’, </w:t>
      </w:r>
      <w:r w:rsidRPr="00390308">
        <w:rPr>
          <w:i/>
        </w:rPr>
        <w:t>Gospel Quintet Choruses 10</w:t>
      </w:r>
      <w:r>
        <w:t xml:space="preserve"> (Bradford: Puritan Press, 1952), 480.</w:t>
      </w:r>
    </w:p>
  </w:footnote>
  <w:footnote w:id="943">
    <w:p w:rsidR="00AB3F05" w:rsidRPr="00A26BE3" w:rsidRDefault="00AB3F05" w:rsidP="00062AED">
      <w:pPr>
        <w:pStyle w:val="FootnoteText"/>
      </w:pPr>
      <w:r>
        <w:rPr>
          <w:rStyle w:val="FootnoteReference"/>
        </w:rPr>
        <w:footnoteRef/>
      </w:r>
      <w:r>
        <w:t xml:space="preserve"> D.P. Williams, ‘Breaking of Bread Service’, </w:t>
      </w:r>
      <w:r>
        <w:rPr>
          <w:i/>
        </w:rPr>
        <w:t>RoG</w:t>
      </w:r>
      <w:r>
        <w:t>, xiv.1 (Sept. 1938), 68.</w:t>
      </w:r>
    </w:p>
  </w:footnote>
  <w:footnote w:id="944">
    <w:p w:rsidR="00AB3F05" w:rsidRPr="00A26BE3" w:rsidRDefault="00AB3F05" w:rsidP="00062AED">
      <w:pPr>
        <w:pStyle w:val="FootnoteText"/>
      </w:pPr>
      <w:r>
        <w:rPr>
          <w:rStyle w:val="FootnoteReference"/>
        </w:rPr>
        <w:footnoteRef/>
      </w:r>
      <w:r>
        <w:t xml:space="preserve"> Ibid.</w:t>
      </w:r>
    </w:p>
  </w:footnote>
  <w:footnote w:id="945">
    <w:p w:rsidR="00AB3F05" w:rsidRPr="00E36EF7" w:rsidRDefault="00AB3F05" w:rsidP="00062AED">
      <w:pPr>
        <w:pStyle w:val="FootnoteText"/>
      </w:pPr>
      <w:r>
        <w:rPr>
          <w:rStyle w:val="FootnoteReference"/>
        </w:rPr>
        <w:footnoteRef/>
      </w:r>
      <w:r>
        <w:t xml:space="preserve"> D.P. Williams, ‘Editorial Note’, </w:t>
      </w:r>
      <w:r>
        <w:rPr>
          <w:i/>
        </w:rPr>
        <w:t>RoG</w:t>
      </w:r>
      <w:r>
        <w:t>, v.3 (Jan. 1930), 87.</w:t>
      </w:r>
    </w:p>
  </w:footnote>
  <w:footnote w:id="946">
    <w:p w:rsidR="00AB3F05" w:rsidRPr="00E36EF7" w:rsidRDefault="00AB3F05" w:rsidP="00062AED">
      <w:pPr>
        <w:pStyle w:val="FootnoteText"/>
      </w:pPr>
      <w:r>
        <w:rPr>
          <w:rStyle w:val="FootnoteReference"/>
        </w:rPr>
        <w:footnoteRef/>
      </w:r>
      <w:r>
        <w:t xml:space="preserve"> Williams, ‘The Unique Child’, 371.</w:t>
      </w:r>
    </w:p>
  </w:footnote>
  <w:footnote w:id="947">
    <w:p w:rsidR="00AB3F05" w:rsidRPr="00E36EF7" w:rsidRDefault="00AB3F05" w:rsidP="00062AED">
      <w:pPr>
        <w:pStyle w:val="FootnoteText"/>
      </w:pPr>
      <w:r>
        <w:rPr>
          <w:rStyle w:val="FootnoteReference"/>
        </w:rPr>
        <w:footnoteRef/>
      </w:r>
      <w:r>
        <w:t xml:space="preserve"> Ibid.</w:t>
      </w:r>
    </w:p>
  </w:footnote>
  <w:footnote w:id="948">
    <w:p w:rsidR="00AB3F05" w:rsidRPr="001F1A36" w:rsidRDefault="00AB3F05" w:rsidP="00062AED">
      <w:pPr>
        <w:pStyle w:val="FootnoteText"/>
      </w:pPr>
      <w:r>
        <w:rPr>
          <w:rStyle w:val="FootnoteReference"/>
        </w:rPr>
        <w:footnoteRef/>
      </w:r>
      <w:r>
        <w:t xml:space="preserve"> Williams, ‘From Glory to Glory’, 46.</w:t>
      </w:r>
    </w:p>
  </w:footnote>
  <w:footnote w:id="949">
    <w:p w:rsidR="00AB3F05" w:rsidRPr="00043777" w:rsidRDefault="00AB3F05" w:rsidP="00062AED">
      <w:pPr>
        <w:pStyle w:val="FootnoteText"/>
      </w:pPr>
      <w:r>
        <w:rPr>
          <w:rStyle w:val="FootnoteReference"/>
        </w:rPr>
        <w:footnoteRef/>
      </w:r>
      <w:r>
        <w:t xml:space="preserve"> Williams, </w:t>
      </w:r>
      <w:r w:rsidRPr="00043777">
        <w:rPr>
          <w:i/>
        </w:rPr>
        <w:t>Trinity</w:t>
      </w:r>
      <w:r>
        <w:t>, 2:83.</w:t>
      </w:r>
    </w:p>
  </w:footnote>
  <w:footnote w:id="950">
    <w:p w:rsidR="00AB3F05" w:rsidRPr="00F1756A" w:rsidRDefault="00AB3F05" w:rsidP="00062AED">
      <w:pPr>
        <w:pStyle w:val="FootnoteText"/>
      </w:pPr>
      <w:r>
        <w:rPr>
          <w:rStyle w:val="FootnoteReference"/>
        </w:rPr>
        <w:footnoteRef/>
      </w:r>
      <w:r>
        <w:t xml:space="preserve"> Williams, ‘Editorial Note’ (Jan. 1930), 89.</w:t>
      </w:r>
    </w:p>
  </w:footnote>
  <w:footnote w:id="951">
    <w:p w:rsidR="00AB3F05" w:rsidRPr="00F14D8A" w:rsidRDefault="00AB3F05" w:rsidP="00062AED">
      <w:pPr>
        <w:pStyle w:val="FootnoteText"/>
      </w:pPr>
      <w:r>
        <w:rPr>
          <w:rStyle w:val="FootnoteReference"/>
        </w:rPr>
        <w:footnoteRef/>
      </w:r>
      <w:r>
        <w:t xml:space="preserve"> Williams, ‘The Leading of the Spirit and the Formation of Character’, 390.</w:t>
      </w:r>
    </w:p>
  </w:footnote>
  <w:footnote w:id="952">
    <w:p w:rsidR="00AB3F05" w:rsidRPr="00B11D98" w:rsidRDefault="00AB3F05" w:rsidP="00062AED">
      <w:pPr>
        <w:pStyle w:val="FootnoteText"/>
      </w:pPr>
      <w:r>
        <w:rPr>
          <w:rStyle w:val="FootnoteReference"/>
        </w:rPr>
        <w:footnoteRef/>
      </w:r>
      <w:r>
        <w:t xml:space="preserve"> Ibid., 393.</w:t>
      </w:r>
    </w:p>
  </w:footnote>
  <w:footnote w:id="953">
    <w:p w:rsidR="00AB3F05" w:rsidRPr="00350F38" w:rsidRDefault="00AB3F05" w:rsidP="00062AED">
      <w:pPr>
        <w:pStyle w:val="FootnoteText"/>
      </w:pPr>
      <w:r>
        <w:rPr>
          <w:rStyle w:val="FootnoteReference"/>
        </w:rPr>
        <w:footnoteRef/>
      </w:r>
      <w:r>
        <w:t xml:space="preserve"> Williams, ‘From Glory to Glory’, 45.</w:t>
      </w:r>
    </w:p>
  </w:footnote>
  <w:footnote w:id="954">
    <w:p w:rsidR="00AB3F05" w:rsidRPr="00E16927" w:rsidRDefault="00AB3F05" w:rsidP="00062AED">
      <w:pPr>
        <w:pStyle w:val="FootnoteText"/>
      </w:pPr>
      <w:r>
        <w:rPr>
          <w:rStyle w:val="FootnoteReference"/>
        </w:rPr>
        <w:footnoteRef/>
      </w:r>
      <w:r>
        <w:t xml:space="preserve"> D.P. Williams, ‘Exposition’, </w:t>
      </w:r>
      <w:r>
        <w:rPr>
          <w:i/>
        </w:rPr>
        <w:t>RoG</w:t>
      </w:r>
      <w:r>
        <w:t>, iii.1 (March 1927), 30-31.</w:t>
      </w:r>
    </w:p>
  </w:footnote>
  <w:footnote w:id="955">
    <w:p w:rsidR="00AB3F05" w:rsidRPr="00F71584" w:rsidRDefault="00AB3F05" w:rsidP="00062AED">
      <w:pPr>
        <w:pStyle w:val="FootnoteText"/>
      </w:pPr>
      <w:r>
        <w:rPr>
          <w:rStyle w:val="FootnoteReference"/>
        </w:rPr>
        <w:footnoteRef/>
      </w:r>
      <w:r>
        <w:t xml:space="preserve"> Williams, ‘Grace and Apostleship (II)’, 98.</w:t>
      </w:r>
    </w:p>
  </w:footnote>
  <w:footnote w:id="956">
    <w:p w:rsidR="00AB3F05" w:rsidRPr="00F71584" w:rsidRDefault="00AB3F05" w:rsidP="00062AED">
      <w:pPr>
        <w:pStyle w:val="FootnoteText"/>
      </w:pPr>
      <w:r>
        <w:rPr>
          <w:rStyle w:val="FootnoteReference"/>
        </w:rPr>
        <w:footnoteRef/>
      </w:r>
      <w:r>
        <w:t xml:space="preserve"> Ibid.</w:t>
      </w:r>
    </w:p>
  </w:footnote>
  <w:footnote w:id="957">
    <w:p w:rsidR="00AB3F05" w:rsidRPr="001D0E68" w:rsidRDefault="00AB3F05" w:rsidP="00062AED">
      <w:pPr>
        <w:pStyle w:val="FootnoteText"/>
      </w:pPr>
      <w:r>
        <w:rPr>
          <w:rStyle w:val="FootnoteReference"/>
        </w:rPr>
        <w:footnoteRef/>
      </w:r>
      <w:r>
        <w:t xml:space="preserve"> Ibid.</w:t>
      </w:r>
    </w:p>
  </w:footnote>
  <w:footnote w:id="958">
    <w:p w:rsidR="00AB3F05" w:rsidRPr="00542420" w:rsidRDefault="00AB3F05" w:rsidP="00062AED">
      <w:pPr>
        <w:pStyle w:val="FootnoteText"/>
      </w:pPr>
      <w:r>
        <w:rPr>
          <w:rStyle w:val="FootnoteReference"/>
        </w:rPr>
        <w:footnoteRef/>
      </w:r>
      <w:r>
        <w:t xml:space="preserve"> </w:t>
      </w:r>
      <w:r w:rsidRPr="004D4158">
        <w:t xml:space="preserve">D.P. Williams, ‘Foreword’, </w:t>
      </w:r>
      <w:r w:rsidRPr="004D4158">
        <w:rPr>
          <w:i/>
        </w:rPr>
        <w:t>Amazing Love</w:t>
      </w:r>
      <w:r w:rsidRPr="004D4158">
        <w:t>, 3.</w:t>
      </w:r>
    </w:p>
  </w:footnote>
  <w:footnote w:id="959">
    <w:p w:rsidR="00AB3F05" w:rsidRPr="00542420" w:rsidRDefault="00AB3F05" w:rsidP="00062AED">
      <w:pPr>
        <w:pStyle w:val="FootnoteText"/>
      </w:pPr>
      <w:r>
        <w:rPr>
          <w:rStyle w:val="FootnoteReference"/>
        </w:rPr>
        <w:footnoteRef/>
      </w:r>
      <w:r>
        <w:t xml:space="preserve"> Ibid., 4.</w:t>
      </w:r>
    </w:p>
  </w:footnote>
  <w:footnote w:id="960">
    <w:p w:rsidR="00AB3F05" w:rsidRPr="00115FB2" w:rsidRDefault="00AB3F05" w:rsidP="00062AED">
      <w:pPr>
        <w:pStyle w:val="FootnoteText"/>
      </w:pPr>
      <w:r>
        <w:rPr>
          <w:rStyle w:val="FootnoteReference"/>
        </w:rPr>
        <w:footnoteRef/>
      </w:r>
      <w:r>
        <w:t xml:space="preserve"> Williams, </w:t>
      </w:r>
      <w:r w:rsidRPr="00115FB2">
        <w:rPr>
          <w:i/>
        </w:rPr>
        <w:t>Sanctuary</w:t>
      </w:r>
      <w:r>
        <w:t>, 54.</w:t>
      </w:r>
    </w:p>
  </w:footnote>
  <w:footnote w:id="961">
    <w:p w:rsidR="00AB3F05" w:rsidRPr="005B6D4C" w:rsidRDefault="00AB3F05" w:rsidP="00062AED">
      <w:pPr>
        <w:pStyle w:val="FootnoteText"/>
      </w:pPr>
      <w:r>
        <w:rPr>
          <w:rStyle w:val="FootnoteReference"/>
        </w:rPr>
        <w:footnoteRef/>
      </w:r>
      <w:r>
        <w:t xml:space="preserve"> Williams, ‘Grace and Apostleship (II)’, 98.</w:t>
      </w:r>
    </w:p>
  </w:footnote>
  <w:footnote w:id="962">
    <w:p w:rsidR="00AB3F05" w:rsidRPr="00191288" w:rsidRDefault="00AB3F05" w:rsidP="00062AED">
      <w:pPr>
        <w:pStyle w:val="FootnoteText"/>
      </w:pPr>
      <w:r>
        <w:rPr>
          <w:rStyle w:val="FootnoteReference"/>
        </w:rPr>
        <w:footnoteRef/>
      </w:r>
      <w:r>
        <w:t xml:space="preserve"> Ibid.</w:t>
      </w:r>
    </w:p>
  </w:footnote>
  <w:footnote w:id="963">
    <w:p w:rsidR="00AB3F05" w:rsidRPr="006F668E" w:rsidRDefault="00AB3F05" w:rsidP="00062AED">
      <w:pPr>
        <w:pStyle w:val="FootnoteText"/>
      </w:pPr>
      <w:r>
        <w:rPr>
          <w:rStyle w:val="FootnoteReference"/>
        </w:rPr>
        <w:footnoteRef/>
      </w:r>
      <w:r>
        <w:t xml:space="preserve"> Williams, ‘Editorial Note’, (Jan. 1930), 88-89.</w:t>
      </w:r>
    </w:p>
  </w:footnote>
  <w:footnote w:id="964">
    <w:p w:rsidR="00AB3F05" w:rsidRPr="00307E94" w:rsidRDefault="00AB3F05" w:rsidP="00062AED">
      <w:pPr>
        <w:pStyle w:val="FootnoteText"/>
      </w:pPr>
      <w:r>
        <w:rPr>
          <w:rStyle w:val="FootnoteReference"/>
        </w:rPr>
        <w:footnoteRef/>
      </w:r>
      <w:r>
        <w:t xml:space="preserve"> Ibid., 89.</w:t>
      </w:r>
    </w:p>
  </w:footnote>
  <w:footnote w:id="965">
    <w:p w:rsidR="00AB3F05" w:rsidRPr="00E54E5F" w:rsidRDefault="00AB3F05" w:rsidP="00062AED">
      <w:pPr>
        <w:pStyle w:val="FootnoteText"/>
      </w:pPr>
      <w:r>
        <w:rPr>
          <w:rStyle w:val="FootnoteReference"/>
        </w:rPr>
        <w:footnoteRef/>
      </w:r>
      <w:r>
        <w:t xml:space="preserve"> Ibid.</w:t>
      </w:r>
    </w:p>
  </w:footnote>
  <w:footnote w:id="966">
    <w:p w:rsidR="00AB3F05" w:rsidRPr="0092332C" w:rsidRDefault="00AB3F05" w:rsidP="00062AED">
      <w:pPr>
        <w:pStyle w:val="FootnoteText"/>
      </w:pPr>
      <w:r>
        <w:rPr>
          <w:rStyle w:val="FootnoteReference"/>
        </w:rPr>
        <w:footnoteRef/>
      </w:r>
      <w:r>
        <w:t xml:space="preserve"> Williams, </w:t>
      </w:r>
      <w:r w:rsidRPr="0092332C">
        <w:rPr>
          <w:i/>
        </w:rPr>
        <w:t>Trinity</w:t>
      </w:r>
      <w:r>
        <w:t>, 2:54.</w:t>
      </w:r>
    </w:p>
  </w:footnote>
  <w:footnote w:id="967">
    <w:p w:rsidR="00AB3F05" w:rsidRPr="00296FB7" w:rsidRDefault="00AB3F05" w:rsidP="00062AED">
      <w:pPr>
        <w:pStyle w:val="FootnoteText"/>
      </w:pPr>
      <w:r>
        <w:rPr>
          <w:rStyle w:val="FootnoteReference"/>
        </w:rPr>
        <w:footnoteRef/>
      </w:r>
      <w:r>
        <w:t xml:space="preserve"> Ibid., 2:57.</w:t>
      </w:r>
    </w:p>
  </w:footnote>
  <w:footnote w:id="968">
    <w:p w:rsidR="00AB3F05" w:rsidRPr="003214D2" w:rsidRDefault="00AB3F05" w:rsidP="00062AED">
      <w:pPr>
        <w:pStyle w:val="FootnoteText"/>
      </w:pPr>
      <w:r>
        <w:rPr>
          <w:rStyle w:val="FootnoteReference"/>
        </w:rPr>
        <w:footnoteRef/>
      </w:r>
      <w:r>
        <w:t xml:space="preserve"> Williams, ‘All Sovereignty is His’, 73.</w:t>
      </w:r>
    </w:p>
  </w:footnote>
  <w:footnote w:id="969">
    <w:p w:rsidR="00AB3F05" w:rsidRPr="00EE3A85" w:rsidRDefault="00AB3F05" w:rsidP="00062AED">
      <w:pPr>
        <w:pStyle w:val="FootnoteText"/>
      </w:pPr>
      <w:r>
        <w:rPr>
          <w:rStyle w:val="FootnoteReference"/>
        </w:rPr>
        <w:footnoteRef/>
      </w:r>
      <w:r>
        <w:t xml:space="preserve"> Ibid.</w:t>
      </w:r>
    </w:p>
  </w:footnote>
  <w:footnote w:id="970">
    <w:p w:rsidR="00AB3F05" w:rsidRPr="00F56781" w:rsidRDefault="00AB3F05" w:rsidP="00062AED">
      <w:pPr>
        <w:pStyle w:val="FootnoteText"/>
        <w:rPr>
          <w:lang w:val="cy-GB"/>
        </w:rPr>
      </w:pPr>
      <w:r>
        <w:rPr>
          <w:rStyle w:val="FootnoteReference"/>
        </w:rPr>
        <w:footnoteRef/>
      </w:r>
      <w:r>
        <w:t xml:space="preserve"> </w:t>
      </w:r>
      <w:r>
        <w:rPr>
          <w:lang w:val="cy-GB"/>
        </w:rPr>
        <w:t>Ibid.</w:t>
      </w:r>
    </w:p>
  </w:footnote>
  <w:footnote w:id="971">
    <w:p w:rsidR="00AB3F05" w:rsidRPr="00A139FD" w:rsidRDefault="00AB3F05" w:rsidP="00062AED">
      <w:pPr>
        <w:pStyle w:val="FootnoteText"/>
      </w:pPr>
      <w:r>
        <w:rPr>
          <w:rStyle w:val="FootnoteReference"/>
        </w:rPr>
        <w:footnoteRef/>
      </w:r>
      <w:r>
        <w:t xml:space="preserve"> Ibid.</w:t>
      </w:r>
    </w:p>
  </w:footnote>
  <w:footnote w:id="972">
    <w:p w:rsidR="00AB3F05" w:rsidRPr="00E606A9" w:rsidRDefault="00AB3F05" w:rsidP="00062AED">
      <w:pPr>
        <w:pStyle w:val="FootnoteText"/>
      </w:pPr>
      <w:r>
        <w:rPr>
          <w:rStyle w:val="FootnoteReference"/>
        </w:rPr>
        <w:footnoteRef/>
      </w:r>
      <w:r>
        <w:t xml:space="preserve"> Ibid., 75.</w:t>
      </w:r>
    </w:p>
  </w:footnote>
  <w:footnote w:id="973">
    <w:p w:rsidR="00AB3F05" w:rsidRPr="003F0726" w:rsidRDefault="00AB3F05" w:rsidP="00062AED">
      <w:pPr>
        <w:pStyle w:val="FootnoteText"/>
      </w:pPr>
      <w:r>
        <w:rPr>
          <w:rStyle w:val="FootnoteReference"/>
        </w:rPr>
        <w:footnoteRef/>
      </w:r>
      <w:r>
        <w:t xml:space="preserve"> Ibid.</w:t>
      </w:r>
    </w:p>
  </w:footnote>
  <w:footnote w:id="974">
    <w:p w:rsidR="00AB3F05" w:rsidRPr="00CC1F75" w:rsidRDefault="00AB3F05" w:rsidP="00062AED">
      <w:pPr>
        <w:pStyle w:val="FootnoteText"/>
      </w:pPr>
      <w:r>
        <w:rPr>
          <w:rStyle w:val="FootnoteReference"/>
        </w:rPr>
        <w:footnoteRef/>
      </w:r>
      <w:r>
        <w:t xml:space="preserve"> Ibid.</w:t>
      </w:r>
    </w:p>
  </w:footnote>
  <w:footnote w:id="975">
    <w:p w:rsidR="00AB3F05" w:rsidRPr="00CC1F75" w:rsidRDefault="00AB3F05" w:rsidP="00062AED">
      <w:pPr>
        <w:pStyle w:val="FootnoteText"/>
      </w:pPr>
      <w:r>
        <w:rPr>
          <w:rStyle w:val="FootnoteReference"/>
        </w:rPr>
        <w:footnoteRef/>
      </w:r>
      <w:r>
        <w:t xml:space="preserve"> Ibid.</w:t>
      </w:r>
    </w:p>
  </w:footnote>
  <w:footnote w:id="976">
    <w:p w:rsidR="00AB3F05" w:rsidRPr="00AA31C4" w:rsidRDefault="00AB3F05" w:rsidP="00062AED">
      <w:pPr>
        <w:pStyle w:val="FootnoteText"/>
      </w:pPr>
      <w:r>
        <w:rPr>
          <w:rStyle w:val="FootnoteReference"/>
        </w:rPr>
        <w:footnoteRef/>
      </w:r>
      <w:r>
        <w:t xml:space="preserve"> E.g. </w:t>
      </w:r>
      <w:r>
        <w:rPr>
          <w:i/>
        </w:rPr>
        <w:t>MDd</w:t>
      </w:r>
      <w:r>
        <w:t>, 24, 37, 79, 150, 186, 205, 289.</w:t>
      </w:r>
    </w:p>
  </w:footnote>
  <w:footnote w:id="977">
    <w:p w:rsidR="00AB3F05" w:rsidRPr="00115FB2" w:rsidRDefault="00AB3F05" w:rsidP="00062AED">
      <w:pPr>
        <w:pStyle w:val="FootnoteText"/>
      </w:pPr>
      <w:r>
        <w:rPr>
          <w:rStyle w:val="FootnoteReference"/>
        </w:rPr>
        <w:footnoteRef/>
      </w:r>
      <w:r>
        <w:t xml:space="preserve"> Williams, </w:t>
      </w:r>
      <w:r>
        <w:rPr>
          <w:i/>
        </w:rPr>
        <w:t>S</w:t>
      </w:r>
      <w:r w:rsidRPr="00115FB2">
        <w:rPr>
          <w:i/>
        </w:rPr>
        <w:t>anctuary</w:t>
      </w:r>
      <w:r>
        <w:t>, 77.</w:t>
      </w:r>
    </w:p>
  </w:footnote>
  <w:footnote w:id="978">
    <w:p w:rsidR="00AB3F05" w:rsidRPr="007A49EC" w:rsidRDefault="00AB3F05" w:rsidP="00062AED">
      <w:pPr>
        <w:pStyle w:val="FootnoteText"/>
      </w:pPr>
      <w:r>
        <w:rPr>
          <w:rStyle w:val="FootnoteReference"/>
        </w:rPr>
        <w:footnoteRef/>
      </w:r>
      <w:r>
        <w:t xml:space="preserve"> D.P. Williams, ‘Exposition of Prophecy’, </w:t>
      </w:r>
      <w:r>
        <w:rPr>
          <w:i/>
        </w:rPr>
        <w:t>RoG</w:t>
      </w:r>
      <w:r>
        <w:t>, v.1 (Sept. 1929), 25.</w:t>
      </w:r>
    </w:p>
  </w:footnote>
  <w:footnote w:id="979">
    <w:p w:rsidR="00AB3F05" w:rsidRPr="007A49EC" w:rsidRDefault="00AB3F05" w:rsidP="00062AED">
      <w:pPr>
        <w:pStyle w:val="FootnoteText"/>
      </w:pPr>
      <w:r>
        <w:rPr>
          <w:rStyle w:val="FootnoteReference"/>
        </w:rPr>
        <w:footnoteRef/>
      </w:r>
      <w:r>
        <w:t xml:space="preserve"> Ibid.</w:t>
      </w:r>
    </w:p>
  </w:footnote>
  <w:footnote w:id="980">
    <w:p w:rsidR="00AB3F05" w:rsidRPr="007A49EC" w:rsidRDefault="00AB3F05" w:rsidP="00062AED">
      <w:pPr>
        <w:pStyle w:val="FootnoteText"/>
      </w:pPr>
      <w:r>
        <w:rPr>
          <w:rStyle w:val="FootnoteReference"/>
        </w:rPr>
        <w:footnoteRef/>
      </w:r>
      <w:r>
        <w:t xml:space="preserve"> Ibid.</w:t>
      </w:r>
    </w:p>
  </w:footnote>
  <w:footnote w:id="981">
    <w:p w:rsidR="00AB3F05" w:rsidRPr="007A49EC" w:rsidRDefault="00AB3F05" w:rsidP="00062AED">
      <w:pPr>
        <w:pStyle w:val="FootnoteText"/>
      </w:pPr>
      <w:r>
        <w:rPr>
          <w:rStyle w:val="FootnoteReference"/>
        </w:rPr>
        <w:footnoteRef/>
      </w:r>
      <w:r>
        <w:t xml:space="preserve"> Ibid.</w:t>
      </w:r>
    </w:p>
  </w:footnote>
  <w:footnote w:id="982">
    <w:p w:rsidR="00AB3F05" w:rsidRPr="00980266" w:rsidRDefault="00AB3F05" w:rsidP="00062AED">
      <w:pPr>
        <w:pStyle w:val="FootnoteText"/>
      </w:pPr>
      <w:r>
        <w:rPr>
          <w:rStyle w:val="FootnoteReference"/>
        </w:rPr>
        <w:footnoteRef/>
      </w:r>
      <w:r>
        <w:t xml:space="preserve"> Williams, ‘Highpriestly Prayer’, 16.</w:t>
      </w:r>
    </w:p>
  </w:footnote>
  <w:footnote w:id="983">
    <w:p w:rsidR="00AB3F05" w:rsidRPr="00980266" w:rsidRDefault="00AB3F05" w:rsidP="00062AED">
      <w:pPr>
        <w:pStyle w:val="FootnoteText"/>
      </w:pPr>
      <w:r>
        <w:rPr>
          <w:rStyle w:val="FootnoteReference"/>
        </w:rPr>
        <w:footnoteRef/>
      </w:r>
      <w:r>
        <w:t xml:space="preserve"> Ibid.</w:t>
      </w:r>
    </w:p>
  </w:footnote>
  <w:footnote w:id="984">
    <w:p w:rsidR="00AB3F05" w:rsidRPr="00522A30" w:rsidRDefault="00AB3F05" w:rsidP="00062AED">
      <w:pPr>
        <w:pStyle w:val="FootnoteText"/>
      </w:pPr>
      <w:r>
        <w:rPr>
          <w:rStyle w:val="FootnoteReference"/>
        </w:rPr>
        <w:footnoteRef/>
      </w:r>
      <w:r>
        <w:t xml:space="preserve"> Williams, foreword to Rees, </w:t>
      </w:r>
      <w:r w:rsidRPr="00522A30">
        <w:rPr>
          <w:i/>
        </w:rPr>
        <w:t>Divine Masterpiece</w:t>
      </w:r>
      <w:r>
        <w:t>, 2.</w:t>
      </w:r>
    </w:p>
  </w:footnote>
  <w:footnote w:id="985">
    <w:p w:rsidR="00AB3F05" w:rsidRPr="00C341DE" w:rsidRDefault="00AB3F05" w:rsidP="00062AED">
      <w:pPr>
        <w:pStyle w:val="FootnoteText"/>
      </w:pPr>
      <w:r>
        <w:rPr>
          <w:rStyle w:val="FootnoteReference"/>
        </w:rPr>
        <w:footnoteRef/>
      </w:r>
      <w:r>
        <w:t xml:space="preserve"> Williams, </w:t>
      </w:r>
      <w:r w:rsidRPr="00C341DE">
        <w:rPr>
          <w:i/>
        </w:rPr>
        <w:t>Lord’s Prayer</w:t>
      </w:r>
      <w:r>
        <w:t>, 65; Cf. John 17:22.</w:t>
      </w:r>
    </w:p>
  </w:footnote>
  <w:footnote w:id="986">
    <w:p w:rsidR="00AB3F05" w:rsidRPr="00C341DE" w:rsidRDefault="00AB3F05" w:rsidP="00062AED">
      <w:pPr>
        <w:pStyle w:val="FootnoteText"/>
      </w:pPr>
      <w:r>
        <w:rPr>
          <w:rStyle w:val="FootnoteReference"/>
        </w:rPr>
        <w:footnoteRef/>
      </w:r>
      <w:r>
        <w:t xml:space="preserve"> Ibid.</w:t>
      </w:r>
    </w:p>
  </w:footnote>
  <w:footnote w:id="987">
    <w:p w:rsidR="00AB3F05" w:rsidRPr="00C341DE" w:rsidRDefault="00AB3F05" w:rsidP="00062AED">
      <w:pPr>
        <w:pStyle w:val="FootnoteText"/>
      </w:pPr>
      <w:r>
        <w:rPr>
          <w:rStyle w:val="FootnoteReference"/>
        </w:rPr>
        <w:footnoteRef/>
      </w:r>
      <w:r>
        <w:t xml:space="preserve"> Ibid.</w:t>
      </w:r>
    </w:p>
  </w:footnote>
  <w:footnote w:id="988">
    <w:p w:rsidR="00AB3F05" w:rsidRPr="00C341DE" w:rsidRDefault="00AB3F05" w:rsidP="00062AED">
      <w:pPr>
        <w:pStyle w:val="FootnoteText"/>
      </w:pPr>
      <w:r>
        <w:rPr>
          <w:rStyle w:val="FootnoteReference"/>
        </w:rPr>
        <w:footnoteRef/>
      </w:r>
      <w:r>
        <w:t xml:space="preserve"> Williams, ‘All Sovereignty is His’, 75.</w:t>
      </w:r>
    </w:p>
  </w:footnote>
  <w:footnote w:id="989">
    <w:p w:rsidR="00AB3F05" w:rsidRPr="00725CBB" w:rsidRDefault="00AB3F05" w:rsidP="00062AED">
      <w:pPr>
        <w:pStyle w:val="FootnoteText"/>
      </w:pPr>
      <w:r>
        <w:rPr>
          <w:rStyle w:val="FootnoteReference"/>
        </w:rPr>
        <w:footnoteRef/>
      </w:r>
      <w:r>
        <w:t xml:space="preserve"> D.P. Williams, ‘Exposition of Prophetical Word’, </w:t>
      </w:r>
      <w:r>
        <w:rPr>
          <w:i/>
        </w:rPr>
        <w:t>RoG</w:t>
      </w:r>
      <w:r>
        <w:t>, x.2 (Nov. 1934), 65.</w:t>
      </w:r>
    </w:p>
  </w:footnote>
  <w:footnote w:id="990">
    <w:p w:rsidR="00AB3F05" w:rsidRPr="00725CBB" w:rsidRDefault="00AB3F05" w:rsidP="00062AED">
      <w:pPr>
        <w:pStyle w:val="FootnoteText"/>
      </w:pPr>
      <w:r>
        <w:rPr>
          <w:rStyle w:val="FootnoteReference"/>
        </w:rPr>
        <w:footnoteRef/>
      </w:r>
      <w:r>
        <w:t xml:space="preserve"> Ibid., 66.</w:t>
      </w:r>
    </w:p>
  </w:footnote>
  <w:footnote w:id="991">
    <w:p w:rsidR="00AB3F05" w:rsidRPr="00DA25DC" w:rsidRDefault="00AB3F05" w:rsidP="00062AED">
      <w:pPr>
        <w:pStyle w:val="FootnoteText"/>
      </w:pPr>
      <w:r>
        <w:rPr>
          <w:rStyle w:val="FootnoteReference"/>
        </w:rPr>
        <w:footnoteRef/>
      </w:r>
      <w:r>
        <w:t xml:space="preserve"> Williams, ‘The Leading of the Spirit and the Formation of Character’, 390.</w:t>
      </w:r>
    </w:p>
  </w:footnote>
  <w:footnote w:id="992">
    <w:p w:rsidR="00AB3F05" w:rsidRPr="00E42931" w:rsidRDefault="00AB3F05" w:rsidP="00062AED">
      <w:pPr>
        <w:pStyle w:val="FootnoteText"/>
      </w:pPr>
      <w:r>
        <w:rPr>
          <w:rStyle w:val="FootnoteReference"/>
        </w:rPr>
        <w:footnoteRef/>
      </w:r>
      <w:r>
        <w:t xml:space="preserve"> Ibid., 393.</w:t>
      </w:r>
    </w:p>
  </w:footnote>
  <w:footnote w:id="993">
    <w:p w:rsidR="00AB3F05" w:rsidRPr="00E30E24" w:rsidRDefault="00AB3F05" w:rsidP="00062AED">
      <w:pPr>
        <w:pStyle w:val="FootnoteText"/>
      </w:pPr>
      <w:r>
        <w:rPr>
          <w:rStyle w:val="FootnoteReference"/>
        </w:rPr>
        <w:footnoteRef/>
      </w:r>
      <w:r>
        <w:t xml:space="preserve"> D.P. Williams, ‘Exposition of Prophetical Word’, </w:t>
      </w:r>
      <w:r>
        <w:rPr>
          <w:i/>
        </w:rPr>
        <w:t>RoG</w:t>
      </w:r>
      <w:r>
        <w:t>, x.2 (Nov. 1934), 66.</w:t>
      </w:r>
    </w:p>
  </w:footnote>
  <w:footnote w:id="994">
    <w:p w:rsidR="00AB3F05" w:rsidRPr="00E30E24" w:rsidRDefault="00AB3F05" w:rsidP="00062AED">
      <w:pPr>
        <w:pStyle w:val="FootnoteText"/>
      </w:pPr>
      <w:r>
        <w:rPr>
          <w:rStyle w:val="FootnoteReference"/>
        </w:rPr>
        <w:footnoteRef/>
      </w:r>
      <w:r>
        <w:t xml:space="preserve"> </w:t>
      </w:r>
      <w:r w:rsidRPr="00B9448D">
        <w:t>D.P. Williams, ‘The International Convention of the Apostolic Church at Penygroes, Carmarthenshire, 1929: Saturday Evening, Aug. 3</w:t>
      </w:r>
      <w:r w:rsidRPr="00B9448D">
        <w:rPr>
          <w:vertAlign w:val="superscript"/>
        </w:rPr>
        <w:t>rd</w:t>
      </w:r>
      <w:r w:rsidRPr="00B9448D">
        <w:t xml:space="preserve">’, </w:t>
      </w:r>
      <w:r w:rsidRPr="00EA2997">
        <w:rPr>
          <w:i/>
        </w:rPr>
        <w:t>RoG</w:t>
      </w:r>
      <w:r w:rsidRPr="00B9448D">
        <w:t xml:space="preserve"> v.1 (Sept. 1929),13.</w:t>
      </w:r>
    </w:p>
  </w:footnote>
  <w:footnote w:id="995">
    <w:p w:rsidR="00AB3F05" w:rsidRPr="00CE1490" w:rsidRDefault="00AB3F05" w:rsidP="00062AED">
      <w:pPr>
        <w:pStyle w:val="FootnoteText"/>
      </w:pPr>
      <w:r>
        <w:rPr>
          <w:rStyle w:val="FootnoteReference"/>
        </w:rPr>
        <w:footnoteRef/>
      </w:r>
      <w:r>
        <w:t xml:space="preserve"> </w:t>
      </w:r>
      <w:r>
        <w:rPr>
          <w:i/>
        </w:rPr>
        <w:t>MDd</w:t>
      </w:r>
      <w:r>
        <w:t>, 293.</w:t>
      </w:r>
    </w:p>
  </w:footnote>
  <w:footnote w:id="996">
    <w:p w:rsidR="00AB3F05" w:rsidRPr="002D6FE4" w:rsidRDefault="00AB3F05" w:rsidP="00062AED">
      <w:pPr>
        <w:pStyle w:val="FootnoteText"/>
      </w:pPr>
      <w:r>
        <w:rPr>
          <w:rStyle w:val="FootnoteReference"/>
        </w:rPr>
        <w:footnoteRef/>
      </w:r>
      <w:r>
        <w:t xml:space="preserve"> </w:t>
      </w:r>
      <w:r>
        <w:rPr>
          <w:i/>
        </w:rPr>
        <w:t>MDd</w:t>
      </w:r>
      <w:r>
        <w:t>, 169, 151.</w:t>
      </w:r>
    </w:p>
  </w:footnote>
  <w:footnote w:id="997">
    <w:p w:rsidR="00AB3F05" w:rsidRPr="00551CEE" w:rsidRDefault="00AB3F05" w:rsidP="00062AED">
      <w:pPr>
        <w:pStyle w:val="FootnoteText"/>
      </w:pPr>
      <w:r>
        <w:rPr>
          <w:rStyle w:val="FootnoteReference"/>
        </w:rPr>
        <w:footnoteRef/>
      </w:r>
      <w:r>
        <w:t xml:space="preserve"> Williams, </w:t>
      </w:r>
      <w:r w:rsidRPr="00551CEE">
        <w:rPr>
          <w:i/>
        </w:rPr>
        <w:t>Trinity</w:t>
      </w:r>
      <w:r>
        <w:t>, 2:87.</w:t>
      </w:r>
    </w:p>
  </w:footnote>
  <w:footnote w:id="998">
    <w:p w:rsidR="00AB3F05" w:rsidRPr="00551CEE" w:rsidRDefault="00AB3F05" w:rsidP="00062AED">
      <w:pPr>
        <w:pStyle w:val="FootnoteText"/>
      </w:pPr>
      <w:r>
        <w:rPr>
          <w:rStyle w:val="FootnoteReference"/>
        </w:rPr>
        <w:footnoteRef/>
      </w:r>
      <w:r>
        <w:t xml:space="preserve"> Ibid., 2:88.</w:t>
      </w:r>
    </w:p>
  </w:footnote>
  <w:footnote w:id="999">
    <w:p w:rsidR="00AB3F05" w:rsidRPr="00476722" w:rsidRDefault="00AB3F05" w:rsidP="00062AED">
      <w:pPr>
        <w:pStyle w:val="FootnoteText"/>
      </w:pPr>
      <w:r>
        <w:rPr>
          <w:rStyle w:val="FootnoteReference"/>
        </w:rPr>
        <w:footnoteRef/>
      </w:r>
      <w:r>
        <w:t xml:space="preserve"> Williams, ‘Human Temples’, 308.</w:t>
      </w:r>
    </w:p>
  </w:footnote>
  <w:footnote w:id="1000">
    <w:p w:rsidR="00AB3F05" w:rsidRPr="000D1DBD" w:rsidRDefault="00AB3F05" w:rsidP="00062AED">
      <w:pPr>
        <w:pStyle w:val="FootnoteText"/>
      </w:pPr>
      <w:r>
        <w:rPr>
          <w:rStyle w:val="FootnoteReference"/>
        </w:rPr>
        <w:footnoteRef/>
      </w:r>
      <w:r>
        <w:t xml:space="preserve"> Thomas Jones, ‘Eglwys Iesu Grist’, </w:t>
      </w:r>
      <w:r w:rsidRPr="007E7AE0">
        <w:rPr>
          <w:i/>
        </w:rPr>
        <w:t>Cyfoeth y Gras (</w:t>
      </w:r>
      <w:r>
        <w:rPr>
          <w:i/>
        </w:rPr>
        <w:t>RoG)</w:t>
      </w:r>
      <w:r>
        <w:t>, i.1 (April 1916), 5-6.</w:t>
      </w:r>
    </w:p>
  </w:footnote>
  <w:footnote w:id="1001">
    <w:p w:rsidR="00AB3F05" w:rsidRPr="007C71A9" w:rsidRDefault="00AB3F05" w:rsidP="00062AED">
      <w:pPr>
        <w:pStyle w:val="FootnoteText"/>
      </w:pPr>
      <w:r>
        <w:rPr>
          <w:rStyle w:val="FootnoteReference"/>
        </w:rPr>
        <w:footnoteRef/>
      </w:r>
      <w:r>
        <w:t xml:space="preserve"> Thomas Jones, ‘Doniau Yr Ysbryd Glan’, </w:t>
      </w:r>
      <w:r>
        <w:rPr>
          <w:i/>
        </w:rPr>
        <w:t>RoG</w:t>
      </w:r>
      <w:r>
        <w:t xml:space="preserve">, x.4 (March 1935), 164; </w:t>
      </w:r>
      <w:r w:rsidRPr="007C71A9">
        <w:rPr>
          <w:i/>
        </w:rPr>
        <w:t xml:space="preserve">‘Y mae Eglwys Iesu Grist yn cael ei gwenud </w:t>
      </w:r>
      <w:r>
        <w:rPr>
          <w:i/>
        </w:rPr>
        <w:t>i</w:t>
      </w:r>
      <w:r w:rsidRPr="007C71A9">
        <w:rPr>
          <w:i/>
        </w:rPr>
        <w:t xml:space="preserve"> fyny o bobl yn cyfranogi o fywyd Duw.’</w:t>
      </w:r>
    </w:p>
  </w:footnote>
  <w:footnote w:id="1002">
    <w:p w:rsidR="00AB3F05" w:rsidRPr="007C71A9" w:rsidRDefault="00AB3F05" w:rsidP="00062AED">
      <w:pPr>
        <w:pStyle w:val="FootnoteText"/>
      </w:pPr>
      <w:r>
        <w:rPr>
          <w:rStyle w:val="FootnoteReference"/>
        </w:rPr>
        <w:footnoteRef/>
      </w:r>
      <w:r>
        <w:t xml:space="preserve"> Ibid.; </w:t>
      </w:r>
      <w:r w:rsidRPr="007C71A9">
        <w:rPr>
          <w:i/>
        </w:rPr>
        <w:t>‘Cyfranogion o’r Dwyfol anian.’</w:t>
      </w:r>
    </w:p>
  </w:footnote>
  <w:footnote w:id="1003">
    <w:p w:rsidR="00AB3F05" w:rsidRPr="002549B2" w:rsidRDefault="00AB3F05" w:rsidP="00062AED">
      <w:pPr>
        <w:pStyle w:val="FootnoteText"/>
      </w:pPr>
      <w:r>
        <w:rPr>
          <w:rStyle w:val="FootnoteReference"/>
        </w:rPr>
        <w:footnoteRef/>
      </w:r>
      <w:r>
        <w:t xml:space="preserve"> Ibid.</w:t>
      </w:r>
    </w:p>
  </w:footnote>
  <w:footnote w:id="1004">
    <w:p w:rsidR="00AB3F05" w:rsidRPr="00E607EC" w:rsidRDefault="00AB3F05" w:rsidP="00062AED">
      <w:pPr>
        <w:pStyle w:val="FootnoteText"/>
      </w:pPr>
      <w:r>
        <w:rPr>
          <w:rStyle w:val="FootnoteReference"/>
        </w:rPr>
        <w:footnoteRef/>
      </w:r>
      <w:r>
        <w:t xml:space="preserve"> ‘Sunday Evening, August 12: Prophetical Ministry through Prophet W. Jones Williams’, </w:t>
      </w:r>
      <w:r>
        <w:rPr>
          <w:i/>
        </w:rPr>
        <w:t>RoG</w:t>
      </w:r>
      <w:r>
        <w:t>, x.6 (July 1935), 238.</w:t>
      </w:r>
    </w:p>
  </w:footnote>
  <w:footnote w:id="1005">
    <w:p w:rsidR="00AB3F05" w:rsidRPr="00AE2760" w:rsidRDefault="00AB3F05" w:rsidP="00062AED">
      <w:pPr>
        <w:pStyle w:val="FootnoteText"/>
      </w:pPr>
      <w:r>
        <w:rPr>
          <w:rStyle w:val="FootnoteReference"/>
        </w:rPr>
        <w:footnoteRef/>
      </w:r>
      <w:r>
        <w:t xml:space="preserve"> Ibid., 237-238.</w:t>
      </w:r>
    </w:p>
  </w:footnote>
  <w:footnote w:id="1006">
    <w:p w:rsidR="00AB3F05" w:rsidRPr="00DE203C" w:rsidRDefault="00AB3F05" w:rsidP="00062AED">
      <w:pPr>
        <w:pStyle w:val="FootnoteText"/>
      </w:pPr>
      <w:r>
        <w:rPr>
          <w:rStyle w:val="FootnoteReference"/>
        </w:rPr>
        <w:footnoteRef/>
      </w:r>
      <w:r>
        <w:t xml:space="preserve"> Ibid., 237-238.</w:t>
      </w:r>
    </w:p>
  </w:footnote>
  <w:footnote w:id="1007">
    <w:p w:rsidR="00AB3F05" w:rsidRPr="00DE203C" w:rsidRDefault="00AB3F05" w:rsidP="00062AED">
      <w:pPr>
        <w:pStyle w:val="FootnoteText"/>
      </w:pPr>
      <w:r>
        <w:rPr>
          <w:rStyle w:val="FootnoteReference"/>
        </w:rPr>
        <w:footnoteRef/>
      </w:r>
      <w:r>
        <w:t xml:space="preserve"> Ibid., 237.</w:t>
      </w:r>
    </w:p>
  </w:footnote>
  <w:footnote w:id="1008">
    <w:p w:rsidR="00AB3F05" w:rsidRPr="00494D83" w:rsidRDefault="00AB3F05" w:rsidP="00062AED">
      <w:pPr>
        <w:pStyle w:val="FootnoteText"/>
      </w:pPr>
      <w:r>
        <w:rPr>
          <w:rStyle w:val="FootnoteReference"/>
        </w:rPr>
        <w:footnoteRef/>
      </w:r>
      <w:r>
        <w:t xml:space="preserve"> ‘Wednesday, August 8: Prophetical Ministry through W. Jones Williams’, </w:t>
      </w:r>
      <w:r>
        <w:rPr>
          <w:i/>
        </w:rPr>
        <w:t>RoG</w:t>
      </w:r>
      <w:r>
        <w:t>, x.6 (July 1935), 229-230.</w:t>
      </w:r>
    </w:p>
  </w:footnote>
  <w:footnote w:id="1009">
    <w:p w:rsidR="00AB3F05" w:rsidRPr="00494D83" w:rsidRDefault="00AB3F05" w:rsidP="00062AED">
      <w:pPr>
        <w:pStyle w:val="FootnoteText"/>
      </w:pPr>
      <w:r>
        <w:rPr>
          <w:rStyle w:val="FootnoteReference"/>
        </w:rPr>
        <w:footnoteRef/>
      </w:r>
      <w:r>
        <w:t xml:space="preserve"> Ibid., 230.</w:t>
      </w:r>
    </w:p>
  </w:footnote>
  <w:footnote w:id="1010">
    <w:p w:rsidR="00AB3F05" w:rsidRPr="003844AE" w:rsidRDefault="00AB3F05" w:rsidP="00062AED">
      <w:pPr>
        <w:pStyle w:val="FootnoteText"/>
      </w:pPr>
      <w:r>
        <w:rPr>
          <w:rStyle w:val="FootnoteReference"/>
        </w:rPr>
        <w:footnoteRef/>
      </w:r>
      <w:r>
        <w:t xml:space="preserve"> W.J. Williams, ‘The Order of the Army of God’, </w:t>
      </w:r>
      <w:r>
        <w:rPr>
          <w:i/>
        </w:rPr>
        <w:t>RoG</w:t>
      </w:r>
      <w:r>
        <w:t>, i.9 (1920), 30.</w:t>
      </w:r>
    </w:p>
  </w:footnote>
  <w:footnote w:id="1011">
    <w:p w:rsidR="00AB3F05" w:rsidRPr="003844AE" w:rsidRDefault="00AB3F05" w:rsidP="00062AED">
      <w:pPr>
        <w:pStyle w:val="FootnoteText"/>
      </w:pPr>
      <w:r>
        <w:rPr>
          <w:rStyle w:val="FootnoteReference"/>
        </w:rPr>
        <w:footnoteRef/>
      </w:r>
      <w:r>
        <w:t xml:space="preserve"> Ibid.</w:t>
      </w:r>
    </w:p>
  </w:footnote>
  <w:footnote w:id="1012">
    <w:p w:rsidR="00AB3F05" w:rsidRPr="001449F2" w:rsidRDefault="00AB3F05" w:rsidP="00062AED">
      <w:pPr>
        <w:pStyle w:val="FootnoteText"/>
      </w:pPr>
      <w:r>
        <w:rPr>
          <w:rStyle w:val="FootnoteReference"/>
        </w:rPr>
        <w:footnoteRef/>
      </w:r>
      <w:r>
        <w:t xml:space="preserve"> </w:t>
      </w:r>
      <w:r w:rsidRPr="001449F2">
        <w:t>‘The Eternal Security of God’s Elect: The Word of the Lord through the Prophet W.J. Williams</w:t>
      </w:r>
      <w:r>
        <w:t xml:space="preserve"> (</w:t>
      </w:r>
      <w:r w:rsidRPr="001449F2">
        <w:t>Bradford</w:t>
      </w:r>
      <w:r>
        <w:t xml:space="preserve">: </w:t>
      </w:r>
      <w:r w:rsidRPr="001449F2">
        <w:t>9</w:t>
      </w:r>
      <w:r w:rsidRPr="001449F2">
        <w:rPr>
          <w:vertAlign w:val="superscript"/>
        </w:rPr>
        <w:t>th</w:t>
      </w:r>
      <w:r w:rsidRPr="001449F2">
        <w:t> Dec., 1933)’, </w:t>
      </w:r>
      <w:r>
        <w:rPr>
          <w:i/>
          <w:iCs/>
        </w:rPr>
        <w:t>RoG</w:t>
      </w:r>
      <w:r w:rsidRPr="001449F2">
        <w:t xml:space="preserve">, </w:t>
      </w:r>
      <w:r>
        <w:t>x.5</w:t>
      </w:r>
      <w:r w:rsidRPr="001449F2">
        <w:t xml:space="preserve"> (May 1935), </w:t>
      </w:r>
      <w:r>
        <w:t>210-211.</w:t>
      </w:r>
    </w:p>
  </w:footnote>
  <w:footnote w:id="1013">
    <w:p w:rsidR="00AB3F05" w:rsidRPr="006410C8" w:rsidRDefault="00AB3F05" w:rsidP="00062AED">
      <w:pPr>
        <w:pStyle w:val="FootnoteText"/>
      </w:pPr>
      <w:r>
        <w:rPr>
          <w:rStyle w:val="FootnoteReference"/>
        </w:rPr>
        <w:footnoteRef/>
      </w:r>
      <w:r>
        <w:t xml:space="preserve"> Ibid., 211.</w:t>
      </w:r>
    </w:p>
  </w:footnote>
  <w:footnote w:id="1014">
    <w:p w:rsidR="00AB3F05" w:rsidRPr="00EA4E23" w:rsidRDefault="00AB3F05" w:rsidP="00062AED">
      <w:pPr>
        <w:pStyle w:val="FootnoteText"/>
      </w:pPr>
      <w:r>
        <w:rPr>
          <w:rStyle w:val="FootnoteReference"/>
        </w:rPr>
        <w:footnoteRef/>
      </w:r>
      <w:r>
        <w:t xml:space="preserve"> ‘Predestination: The Word of the Lord through the Prophet W.J. Wiliams, druing the Easter Convention at Bradford (Tuesday, April 18</w:t>
      </w:r>
      <w:r w:rsidRPr="00EA4E23">
        <w:rPr>
          <w:vertAlign w:val="superscript"/>
        </w:rPr>
        <w:t>th</w:t>
      </w:r>
      <w:r>
        <w:t xml:space="preserve">, 1933), </w:t>
      </w:r>
      <w:r>
        <w:rPr>
          <w:i/>
        </w:rPr>
        <w:t>RoG</w:t>
      </w:r>
      <w:r>
        <w:t>, x.5 (May 1935), 213.</w:t>
      </w:r>
    </w:p>
  </w:footnote>
  <w:footnote w:id="1015">
    <w:p w:rsidR="00AB3F05" w:rsidRPr="002A3A90" w:rsidRDefault="00AB3F05" w:rsidP="00062AED">
      <w:pPr>
        <w:pStyle w:val="FootnoteText"/>
      </w:pPr>
      <w:r>
        <w:rPr>
          <w:rStyle w:val="FootnoteReference"/>
        </w:rPr>
        <w:footnoteRef/>
      </w:r>
      <w:r>
        <w:t xml:space="preserve"> Ibid.</w:t>
      </w:r>
    </w:p>
  </w:footnote>
  <w:footnote w:id="1016">
    <w:p w:rsidR="00AB3F05" w:rsidRPr="002A3A90" w:rsidRDefault="00AB3F05" w:rsidP="00062AED">
      <w:pPr>
        <w:pStyle w:val="FootnoteText"/>
      </w:pPr>
      <w:r>
        <w:rPr>
          <w:rStyle w:val="FootnoteReference"/>
        </w:rPr>
        <w:footnoteRef/>
      </w:r>
      <w:r>
        <w:t xml:space="preserve"> Ibid.</w:t>
      </w:r>
    </w:p>
  </w:footnote>
  <w:footnote w:id="1017">
    <w:p w:rsidR="00AB3F05" w:rsidRPr="002A3A90" w:rsidRDefault="00AB3F05" w:rsidP="00062AED">
      <w:pPr>
        <w:pStyle w:val="FootnoteText"/>
      </w:pPr>
      <w:r>
        <w:rPr>
          <w:rStyle w:val="FootnoteReference"/>
        </w:rPr>
        <w:footnoteRef/>
      </w:r>
      <w:r>
        <w:t xml:space="preserve"> Ibid., 214.</w:t>
      </w:r>
    </w:p>
  </w:footnote>
  <w:footnote w:id="1018">
    <w:p w:rsidR="00AB3F05" w:rsidRPr="00307B33" w:rsidRDefault="00AB3F05" w:rsidP="00062AED">
      <w:pPr>
        <w:pStyle w:val="FootnoteText"/>
      </w:pPr>
      <w:r>
        <w:rPr>
          <w:rStyle w:val="FootnoteReference"/>
        </w:rPr>
        <w:footnoteRef/>
      </w:r>
      <w:r>
        <w:t xml:space="preserve"> Ibid.</w:t>
      </w:r>
    </w:p>
  </w:footnote>
  <w:footnote w:id="1019">
    <w:p w:rsidR="00AB3F05" w:rsidRPr="003B63AC" w:rsidRDefault="00AB3F05" w:rsidP="00062AED">
      <w:pPr>
        <w:pStyle w:val="FootnoteText"/>
      </w:pPr>
      <w:r>
        <w:rPr>
          <w:rStyle w:val="FootnoteReference"/>
        </w:rPr>
        <w:footnoteRef/>
      </w:r>
      <w:r>
        <w:t xml:space="preserve"> W.J. Williams, ‘The Order of the Army of God’, 31-32.</w:t>
      </w:r>
    </w:p>
  </w:footnote>
  <w:footnote w:id="1020">
    <w:p w:rsidR="00AB3F05" w:rsidRPr="003A7C5C" w:rsidRDefault="00AB3F05" w:rsidP="00062AED">
      <w:pPr>
        <w:pStyle w:val="FootnoteText"/>
      </w:pPr>
      <w:r>
        <w:rPr>
          <w:rStyle w:val="FootnoteReference"/>
        </w:rPr>
        <w:footnoteRef/>
      </w:r>
      <w:r>
        <w:t xml:space="preserve"> W.J. Williams, ‘Tuesday Morning, August 4</w:t>
      </w:r>
      <w:r w:rsidRPr="003A7C5C">
        <w:rPr>
          <w:vertAlign w:val="superscript"/>
        </w:rPr>
        <w:t>th</w:t>
      </w:r>
      <w:r>
        <w:t xml:space="preserve">, 1925’, </w:t>
      </w:r>
      <w:r>
        <w:rPr>
          <w:i/>
        </w:rPr>
        <w:t>RoG</w:t>
      </w:r>
      <w:r>
        <w:t>, ii.9 (August 1925), 35.</w:t>
      </w:r>
    </w:p>
  </w:footnote>
  <w:footnote w:id="1021">
    <w:p w:rsidR="00AB3F05" w:rsidRPr="003A7C5C" w:rsidRDefault="00AB3F05" w:rsidP="00062AED">
      <w:pPr>
        <w:pStyle w:val="FootnoteText"/>
      </w:pPr>
      <w:r>
        <w:rPr>
          <w:rStyle w:val="FootnoteReference"/>
        </w:rPr>
        <w:footnoteRef/>
      </w:r>
      <w:r>
        <w:t xml:space="preserve"> ‘Prophetical Ministry through Pastor W. Jones Williams’, </w:t>
      </w:r>
      <w:r>
        <w:rPr>
          <w:i/>
        </w:rPr>
        <w:t>RoG</w:t>
      </w:r>
      <w:r>
        <w:t>, xii.1 (Sept. 1936), 7.</w:t>
      </w:r>
    </w:p>
  </w:footnote>
  <w:footnote w:id="1022">
    <w:p w:rsidR="00AB3F05" w:rsidRPr="00F03BB4" w:rsidRDefault="00AB3F05" w:rsidP="00062AED">
      <w:pPr>
        <w:pStyle w:val="FootnoteText"/>
      </w:pPr>
      <w:r>
        <w:rPr>
          <w:rStyle w:val="FootnoteReference"/>
        </w:rPr>
        <w:footnoteRef/>
      </w:r>
      <w:r>
        <w:t xml:space="preserve"> Ibid.</w:t>
      </w:r>
    </w:p>
  </w:footnote>
  <w:footnote w:id="1023">
    <w:p w:rsidR="00AB3F05" w:rsidRPr="00307B33" w:rsidRDefault="00AB3F05" w:rsidP="00062AED">
      <w:pPr>
        <w:pStyle w:val="FootnoteText"/>
      </w:pPr>
      <w:r>
        <w:rPr>
          <w:rStyle w:val="FootnoteReference"/>
        </w:rPr>
        <w:footnoteRef/>
      </w:r>
      <w:r>
        <w:t xml:space="preserve"> ‘Predestination: The Word of the Lord through the Prophet W.J. Wiliams, during the Easter Convention at Bradford (Tuesday, April 18</w:t>
      </w:r>
      <w:r w:rsidRPr="00EA4E23">
        <w:rPr>
          <w:vertAlign w:val="superscript"/>
        </w:rPr>
        <w:t>th</w:t>
      </w:r>
      <w:r>
        <w:t xml:space="preserve">, 1933), </w:t>
      </w:r>
      <w:r>
        <w:rPr>
          <w:i/>
        </w:rPr>
        <w:t>RoG</w:t>
      </w:r>
      <w:r>
        <w:t>, x.5 (May 1935), 215.</w:t>
      </w:r>
    </w:p>
  </w:footnote>
  <w:footnote w:id="1024">
    <w:p w:rsidR="00AB3F05" w:rsidRPr="00E607EC" w:rsidRDefault="00AB3F05" w:rsidP="00062AED">
      <w:pPr>
        <w:pStyle w:val="FootnoteText"/>
      </w:pPr>
      <w:r>
        <w:rPr>
          <w:rStyle w:val="FootnoteReference"/>
        </w:rPr>
        <w:footnoteRef/>
      </w:r>
      <w:r>
        <w:t xml:space="preserve"> ‘Sunday Evening, August 12: Prophetical Ministry through Prophet W. Jones Williams’, </w:t>
      </w:r>
      <w:r>
        <w:rPr>
          <w:i/>
        </w:rPr>
        <w:t>RoG</w:t>
      </w:r>
      <w:r>
        <w:t>, x.6 (July 1935), 238.</w:t>
      </w:r>
    </w:p>
  </w:footnote>
  <w:footnote w:id="1025">
    <w:p w:rsidR="00AB3F05" w:rsidRPr="00AF68FE" w:rsidRDefault="00AB3F05" w:rsidP="00062AED">
      <w:pPr>
        <w:pStyle w:val="FootnoteText"/>
      </w:pPr>
      <w:r>
        <w:rPr>
          <w:rStyle w:val="FootnoteReference"/>
        </w:rPr>
        <w:footnoteRef/>
      </w:r>
      <w:r>
        <w:t xml:space="preserve"> </w:t>
      </w:r>
      <w:r w:rsidRPr="001D3DCF">
        <w:t xml:space="preserve">See </w:t>
      </w:r>
      <w:r>
        <w:t>above 3.1.</w:t>
      </w:r>
    </w:p>
  </w:footnote>
  <w:footnote w:id="1026">
    <w:p w:rsidR="00AB3F05" w:rsidRPr="00AF68FE" w:rsidRDefault="00AB3F05" w:rsidP="00062AED">
      <w:pPr>
        <w:pStyle w:val="FootnoteText"/>
      </w:pPr>
      <w:r>
        <w:rPr>
          <w:rStyle w:val="FootnoteReference"/>
        </w:rPr>
        <w:footnoteRef/>
      </w:r>
      <w:r>
        <w:t xml:space="preserve"> William Cathcart, ‘The Greatest Revelation of the Ages: The Grace of God’, </w:t>
      </w:r>
      <w:r>
        <w:rPr>
          <w:i/>
        </w:rPr>
        <w:t>RoG</w:t>
      </w:r>
      <w:r>
        <w:t>, xiii.5 (May 1938), 409-410.</w:t>
      </w:r>
    </w:p>
  </w:footnote>
  <w:footnote w:id="1027">
    <w:p w:rsidR="00AB3F05" w:rsidRPr="002A5AEF" w:rsidRDefault="00AB3F05" w:rsidP="00062AED">
      <w:pPr>
        <w:pStyle w:val="FootnoteText"/>
      </w:pPr>
      <w:r>
        <w:rPr>
          <w:rStyle w:val="FootnoteReference"/>
        </w:rPr>
        <w:footnoteRef/>
      </w:r>
      <w:r>
        <w:t xml:space="preserve"> Ibid., 410.</w:t>
      </w:r>
    </w:p>
  </w:footnote>
  <w:footnote w:id="1028">
    <w:p w:rsidR="00AB3F05" w:rsidRPr="007A4B6B" w:rsidRDefault="00AB3F05" w:rsidP="00062AED">
      <w:pPr>
        <w:pStyle w:val="FootnoteText"/>
      </w:pPr>
      <w:r>
        <w:rPr>
          <w:rStyle w:val="FootnoteReference"/>
        </w:rPr>
        <w:footnoteRef/>
      </w:r>
      <w:r>
        <w:t xml:space="preserve"> Ibid.</w:t>
      </w:r>
    </w:p>
  </w:footnote>
  <w:footnote w:id="1029">
    <w:p w:rsidR="00AB3F05" w:rsidRPr="007735C6" w:rsidRDefault="00AB3F05" w:rsidP="00062AED">
      <w:pPr>
        <w:pStyle w:val="FootnoteText"/>
      </w:pPr>
      <w:r>
        <w:rPr>
          <w:rStyle w:val="FootnoteReference"/>
        </w:rPr>
        <w:footnoteRef/>
      </w:r>
      <w:r>
        <w:t xml:space="preserve"> Ibid., 408.</w:t>
      </w:r>
    </w:p>
  </w:footnote>
  <w:footnote w:id="1030">
    <w:p w:rsidR="00AB3F05" w:rsidRPr="007735C6" w:rsidRDefault="00AB3F05" w:rsidP="00062AED">
      <w:pPr>
        <w:pStyle w:val="FootnoteText"/>
      </w:pPr>
      <w:r>
        <w:rPr>
          <w:rStyle w:val="FootnoteReference"/>
        </w:rPr>
        <w:footnoteRef/>
      </w:r>
      <w:r>
        <w:t xml:space="preserve"> Ibid.</w:t>
      </w:r>
    </w:p>
  </w:footnote>
  <w:footnote w:id="1031">
    <w:p w:rsidR="00AB3F05" w:rsidRPr="007735C6" w:rsidRDefault="00AB3F05" w:rsidP="00062AED">
      <w:pPr>
        <w:pStyle w:val="FootnoteText"/>
      </w:pPr>
      <w:r>
        <w:rPr>
          <w:rStyle w:val="FootnoteReference"/>
        </w:rPr>
        <w:footnoteRef/>
      </w:r>
      <w:r>
        <w:t xml:space="preserve"> Ibid., 409.</w:t>
      </w:r>
    </w:p>
  </w:footnote>
  <w:footnote w:id="1032">
    <w:p w:rsidR="00AB3F05" w:rsidRPr="007735C6" w:rsidRDefault="00AB3F05" w:rsidP="00062AED">
      <w:pPr>
        <w:pStyle w:val="FootnoteText"/>
      </w:pPr>
      <w:r>
        <w:rPr>
          <w:rStyle w:val="FootnoteReference"/>
        </w:rPr>
        <w:footnoteRef/>
      </w:r>
      <w:r>
        <w:t xml:space="preserve"> Ibid.</w:t>
      </w:r>
    </w:p>
  </w:footnote>
  <w:footnote w:id="1033">
    <w:p w:rsidR="00AB3F05" w:rsidRPr="007735C6" w:rsidRDefault="00AB3F05" w:rsidP="00062AED">
      <w:pPr>
        <w:pStyle w:val="FootnoteText"/>
      </w:pPr>
      <w:r>
        <w:rPr>
          <w:rStyle w:val="FootnoteReference"/>
        </w:rPr>
        <w:footnoteRef/>
      </w:r>
      <w:r>
        <w:t xml:space="preserve"> Ibid.</w:t>
      </w:r>
    </w:p>
  </w:footnote>
  <w:footnote w:id="1034">
    <w:p w:rsidR="00AB3F05" w:rsidRPr="0031522C" w:rsidRDefault="00AB3F05" w:rsidP="00062AED">
      <w:pPr>
        <w:pStyle w:val="FootnoteText"/>
      </w:pPr>
      <w:r>
        <w:rPr>
          <w:rStyle w:val="FootnoteReference"/>
        </w:rPr>
        <w:footnoteRef/>
      </w:r>
      <w:r>
        <w:t xml:space="preserve"> Ibid., 410.</w:t>
      </w:r>
    </w:p>
  </w:footnote>
  <w:footnote w:id="1035">
    <w:p w:rsidR="00AB3F05" w:rsidRPr="00EE44F4" w:rsidRDefault="00AB3F05" w:rsidP="00062AED">
      <w:pPr>
        <w:pStyle w:val="FootnoteText"/>
      </w:pPr>
      <w:r>
        <w:rPr>
          <w:rStyle w:val="FootnoteReference"/>
        </w:rPr>
        <w:footnoteRef/>
      </w:r>
      <w:r>
        <w:t xml:space="preserve"> Ibid.</w:t>
      </w:r>
    </w:p>
  </w:footnote>
  <w:footnote w:id="1036">
    <w:p w:rsidR="00AB3F05" w:rsidRPr="00EE44F4" w:rsidRDefault="00AB3F05" w:rsidP="00062AED">
      <w:pPr>
        <w:pStyle w:val="FootnoteText"/>
      </w:pPr>
      <w:r>
        <w:rPr>
          <w:rStyle w:val="FootnoteReference"/>
        </w:rPr>
        <w:footnoteRef/>
      </w:r>
      <w:r>
        <w:t xml:space="preserve"> Ibid. (NB Cathcart includes suffering with Christ in this inheritance. Cf. D.P. Williams’ </w:t>
      </w:r>
      <w:r w:rsidRPr="00EE44F4">
        <w:rPr>
          <w:i/>
        </w:rPr>
        <w:t>theologia crucis</w:t>
      </w:r>
      <w:r>
        <w:t>.)</w:t>
      </w:r>
    </w:p>
  </w:footnote>
  <w:footnote w:id="1037">
    <w:p w:rsidR="00AB3F05" w:rsidRPr="00EE44F4" w:rsidRDefault="00AB3F05" w:rsidP="00062AED">
      <w:pPr>
        <w:pStyle w:val="FootnoteText"/>
      </w:pPr>
      <w:r>
        <w:rPr>
          <w:rStyle w:val="FootnoteReference"/>
        </w:rPr>
        <w:footnoteRef/>
      </w:r>
      <w:r>
        <w:t xml:space="preserve"> Ibid., 411.</w:t>
      </w:r>
    </w:p>
  </w:footnote>
  <w:footnote w:id="1038">
    <w:p w:rsidR="00AB3F05" w:rsidRPr="00EE44F4" w:rsidRDefault="00AB3F05" w:rsidP="00062AED">
      <w:pPr>
        <w:pStyle w:val="FootnoteText"/>
      </w:pPr>
      <w:r>
        <w:rPr>
          <w:rStyle w:val="FootnoteReference"/>
        </w:rPr>
        <w:footnoteRef/>
      </w:r>
      <w:r>
        <w:t xml:space="preserve"> Ibid.</w:t>
      </w:r>
    </w:p>
  </w:footnote>
  <w:footnote w:id="1039">
    <w:p w:rsidR="00AB3F05" w:rsidRPr="00757779" w:rsidRDefault="00AB3F05" w:rsidP="00062AED">
      <w:pPr>
        <w:pStyle w:val="FootnoteText"/>
      </w:pPr>
      <w:r>
        <w:rPr>
          <w:rStyle w:val="FootnoteReference"/>
        </w:rPr>
        <w:footnoteRef/>
      </w:r>
      <w:r>
        <w:t xml:space="preserve"> Ibid.</w:t>
      </w:r>
    </w:p>
  </w:footnote>
  <w:footnote w:id="1040">
    <w:p w:rsidR="00AB3F05" w:rsidRPr="00757779" w:rsidRDefault="00AB3F05" w:rsidP="00062AED">
      <w:pPr>
        <w:pStyle w:val="FootnoteText"/>
      </w:pPr>
      <w:r>
        <w:rPr>
          <w:rStyle w:val="FootnoteReference"/>
        </w:rPr>
        <w:footnoteRef/>
      </w:r>
      <w:r>
        <w:t xml:space="preserve"> Ibid.</w:t>
      </w:r>
    </w:p>
  </w:footnote>
  <w:footnote w:id="1041">
    <w:p w:rsidR="00AB3F05" w:rsidRPr="00757779" w:rsidRDefault="00AB3F05" w:rsidP="00062AED">
      <w:pPr>
        <w:pStyle w:val="FootnoteText"/>
      </w:pPr>
      <w:r>
        <w:rPr>
          <w:rStyle w:val="FootnoteReference"/>
        </w:rPr>
        <w:footnoteRef/>
      </w:r>
      <w:r>
        <w:t xml:space="preserve"> Ibid.</w:t>
      </w:r>
    </w:p>
  </w:footnote>
  <w:footnote w:id="1042">
    <w:p w:rsidR="00AB3F05" w:rsidRPr="00DC068F" w:rsidRDefault="00AB3F05" w:rsidP="00062AED">
      <w:pPr>
        <w:pStyle w:val="FootnoteText"/>
      </w:pPr>
      <w:r>
        <w:rPr>
          <w:rStyle w:val="FootnoteReference"/>
        </w:rPr>
        <w:footnoteRef/>
      </w:r>
      <w:r>
        <w:t xml:space="preserve"> Ibid.</w:t>
      </w:r>
    </w:p>
  </w:footnote>
  <w:footnote w:id="1043">
    <w:p w:rsidR="00AB3F05" w:rsidRPr="00F44385" w:rsidRDefault="00AB3F05" w:rsidP="00062AED">
      <w:pPr>
        <w:pStyle w:val="FootnoteText"/>
      </w:pPr>
      <w:r>
        <w:rPr>
          <w:rStyle w:val="FootnoteReference"/>
        </w:rPr>
        <w:footnoteRef/>
      </w:r>
      <w:r>
        <w:t xml:space="preserve"> William Cathcart, ‘The Greatest Revelation of the Ages: The Grace of God’, </w:t>
      </w:r>
      <w:r>
        <w:rPr>
          <w:i/>
        </w:rPr>
        <w:t>RoG</w:t>
      </w:r>
      <w:r>
        <w:t>, xiii.6 (July 1938), 437.</w:t>
      </w:r>
    </w:p>
  </w:footnote>
  <w:footnote w:id="1044">
    <w:p w:rsidR="00AB3F05" w:rsidRPr="00C94844" w:rsidRDefault="00AB3F05" w:rsidP="00062AED">
      <w:pPr>
        <w:pStyle w:val="FootnoteText"/>
      </w:pPr>
      <w:r>
        <w:rPr>
          <w:rStyle w:val="FootnoteReference"/>
        </w:rPr>
        <w:footnoteRef/>
      </w:r>
      <w:r>
        <w:t xml:space="preserve"> Ibid.</w:t>
      </w:r>
    </w:p>
  </w:footnote>
  <w:footnote w:id="1045">
    <w:p w:rsidR="00AB3F05" w:rsidRPr="00C94844" w:rsidRDefault="00AB3F05" w:rsidP="00062AED">
      <w:pPr>
        <w:pStyle w:val="FootnoteText"/>
      </w:pPr>
      <w:r>
        <w:rPr>
          <w:rStyle w:val="FootnoteReference"/>
        </w:rPr>
        <w:footnoteRef/>
      </w:r>
      <w:r>
        <w:t xml:space="preserve"> Ibid., 442.</w:t>
      </w:r>
    </w:p>
  </w:footnote>
  <w:footnote w:id="1046">
    <w:p w:rsidR="00AB3F05" w:rsidRPr="00C94844" w:rsidRDefault="00AB3F05" w:rsidP="00062AED">
      <w:pPr>
        <w:pStyle w:val="FootnoteText"/>
      </w:pPr>
      <w:r>
        <w:rPr>
          <w:rStyle w:val="FootnoteReference"/>
        </w:rPr>
        <w:footnoteRef/>
      </w:r>
      <w:r>
        <w:t xml:space="preserve"> Ibid., 443.</w:t>
      </w:r>
    </w:p>
  </w:footnote>
  <w:footnote w:id="1047">
    <w:p w:rsidR="00AB3F05" w:rsidRPr="00024771" w:rsidRDefault="00AB3F05" w:rsidP="00062AED">
      <w:pPr>
        <w:pStyle w:val="FootnoteText"/>
      </w:pPr>
      <w:r>
        <w:rPr>
          <w:rStyle w:val="FootnoteReference"/>
        </w:rPr>
        <w:footnoteRef/>
      </w:r>
      <w:r>
        <w:t xml:space="preserve"> William Cathcart, ‘The Greatest Revelation of the Ages: The Grace of God’, </w:t>
      </w:r>
      <w:r>
        <w:rPr>
          <w:i/>
        </w:rPr>
        <w:t>RoG</w:t>
      </w:r>
      <w:r>
        <w:t>, xiii.3 (Jan. 1938), 329.</w:t>
      </w:r>
    </w:p>
  </w:footnote>
  <w:footnote w:id="1048">
    <w:p w:rsidR="00AB3F05" w:rsidRDefault="00AB3F05" w:rsidP="00062AED">
      <w:pPr>
        <w:pStyle w:val="FootnoteText"/>
      </w:pPr>
      <w:r>
        <w:rPr>
          <w:rStyle w:val="FootnoteReference"/>
        </w:rPr>
        <w:footnoteRef/>
      </w:r>
      <w:r>
        <w:t xml:space="preserve"> See Daniel A. Keating, </w:t>
      </w:r>
      <w:r w:rsidRPr="001D3DCF">
        <w:rPr>
          <w:i/>
        </w:rPr>
        <w:t>Deification and Grace</w:t>
      </w:r>
      <w:r>
        <w:t xml:space="preserve"> (Naples, FL: Sapientia Press, 2007), 11-21.</w:t>
      </w:r>
    </w:p>
  </w:footnote>
  <w:footnote w:id="1049">
    <w:p w:rsidR="00AB3F05" w:rsidRPr="000E5408" w:rsidRDefault="00AB3F05" w:rsidP="00062AED">
      <w:pPr>
        <w:pStyle w:val="FootnoteText"/>
      </w:pPr>
      <w:r>
        <w:rPr>
          <w:rStyle w:val="FootnoteReference"/>
        </w:rPr>
        <w:footnoteRef/>
      </w:r>
      <w:r>
        <w:t xml:space="preserve"> Cathcart, ‘Greatest Revelation’ (Jan. 1938), 329.</w:t>
      </w:r>
    </w:p>
  </w:footnote>
  <w:footnote w:id="1050">
    <w:p w:rsidR="00AB3F05" w:rsidRPr="000E5408" w:rsidRDefault="00AB3F05" w:rsidP="00062AED">
      <w:pPr>
        <w:pStyle w:val="FootnoteText"/>
      </w:pPr>
      <w:r>
        <w:rPr>
          <w:rStyle w:val="FootnoteReference"/>
        </w:rPr>
        <w:footnoteRef/>
      </w:r>
      <w:r>
        <w:t xml:space="preserve"> Ibid.</w:t>
      </w:r>
    </w:p>
  </w:footnote>
  <w:footnote w:id="1051">
    <w:p w:rsidR="00AB3F05" w:rsidRPr="00DB2644" w:rsidRDefault="00AB3F05" w:rsidP="00062AED">
      <w:pPr>
        <w:pStyle w:val="FootnoteText"/>
      </w:pPr>
      <w:r>
        <w:rPr>
          <w:rStyle w:val="FootnoteReference"/>
        </w:rPr>
        <w:footnoteRef/>
      </w:r>
      <w:r>
        <w:t xml:space="preserve"> Ibid.</w:t>
      </w:r>
    </w:p>
  </w:footnote>
  <w:footnote w:id="1052">
    <w:p w:rsidR="00AB3F05" w:rsidRPr="00335F63" w:rsidRDefault="00AB3F05" w:rsidP="00062AED">
      <w:pPr>
        <w:pStyle w:val="FootnoteText"/>
        <w:rPr>
          <w:lang w:val="fr-BE"/>
        </w:rPr>
      </w:pPr>
      <w:r>
        <w:rPr>
          <w:rStyle w:val="FootnoteReference"/>
        </w:rPr>
        <w:footnoteRef/>
      </w:r>
      <w:r w:rsidRPr="00335F63">
        <w:rPr>
          <w:lang w:val="fr-BE"/>
        </w:rPr>
        <w:t xml:space="preserve"> Augustine, </w:t>
      </w:r>
      <w:r w:rsidRPr="00335F63">
        <w:rPr>
          <w:i/>
          <w:lang w:val="fr-BE"/>
        </w:rPr>
        <w:t>Mainz Sermons</w:t>
      </w:r>
      <w:r w:rsidRPr="00335F63">
        <w:rPr>
          <w:lang w:val="fr-BE"/>
        </w:rPr>
        <w:t xml:space="preserve"> 13.1.</w:t>
      </w:r>
    </w:p>
  </w:footnote>
  <w:footnote w:id="1053">
    <w:p w:rsidR="00AB3F05" w:rsidRPr="00335F63" w:rsidRDefault="00AB3F05" w:rsidP="00062AED">
      <w:pPr>
        <w:pStyle w:val="FootnoteText"/>
        <w:rPr>
          <w:lang w:val="fr-BE"/>
        </w:rPr>
      </w:pPr>
      <w:r>
        <w:rPr>
          <w:rStyle w:val="FootnoteReference"/>
        </w:rPr>
        <w:footnoteRef/>
      </w:r>
      <w:r w:rsidRPr="00335F63">
        <w:rPr>
          <w:lang w:val="fr-BE"/>
        </w:rPr>
        <w:t xml:space="preserve"> Athanasius, </w:t>
      </w:r>
      <w:r w:rsidRPr="00335F63">
        <w:rPr>
          <w:i/>
          <w:lang w:val="fr-BE"/>
        </w:rPr>
        <w:t>De Inc.</w:t>
      </w:r>
      <w:r w:rsidRPr="00335F63">
        <w:rPr>
          <w:lang w:val="fr-BE"/>
        </w:rPr>
        <w:t xml:space="preserve"> 54.3.</w:t>
      </w:r>
    </w:p>
  </w:footnote>
  <w:footnote w:id="1054">
    <w:p w:rsidR="00AB3F05" w:rsidRPr="00D5741F" w:rsidRDefault="00AB3F05" w:rsidP="00062AED">
      <w:pPr>
        <w:pStyle w:val="FootnoteText"/>
      </w:pPr>
      <w:r w:rsidRPr="001D3DCF">
        <w:rPr>
          <w:rStyle w:val="FootnoteReference"/>
        </w:rPr>
        <w:footnoteRef/>
      </w:r>
      <w:r w:rsidRPr="001D3DCF">
        <w:t xml:space="preserve"> Cyril of Alexandria, </w:t>
      </w:r>
      <w:r w:rsidRPr="001D3DCF">
        <w:rPr>
          <w:i/>
        </w:rPr>
        <w:t>In Io.</w:t>
      </w:r>
      <w:r w:rsidRPr="001D3DCF">
        <w:t xml:space="preserve"> 12.1</w:t>
      </w:r>
      <w:r>
        <w:t>.</w:t>
      </w:r>
    </w:p>
  </w:footnote>
  <w:footnote w:id="1055">
    <w:p w:rsidR="00AB3F05" w:rsidRPr="00540D55" w:rsidRDefault="00AB3F05" w:rsidP="00062AED">
      <w:pPr>
        <w:pStyle w:val="FootnoteText"/>
      </w:pPr>
      <w:r>
        <w:rPr>
          <w:rStyle w:val="FootnoteReference"/>
        </w:rPr>
        <w:footnoteRef/>
      </w:r>
      <w:r>
        <w:t xml:space="preserve"> Rees, </w:t>
      </w:r>
      <w:r w:rsidRPr="00540D55">
        <w:rPr>
          <w:i/>
        </w:rPr>
        <w:t>Divine Masterpiece</w:t>
      </w:r>
      <w:r>
        <w:t xml:space="preserve">, 5; idem, </w:t>
      </w:r>
      <w:r w:rsidRPr="00F515A6">
        <w:t xml:space="preserve">‘The Divine Evidence, Providence and Purpose of God’s Perfecting Process on the Believer’, </w:t>
      </w:r>
      <w:r>
        <w:rPr>
          <w:i/>
        </w:rPr>
        <w:t>RoG</w:t>
      </w:r>
      <w:r w:rsidRPr="00F515A6">
        <w:t>, ii.9 (Aug. 1925), 111</w:t>
      </w:r>
      <w:r>
        <w:t>.</w:t>
      </w:r>
    </w:p>
  </w:footnote>
  <w:footnote w:id="1056">
    <w:p w:rsidR="00AB3F05" w:rsidRPr="009B1466" w:rsidRDefault="00AB3F05" w:rsidP="00062AED">
      <w:pPr>
        <w:pStyle w:val="FootnoteText"/>
        <w:rPr>
          <w:lang w:val="cy-GB"/>
        </w:rPr>
      </w:pPr>
      <w:r>
        <w:rPr>
          <w:rStyle w:val="FootnoteReference"/>
        </w:rPr>
        <w:footnoteRef/>
      </w:r>
      <w:r>
        <w:t xml:space="preserve"> Rees, </w:t>
      </w:r>
      <w:r w:rsidRPr="00540D55">
        <w:rPr>
          <w:i/>
        </w:rPr>
        <w:t>Divine Masterpiece</w:t>
      </w:r>
      <w:r>
        <w:t>,</w:t>
      </w:r>
      <w:r>
        <w:rPr>
          <w:lang w:val="cy-GB"/>
        </w:rPr>
        <w:t xml:space="preserve"> 8.</w:t>
      </w:r>
    </w:p>
  </w:footnote>
  <w:footnote w:id="1057">
    <w:p w:rsidR="00AB3F05" w:rsidRPr="00540D55" w:rsidRDefault="00AB3F05" w:rsidP="00062AED">
      <w:pPr>
        <w:pStyle w:val="FootnoteText"/>
      </w:pPr>
      <w:r>
        <w:rPr>
          <w:rStyle w:val="FootnoteReference"/>
        </w:rPr>
        <w:footnoteRef/>
      </w:r>
      <w:r>
        <w:t xml:space="preserve"> Ibid., 45.</w:t>
      </w:r>
    </w:p>
  </w:footnote>
  <w:footnote w:id="1058">
    <w:p w:rsidR="00AB3F05" w:rsidRPr="00C94C9E" w:rsidRDefault="00AB3F05" w:rsidP="00062AED">
      <w:pPr>
        <w:pStyle w:val="FootnoteText"/>
      </w:pPr>
      <w:r>
        <w:rPr>
          <w:rStyle w:val="FootnoteReference"/>
        </w:rPr>
        <w:footnoteRef/>
      </w:r>
      <w:r>
        <w:t xml:space="preserve"> Ibid., 6, 13-14, 16-17.</w:t>
      </w:r>
    </w:p>
  </w:footnote>
  <w:footnote w:id="1059">
    <w:p w:rsidR="00AB3F05" w:rsidRPr="00CA2D9D" w:rsidRDefault="00AB3F05" w:rsidP="00062AED">
      <w:pPr>
        <w:pStyle w:val="FootnoteText"/>
      </w:pPr>
      <w:r>
        <w:rPr>
          <w:rStyle w:val="FootnoteReference"/>
        </w:rPr>
        <w:footnoteRef/>
      </w:r>
      <w:r>
        <w:t xml:space="preserve"> Ibid., 6.</w:t>
      </w:r>
    </w:p>
  </w:footnote>
  <w:footnote w:id="1060">
    <w:p w:rsidR="00AB3F05" w:rsidRPr="00CA2D9D" w:rsidRDefault="00AB3F05" w:rsidP="00062AED">
      <w:pPr>
        <w:pStyle w:val="FootnoteText"/>
      </w:pPr>
      <w:r>
        <w:rPr>
          <w:rStyle w:val="FootnoteReference"/>
        </w:rPr>
        <w:footnoteRef/>
      </w:r>
      <w:r>
        <w:t xml:space="preserve"> Rees, ‘Divine Evidence, Providence and Purpose’, 111; NB also here that, for Rees, ‘</w:t>
      </w:r>
      <w:r w:rsidRPr="009A6A13">
        <w:t>Foreknowledge</w:t>
      </w:r>
      <w:r>
        <w:t>’</w:t>
      </w:r>
      <w:r w:rsidRPr="009A6A13">
        <w:t xml:space="preserve"> is not to be understood in terms of ‘foresight’, but rather of grace and love from before time.</w:t>
      </w:r>
      <w:r>
        <w:t xml:space="preserve"> The same is evident in the thought of D.P. Williams.</w:t>
      </w:r>
    </w:p>
  </w:footnote>
  <w:footnote w:id="1061">
    <w:p w:rsidR="00AB3F05" w:rsidRPr="00B35BD6" w:rsidRDefault="00AB3F05" w:rsidP="00062AED">
      <w:pPr>
        <w:pStyle w:val="FootnoteText"/>
      </w:pPr>
      <w:r>
        <w:rPr>
          <w:rStyle w:val="FootnoteReference"/>
        </w:rPr>
        <w:footnoteRef/>
      </w:r>
      <w:r>
        <w:t xml:space="preserve"> Rees, </w:t>
      </w:r>
      <w:r w:rsidRPr="00540D55">
        <w:rPr>
          <w:i/>
        </w:rPr>
        <w:t>Divine Masterpiece</w:t>
      </w:r>
      <w:r>
        <w:t>, 7.</w:t>
      </w:r>
    </w:p>
  </w:footnote>
  <w:footnote w:id="1062">
    <w:p w:rsidR="00AB3F05" w:rsidRPr="00117AC4" w:rsidRDefault="00AB3F05" w:rsidP="00062AED">
      <w:pPr>
        <w:pStyle w:val="FootnoteText"/>
      </w:pPr>
      <w:r>
        <w:rPr>
          <w:rStyle w:val="FootnoteReference"/>
        </w:rPr>
        <w:footnoteRef/>
      </w:r>
      <w:r>
        <w:t xml:space="preserve"> Ibid., 8.</w:t>
      </w:r>
    </w:p>
  </w:footnote>
  <w:footnote w:id="1063">
    <w:p w:rsidR="00AB3F05" w:rsidRPr="00143AB2" w:rsidRDefault="00AB3F05" w:rsidP="00062AED">
      <w:pPr>
        <w:pStyle w:val="FootnoteText"/>
      </w:pPr>
      <w:r>
        <w:rPr>
          <w:rStyle w:val="FootnoteReference"/>
        </w:rPr>
        <w:footnoteRef/>
      </w:r>
      <w:r>
        <w:t xml:space="preserve"> Ibid, 8-9.</w:t>
      </w:r>
    </w:p>
  </w:footnote>
  <w:footnote w:id="1064">
    <w:p w:rsidR="00AB3F05" w:rsidRPr="0087596C" w:rsidRDefault="00AB3F05" w:rsidP="00062AED">
      <w:pPr>
        <w:pStyle w:val="FootnoteText"/>
      </w:pPr>
      <w:r>
        <w:rPr>
          <w:rStyle w:val="FootnoteReference"/>
        </w:rPr>
        <w:footnoteRef/>
      </w:r>
      <w:r>
        <w:t xml:space="preserve"> Ibid., 8-9.</w:t>
      </w:r>
    </w:p>
  </w:footnote>
  <w:footnote w:id="1065">
    <w:p w:rsidR="00AB3F05" w:rsidRPr="00AD3F52" w:rsidRDefault="00AB3F05" w:rsidP="00062AED">
      <w:pPr>
        <w:pStyle w:val="FootnoteText"/>
      </w:pPr>
      <w:r>
        <w:rPr>
          <w:rStyle w:val="FootnoteReference"/>
        </w:rPr>
        <w:footnoteRef/>
      </w:r>
      <w:r>
        <w:t xml:space="preserve"> Ibid., 14.</w:t>
      </w:r>
    </w:p>
  </w:footnote>
  <w:footnote w:id="1066">
    <w:p w:rsidR="00AB3F05" w:rsidRPr="00D93DF6" w:rsidRDefault="00AB3F05" w:rsidP="00062AED">
      <w:pPr>
        <w:pStyle w:val="FootnoteText"/>
      </w:pPr>
      <w:r>
        <w:rPr>
          <w:rStyle w:val="FootnoteReference"/>
        </w:rPr>
        <w:footnoteRef/>
      </w:r>
      <w:r>
        <w:t xml:space="preserve"> Ibid., 10.</w:t>
      </w:r>
    </w:p>
  </w:footnote>
  <w:footnote w:id="1067">
    <w:p w:rsidR="00AB3F05" w:rsidRPr="00A9318C" w:rsidRDefault="00AB3F05" w:rsidP="00062AED">
      <w:pPr>
        <w:pStyle w:val="FootnoteText"/>
      </w:pPr>
      <w:r>
        <w:rPr>
          <w:rStyle w:val="FootnoteReference"/>
        </w:rPr>
        <w:footnoteRef/>
      </w:r>
      <w:r>
        <w:t xml:space="preserve"> Ibid., 20.</w:t>
      </w:r>
    </w:p>
  </w:footnote>
  <w:footnote w:id="1068">
    <w:p w:rsidR="00AB3F05" w:rsidRPr="00A9318C" w:rsidRDefault="00AB3F05" w:rsidP="00062AED">
      <w:pPr>
        <w:pStyle w:val="FootnoteText"/>
      </w:pPr>
      <w:r>
        <w:rPr>
          <w:rStyle w:val="FootnoteReference"/>
        </w:rPr>
        <w:footnoteRef/>
      </w:r>
      <w:r>
        <w:t xml:space="preserve"> Ibid., 49; NB It is specifically ‘the Church’ which ‘is predestined unto Sonship.’</w:t>
      </w:r>
    </w:p>
  </w:footnote>
  <w:footnote w:id="1069">
    <w:p w:rsidR="00AB3F05" w:rsidRPr="005E0038" w:rsidRDefault="00AB3F05" w:rsidP="00062AED">
      <w:pPr>
        <w:pStyle w:val="FootnoteText"/>
      </w:pPr>
      <w:r>
        <w:rPr>
          <w:rStyle w:val="FootnoteReference"/>
        </w:rPr>
        <w:footnoteRef/>
      </w:r>
      <w:r>
        <w:t xml:space="preserve"> Ibid., 54.</w:t>
      </w:r>
    </w:p>
  </w:footnote>
  <w:footnote w:id="1070">
    <w:p w:rsidR="00AB3F05" w:rsidRPr="005E0038" w:rsidRDefault="00AB3F05" w:rsidP="00062AED">
      <w:pPr>
        <w:pStyle w:val="FootnoteText"/>
      </w:pPr>
      <w:r>
        <w:rPr>
          <w:rStyle w:val="FootnoteReference"/>
        </w:rPr>
        <w:footnoteRef/>
      </w:r>
      <w:r>
        <w:t xml:space="preserve"> Ibid.</w:t>
      </w:r>
    </w:p>
  </w:footnote>
  <w:footnote w:id="1071">
    <w:p w:rsidR="00AB3F05" w:rsidRPr="005E0038" w:rsidRDefault="00AB3F05" w:rsidP="00062AED">
      <w:pPr>
        <w:pStyle w:val="FootnoteText"/>
      </w:pPr>
      <w:r>
        <w:rPr>
          <w:rStyle w:val="FootnoteReference"/>
        </w:rPr>
        <w:footnoteRef/>
      </w:r>
      <w:r>
        <w:t xml:space="preserve"> Ibid., 23.</w:t>
      </w:r>
    </w:p>
  </w:footnote>
  <w:footnote w:id="1072">
    <w:p w:rsidR="00AB3F05" w:rsidRPr="00AD31F5" w:rsidRDefault="00AB3F05" w:rsidP="00062AED">
      <w:pPr>
        <w:pStyle w:val="FootnoteText"/>
      </w:pPr>
      <w:r>
        <w:rPr>
          <w:rStyle w:val="FootnoteReference"/>
        </w:rPr>
        <w:footnoteRef/>
      </w:r>
      <w:r>
        <w:t xml:space="preserve"> Rees, ‘Divine Evidence, Providence and Purpose’, 112. See also, idem, ‘Four Epochal Pictures of the Church’, </w:t>
      </w:r>
      <w:r>
        <w:rPr>
          <w:i/>
        </w:rPr>
        <w:t>RoG</w:t>
      </w:r>
      <w:r>
        <w:t>, xv.10 (Nov. 1940), 116.</w:t>
      </w:r>
    </w:p>
  </w:footnote>
  <w:footnote w:id="1073">
    <w:p w:rsidR="00AB3F05" w:rsidRPr="00AE069F" w:rsidRDefault="00AB3F05" w:rsidP="00062AED">
      <w:pPr>
        <w:pStyle w:val="FootnoteText"/>
      </w:pPr>
      <w:r>
        <w:rPr>
          <w:rStyle w:val="FootnoteReference"/>
        </w:rPr>
        <w:footnoteRef/>
      </w:r>
      <w:r>
        <w:t xml:space="preserve"> Thomas Rees, ‘Oneness’, RoG, x.1 (Sept. 1934), 19.</w:t>
      </w:r>
    </w:p>
  </w:footnote>
  <w:footnote w:id="1074">
    <w:p w:rsidR="00AB3F05" w:rsidRPr="000D73E8" w:rsidRDefault="00AB3F05" w:rsidP="00062AED">
      <w:pPr>
        <w:pStyle w:val="FootnoteText"/>
      </w:pPr>
      <w:r>
        <w:rPr>
          <w:rStyle w:val="FootnoteReference"/>
        </w:rPr>
        <w:footnoteRef/>
      </w:r>
      <w:r>
        <w:t xml:space="preserve"> Ibid.</w:t>
      </w:r>
    </w:p>
  </w:footnote>
  <w:footnote w:id="1075">
    <w:p w:rsidR="00AB3F05" w:rsidRPr="000D73E8" w:rsidRDefault="00AB3F05" w:rsidP="00062AED">
      <w:pPr>
        <w:pStyle w:val="FootnoteText"/>
      </w:pPr>
      <w:r>
        <w:rPr>
          <w:rStyle w:val="FootnoteReference"/>
        </w:rPr>
        <w:footnoteRef/>
      </w:r>
      <w:r>
        <w:t xml:space="preserve"> Ibid.</w:t>
      </w:r>
    </w:p>
  </w:footnote>
  <w:footnote w:id="1076">
    <w:p w:rsidR="00AB3F05" w:rsidRPr="009531F6" w:rsidRDefault="00AB3F05" w:rsidP="00062AED">
      <w:pPr>
        <w:pStyle w:val="FootnoteText"/>
      </w:pPr>
      <w:r>
        <w:rPr>
          <w:rStyle w:val="FootnoteReference"/>
        </w:rPr>
        <w:footnoteRef/>
      </w:r>
      <w:r>
        <w:t xml:space="preserve"> Ibid.</w:t>
      </w:r>
    </w:p>
  </w:footnote>
  <w:footnote w:id="1077">
    <w:p w:rsidR="00AB3F05" w:rsidRPr="009531F6" w:rsidRDefault="00AB3F05" w:rsidP="00062AED">
      <w:pPr>
        <w:pStyle w:val="FootnoteText"/>
      </w:pPr>
      <w:r>
        <w:rPr>
          <w:rStyle w:val="FootnoteReference"/>
        </w:rPr>
        <w:footnoteRef/>
      </w:r>
      <w:r>
        <w:t xml:space="preserve"> Ibid.</w:t>
      </w:r>
    </w:p>
  </w:footnote>
  <w:footnote w:id="1078">
    <w:p w:rsidR="00AB3F05" w:rsidRPr="009531F6" w:rsidRDefault="00AB3F05" w:rsidP="00062AED">
      <w:pPr>
        <w:pStyle w:val="FootnoteText"/>
      </w:pPr>
      <w:r>
        <w:rPr>
          <w:rStyle w:val="FootnoteReference"/>
        </w:rPr>
        <w:footnoteRef/>
      </w:r>
      <w:r>
        <w:t xml:space="preserve"> Rees, ‘Four Epochal Pictures’, 115.</w:t>
      </w:r>
    </w:p>
  </w:footnote>
  <w:footnote w:id="1079">
    <w:p w:rsidR="00AB3F05" w:rsidRPr="009531F6" w:rsidRDefault="00AB3F05" w:rsidP="00062AED">
      <w:pPr>
        <w:pStyle w:val="FootnoteText"/>
      </w:pPr>
      <w:r>
        <w:rPr>
          <w:rStyle w:val="FootnoteReference"/>
        </w:rPr>
        <w:footnoteRef/>
      </w:r>
      <w:r>
        <w:t xml:space="preserve"> Rees, ‘Oneness’, 21.</w:t>
      </w:r>
    </w:p>
  </w:footnote>
  <w:footnote w:id="1080">
    <w:p w:rsidR="00AB3F05" w:rsidRPr="001628E8" w:rsidRDefault="00AB3F05" w:rsidP="00062AED">
      <w:pPr>
        <w:pStyle w:val="FootnoteText"/>
      </w:pPr>
      <w:r>
        <w:rPr>
          <w:rStyle w:val="FootnoteReference"/>
        </w:rPr>
        <w:footnoteRef/>
      </w:r>
      <w:r>
        <w:t xml:space="preserve"> Ibid., 25.</w:t>
      </w:r>
    </w:p>
  </w:footnote>
  <w:footnote w:id="1081">
    <w:p w:rsidR="00AB3F05" w:rsidRPr="00A05B0D" w:rsidRDefault="00AB3F05" w:rsidP="00062AED">
      <w:pPr>
        <w:pStyle w:val="FootnoteText"/>
      </w:pPr>
      <w:r>
        <w:rPr>
          <w:rStyle w:val="FootnoteReference"/>
        </w:rPr>
        <w:footnoteRef/>
      </w:r>
      <w:r>
        <w:t xml:space="preserve"> W.R. Ricketts, ‘The Church (concluded)’</w:t>
      </w:r>
      <w:r w:rsidRPr="00A05B0D">
        <w:rPr>
          <w:i/>
        </w:rPr>
        <w:t xml:space="preserve">, </w:t>
      </w:r>
      <w:r>
        <w:rPr>
          <w:i/>
        </w:rPr>
        <w:t>RoG</w:t>
      </w:r>
      <w:r>
        <w:t>, v.2 (Nov. 1929), 56.</w:t>
      </w:r>
    </w:p>
  </w:footnote>
  <w:footnote w:id="1082">
    <w:p w:rsidR="00AB3F05" w:rsidRPr="00A05B0D" w:rsidRDefault="00AB3F05" w:rsidP="00062AED">
      <w:pPr>
        <w:pStyle w:val="FootnoteText"/>
      </w:pPr>
      <w:r>
        <w:rPr>
          <w:rStyle w:val="FootnoteReference"/>
        </w:rPr>
        <w:footnoteRef/>
      </w:r>
      <w:r>
        <w:t xml:space="preserve"> Ibid., 57.</w:t>
      </w:r>
    </w:p>
  </w:footnote>
  <w:footnote w:id="1083">
    <w:p w:rsidR="00AB3F05" w:rsidRPr="0068131D" w:rsidRDefault="00AB3F05" w:rsidP="00062AED">
      <w:pPr>
        <w:pStyle w:val="FootnoteText"/>
      </w:pPr>
      <w:r>
        <w:rPr>
          <w:rStyle w:val="FootnoteReference"/>
        </w:rPr>
        <w:footnoteRef/>
      </w:r>
      <w:r>
        <w:t xml:space="preserve"> Ibid.</w:t>
      </w:r>
    </w:p>
  </w:footnote>
  <w:footnote w:id="1084">
    <w:p w:rsidR="00AB3F05" w:rsidRPr="0068131D" w:rsidRDefault="00AB3F05" w:rsidP="00062AED">
      <w:pPr>
        <w:pStyle w:val="FootnoteText"/>
      </w:pPr>
      <w:r>
        <w:rPr>
          <w:rStyle w:val="FootnoteReference"/>
        </w:rPr>
        <w:footnoteRef/>
      </w:r>
      <w:r>
        <w:t xml:space="preserve"> Ibid.</w:t>
      </w:r>
    </w:p>
  </w:footnote>
  <w:footnote w:id="1085">
    <w:p w:rsidR="00AB3F05" w:rsidRPr="0068131D" w:rsidRDefault="00AB3F05" w:rsidP="00062AED">
      <w:pPr>
        <w:pStyle w:val="FootnoteText"/>
      </w:pPr>
      <w:r>
        <w:rPr>
          <w:rStyle w:val="FootnoteReference"/>
        </w:rPr>
        <w:footnoteRef/>
      </w:r>
      <w:r>
        <w:t xml:space="preserve"> Ibid.</w:t>
      </w:r>
    </w:p>
  </w:footnote>
  <w:footnote w:id="1086">
    <w:p w:rsidR="00AB3F05" w:rsidRPr="007B7C9A" w:rsidRDefault="00AB3F05" w:rsidP="00062AED">
      <w:pPr>
        <w:pStyle w:val="FootnoteText"/>
      </w:pPr>
      <w:r>
        <w:rPr>
          <w:rStyle w:val="FootnoteReference"/>
        </w:rPr>
        <w:footnoteRef/>
      </w:r>
      <w:r>
        <w:t xml:space="preserve"> Ibid., 53.</w:t>
      </w:r>
    </w:p>
  </w:footnote>
  <w:footnote w:id="1087">
    <w:p w:rsidR="00AB3F05" w:rsidRPr="007B7C9A" w:rsidRDefault="00AB3F05" w:rsidP="00062AED">
      <w:pPr>
        <w:pStyle w:val="FootnoteText"/>
      </w:pPr>
      <w:r>
        <w:rPr>
          <w:rStyle w:val="FootnoteReference"/>
        </w:rPr>
        <w:footnoteRef/>
      </w:r>
      <w:r>
        <w:t xml:space="preserve"> Ibid.</w:t>
      </w:r>
    </w:p>
  </w:footnote>
  <w:footnote w:id="1088">
    <w:p w:rsidR="00AB3F05" w:rsidRPr="007B7C9A" w:rsidRDefault="00AB3F05" w:rsidP="00062AED">
      <w:pPr>
        <w:pStyle w:val="FootnoteText"/>
      </w:pPr>
      <w:r>
        <w:rPr>
          <w:rStyle w:val="FootnoteReference"/>
        </w:rPr>
        <w:footnoteRef/>
      </w:r>
      <w:r>
        <w:t xml:space="preserve"> Ibid.</w:t>
      </w:r>
    </w:p>
  </w:footnote>
  <w:footnote w:id="1089">
    <w:p w:rsidR="00AB3F05" w:rsidRPr="00562F2A" w:rsidRDefault="00AB3F05" w:rsidP="00062AED">
      <w:pPr>
        <w:pStyle w:val="FootnoteText"/>
      </w:pPr>
      <w:r>
        <w:rPr>
          <w:rStyle w:val="FootnoteReference"/>
        </w:rPr>
        <w:footnoteRef/>
      </w:r>
      <w:r>
        <w:t xml:space="preserve"> Ibid., 54.</w:t>
      </w:r>
    </w:p>
  </w:footnote>
  <w:footnote w:id="1090">
    <w:p w:rsidR="00AB3F05" w:rsidRPr="00562F2A" w:rsidRDefault="00AB3F05" w:rsidP="00062AED">
      <w:pPr>
        <w:pStyle w:val="FootnoteText"/>
      </w:pPr>
      <w:r>
        <w:rPr>
          <w:rStyle w:val="FootnoteReference"/>
        </w:rPr>
        <w:footnoteRef/>
      </w:r>
      <w:r>
        <w:t xml:space="preserve"> Ibid. </w:t>
      </w:r>
    </w:p>
  </w:footnote>
  <w:footnote w:id="1091">
    <w:p w:rsidR="00AB3F05" w:rsidRPr="00562F2A" w:rsidRDefault="00AB3F05" w:rsidP="00062AED">
      <w:pPr>
        <w:pStyle w:val="FootnoteText"/>
      </w:pPr>
      <w:r>
        <w:rPr>
          <w:rStyle w:val="FootnoteReference"/>
        </w:rPr>
        <w:footnoteRef/>
      </w:r>
      <w:r>
        <w:t xml:space="preserve"> Ibid.</w:t>
      </w:r>
    </w:p>
  </w:footnote>
  <w:footnote w:id="1092">
    <w:p w:rsidR="00AB3F05" w:rsidRPr="00731191" w:rsidRDefault="00AB3F05" w:rsidP="00062AED">
      <w:pPr>
        <w:pStyle w:val="FootnoteText"/>
      </w:pPr>
      <w:r>
        <w:rPr>
          <w:rStyle w:val="FootnoteReference"/>
        </w:rPr>
        <w:footnoteRef/>
      </w:r>
      <w:r>
        <w:t xml:space="preserve"> Lewis, ‘Relationships of the Body of Christ’, 124.</w:t>
      </w:r>
    </w:p>
  </w:footnote>
  <w:footnote w:id="1093">
    <w:p w:rsidR="00AB3F05" w:rsidRPr="00B320C2" w:rsidRDefault="00AB3F05" w:rsidP="00062AED">
      <w:pPr>
        <w:pStyle w:val="FootnoteText"/>
      </w:pPr>
      <w:r>
        <w:rPr>
          <w:rStyle w:val="FootnoteReference"/>
        </w:rPr>
        <w:footnoteRef/>
      </w:r>
      <w:r>
        <w:t xml:space="preserve"> Ibid., 125.</w:t>
      </w:r>
    </w:p>
  </w:footnote>
  <w:footnote w:id="1094">
    <w:p w:rsidR="00AB3F05" w:rsidRPr="00933365" w:rsidRDefault="00AB3F05" w:rsidP="00062AED">
      <w:pPr>
        <w:pStyle w:val="FootnoteText"/>
      </w:pPr>
      <w:r>
        <w:rPr>
          <w:rStyle w:val="FootnoteReference"/>
        </w:rPr>
        <w:footnoteRef/>
      </w:r>
      <w:r>
        <w:t xml:space="preserve"> Ibid.</w:t>
      </w:r>
    </w:p>
  </w:footnote>
  <w:footnote w:id="1095">
    <w:p w:rsidR="00AB3F05" w:rsidRPr="00FE3903" w:rsidRDefault="00AB3F05" w:rsidP="00062AED">
      <w:pPr>
        <w:pStyle w:val="FootnoteText"/>
        <w:rPr>
          <w:lang w:val="cy-GB"/>
        </w:rPr>
      </w:pPr>
      <w:r>
        <w:rPr>
          <w:rStyle w:val="FootnoteReference"/>
        </w:rPr>
        <w:footnoteRef/>
      </w:r>
      <w:r>
        <w:t xml:space="preserve"> </w:t>
      </w:r>
      <w:r>
        <w:rPr>
          <w:lang w:val="cy-GB"/>
        </w:rPr>
        <w:t xml:space="preserve">W.H. Lewis, ‘The Table of the Lord’, </w:t>
      </w:r>
      <w:r>
        <w:rPr>
          <w:i/>
          <w:lang w:val="cy-GB"/>
        </w:rPr>
        <w:t>RoG</w:t>
      </w:r>
      <w:r>
        <w:rPr>
          <w:lang w:val="cy-GB"/>
        </w:rPr>
        <w:t>, xi.1 (Sept. 1935), 57.</w:t>
      </w:r>
    </w:p>
  </w:footnote>
  <w:footnote w:id="1096">
    <w:p w:rsidR="00AB3F05" w:rsidRPr="00FE3903" w:rsidRDefault="00AB3F05" w:rsidP="00062AED">
      <w:pPr>
        <w:pStyle w:val="FootnoteText"/>
      </w:pPr>
      <w:r>
        <w:rPr>
          <w:rStyle w:val="FootnoteReference"/>
        </w:rPr>
        <w:footnoteRef/>
      </w:r>
      <w:r>
        <w:t xml:space="preserve"> Lewis, ‘Relationships of the Body of Christ’, 125.</w:t>
      </w:r>
    </w:p>
  </w:footnote>
  <w:footnote w:id="1097">
    <w:p w:rsidR="00AB3F05" w:rsidRPr="00866786" w:rsidRDefault="00AB3F05" w:rsidP="00062AED">
      <w:pPr>
        <w:pStyle w:val="FootnoteText"/>
      </w:pPr>
      <w:r>
        <w:rPr>
          <w:rStyle w:val="FootnoteReference"/>
        </w:rPr>
        <w:footnoteRef/>
      </w:r>
      <w:r>
        <w:t xml:space="preserve"> </w:t>
      </w:r>
      <w:r>
        <w:rPr>
          <w:lang w:val="cy-GB"/>
        </w:rPr>
        <w:t>Lewis, ‘Table of the Lord’, 57.</w:t>
      </w:r>
    </w:p>
  </w:footnote>
  <w:footnote w:id="1098">
    <w:p w:rsidR="00AB3F05" w:rsidRPr="003904CB" w:rsidRDefault="00AB3F05" w:rsidP="00062AED">
      <w:pPr>
        <w:pStyle w:val="FootnoteText"/>
      </w:pPr>
      <w:r>
        <w:rPr>
          <w:rStyle w:val="FootnoteReference"/>
        </w:rPr>
        <w:footnoteRef/>
      </w:r>
      <w:r>
        <w:t xml:space="preserve"> Lewis, ‘Relationships of the Body of Christ’, 125.</w:t>
      </w:r>
    </w:p>
  </w:footnote>
  <w:footnote w:id="1099">
    <w:p w:rsidR="00AB3F05" w:rsidRPr="001F1FF7" w:rsidRDefault="00AB3F05" w:rsidP="00062AED">
      <w:pPr>
        <w:pStyle w:val="FootnoteText"/>
      </w:pPr>
      <w:r>
        <w:rPr>
          <w:rStyle w:val="FootnoteReference"/>
        </w:rPr>
        <w:footnoteRef/>
      </w:r>
      <w:r>
        <w:t xml:space="preserve"> Ibid.</w:t>
      </w:r>
    </w:p>
  </w:footnote>
  <w:footnote w:id="1100">
    <w:p w:rsidR="00AB3F05" w:rsidRPr="001F1FF7" w:rsidRDefault="00AB3F05" w:rsidP="00062AED">
      <w:pPr>
        <w:pStyle w:val="FootnoteText"/>
      </w:pPr>
      <w:r>
        <w:rPr>
          <w:rStyle w:val="FootnoteReference"/>
        </w:rPr>
        <w:footnoteRef/>
      </w:r>
      <w:r>
        <w:t xml:space="preserve"> Ibid., 126.</w:t>
      </w:r>
    </w:p>
  </w:footnote>
  <w:footnote w:id="1101">
    <w:p w:rsidR="00AB3F05" w:rsidRPr="001F1FF7" w:rsidRDefault="00AB3F05" w:rsidP="00062AED">
      <w:pPr>
        <w:pStyle w:val="FootnoteText"/>
      </w:pPr>
      <w:r>
        <w:rPr>
          <w:rStyle w:val="FootnoteReference"/>
        </w:rPr>
        <w:footnoteRef/>
      </w:r>
      <w:r>
        <w:t xml:space="preserve"> Ibid.</w:t>
      </w:r>
    </w:p>
  </w:footnote>
  <w:footnote w:id="1102">
    <w:p w:rsidR="00AB3F05" w:rsidRPr="002B16F2" w:rsidRDefault="00AB3F05" w:rsidP="00062AED">
      <w:pPr>
        <w:pStyle w:val="FootnoteText"/>
      </w:pPr>
      <w:r>
        <w:rPr>
          <w:rStyle w:val="FootnoteReference"/>
        </w:rPr>
        <w:footnoteRef/>
      </w:r>
      <w:r>
        <w:t xml:space="preserve"> W.H. Lewis, ‘The Relationships of the Body of Christ: The Relationship of the Body to its Exalted Head’, </w:t>
      </w:r>
      <w:r>
        <w:rPr>
          <w:i/>
        </w:rPr>
        <w:t>RoG</w:t>
      </w:r>
      <w:r>
        <w:t>, vii.5 (May 1932), 191.</w:t>
      </w:r>
    </w:p>
  </w:footnote>
  <w:footnote w:id="1103">
    <w:p w:rsidR="00AB3F05" w:rsidRPr="002B16F2" w:rsidRDefault="00AB3F05" w:rsidP="00062AED">
      <w:pPr>
        <w:pStyle w:val="FootnoteText"/>
      </w:pPr>
      <w:r>
        <w:rPr>
          <w:rStyle w:val="FootnoteReference"/>
        </w:rPr>
        <w:footnoteRef/>
      </w:r>
      <w:r>
        <w:t xml:space="preserve"> Lewis, ‘Relationships of the Body of Christ’, (March 1932), 126.</w:t>
      </w:r>
    </w:p>
  </w:footnote>
  <w:footnote w:id="1104">
    <w:p w:rsidR="00AB3F05" w:rsidRPr="002B16F2" w:rsidRDefault="00AB3F05" w:rsidP="00062AED">
      <w:pPr>
        <w:pStyle w:val="FootnoteText"/>
      </w:pPr>
      <w:r>
        <w:rPr>
          <w:rStyle w:val="FootnoteReference"/>
        </w:rPr>
        <w:footnoteRef/>
      </w:r>
      <w:r>
        <w:t xml:space="preserve"> W.H. Lewis, ‘The Body of Christ: A Bible Reading Given at the Penygroes International Convention’, </w:t>
      </w:r>
      <w:r>
        <w:rPr>
          <w:i/>
        </w:rPr>
        <w:t>RoG</w:t>
      </w:r>
      <w:r>
        <w:t>, 12.4 (April 1959), 121.</w:t>
      </w:r>
    </w:p>
  </w:footnote>
  <w:footnote w:id="1105">
    <w:p w:rsidR="00AB3F05" w:rsidRPr="00207EC5" w:rsidRDefault="00AB3F05" w:rsidP="00062AED">
      <w:pPr>
        <w:pStyle w:val="FootnoteText"/>
      </w:pPr>
      <w:r>
        <w:rPr>
          <w:rStyle w:val="FootnoteReference"/>
        </w:rPr>
        <w:footnoteRef/>
      </w:r>
      <w:r>
        <w:t xml:space="preserve"> W.H. Lewis, ‘The Body of Christ: A Bible Reading Given at the Penygroes International Convention (Continued)’, </w:t>
      </w:r>
      <w:r>
        <w:rPr>
          <w:i/>
        </w:rPr>
        <w:t>RoG</w:t>
      </w:r>
      <w:r>
        <w:t>, 12.5 (May 1959), 135.</w:t>
      </w:r>
    </w:p>
  </w:footnote>
  <w:footnote w:id="1106">
    <w:p w:rsidR="00AB3F05" w:rsidRPr="006C7787" w:rsidRDefault="00AB3F05" w:rsidP="00062AED">
      <w:pPr>
        <w:pStyle w:val="FootnoteText"/>
      </w:pPr>
      <w:r>
        <w:rPr>
          <w:rStyle w:val="FootnoteReference"/>
        </w:rPr>
        <w:footnoteRef/>
      </w:r>
      <w:r>
        <w:t xml:space="preserve"> </w:t>
      </w:r>
      <w:r w:rsidRPr="00CC14A2">
        <w:t xml:space="preserve">W.H. Lewis, ‘The Function of the Church’, </w:t>
      </w:r>
      <w:r w:rsidRPr="00CC14A2">
        <w:rPr>
          <w:i/>
        </w:rPr>
        <w:t xml:space="preserve">Through the Open Door: Penygroes Convention Report 1945 </w:t>
      </w:r>
      <w:r w:rsidRPr="00CC14A2">
        <w:t>(Penygroes: Apostolic Publications, 1945), 227.</w:t>
      </w:r>
    </w:p>
  </w:footnote>
  <w:footnote w:id="1107">
    <w:p w:rsidR="00AB3F05" w:rsidRPr="006C7787" w:rsidRDefault="00AB3F05" w:rsidP="00062AED">
      <w:pPr>
        <w:pStyle w:val="FootnoteText"/>
      </w:pPr>
      <w:r>
        <w:rPr>
          <w:rStyle w:val="FootnoteReference"/>
        </w:rPr>
        <w:footnoteRef/>
      </w:r>
      <w:r>
        <w:t xml:space="preserve"> Ibid.</w:t>
      </w:r>
    </w:p>
  </w:footnote>
  <w:footnote w:id="1108">
    <w:p w:rsidR="00AB3F05" w:rsidRPr="002F62C5" w:rsidRDefault="00AB3F05" w:rsidP="00062AED">
      <w:pPr>
        <w:pStyle w:val="FootnoteText"/>
      </w:pPr>
      <w:r>
        <w:rPr>
          <w:rStyle w:val="FootnoteReference"/>
        </w:rPr>
        <w:footnoteRef/>
      </w:r>
      <w:r>
        <w:t xml:space="preserve"> W.H. Lewis, ‘Unity’, </w:t>
      </w:r>
      <w:r>
        <w:rPr>
          <w:i/>
        </w:rPr>
        <w:t>RoG</w:t>
      </w:r>
      <w:r>
        <w:t>, x.1 (Sept. 1934), 30.</w:t>
      </w:r>
    </w:p>
  </w:footnote>
  <w:footnote w:id="1109">
    <w:p w:rsidR="00AB3F05" w:rsidRPr="002F62C5" w:rsidRDefault="00AB3F05" w:rsidP="00062AED">
      <w:pPr>
        <w:pStyle w:val="FootnoteText"/>
      </w:pPr>
      <w:r>
        <w:rPr>
          <w:rStyle w:val="FootnoteReference"/>
        </w:rPr>
        <w:footnoteRef/>
      </w:r>
      <w:r>
        <w:t xml:space="preserve"> Ibid., 25.</w:t>
      </w:r>
    </w:p>
  </w:footnote>
  <w:footnote w:id="1110">
    <w:p w:rsidR="00AB3F05" w:rsidRPr="006E2706" w:rsidRDefault="00AB3F05" w:rsidP="00062AED">
      <w:pPr>
        <w:pStyle w:val="FootnoteText"/>
        <w:rPr>
          <w:lang w:val="cy-GB"/>
        </w:rPr>
      </w:pPr>
      <w:r>
        <w:rPr>
          <w:rStyle w:val="FootnoteReference"/>
        </w:rPr>
        <w:footnoteRef/>
      </w:r>
      <w:r>
        <w:t xml:space="preserve"> </w:t>
      </w:r>
      <w:r>
        <w:rPr>
          <w:lang w:val="cy-GB"/>
        </w:rPr>
        <w:t>Ibid., 31.</w:t>
      </w:r>
    </w:p>
  </w:footnote>
  <w:footnote w:id="1111">
    <w:p w:rsidR="00AB3F05" w:rsidRPr="002F62C5" w:rsidRDefault="00AB3F05" w:rsidP="00062AED">
      <w:pPr>
        <w:pStyle w:val="FootnoteText"/>
      </w:pPr>
      <w:r>
        <w:rPr>
          <w:rStyle w:val="FootnoteReference"/>
        </w:rPr>
        <w:footnoteRef/>
      </w:r>
      <w:r>
        <w:t xml:space="preserve"> Ibid., 28-29.</w:t>
      </w:r>
    </w:p>
  </w:footnote>
  <w:footnote w:id="1112">
    <w:p w:rsidR="00AB3F05" w:rsidRPr="006E2706" w:rsidRDefault="00AB3F05" w:rsidP="00062AED">
      <w:pPr>
        <w:pStyle w:val="FootnoteText"/>
      </w:pPr>
      <w:r>
        <w:rPr>
          <w:rStyle w:val="FootnoteReference"/>
        </w:rPr>
        <w:footnoteRef/>
      </w:r>
      <w:r>
        <w:t xml:space="preserve"> Ibid., 29.</w:t>
      </w:r>
    </w:p>
  </w:footnote>
  <w:footnote w:id="1113">
    <w:p w:rsidR="00AB3F05" w:rsidRPr="006E2706" w:rsidRDefault="00AB3F05" w:rsidP="00062AED">
      <w:pPr>
        <w:pStyle w:val="FootnoteText"/>
      </w:pPr>
      <w:r>
        <w:rPr>
          <w:rStyle w:val="FootnoteReference"/>
        </w:rPr>
        <w:footnoteRef/>
      </w:r>
      <w:r>
        <w:t xml:space="preserve"> Lewis, ‘The Function of the Church’, 223.</w:t>
      </w:r>
    </w:p>
  </w:footnote>
  <w:footnote w:id="1114">
    <w:p w:rsidR="00AB3F05" w:rsidRPr="00311603" w:rsidRDefault="00AB3F05" w:rsidP="00062AED">
      <w:pPr>
        <w:pStyle w:val="FootnoteText"/>
      </w:pPr>
      <w:r>
        <w:rPr>
          <w:rStyle w:val="FootnoteReference"/>
        </w:rPr>
        <w:footnoteRef/>
      </w:r>
      <w:r>
        <w:t xml:space="preserve"> Lewis, ‘The Relationships of the Body of Christ: The Relationship of the Body to its Exalted Head’, (May 1932), 193-194.</w:t>
      </w:r>
    </w:p>
  </w:footnote>
  <w:footnote w:id="1115">
    <w:p w:rsidR="00AB3F05" w:rsidRPr="00FE4682" w:rsidRDefault="00AB3F05" w:rsidP="00062AED">
      <w:pPr>
        <w:pStyle w:val="FootnoteText"/>
      </w:pPr>
      <w:r>
        <w:rPr>
          <w:rStyle w:val="FootnoteReference"/>
        </w:rPr>
        <w:footnoteRef/>
      </w:r>
      <w:r>
        <w:t xml:space="preserve"> Ibid., 194.</w:t>
      </w:r>
    </w:p>
  </w:footnote>
  <w:footnote w:id="1116">
    <w:p w:rsidR="00AB3F05" w:rsidRPr="001423D6" w:rsidRDefault="00AB3F05" w:rsidP="00062AED">
      <w:pPr>
        <w:pStyle w:val="FootnoteText"/>
      </w:pPr>
      <w:r>
        <w:rPr>
          <w:rStyle w:val="FootnoteReference"/>
        </w:rPr>
        <w:footnoteRef/>
      </w:r>
      <w:r>
        <w:t xml:space="preserve"> Ibid.</w:t>
      </w:r>
    </w:p>
  </w:footnote>
  <w:footnote w:id="1117">
    <w:p w:rsidR="00AB3F05" w:rsidRPr="008C2E18" w:rsidRDefault="00AB3F05" w:rsidP="00062AED">
      <w:pPr>
        <w:pStyle w:val="FootnoteText"/>
      </w:pPr>
      <w:r>
        <w:rPr>
          <w:rStyle w:val="FootnoteReference"/>
        </w:rPr>
        <w:footnoteRef/>
      </w:r>
      <w:r>
        <w:t xml:space="preserve"> Lewis, ‘Unity’, 27.</w:t>
      </w:r>
    </w:p>
  </w:footnote>
  <w:footnote w:id="1118">
    <w:p w:rsidR="00AB3F05" w:rsidRPr="001423D6" w:rsidRDefault="00AB3F05" w:rsidP="00062AED">
      <w:pPr>
        <w:pStyle w:val="FootnoteText"/>
      </w:pPr>
      <w:r>
        <w:rPr>
          <w:rStyle w:val="FootnoteReference"/>
        </w:rPr>
        <w:footnoteRef/>
      </w:r>
      <w:r>
        <w:t xml:space="preserve"> Lewis, ‘The Function of the Church’, 226.</w:t>
      </w:r>
    </w:p>
  </w:footnote>
  <w:footnote w:id="1119">
    <w:p w:rsidR="00AB3F05" w:rsidRPr="009D5A42" w:rsidRDefault="00AB3F05" w:rsidP="00062AED">
      <w:pPr>
        <w:pStyle w:val="FootnoteText"/>
      </w:pPr>
      <w:r>
        <w:rPr>
          <w:rStyle w:val="FootnoteReference"/>
        </w:rPr>
        <w:footnoteRef/>
      </w:r>
      <w:r>
        <w:t xml:space="preserve"> Thomas, </w:t>
      </w:r>
      <w:r w:rsidRPr="009D5A42">
        <w:rPr>
          <w:i/>
        </w:rPr>
        <w:t>On Ephesians</w:t>
      </w:r>
      <w:r>
        <w:t>, 2.</w:t>
      </w:r>
    </w:p>
  </w:footnote>
  <w:footnote w:id="1120">
    <w:p w:rsidR="00AB3F05" w:rsidRPr="009D5A42" w:rsidRDefault="00AB3F05" w:rsidP="00062AED">
      <w:pPr>
        <w:pStyle w:val="FootnoteText"/>
      </w:pPr>
      <w:r>
        <w:rPr>
          <w:rStyle w:val="FootnoteReference"/>
        </w:rPr>
        <w:footnoteRef/>
      </w:r>
      <w:r>
        <w:t xml:space="preserve"> Ibid., 30.</w:t>
      </w:r>
    </w:p>
  </w:footnote>
  <w:footnote w:id="1121">
    <w:p w:rsidR="00AB3F05" w:rsidRPr="00CC62D9" w:rsidRDefault="00AB3F05" w:rsidP="00062AED">
      <w:pPr>
        <w:pStyle w:val="FootnoteText"/>
        <w:rPr>
          <w:lang w:val="cy-GB"/>
        </w:rPr>
      </w:pPr>
      <w:r>
        <w:rPr>
          <w:rStyle w:val="FootnoteReference"/>
        </w:rPr>
        <w:footnoteRef/>
      </w:r>
      <w:r>
        <w:t xml:space="preserve"> </w:t>
      </w:r>
      <w:r>
        <w:rPr>
          <w:lang w:val="cy-GB"/>
        </w:rPr>
        <w:t>Ibid., 38-39; see also 132.</w:t>
      </w:r>
    </w:p>
  </w:footnote>
  <w:footnote w:id="1122">
    <w:p w:rsidR="00AB3F05" w:rsidRPr="00F009F3" w:rsidRDefault="00AB3F05" w:rsidP="00062AED">
      <w:pPr>
        <w:pStyle w:val="FootnoteText"/>
        <w:rPr>
          <w:lang w:val="cy-GB"/>
        </w:rPr>
      </w:pPr>
      <w:r>
        <w:rPr>
          <w:rStyle w:val="FootnoteReference"/>
        </w:rPr>
        <w:footnoteRef/>
      </w:r>
      <w:r>
        <w:t xml:space="preserve"> </w:t>
      </w:r>
      <w:r>
        <w:rPr>
          <w:lang w:val="cy-GB"/>
        </w:rPr>
        <w:t>Ibid., 161.</w:t>
      </w:r>
    </w:p>
  </w:footnote>
  <w:footnote w:id="1123">
    <w:p w:rsidR="00AB3F05" w:rsidRPr="001918FA" w:rsidRDefault="00AB3F05" w:rsidP="00062AED">
      <w:pPr>
        <w:pStyle w:val="FootnoteText"/>
        <w:rPr>
          <w:lang w:val="cy-GB"/>
        </w:rPr>
      </w:pPr>
      <w:r>
        <w:rPr>
          <w:rStyle w:val="FootnoteReference"/>
        </w:rPr>
        <w:footnoteRef/>
      </w:r>
      <w:r>
        <w:t xml:space="preserve"> </w:t>
      </w:r>
      <w:r>
        <w:rPr>
          <w:lang w:val="cy-GB"/>
        </w:rPr>
        <w:t>Ibid., 5.</w:t>
      </w:r>
    </w:p>
  </w:footnote>
  <w:footnote w:id="1124">
    <w:p w:rsidR="00AB3F05" w:rsidRPr="00677753" w:rsidRDefault="00AB3F05" w:rsidP="00062AED">
      <w:pPr>
        <w:pStyle w:val="FootnoteText"/>
      </w:pPr>
      <w:r>
        <w:rPr>
          <w:rStyle w:val="FootnoteReference"/>
        </w:rPr>
        <w:footnoteRef/>
      </w:r>
      <w:r>
        <w:t xml:space="preserve"> Ibid., 60-61.</w:t>
      </w:r>
    </w:p>
  </w:footnote>
  <w:footnote w:id="1125">
    <w:p w:rsidR="00AB3F05" w:rsidRPr="00F00572" w:rsidRDefault="00AB3F05" w:rsidP="00062AED">
      <w:pPr>
        <w:pStyle w:val="FootnoteText"/>
        <w:rPr>
          <w:lang w:val="cy-GB"/>
        </w:rPr>
      </w:pPr>
      <w:r>
        <w:rPr>
          <w:rStyle w:val="FootnoteReference"/>
        </w:rPr>
        <w:footnoteRef/>
      </w:r>
      <w:r>
        <w:t xml:space="preserve"> </w:t>
      </w:r>
      <w:r>
        <w:rPr>
          <w:lang w:val="cy-GB"/>
        </w:rPr>
        <w:t>Ibid., 98, 132.</w:t>
      </w:r>
    </w:p>
  </w:footnote>
  <w:footnote w:id="1126">
    <w:p w:rsidR="00AB3F05" w:rsidRPr="009C6C51" w:rsidRDefault="00AB3F05" w:rsidP="00062AED">
      <w:pPr>
        <w:pStyle w:val="FootnoteText"/>
        <w:rPr>
          <w:lang w:val="cy-GB"/>
        </w:rPr>
      </w:pPr>
      <w:r>
        <w:rPr>
          <w:rStyle w:val="FootnoteReference"/>
        </w:rPr>
        <w:footnoteRef/>
      </w:r>
      <w:r>
        <w:t xml:space="preserve"> </w:t>
      </w:r>
      <w:r>
        <w:rPr>
          <w:lang w:val="cy-GB"/>
        </w:rPr>
        <w:t>Ibid., 66.</w:t>
      </w:r>
    </w:p>
  </w:footnote>
  <w:footnote w:id="1127">
    <w:p w:rsidR="00AB3F05" w:rsidRPr="009C6C51" w:rsidRDefault="00AB3F05" w:rsidP="00062AED">
      <w:pPr>
        <w:pStyle w:val="FootnoteText"/>
        <w:rPr>
          <w:lang w:val="cy-GB"/>
        </w:rPr>
      </w:pPr>
      <w:r>
        <w:rPr>
          <w:rStyle w:val="FootnoteReference"/>
        </w:rPr>
        <w:footnoteRef/>
      </w:r>
      <w:r>
        <w:t xml:space="preserve"> </w:t>
      </w:r>
      <w:r>
        <w:rPr>
          <w:lang w:val="cy-GB"/>
        </w:rPr>
        <w:t>Ibid.</w:t>
      </w:r>
    </w:p>
  </w:footnote>
  <w:footnote w:id="1128">
    <w:p w:rsidR="00AB3F05" w:rsidRPr="00D97E3B" w:rsidRDefault="00AB3F05" w:rsidP="00062AED">
      <w:pPr>
        <w:pStyle w:val="FootnoteText"/>
      </w:pPr>
      <w:r>
        <w:rPr>
          <w:rStyle w:val="FootnoteReference"/>
        </w:rPr>
        <w:footnoteRef/>
      </w:r>
      <w:r>
        <w:t xml:space="preserve"> Ibid.</w:t>
      </w:r>
    </w:p>
  </w:footnote>
  <w:footnote w:id="1129">
    <w:p w:rsidR="00AB3F05" w:rsidRPr="00482A01" w:rsidRDefault="00AB3F05" w:rsidP="00062AED">
      <w:pPr>
        <w:pStyle w:val="FootnoteText"/>
        <w:rPr>
          <w:lang w:val="cy-GB"/>
        </w:rPr>
      </w:pPr>
      <w:r>
        <w:rPr>
          <w:rStyle w:val="FootnoteReference"/>
        </w:rPr>
        <w:footnoteRef/>
      </w:r>
      <w:r>
        <w:t xml:space="preserve"> </w:t>
      </w:r>
      <w:r>
        <w:rPr>
          <w:lang w:val="cy-GB"/>
        </w:rPr>
        <w:t>Ibid.</w:t>
      </w:r>
    </w:p>
  </w:footnote>
  <w:footnote w:id="1130">
    <w:p w:rsidR="00AB3F05" w:rsidRPr="00C929DF" w:rsidRDefault="00AB3F05" w:rsidP="00062AED">
      <w:pPr>
        <w:pStyle w:val="FootnoteText"/>
        <w:rPr>
          <w:lang w:val="cy-GB"/>
        </w:rPr>
      </w:pPr>
      <w:r>
        <w:rPr>
          <w:rStyle w:val="FootnoteReference"/>
        </w:rPr>
        <w:footnoteRef/>
      </w:r>
      <w:r>
        <w:t xml:space="preserve"> </w:t>
      </w:r>
      <w:r>
        <w:rPr>
          <w:lang w:val="cy-GB"/>
        </w:rPr>
        <w:t>Ibid., 163.</w:t>
      </w:r>
    </w:p>
  </w:footnote>
  <w:footnote w:id="1131">
    <w:p w:rsidR="00AB3F05" w:rsidRPr="0002542B" w:rsidRDefault="00AB3F05" w:rsidP="00062AED">
      <w:pPr>
        <w:pStyle w:val="FootnoteText"/>
        <w:rPr>
          <w:lang w:val="cy-GB"/>
        </w:rPr>
      </w:pPr>
      <w:r>
        <w:rPr>
          <w:rStyle w:val="FootnoteReference"/>
        </w:rPr>
        <w:footnoteRef/>
      </w:r>
      <w:r>
        <w:t xml:space="preserve"> </w:t>
      </w:r>
      <w:r>
        <w:rPr>
          <w:lang w:val="cy-GB"/>
        </w:rPr>
        <w:t>Ibid., 214-215.</w:t>
      </w:r>
    </w:p>
  </w:footnote>
  <w:footnote w:id="1132">
    <w:p w:rsidR="00AB3F05" w:rsidRPr="00A63C55" w:rsidRDefault="00AB3F05" w:rsidP="00062AED">
      <w:pPr>
        <w:pStyle w:val="FootnoteText"/>
        <w:rPr>
          <w:lang w:val="cy-GB"/>
        </w:rPr>
      </w:pPr>
      <w:r>
        <w:rPr>
          <w:rStyle w:val="FootnoteReference"/>
        </w:rPr>
        <w:footnoteRef/>
      </w:r>
      <w:r>
        <w:t xml:space="preserve"> </w:t>
      </w:r>
      <w:r>
        <w:rPr>
          <w:lang w:val="cy-GB"/>
        </w:rPr>
        <w:t>Ibid., 73-74.</w:t>
      </w:r>
    </w:p>
  </w:footnote>
  <w:footnote w:id="1133">
    <w:p w:rsidR="00AB3F05" w:rsidRPr="00482A01" w:rsidRDefault="00AB3F05" w:rsidP="00062AED">
      <w:pPr>
        <w:pStyle w:val="FootnoteText"/>
        <w:rPr>
          <w:lang w:val="cy-GB"/>
        </w:rPr>
      </w:pPr>
      <w:r>
        <w:rPr>
          <w:rStyle w:val="FootnoteReference"/>
        </w:rPr>
        <w:footnoteRef/>
      </w:r>
      <w:r>
        <w:t xml:space="preserve"> </w:t>
      </w:r>
      <w:r>
        <w:rPr>
          <w:lang w:val="cy-GB"/>
        </w:rPr>
        <w:t>Ibid., 75, 78.</w:t>
      </w:r>
    </w:p>
  </w:footnote>
  <w:footnote w:id="1134">
    <w:p w:rsidR="00AB3F05" w:rsidRPr="00CB0F1C" w:rsidRDefault="00AB3F05" w:rsidP="00062AED">
      <w:pPr>
        <w:pStyle w:val="FootnoteText"/>
        <w:rPr>
          <w:lang w:val="cy-GB"/>
        </w:rPr>
      </w:pPr>
      <w:r>
        <w:rPr>
          <w:rStyle w:val="FootnoteReference"/>
        </w:rPr>
        <w:footnoteRef/>
      </w:r>
      <w:r>
        <w:t xml:space="preserve"> </w:t>
      </w:r>
      <w:r>
        <w:rPr>
          <w:lang w:val="cy-GB"/>
        </w:rPr>
        <w:t>Ibid., 76.</w:t>
      </w:r>
    </w:p>
  </w:footnote>
  <w:footnote w:id="1135">
    <w:p w:rsidR="00AB3F05" w:rsidRPr="005B2C0B" w:rsidRDefault="00AB3F05" w:rsidP="00062AED">
      <w:pPr>
        <w:pStyle w:val="FootnoteText"/>
      </w:pPr>
      <w:r>
        <w:rPr>
          <w:rStyle w:val="FootnoteReference"/>
        </w:rPr>
        <w:footnoteRef/>
      </w:r>
      <w:r>
        <w:t xml:space="preserve"> Ibid., 131.</w:t>
      </w:r>
    </w:p>
  </w:footnote>
  <w:footnote w:id="1136">
    <w:p w:rsidR="00AB3F05" w:rsidRPr="009D5A42" w:rsidRDefault="00AB3F05" w:rsidP="00062AED">
      <w:pPr>
        <w:pStyle w:val="FootnoteText"/>
      </w:pPr>
      <w:r>
        <w:rPr>
          <w:rStyle w:val="FootnoteReference"/>
        </w:rPr>
        <w:footnoteRef/>
      </w:r>
      <w:r>
        <w:t xml:space="preserve"> Ibid., 21-22.</w:t>
      </w:r>
    </w:p>
  </w:footnote>
  <w:footnote w:id="1137">
    <w:p w:rsidR="00AB3F05" w:rsidRPr="009D5A42" w:rsidRDefault="00AB3F05" w:rsidP="00062AED">
      <w:pPr>
        <w:pStyle w:val="FootnoteText"/>
      </w:pPr>
      <w:r>
        <w:rPr>
          <w:rStyle w:val="FootnoteReference"/>
        </w:rPr>
        <w:footnoteRef/>
      </w:r>
      <w:r>
        <w:t xml:space="preserve"> Ibid.</w:t>
      </w:r>
    </w:p>
  </w:footnote>
  <w:footnote w:id="1138">
    <w:p w:rsidR="00AB3F05" w:rsidRPr="000C2DB2" w:rsidRDefault="00AB3F05" w:rsidP="00062AED">
      <w:pPr>
        <w:pStyle w:val="FootnoteText"/>
      </w:pPr>
      <w:r>
        <w:rPr>
          <w:rStyle w:val="FootnoteReference"/>
        </w:rPr>
        <w:footnoteRef/>
      </w:r>
      <w:r>
        <w:t xml:space="preserve"> Ibid., 116.</w:t>
      </w:r>
    </w:p>
  </w:footnote>
  <w:footnote w:id="1139">
    <w:p w:rsidR="00AB3F05" w:rsidRDefault="00AB3F05" w:rsidP="00062AED">
      <w:pPr>
        <w:pStyle w:val="FootnoteText"/>
      </w:pPr>
      <w:r>
        <w:rPr>
          <w:rStyle w:val="FootnoteReference"/>
        </w:rPr>
        <w:footnoteRef/>
      </w:r>
      <w:r>
        <w:t xml:space="preserve"> Turnbull, </w:t>
      </w:r>
      <w:r w:rsidRPr="00A64FC0">
        <w:rPr>
          <w:i/>
        </w:rPr>
        <w:t>What God Hath Wrought</w:t>
      </w:r>
      <w:r>
        <w:t>, 12. See also Tenet 8: ‘The Divine Inspiration and Authority of the Holy Scriptures.’</w:t>
      </w:r>
    </w:p>
  </w:footnote>
  <w:footnote w:id="1140">
    <w:p w:rsidR="00AB3F05" w:rsidRDefault="00AB3F05" w:rsidP="00062AED">
      <w:pPr>
        <w:pStyle w:val="FootnoteText"/>
      </w:pPr>
      <w:r>
        <w:rPr>
          <w:rStyle w:val="FootnoteReference"/>
        </w:rPr>
        <w:footnoteRef/>
      </w:r>
      <w:r>
        <w:t xml:space="preserve"> Tenet 6</w:t>
      </w:r>
    </w:p>
  </w:footnote>
  <w:footnote w:id="1141">
    <w:p w:rsidR="00AB3F05" w:rsidRPr="001D78CC" w:rsidRDefault="00AB3F05" w:rsidP="00062AED">
      <w:pPr>
        <w:pStyle w:val="FootnoteText"/>
        <w:rPr>
          <w:lang w:val="cy-GB"/>
        </w:rPr>
      </w:pPr>
      <w:r>
        <w:rPr>
          <w:rStyle w:val="FootnoteReference"/>
        </w:rPr>
        <w:footnoteRef/>
      </w:r>
      <w:r w:rsidRPr="00A939D8">
        <w:t xml:space="preserve"> Cyril of Alexandria, </w:t>
      </w:r>
      <w:r w:rsidRPr="00A939D8">
        <w:rPr>
          <w:i/>
        </w:rPr>
        <w:t xml:space="preserve">Dial. </w:t>
      </w:r>
      <w:r w:rsidRPr="00605FDD">
        <w:rPr>
          <w:i/>
          <w:lang w:val="fr-BE"/>
        </w:rPr>
        <w:t>Trin.</w:t>
      </w:r>
      <w:r>
        <w:rPr>
          <w:lang w:val="fr-BE"/>
        </w:rPr>
        <w:t xml:space="preserve"> i.407c. Published Edition: </w:t>
      </w:r>
      <w:r w:rsidRPr="00A14FCD">
        <w:rPr>
          <w:lang w:val="cy-GB"/>
        </w:rPr>
        <w:t xml:space="preserve">Cyrille d’Alexandrie, </w:t>
      </w:r>
      <w:r w:rsidRPr="00A14FCD">
        <w:rPr>
          <w:i/>
          <w:lang w:val="cy-GB"/>
        </w:rPr>
        <w:t>Dialogues Sur La Trinité I</w:t>
      </w:r>
      <w:r w:rsidRPr="00A14FCD">
        <w:rPr>
          <w:lang w:val="cy-GB"/>
        </w:rPr>
        <w:t>, Sources Chrétiennes</w:t>
      </w:r>
      <w:r>
        <w:rPr>
          <w:lang w:val="cy-GB"/>
        </w:rPr>
        <w:t xml:space="preserve"> 231</w:t>
      </w:r>
      <w:r w:rsidRPr="00A14FCD">
        <w:rPr>
          <w:lang w:val="cy-GB"/>
        </w:rPr>
        <w:t xml:space="preserve"> (Paris: Cerf, 1976), 193</w:t>
      </w:r>
      <w:r>
        <w:rPr>
          <w:lang w:val="cy-GB"/>
        </w:rPr>
        <w:t>;</w:t>
      </w:r>
      <w:r w:rsidRPr="00605FDD">
        <w:rPr>
          <w:rFonts w:ascii="TekniaGreek" w:hAnsi="TekniaGreek"/>
          <w:i/>
          <w:lang w:val="fr-BE"/>
        </w:rPr>
        <w:t xml:space="preserve"> Th;n wJV pro;V Qeovn</w:t>
      </w:r>
      <w:r w:rsidRPr="00605FDD">
        <w:rPr>
          <w:lang w:val="fr-BE"/>
        </w:rPr>
        <w:t xml:space="preserve">. </w:t>
      </w:r>
      <w:r w:rsidRPr="00F81B03">
        <w:t>English translations from this work are mine.</w:t>
      </w:r>
    </w:p>
  </w:footnote>
  <w:footnote w:id="1142">
    <w:p w:rsidR="00AB3F05" w:rsidRPr="001D78CC" w:rsidRDefault="00AB3F05" w:rsidP="00062AED">
      <w:pPr>
        <w:pStyle w:val="FootnoteText"/>
        <w:rPr>
          <w:lang w:val="cy-GB"/>
        </w:rPr>
      </w:pPr>
      <w:r>
        <w:rPr>
          <w:rStyle w:val="FootnoteReference"/>
        </w:rPr>
        <w:footnoteRef/>
      </w:r>
      <w:r>
        <w:t xml:space="preserve"> </w:t>
      </w:r>
      <w:r>
        <w:rPr>
          <w:lang w:val="cy-GB"/>
        </w:rPr>
        <w:t>Ibid.</w:t>
      </w:r>
    </w:p>
  </w:footnote>
  <w:footnote w:id="1143">
    <w:p w:rsidR="00AB3F05" w:rsidRPr="001E313D" w:rsidRDefault="00AB3F05" w:rsidP="00062AED">
      <w:pPr>
        <w:pStyle w:val="FootnoteText"/>
        <w:rPr>
          <w:lang w:val="cy-GB"/>
        </w:rPr>
      </w:pPr>
      <w:r>
        <w:rPr>
          <w:rStyle w:val="FootnoteReference"/>
        </w:rPr>
        <w:footnoteRef/>
      </w:r>
      <w:r>
        <w:t xml:space="preserve"> </w:t>
      </w:r>
      <w:r>
        <w:rPr>
          <w:lang w:val="cy-GB"/>
        </w:rPr>
        <w:t>Ibid., i.407e-408a</w:t>
      </w:r>
    </w:p>
  </w:footnote>
  <w:footnote w:id="1144">
    <w:p w:rsidR="00AB3F05" w:rsidRPr="002A0DCA" w:rsidRDefault="00AB3F05" w:rsidP="00062AED">
      <w:pPr>
        <w:pStyle w:val="FootnoteText"/>
        <w:rPr>
          <w:lang w:val="cy-GB"/>
        </w:rPr>
      </w:pPr>
      <w:r>
        <w:rPr>
          <w:rStyle w:val="FootnoteReference"/>
        </w:rPr>
        <w:footnoteRef/>
      </w:r>
      <w:r>
        <w:t xml:space="preserve"> Ibid., </w:t>
      </w:r>
      <w:r w:rsidRPr="002A0DCA">
        <w:t>i.407c</w:t>
      </w:r>
    </w:p>
  </w:footnote>
  <w:footnote w:id="1145">
    <w:p w:rsidR="00AB3F05" w:rsidRPr="002A0DCA" w:rsidRDefault="00AB3F05" w:rsidP="00062AED">
      <w:pPr>
        <w:pStyle w:val="FootnoteText"/>
        <w:rPr>
          <w:lang w:val="cy-GB"/>
        </w:rPr>
      </w:pPr>
      <w:r>
        <w:rPr>
          <w:rStyle w:val="FootnoteReference"/>
        </w:rPr>
        <w:footnoteRef/>
      </w:r>
      <w:r>
        <w:t xml:space="preserve"> </w:t>
      </w:r>
      <w:r>
        <w:rPr>
          <w:lang w:val="cy-GB"/>
        </w:rPr>
        <w:t>Ibid., i.407e</w:t>
      </w:r>
    </w:p>
  </w:footnote>
  <w:footnote w:id="1146">
    <w:p w:rsidR="00AB3F05" w:rsidRPr="00ED5227" w:rsidRDefault="00AB3F05" w:rsidP="00062AED">
      <w:pPr>
        <w:pStyle w:val="FootnoteText"/>
        <w:rPr>
          <w:lang w:val="cy-GB"/>
        </w:rPr>
      </w:pPr>
      <w:r>
        <w:rPr>
          <w:rStyle w:val="FootnoteReference"/>
        </w:rPr>
        <w:footnoteRef/>
      </w:r>
      <w:r>
        <w:t xml:space="preserve"> </w:t>
      </w:r>
      <w:r>
        <w:rPr>
          <w:lang w:val="cy-GB"/>
        </w:rPr>
        <w:t xml:space="preserve">Of these three, the one which Cyril seems to emphasise the most in this section is the Eucharist, which he mentions three times in </w:t>
      </w:r>
      <w:r w:rsidRPr="001923E3">
        <w:rPr>
          <w:i/>
          <w:lang w:val="cy-GB"/>
        </w:rPr>
        <w:t>Dial. Trin.</w:t>
      </w:r>
      <w:r>
        <w:rPr>
          <w:lang w:val="cy-GB"/>
        </w:rPr>
        <w:t xml:space="preserve"> i.407.</w:t>
      </w:r>
    </w:p>
  </w:footnote>
  <w:footnote w:id="1147">
    <w:p w:rsidR="00AB3F05" w:rsidRPr="00E91270" w:rsidRDefault="00AB3F05" w:rsidP="00062AED">
      <w:pPr>
        <w:pStyle w:val="FootnoteText"/>
        <w:rPr>
          <w:lang w:val="cy-GB"/>
        </w:rPr>
      </w:pPr>
      <w:r>
        <w:rPr>
          <w:rStyle w:val="FootnoteReference"/>
        </w:rPr>
        <w:footnoteRef/>
      </w:r>
      <w:r>
        <w:t xml:space="preserve"> </w:t>
      </w:r>
      <w:r>
        <w:rPr>
          <w:lang w:val="cy-GB"/>
        </w:rPr>
        <w:t xml:space="preserve">For theosis in the thought of Cyril of Alexandria see: Daniel A. Keating, </w:t>
      </w:r>
      <w:r w:rsidRPr="006471EB">
        <w:rPr>
          <w:i/>
          <w:lang w:val="cy-GB"/>
        </w:rPr>
        <w:t>The Appropriation of Divine Life in Cyril of Alexandria</w:t>
      </w:r>
      <w:r>
        <w:rPr>
          <w:lang w:val="cy-GB"/>
        </w:rPr>
        <w:t xml:space="preserve"> (Oxford: Oxford University Press, 2004).</w:t>
      </w:r>
    </w:p>
  </w:footnote>
  <w:footnote w:id="1148">
    <w:p w:rsidR="00AB3F05" w:rsidRPr="00450B1F" w:rsidRDefault="00AB3F05" w:rsidP="00062AED">
      <w:pPr>
        <w:pStyle w:val="FootnoteText"/>
        <w:rPr>
          <w:lang w:val="cy-GB"/>
        </w:rPr>
      </w:pPr>
      <w:r>
        <w:rPr>
          <w:rStyle w:val="FootnoteReference"/>
        </w:rPr>
        <w:footnoteRef/>
      </w:r>
      <w:r>
        <w:t xml:space="preserve"> </w:t>
      </w:r>
      <w:r>
        <w:rPr>
          <w:lang w:val="cy-GB"/>
        </w:rPr>
        <w:t>See above 5.2.6.</w:t>
      </w:r>
    </w:p>
  </w:footnote>
  <w:footnote w:id="1149">
    <w:p w:rsidR="00AB3F05" w:rsidRPr="00880C8E" w:rsidRDefault="00AB3F05" w:rsidP="00062AED">
      <w:pPr>
        <w:pStyle w:val="FootnoteText"/>
        <w:rPr>
          <w:lang w:val="cy-GB"/>
        </w:rPr>
      </w:pPr>
      <w:r>
        <w:rPr>
          <w:rStyle w:val="FootnoteReference"/>
        </w:rPr>
        <w:footnoteRef/>
      </w:r>
      <w:r>
        <w:t xml:space="preserve"> </w:t>
      </w:r>
      <w:r>
        <w:rPr>
          <w:lang w:val="cy-GB"/>
        </w:rPr>
        <w:t xml:space="preserve">Thomas, </w:t>
      </w:r>
      <w:r w:rsidRPr="00880C8E">
        <w:rPr>
          <w:i/>
          <w:lang w:val="cy-GB"/>
        </w:rPr>
        <w:t>On Ephesians</w:t>
      </w:r>
      <w:r>
        <w:rPr>
          <w:lang w:val="cy-GB"/>
        </w:rPr>
        <w:t>, 21-22.</w:t>
      </w:r>
    </w:p>
  </w:footnote>
  <w:footnote w:id="1150">
    <w:p w:rsidR="00AB3F05" w:rsidRPr="006F7F10" w:rsidRDefault="00AB3F05" w:rsidP="00062AED">
      <w:pPr>
        <w:pStyle w:val="FootnoteText"/>
        <w:rPr>
          <w:lang w:val="cy-GB"/>
        </w:rPr>
      </w:pPr>
      <w:r>
        <w:rPr>
          <w:rStyle w:val="FootnoteReference"/>
        </w:rPr>
        <w:footnoteRef/>
      </w:r>
      <w:r>
        <w:t xml:space="preserve"> </w:t>
      </w:r>
      <w:r>
        <w:rPr>
          <w:lang w:val="cy-GB"/>
        </w:rPr>
        <w:t>We shall return to this issue below.</w:t>
      </w:r>
    </w:p>
  </w:footnote>
  <w:footnote w:id="1151">
    <w:p w:rsidR="00AB3F05" w:rsidRPr="00807FF4" w:rsidRDefault="00AB3F05" w:rsidP="00062AED">
      <w:pPr>
        <w:pStyle w:val="FootnoteText"/>
        <w:rPr>
          <w:lang w:val="cy-GB"/>
        </w:rPr>
      </w:pPr>
      <w:r>
        <w:rPr>
          <w:rStyle w:val="FootnoteReference"/>
        </w:rPr>
        <w:footnoteRef/>
      </w:r>
      <w:r>
        <w:t xml:space="preserve"> </w:t>
      </w:r>
      <w:r>
        <w:rPr>
          <w:lang w:val="cy-GB"/>
        </w:rPr>
        <w:t>See above 2.1.5.1.</w:t>
      </w:r>
    </w:p>
  </w:footnote>
  <w:footnote w:id="1152">
    <w:p w:rsidR="00AB3F05" w:rsidRPr="00E25A21" w:rsidRDefault="00AB3F05" w:rsidP="00062AED">
      <w:pPr>
        <w:pStyle w:val="FootnoteText"/>
        <w:rPr>
          <w:lang w:val="cy-GB"/>
        </w:rPr>
      </w:pPr>
      <w:r>
        <w:rPr>
          <w:rStyle w:val="FootnoteReference"/>
        </w:rPr>
        <w:footnoteRef/>
      </w:r>
      <w:r>
        <w:t xml:space="preserve"> </w:t>
      </w:r>
      <w:r>
        <w:rPr>
          <w:lang w:val="cy-GB"/>
        </w:rPr>
        <w:t xml:space="preserve">See above, 4.2.1.2. </w:t>
      </w:r>
    </w:p>
  </w:footnote>
  <w:footnote w:id="1153">
    <w:p w:rsidR="00AB3F05" w:rsidRPr="00F04931" w:rsidRDefault="00AB3F05" w:rsidP="00062AED">
      <w:pPr>
        <w:pStyle w:val="FootnoteText"/>
        <w:rPr>
          <w:lang w:val="cy-GB"/>
        </w:rPr>
      </w:pPr>
      <w:r>
        <w:rPr>
          <w:rStyle w:val="FootnoteReference"/>
        </w:rPr>
        <w:footnoteRef/>
      </w:r>
      <w:r>
        <w:t xml:space="preserve"> </w:t>
      </w:r>
      <w:r>
        <w:rPr>
          <w:lang w:val="cy-GB"/>
        </w:rPr>
        <w:t xml:space="preserve">Williams, </w:t>
      </w:r>
      <w:r w:rsidRPr="00F04931">
        <w:rPr>
          <w:i/>
          <w:lang w:val="cy-GB"/>
        </w:rPr>
        <w:t>Athrawiaethau Sylfeinol</w:t>
      </w:r>
      <w:r>
        <w:rPr>
          <w:lang w:val="cy-GB"/>
        </w:rPr>
        <w:t>, 10; idem, ‘Editorial Note: The Lord’s Table’, 275; idem, ‘The Ministry of the Word’, 170-171.</w:t>
      </w:r>
    </w:p>
  </w:footnote>
  <w:footnote w:id="1154">
    <w:p w:rsidR="00AB3F05" w:rsidRPr="00675531" w:rsidRDefault="00AB3F05" w:rsidP="00062AED">
      <w:pPr>
        <w:pStyle w:val="FootnoteText"/>
        <w:rPr>
          <w:lang w:val="cy-GB"/>
        </w:rPr>
      </w:pPr>
      <w:r>
        <w:rPr>
          <w:rStyle w:val="FootnoteReference"/>
        </w:rPr>
        <w:footnoteRef/>
      </w:r>
      <w:r>
        <w:t xml:space="preserve"> </w:t>
      </w:r>
      <w:r>
        <w:rPr>
          <w:lang w:val="cy-GB"/>
        </w:rPr>
        <w:t>Williams, ‘Three Spheres’, 205.</w:t>
      </w:r>
    </w:p>
  </w:footnote>
  <w:footnote w:id="1155">
    <w:p w:rsidR="00AB3F05" w:rsidRPr="00AD767A" w:rsidRDefault="00AB3F05" w:rsidP="00062AED">
      <w:pPr>
        <w:pStyle w:val="FootnoteText"/>
        <w:rPr>
          <w:lang w:val="cy-GB"/>
        </w:rPr>
      </w:pPr>
      <w:r>
        <w:rPr>
          <w:rStyle w:val="FootnoteReference"/>
        </w:rPr>
        <w:footnoteRef/>
      </w:r>
      <w:r>
        <w:t xml:space="preserve"> </w:t>
      </w:r>
      <w:r w:rsidRPr="006F57E0">
        <w:rPr>
          <w:lang w:val="cy-GB"/>
        </w:rPr>
        <w:t>E.g. Gordon Fee,</w:t>
      </w:r>
      <w:r>
        <w:rPr>
          <w:lang w:val="cy-GB"/>
        </w:rPr>
        <w:t xml:space="preserve"> </w:t>
      </w:r>
      <w:r w:rsidRPr="006F57E0">
        <w:rPr>
          <w:i/>
          <w:lang w:val="cy-GB"/>
        </w:rPr>
        <w:t>The First Epistle to the Corinthians</w:t>
      </w:r>
      <w:r>
        <w:rPr>
          <w:lang w:val="cy-GB"/>
        </w:rPr>
        <w:t>, New International Commentary on the New Testament (Grand Rapids: Eerdmans, 1987), 600-601.</w:t>
      </w:r>
    </w:p>
  </w:footnote>
  <w:footnote w:id="1156">
    <w:p w:rsidR="00AB3F05" w:rsidRPr="00262E76" w:rsidRDefault="00AB3F05" w:rsidP="00062AED">
      <w:pPr>
        <w:pStyle w:val="FootnoteText"/>
        <w:rPr>
          <w:lang w:val="cy-GB"/>
        </w:rPr>
      </w:pPr>
      <w:r>
        <w:rPr>
          <w:rStyle w:val="FootnoteReference"/>
        </w:rPr>
        <w:footnoteRef/>
      </w:r>
      <w:r>
        <w:t xml:space="preserve"> </w:t>
      </w:r>
      <w:r>
        <w:rPr>
          <w:lang w:val="cy-GB"/>
        </w:rPr>
        <w:t xml:space="preserve">Norman Russell, ‘The Church in the Commentaries of Cyril of Alexandria’, </w:t>
      </w:r>
      <w:r w:rsidRPr="002D4B54">
        <w:rPr>
          <w:i/>
          <w:lang w:val="cy-GB"/>
        </w:rPr>
        <w:t>International Journal for the Study of the Christian Church</w:t>
      </w:r>
      <w:r>
        <w:rPr>
          <w:lang w:val="cy-GB"/>
        </w:rPr>
        <w:t>, 7.2 (2007), 72.</w:t>
      </w:r>
    </w:p>
  </w:footnote>
  <w:footnote w:id="1157">
    <w:p w:rsidR="00AB3F05" w:rsidRPr="00262E76" w:rsidRDefault="00AB3F05" w:rsidP="00062AED">
      <w:pPr>
        <w:pStyle w:val="FootnoteText"/>
        <w:rPr>
          <w:lang w:val="cy-GB"/>
        </w:rPr>
      </w:pPr>
      <w:r>
        <w:rPr>
          <w:rStyle w:val="FootnoteReference"/>
        </w:rPr>
        <w:footnoteRef/>
      </w:r>
      <w:r>
        <w:t xml:space="preserve"> </w:t>
      </w:r>
      <w:r>
        <w:rPr>
          <w:lang w:val="cy-GB"/>
        </w:rPr>
        <w:t>Ibid., 75.</w:t>
      </w:r>
    </w:p>
  </w:footnote>
  <w:footnote w:id="1158">
    <w:p w:rsidR="00AB3F05" w:rsidRPr="00262E76" w:rsidRDefault="00AB3F05" w:rsidP="00062AED">
      <w:pPr>
        <w:pStyle w:val="FootnoteText"/>
        <w:rPr>
          <w:lang w:val="cy-GB"/>
        </w:rPr>
      </w:pPr>
      <w:r>
        <w:rPr>
          <w:rStyle w:val="FootnoteReference"/>
        </w:rPr>
        <w:footnoteRef/>
      </w:r>
      <w:r>
        <w:t xml:space="preserve"> </w:t>
      </w:r>
      <w:r>
        <w:rPr>
          <w:lang w:val="cy-GB"/>
        </w:rPr>
        <w:t>Ibid.</w:t>
      </w:r>
    </w:p>
  </w:footnote>
  <w:footnote w:id="1159">
    <w:p w:rsidR="00AB3F05" w:rsidRPr="006514B9" w:rsidRDefault="00AB3F05" w:rsidP="00062AED">
      <w:pPr>
        <w:pStyle w:val="FootnoteText"/>
      </w:pPr>
      <w:r>
        <w:rPr>
          <w:rStyle w:val="FootnoteReference"/>
        </w:rPr>
        <w:footnoteRef/>
      </w:r>
      <w:r>
        <w:t xml:space="preserve"> </w:t>
      </w:r>
      <w:r w:rsidRPr="006F57E0">
        <w:t xml:space="preserve">A frequent criticism of ecclesiologies of the </w:t>
      </w:r>
      <w:r w:rsidRPr="00FC7805">
        <w:rPr>
          <w:i/>
        </w:rPr>
        <w:t>Totus Christus</w:t>
      </w:r>
      <w:r w:rsidRPr="006F57E0">
        <w:t xml:space="preserve">, e.g. Michael Horton, </w:t>
      </w:r>
      <w:r w:rsidRPr="006F57E0">
        <w:rPr>
          <w:i/>
        </w:rPr>
        <w:t>People and Place: A Covenant Ecclesiology</w:t>
      </w:r>
      <w:r w:rsidRPr="006F57E0">
        <w:t xml:space="preserve"> (Louisville: WJK, 2008),</w:t>
      </w:r>
      <w:r>
        <w:t xml:space="preserve"> 155-156.</w:t>
      </w:r>
    </w:p>
  </w:footnote>
  <w:footnote w:id="1160">
    <w:p w:rsidR="00AB3F05" w:rsidRPr="000508BC" w:rsidRDefault="00AB3F05" w:rsidP="00062AED">
      <w:pPr>
        <w:pStyle w:val="FootnoteText"/>
        <w:rPr>
          <w:lang w:val="cy-GB"/>
        </w:rPr>
      </w:pPr>
      <w:r>
        <w:rPr>
          <w:rStyle w:val="FootnoteReference"/>
        </w:rPr>
        <w:footnoteRef/>
      </w:r>
      <w:r>
        <w:t xml:space="preserve"> </w:t>
      </w:r>
      <w:r>
        <w:rPr>
          <w:lang w:val="cy-GB"/>
        </w:rPr>
        <w:t>Norman Russell, ‘The Church in the Commentaries of Cyril of Alexandria’</w:t>
      </w:r>
      <w:r>
        <w:t>, 77.</w:t>
      </w:r>
    </w:p>
  </w:footnote>
  <w:footnote w:id="1161">
    <w:p w:rsidR="00AB3F05" w:rsidRPr="00F34AB0" w:rsidRDefault="00AB3F05" w:rsidP="00062AED">
      <w:pPr>
        <w:pStyle w:val="FootnoteText"/>
        <w:rPr>
          <w:lang w:val="cy-GB"/>
        </w:rPr>
      </w:pPr>
      <w:r>
        <w:rPr>
          <w:rStyle w:val="FootnoteReference"/>
        </w:rPr>
        <w:footnoteRef/>
      </w:r>
      <w:r>
        <w:t xml:space="preserve"> </w:t>
      </w:r>
      <w:r>
        <w:rPr>
          <w:lang w:val="cy-GB"/>
        </w:rPr>
        <w:t xml:space="preserve">Ibid., 76-77 (quoting Cyril, </w:t>
      </w:r>
      <w:r w:rsidRPr="00932809">
        <w:rPr>
          <w:i/>
          <w:lang w:val="cy-GB"/>
        </w:rPr>
        <w:t>In Isa.</w:t>
      </w:r>
      <w:r>
        <w:rPr>
          <w:lang w:val="cy-GB"/>
        </w:rPr>
        <w:t xml:space="preserve"> 33.20-21).</w:t>
      </w:r>
    </w:p>
  </w:footnote>
  <w:footnote w:id="1162">
    <w:p w:rsidR="00AB3F05" w:rsidRPr="00F34AB0" w:rsidRDefault="00AB3F05" w:rsidP="00062AED">
      <w:pPr>
        <w:pStyle w:val="FootnoteText"/>
        <w:rPr>
          <w:lang w:val="cy-GB"/>
        </w:rPr>
      </w:pPr>
      <w:r>
        <w:rPr>
          <w:rStyle w:val="FootnoteReference"/>
        </w:rPr>
        <w:footnoteRef/>
      </w:r>
      <w:r>
        <w:t xml:space="preserve"> </w:t>
      </w:r>
      <w:r>
        <w:rPr>
          <w:lang w:val="cy-GB"/>
        </w:rPr>
        <w:t>Ibid., 77.</w:t>
      </w:r>
    </w:p>
  </w:footnote>
  <w:footnote w:id="1163">
    <w:p w:rsidR="00AB3F05" w:rsidRPr="00C471B7" w:rsidRDefault="00AB3F05" w:rsidP="00062AED">
      <w:pPr>
        <w:pStyle w:val="FootnoteText"/>
        <w:rPr>
          <w:lang w:val="cy-GB"/>
        </w:rPr>
      </w:pPr>
      <w:r>
        <w:rPr>
          <w:rStyle w:val="FootnoteReference"/>
        </w:rPr>
        <w:footnoteRef/>
      </w:r>
      <w:r>
        <w:t xml:space="preserve"> </w:t>
      </w:r>
      <w:r>
        <w:rPr>
          <w:lang w:val="cy-GB"/>
        </w:rPr>
        <w:t>Williams, ‘Y Tri Perffeithiad’, 10.</w:t>
      </w:r>
    </w:p>
  </w:footnote>
  <w:footnote w:id="1164">
    <w:p w:rsidR="00AB3F05" w:rsidRPr="003D65D5" w:rsidRDefault="00AB3F05" w:rsidP="00062AED">
      <w:pPr>
        <w:pStyle w:val="FootnoteText"/>
        <w:rPr>
          <w:lang w:val="cy-GB"/>
        </w:rPr>
      </w:pPr>
      <w:r>
        <w:rPr>
          <w:rStyle w:val="FootnoteReference"/>
        </w:rPr>
        <w:footnoteRef/>
      </w:r>
      <w:r>
        <w:t xml:space="preserve"> </w:t>
      </w:r>
      <w:r>
        <w:rPr>
          <w:lang w:val="cy-GB"/>
        </w:rPr>
        <w:t xml:space="preserve">Williams, ‘Grace and Apostleship (II)’, 98; Cf. Paul S. Minear, </w:t>
      </w:r>
      <w:r w:rsidRPr="006F2F9A">
        <w:rPr>
          <w:i/>
          <w:lang w:val="cy-GB"/>
        </w:rPr>
        <w:t>Images of the Church in the New Testament</w:t>
      </w:r>
      <w:r>
        <w:rPr>
          <w:i/>
          <w:lang w:val="cy-GB"/>
        </w:rPr>
        <w:t xml:space="preserve"> </w:t>
      </w:r>
      <w:r w:rsidRPr="00FC7788">
        <w:rPr>
          <w:lang w:val="cy-GB"/>
        </w:rPr>
        <w:t>(</w:t>
      </w:r>
      <w:r w:rsidRPr="00F64089">
        <w:rPr>
          <w:lang w:val="cy-GB"/>
        </w:rPr>
        <w:t>Louisville: Westminster John Knox, 1960, 2004</w:t>
      </w:r>
      <w:r>
        <w:rPr>
          <w:lang w:val="cy-GB"/>
        </w:rPr>
        <w:t>), 216.</w:t>
      </w:r>
    </w:p>
  </w:footnote>
  <w:footnote w:id="1165">
    <w:p w:rsidR="00AB3F05" w:rsidRPr="00A47039" w:rsidRDefault="00AB3F05" w:rsidP="00062AED">
      <w:pPr>
        <w:pStyle w:val="FootnoteText"/>
        <w:rPr>
          <w:lang w:val="cy-GB"/>
        </w:rPr>
      </w:pPr>
      <w:r>
        <w:rPr>
          <w:rStyle w:val="FootnoteReference"/>
        </w:rPr>
        <w:footnoteRef/>
      </w:r>
      <w:r>
        <w:t xml:space="preserve"> </w:t>
      </w:r>
      <w:r>
        <w:rPr>
          <w:lang w:val="cy-GB"/>
        </w:rPr>
        <w:t xml:space="preserve">See above 5.1.2; Cf. Lesslie Newbigin, </w:t>
      </w:r>
      <w:r w:rsidRPr="006F2F9A">
        <w:rPr>
          <w:i/>
          <w:lang w:val="cy-GB"/>
        </w:rPr>
        <w:t>The Household of God</w:t>
      </w:r>
      <w:r>
        <w:rPr>
          <w:i/>
          <w:lang w:val="cy-GB"/>
        </w:rPr>
        <w:t>: Lectures on the Nature of the Church</w:t>
      </w:r>
      <w:r>
        <w:rPr>
          <w:lang w:val="cy-GB"/>
        </w:rPr>
        <w:t xml:space="preserve"> (London: SCM, 1953), 130-132.</w:t>
      </w:r>
    </w:p>
  </w:footnote>
  <w:footnote w:id="1166">
    <w:p w:rsidR="00AB3F05" w:rsidRPr="00F5732C" w:rsidRDefault="00AB3F05" w:rsidP="00062AED">
      <w:pPr>
        <w:pStyle w:val="FootnoteText"/>
        <w:rPr>
          <w:lang w:val="cy-GB"/>
        </w:rPr>
      </w:pPr>
      <w:r>
        <w:rPr>
          <w:rStyle w:val="FootnoteReference"/>
        </w:rPr>
        <w:footnoteRef/>
      </w:r>
      <w:r>
        <w:t xml:space="preserve"> </w:t>
      </w:r>
      <w:r>
        <w:rPr>
          <w:lang w:val="cy-GB"/>
        </w:rPr>
        <w:t xml:space="preserve">D.P. Williams, ‘Expostition of Prophecy’, </w:t>
      </w:r>
      <w:r w:rsidRPr="00D2276F">
        <w:rPr>
          <w:i/>
          <w:lang w:val="cy-GB"/>
        </w:rPr>
        <w:t>RoG</w:t>
      </w:r>
      <w:r>
        <w:rPr>
          <w:lang w:val="cy-GB"/>
        </w:rPr>
        <w:t xml:space="preserve"> v.1 (Sept. 1929), 25.</w:t>
      </w:r>
    </w:p>
  </w:footnote>
  <w:footnote w:id="1167">
    <w:p w:rsidR="00AB3F05" w:rsidRPr="00C40BE6" w:rsidRDefault="00AB3F05" w:rsidP="00062AED">
      <w:pPr>
        <w:pStyle w:val="FootnoteText"/>
        <w:rPr>
          <w:lang w:val="cy-GB"/>
        </w:rPr>
      </w:pPr>
      <w:r>
        <w:rPr>
          <w:rStyle w:val="FootnoteReference"/>
        </w:rPr>
        <w:footnoteRef/>
      </w:r>
      <w:r>
        <w:t xml:space="preserve"> </w:t>
      </w:r>
      <w:r>
        <w:rPr>
          <w:lang w:val="cy-GB"/>
        </w:rPr>
        <w:t xml:space="preserve">Thomas, </w:t>
      </w:r>
      <w:r w:rsidRPr="00C40BE6">
        <w:rPr>
          <w:i/>
          <w:lang w:val="cy-GB"/>
        </w:rPr>
        <w:t>On Ephesians</w:t>
      </w:r>
      <w:r>
        <w:rPr>
          <w:lang w:val="cy-GB"/>
        </w:rPr>
        <w:t>, 131.</w:t>
      </w:r>
    </w:p>
  </w:footnote>
  <w:footnote w:id="1168">
    <w:p w:rsidR="00AB3F05" w:rsidRPr="00050A75" w:rsidRDefault="00AB3F05" w:rsidP="00062AED">
      <w:pPr>
        <w:pStyle w:val="FootnoteText"/>
      </w:pPr>
      <w:r>
        <w:rPr>
          <w:rStyle w:val="FootnoteReference"/>
        </w:rPr>
        <w:footnoteRef/>
      </w:r>
      <w:r>
        <w:t xml:space="preserve"> NB This is Cyril of Alexandria’s favourite way of expressing </w:t>
      </w:r>
      <w:r w:rsidRPr="003854DE">
        <w:t>theosis</w:t>
      </w:r>
      <w:r>
        <w:t xml:space="preserve">. See Russell, </w:t>
      </w:r>
      <w:r w:rsidRPr="001252EE">
        <w:rPr>
          <w:i/>
        </w:rPr>
        <w:t>Doctrine of Deification</w:t>
      </w:r>
      <w:r>
        <w:t>, 192-193.</w:t>
      </w:r>
    </w:p>
  </w:footnote>
  <w:footnote w:id="1169">
    <w:p w:rsidR="00AB3F05" w:rsidRPr="000560DA" w:rsidRDefault="00AB3F05" w:rsidP="00062AED">
      <w:pPr>
        <w:pStyle w:val="FootnoteText"/>
        <w:rPr>
          <w:lang w:val="cy-GB"/>
        </w:rPr>
      </w:pPr>
      <w:r>
        <w:rPr>
          <w:rStyle w:val="FootnoteReference"/>
        </w:rPr>
        <w:footnoteRef/>
      </w:r>
      <w:r>
        <w:t xml:space="preserve"> </w:t>
      </w:r>
      <w:r>
        <w:rPr>
          <w:lang w:val="cy-GB"/>
        </w:rPr>
        <w:t>See W.J. Williams, William Cathcart, and W.H. Lewis above, 5.2.1-2, 5.</w:t>
      </w:r>
    </w:p>
  </w:footnote>
  <w:footnote w:id="1170">
    <w:p w:rsidR="00AB3F05" w:rsidRPr="00787AB9" w:rsidRDefault="00AB3F05" w:rsidP="00062AED">
      <w:pPr>
        <w:pStyle w:val="FootnoteText"/>
        <w:rPr>
          <w:lang w:val="cy-GB"/>
        </w:rPr>
      </w:pPr>
      <w:r>
        <w:rPr>
          <w:rStyle w:val="FootnoteReference"/>
        </w:rPr>
        <w:footnoteRef/>
      </w:r>
      <w:r>
        <w:t xml:space="preserve"> </w:t>
      </w:r>
      <w:r>
        <w:rPr>
          <w:lang w:val="cy-GB"/>
        </w:rPr>
        <w:t>See above 5.1.2.</w:t>
      </w:r>
    </w:p>
  </w:footnote>
  <w:footnote w:id="1171">
    <w:p w:rsidR="00AB3F05" w:rsidRPr="00C74499" w:rsidRDefault="00AB3F05" w:rsidP="00062AED">
      <w:pPr>
        <w:pStyle w:val="FootnoteText"/>
      </w:pPr>
      <w:r>
        <w:rPr>
          <w:rStyle w:val="FootnoteReference"/>
        </w:rPr>
        <w:footnoteRef/>
      </w:r>
      <w:r>
        <w:t xml:space="preserve"> Ibid.</w:t>
      </w:r>
    </w:p>
  </w:footnote>
  <w:footnote w:id="1172">
    <w:p w:rsidR="00AB3F05" w:rsidRPr="00D16CB4" w:rsidRDefault="00AB3F05" w:rsidP="00062AED">
      <w:pPr>
        <w:pStyle w:val="FootnoteText"/>
        <w:rPr>
          <w:lang w:val="cy-GB"/>
        </w:rPr>
      </w:pPr>
      <w:r>
        <w:rPr>
          <w:rStyle w:val="FootnoteReference"/>
        </w:rPr>
        <w:footnoteRef/>
      </w:r>
      <w:r>
        <w:t xml:space="preserve"> </w:t>
      </w:r>
      <w:r>
        <w:rPr>
          <w:lang w:val="cy-GB"/>
        </w:rPr>
        <w:t>Jones, ‘Doniau Yr Ysbryd Glan’, 164; see above 5.2.</w:t>
      </w:r>
    </w:p>
  </w:footnote>
  <w:footnote w:id="1173">
    <w:p w:rsidR="00AB3F05" w:rsidRPr="0093218A" w:rsidRDefault="00AB3F05" w:rsidP="00062AED">
      <w:pPr>
        <w:pStyle w:val="FootnoteText"/>
      </w:pPr>
      <w:r>
        <w:rPr>
          <w:rStyle w:val="FootnoteReference"/>
        </w:rPr>
        <w:footnoteRef/>
      </w:r>
      <w:r>
        <w:t xml:space="preserve"> Thomas, </w:t>
      </w:r>
      <w:r w:rsidRPr="00F64089">
        <w:rPr>
          <w:i/>
        </w:rPr>
        <w:t>On Ephesians</w:t>
      </w:r>
      <w:r>
        <w:t>, 214-215.</w:t>
      </w:r>
    </w:p>
  </w:footnote>
  <w:footnote w:id="1174">
    <w:p w:rsidR="00AB3F05" w:rsidRPr="008E1DBE" w:rsidRDefault="00AB3F05" w:rsidP="00062AED">
      <w:pPr>
        <w:pStyle w:val="FootnoteText"/>
        <w:rPr>
          <w:lang w:val="cy-GB"/>
        </w:rPr>
      </w:pPr>
      <w:r>
        <w:rPr>
          <w:rStyle w:val="FootnoteReference"/>
        </w:rPr>
        <w:footnoteRef/>
      </w:r>
      <w:r>
        <w:t xml:space="preserve"> </w:t>
      </w:r>
      <w:r>
        <w:rPr>
          <w:lang w:val="cy-GB"/>
        </w:rPr>
        <w:t xml:space="preserve">See above 5.1.2, 5.2.3, &amp; 5.2.5. </w:t>
      </w:r>
    </w:p>
  </w:footnote>
  <w:footnote w:id="1175">
    <w:p w:rsidR="00AB3F05" w:rsidRPr="00EC007A" w:rsidRDefault="00AB3F05" w:rsidP="00062AED">
      <w:pPr>
        <w:pStyle w:val="FootnoteText"/>
        <w:rPr>
          <w:lang w:val="cy-GB"/>
        </w:rPr>
      </w:pPr>
      <w:r>
        <w:rPr>
          <w:rStyle w:val="FootnoteReference"/>
        </w:rPr>
        <w:footnoteRef/>
      </w:r>
      <w:r>
        <w:t xml:space="preserve"> </w:t>
      </w:r>
      <w:r>
        <w:rPr>
          <w:lang w:val="cy-GB"/>
        </w:rPr>
        <w:t xml:space="preserve">See above 5.1.2 &amp; 5.2.4. </w:t>
      </w:r>
    </w:p>
  </w:footnote>
  <w:footnote w:id="1176">
    <w:p w:rsidR="00AB3F05" w:rsidRPr="00D75D64" w:rsidRDefault="00AB3F05" w:rsidP="00062AED">
      <w:pPr>
        <w:pStyle w:val="FootnoteText"/>
        <w:rPr>
          <w:lang w:val="cy-GB"/>
        </w:rPr>
      </w:pPr>
      <w:r>
        <w:rPr>
          <w:rStyle w:val="FootnoteReference"/>
        </w:rPr>
        <w:footnoteRef/>
      </w:r>
      <w:r>
        <w:t xml:space="preserve"> </w:t>
      </w:r>
      <w:r>
        <w:rPr>
          <w:lang w:val="cy-GB"/>
        </w:rPr>
        <w:t>W.J. Williams, ‘The Order of the Army of God’, 32.</w:t>
      </w:r>
    </w:p>
  </w:footnote>
  <w:footnote w:id="1177">
    <w:p w:rsidR="00AB3F05" w:rsidRPr="00010A14" w:rsidRDefault="00AB3F05" w:rsidP="00062AED">
      <w:pPr>
        <w:pStyle w:val="FootnoteText"/>
        <w:rPr>
          <w:lang w:val="cy-GB"/>
        </w:rPr>
      </w:pPr>
      <w:r>
        <w:rPr>
          <w:rStyle w:val="FootnoteReference"/>
        </w:rPr>
        <w:footnoteRef/>
      </w:r>
      <w:r>
        <w:t xml:space="preserve"> </w:t>
      </w:r>
      <w:r>
        <w:rPr>
          <w:lang w:val="cy-GB"/>
        </w:rPr>
        <w:t>Cathcart, ‘The Greatest Revelation of the Ages’ (May 1938), 410.</w:t>
      </w:r>
    </w:p>
  </w:footnote>
  <w:footnote w:id="1178">
    <w:p w:rsidR="00AB3F05" w:rsidRPr="00BD5896" w:rsidRDefault="00AB3F05" w:rsidP="00062AED">
      <w:pPr>
        <w:pStyle w:val="FootnoteText"/>
        <w:rPr>
          <w:lang w:val="cy-GB"/>
        </w:rPr>
      </w:pPr>
      <w:r>
        <w:rPr>
          <w:rStyle w:val="FootnoteReference"/>
        </w:rPr>
        <w:footnoteRef/>
      </w:r>
      <w:r>
        <w:t xml:space="preserve"> </w:t>
      </w:r>
      <w:r>
        <w:rPr>
          <w:lang w:val="cy-GB"/>
        </w:rPr>
        <w:t>See above 5.2.1.</w:t>
      </w:r>
    </w:p>
  </w:footnote>
  <w:footnote w:id="1179">
    <w:p w:rsidR="00AB3F05" w:rsidRPr="007C04D4" w:rsidRDefault="00AB3F05" w:rsidP="00062AED">
      <w:pPr>
        <w:pStyle w:val="FootnoteText"/>
      </w:pPr>
      <w:r>
        <w:rPr>
          <w:rStyle w:val="FootnoteReference"/>
        </w:rPr>
        <w:footnoteRef/>
      </w:r>
      <w:r>
        <w:t xml:space="preserve"> Williams, </w:t>
      </w:r>
      <w:r w:rsidRPr="00D2276F">
        <w:rPr>
          <w:i/>
        </w:rPr>
        <w:t>Sanctuary</w:t>
      </w:r>
      <w:r>
        <w:t>, 12.</w:t>
      </w:r>
    </w:p>
  </w:footnote>
  <w:footnote w:id="1180">
    <w:p w:rsidR="00AB3F05" w:rsidRPr="00130BF0" w:rsidRDefault="00AB3F05" w:rsidP="00062AED">
      <w:pPr>
        <w:pStyle w:val="FootnoteText"/>
        <w:rPr>
          <w:lang w:val="cy-GB"/>
        </w:rPr>
      </w:pPr>
      <w:r>
        <w:rPr>
          <w:rStyle w:val="FootnoteReference"/>
        </w:rPr>
        <w:footnoteRef/>
      </w:r>
      <w:r>
        <w:t xml:space="preserve"> </w:t>
      </w:r>
      <w:r>
        <w:rPr>
          <w:lang w:val="cy-GB"/>
        </w:rPr>
        <w:t xml:space="preserve">Russell, </w:t>
      </w:r>
      <w:r w:rsidRPr="00130BF0">
        <w:rPr>
          <w:i/>
          <w:lang w:val="cy-GB"/>
        </w:rPr>
        <w:t>Doctrine of Deification</w:t>
      </w:r>
      <w:r>
        <w:rPr>
          <w:lang w:val="cy-GB"/>
        </w:rPr>
        <w:t>, 200.</w:t>
      </w:r>
    </w:p>
  </w:footnote>
  <w:footnote w:id="1181">
    <w:p w:rsidR="00AB3F05" w:rsidRPr="00130BF0" w:rsidRDefault="00AB3F05" w:rsidP="00062AED">
      <w:pPr>
        <w:pStyle w:val="FootnoteText"/>
        <w:rPr>
          <w:lang w:val="cy-GB"/>
        </w:rPr>
      </w:pPr>
      <w:r>
        <w:rPr>
          <w:rStyle w:val="FootnoteReference"/>
        </w:rPr>
        <w:footnoteRef/>
      </w:r>
      <w:r>
        <w:t xml:space="preserve"> </w:t>
      </w:r>
      <w:r>
        <w:rPr>
          <w:lang w:val="cy-GB"/>
        </w:rPr>
        <w:t>Ibid., 292-295, 306, 311.</w:t>
      </w:r>
    </w:p>
  </w:footnote>
  <w:footnote w:id="1182">
    <w:p w:rsidR="00AB3F05" w:rsidRPr="006D6F4B" w:rsidRDefault="00AB3F05" w:rsidP="00062AED">
      <w:pPr>
        <w:pStyle w:val="FootnoteText"/>
        <w:rPr>
          <w:lang w:val="cy-GB"/>
        </w:rPr>
      </w:pPr>
      <w:r>
        <w:rPr>
          <w:rStyle w:val="FootnoteReference"/>
        </w:rPr>
        <w:footnoteRef/>
      </w:r>
      <w:r>
        <w:t xml:space="preserve"> </w:t>
      </w:r>
      <w:r>
        <w:rPr>
          <w:lang w:val="cy-GB"/>
        </w:rPr>
        <w:t>See above,5.2.2; Cf. D.P. Williams, above 5.1.2.</w:t>
      </w:r>
    </w:p>
  </w:footnote>
  <w:footnote w:id="1183">
    <w:p w:rsidR="00AB3F05" w:rsidRPr="00EB795A" w:rsidRDefault="00AB3F05" w:rsidP="00062AED">
      <w:pPr>
        <w:pStyle w:val="FootnoteText"/>
      </w:pPr>
      <w:r>
        <w:rPr>
          <w:rStyle w:val="FootnoteReference"/>
        </w:rPr>
        <w:footnoteRef/>
      </w:r>
      <w:r>
        <w:t xml:space="preserve"> See D.P. Williams above, 5.1.2, and William Humphries, ‘The Church Triumphant’, 111.</w:t>
      </w:r>
    </w:p>
  </w:footnote>
  <w:footnote w:id="1184">
    <w:p w:rsidR="00AB3F05" w:rsidRPr="00F34630" w:rsidRDefault="00AB3F05" w:rsidP="00062AED">
      <w:pPr>
        <w:pStyle w:val="FootnoteText"/>
        <w:rPr>
          <w:lang w:val="cy-GB"/>
        </w:rPr>
      </w:pPr>
      <w:r>
        <w:rPr>
          <w:rStyle w:val="FootnoteReference"/>
        </w:rPr>
        <w:footnoteRef/>
      </w:r>
      <w:r>
        <w:t xml:space="preserve"> </w:t>
      </w:r>
      <w:r>
        <w:rPr>
          <w:lang w:val="cy-GB"/>
        </w:rPr>
        <w:t>Rees, ‘Divine Evidence, Providence and Purpose’, 112; Cf. Williams, ‘From Glory to Glory’, 46.</w:t>
      </w:r>
    </w:p>
  </w:footnote>
  <w:footnote w:id="1185">
    <w:p w:rsidR="00AB3F05" w:rsidRPr="00450B33" w:rsidRDefault="00AB3F05" w:rsidP="00062AED">
      <w:pPr>
        <w:pStyle w:val="FootnoteText"/>
        <w:rPr>
          <w:lang w:val="cy-GB"/>
        </w:rPr>
      </w:pPr>
      <w:r>
        <w:rPr>
          <w:rStyle w:val="FootnoteReference"/>
        </w:rPr>
        <w:footnoteRef/>
      </w:r>
      <w:r>
        <w:t xml:space="preserve"> See above 5.2.2 &amp; 5.2.6. </w:t>
      </w:r>
    </w:p>
  </w:footnote>
  <w:footnote w:id="1186">
    <w:p w:rsidR="00AB3F05" w:rsidRPr="001252EE" w:rsidRDefault="00AB3F05" w:rsidP="00062AED">
      <w:pPr>
        <w:pStyle w:val="FootnoteText"/>
        <w:rPr>
          <w:lang w:val="cy-GB"/>
        </w:rPr>
      </w:pPr>
      <w:r>
        <w:rPr>
          <w:rStyle w:val="FootnoteReference"/>
        </w:rPr>
        <w:footnoteRef/>
      </w:r>
      <w:r>
        <w:t xml:space="preserve"> </w:t>
      </w:r>
      <w:r>
        <w:rPr>
          <w:lang w:val="cy-GB"/>
        </w:rPr>
        <w:t xml:space="preserve">Russell, </w:t>
      </w:r>
      <w:r w:rsidRPr="001252EE">
        <w:rPr>
          <w:i/>
          <w:lang w:val="cy-GB"/>
        </w:rPr>
        <w:t>Doctrine of Deification</w:t>
      </w:r>
      <w:r>
        <w:rPr>
          <w:lang w:val="cy-GB"/>
        </w:rPr>
        <w:t xml:space="preserve">, 321; See also Keating, </w:t>
      </w:r>
      <w:r w:rsidRPr="00416349">
        <w:rPr>
          <w:i/>
          <w:lang w:val="cy-GB"/>
        </w:rPr>
        <w:t>Deification and Grace</w:t>
      </w:r>
      <w:r>
        <w:rPr>
          <w:lang w:val="cy-GB"/>
        </w:rPr>
        <w:t>, 11-19.</w:t>
      </w:r>
    </w:p>
  </w:footnote>
  <w:footnote w:id="1187">
    <w:p w:rsidR="00AB3F05" w:rsidRPr="002E1493" w:rsidRDefault="00AB3F05" w:rsidP="00062AED">
      <w:pPr>
        <w:pStyle w:val="FootnoteText"/>
        <w:rPr>
          <w:lang w:val="cy-GB"/>
        </w:rPr>
      </w:pPr>
      <w:r>
        <w:rPr>
          <w:rStyle w:val="FootnoteReference"/>
        </w:rPr>
        <w:footnoteRef/>
      </w:r>
      <w:r>
        <w:t xml:space="preserve"> </w:t>
      </w:r>
      <w:r>
        <w:rPr>
          <w:lang w:val="cy-GB"/>
        </w:rPr>
        <w:t>Cf. Fairbairn, ‘Patristic Soteriology’.</w:t>
      </w:r>
    </w:p>
  </w:footnote>
  <w:footnote w:id="1188">
    <w:p w:rsidR="00AB3F05" w:rsidRPr="00233D61" w:rsidRDefault="00AB3F05" w:rsidP="00062AED">
      <w:pPr>
        <w:pStyle w:val="FootnoteText"/>
        <w:rPr>
          <w:lang w:val="cy-GB"/>
        </w:rPr>
      </w:pPr>
      <w:r>
        <w:rPr>
          <w:rStyle w:val="FootnoteReference"/>
        </w:rPr>
        <w:footnoteRef/>
      </w:r>
      <w:r>
        <w:t xml:space="preserve"> </w:t>
      </w:r>
      <w:r>
        <w:rPr>
          <w:lang w:val="cy-GB"/>
        </w:rPr>
        <w:t>Williams, ‘Grace and Apostleship (II)’, 98.</w:t>
      </w:r>
    </w:p>
  </w:footnote>
  <w:footnote w:id="1189">
    <w:p w:rsidR="00AB3F05" w:rsidRPr="00ED1D11" w:rsidRDefault="00AB3F05" w:rsidP="00062AED">
      <w:pPr>
        <w:pStyle w:val="FootnoteText"/>
        <w:rPr>
          <w:lang w:val="cy-GB"/>
        </w:rPr>
      </w:pPr>
      <w:r>
        <w:rPr>
          <w:rStyle w:val="FootnoteReference"/>
        </w:rPr>
        <w:footnoteRef/>
      </w:r>
      <w:r>
        <w:t xml:space="preserve"> </w:t>
      </w:r>
      <w:r>
        <w:rPr>
          <w:lang w:val="cy-GB"/>
        </w:rPr>
        <w:t xml:space="preserve">Rees, </w:t>
      </w:r>
      <w:r w:rsidRPr="00ED1D11">
        <w:rPr>
          <w:i/>
          <w:lang w:val="cy-GB"/>
        </w:rPr>
        <w:t>Divine Masterpiece</w:t>
      </w:r>
      <w:r>
        <w:rPr>
          <w:lang w:val="cy-GB"/>
        </w:rPr>
        <w:t>, 10; See also W.R. Thomas above, 5.2.6.</w:t>
      </w:r>
    </w:p>
  </w:footnote>
  <w:footnote w:id="1190">
    <w:p w:rsidR="00AB3F05" w:rsidRPr="0065124F" w:rsidRDefault="00AB3F05" w:rsidP="00062AED">
      <w:pPr>
        <w:pStyle w:val="FootnoteText"/>
        <w:rPr>
          <w:bCs/>
        </w:rPr>
      </w:pPr>
      <w:r>
        <w:rPr>
          <w:rStyle w:val="FootnoteReference"/>
        </w:rPr>
        <w:footnoteRef/>
      </w:r>
      <w:r>
        <w:t xml:space="preserve"> </w:t>
      </w:r>
      <w:r w:rsidRPr="0065124F">
        <w:rPr>
          <w:bCs/>
        </w:rPr>
        <w:t>χρηστότης</w:t>
      </w:r>
      <w:r>
        <w:rPr>
          <w:bCs/>
        </w:rPr>
        <w:t xml:space="preserve">. Note the connection between </w:t>
      </w:r>
      <w:r w:rsidRPr="0065124F">
        <w:rPr>
          <w:bCs/>
        </w:rPr>
        <w:t>χρηστότης</w:t>
      </w:r>
      <w:r>
        <w:rPr>
          <w:bCs/>
        </w:rPr>
        <w:t xml:space="preserve"> and </w:t>
      </w:r>
      <w:r w:rsidRPr="0065124F">
        <w:rPr>
          <w:bCs/>
        </w:rPr>
        <w:t>φιλανθρωπία</w:t>
      </w:r>
      <w:r>
        <w:rPr>
          <w:bCs/>
        </w:rPr>
        <w:t xml:space="preserve"> as the expression of God’s love in Titus 3:4.</w:t>
      </w:r>
    </w:p>
  </w:footnote>
  <w:footnote w:id="1191">
    <w:p w:rsidR="00AB3F05" w:rsidRPr="002A6036" w:rsidRDefault="00AB3F05" w:rsidP="00062AED">
      <w:pPr>
        <w:pStyle w:val="FootnoteText"/>
        <w:rPr>
          <w:lang w:val="cy-GB"/>
        </w:rPr>
      </w:pPr>
      <w:r>
        <w:rPr>
          <w:rStyle w:val="FootnoteReference"/>
        </w:rPr>
        <w:footnoteRef/>
      </w:r>
      <w:r>
        <w:t xml:space="preserve"> </w:t>
      </w:r>
      <w:r>
        <w:rPr>
          <w:lang w:val="cy-GB"/>
        </w:rPr>
        <w:t>While much recent Pentecostal scholarship points to the 5-fold gospel of Wesleyan Holiness Pentecostalism, in a British historical context it remains more appropriate to speak of the 4-fold gospel of ‘Finished Work’ Pentecostalism.</w:t>
      </w:r>
    </w:p>
  </w:footnote>
  <w:footnote w:id="1192">
    <w:p w:rsidR="00AB3F05" w:rsidRPr="002A6036" w:rsidRDefault="00AB3F05" w:rsidP="00062AED">
      <w:pPr>
        <w:pStyle w:val="FootnoteText"/>
        <w:rPr>
          <w:lang w:val="cy-GB"/>
        </w:rPr>
      </w:pPr>
      <w:r>
        <w:rPr>
          <w:rStyle w:val="FootnoteReference"/>
        </w:rPr>
        <w:footnoteRef/>
      </w:r>
      <w:r>
        <w:t xml:space="preserve"> </w:t>
      </w:r>
      <w:r>
        <w:rPr>
          <w:lang w:val="cy-GB"/>
        </w:rPr>
        <w:t xml:space="preserve">Macchia, </w:t>
      </w:r>
      <w:r w:rsidRPr="002A6036">
        <w:rPr>
          <w:i/>
          <w:lang w:val="cy-GB"/>
        </w:rPr>
        <w:t>Baptized in the Spirit</w:t>
      </w:r>
      <w:r>
        <w:rPr>
          <w:lang w:val="cy-GB"/>
        </w:rPr>
        <w:t>, 269-270.</w:t>
      </w:r>
    </w:p>
  </w:footnote>
  <w:footnote w:id="1193">
    <w:p w:rsidR="00AB3F05" w:rsidRPr="002A6036" w:rsidRDefault="00AB3F05" w:rsidP="00062AED">
      <w:pPr>
        <w:pStyle w:val="FootnoteText"/>
      </w:pPr>
      <w:r>
        <w:rPr>
          <w:rStyle w:val="FootnoteReference"/>
        </w:rPr>
        <w:footnoteRef/>
      </w:r>
      <w:r>
        <w:t xml:space="preserve"> Ibid., 269.</w:t>
      </w:r>
    </w:p>
  </w:footnote>
  <w:footnote w:id="1194">
    <w:p w:rsidR="00AB3F05" w:rsidRPr="002A6036" w:rsidRDefault="00AB3F05" w:rsidP="00062AED">
      <w:pPr>
        <w:pStyle w:val="FootnoteText"/>
      </w:pPr>
      <w:r>
        <w:rPr>
          <w:rStyle w:val="FootnoteReference"/>
        </w:rPr>
        <w:footnoteRef/>
      </w:r>
      <w:r>
        <w:t xml:space="preserve"> As noted, the love of God is already experienced in the church through its redemption and calling. Here our focus is solely on the in-breaking of the love of the eschaton.</w:t>
      </w:r>
    </w:p>
  </w:footnote>
  <w:footnote w:id="1195">
    <w:p w:rsidR="00AB3F05" w:rsidRPr="00702B7C" w:rsidRDefault="00AB3F05" w:rsidP="00062AED">
      <w:pPr>
        <w:pStyle w:val="FootnoteText"/>
        <w:rPr>
          <w:lang w:val="cy-GB"/>
        </w:rPr>
      </w:pPr>
      <w:r>
        <w:rPr>
          <w:rStyle w:val="FootnoteReference"/>
        </w:rPr>
        <w:footnoteRef/>
      </w:r>
      <w:r>
        <w:t xml:space="preserve"> </w:t>
      </w:r>
      <w:r>
        <w:rPr>
          <w:lang w:val="cy-GB"/>
        </w:rPr>
        <w:t xml:space="preserve">Newbigin, </w:t>
      </w:r>
      <w:r w:rsidRPr="00702B7C">
        <w:rPr>
          <w:i/>
          <w:lang w:val="cy-GB"/>
        </w:rPr>
        <w:t>Household of God</w:t>
      </w:r>
      <w:r>
        <w:rPr>
          <w:lang w:val="cy-GB"/>
        </w:rPr>
        <w:t>, 131.</w:t>
      </w:r>
    </w:p>
  </w:footnote>
  <w:footnote w:id="1196">
    <w:p w:rsidR="00AB3F05" w:rsidRPr="00702B7C" w:rsidRDefault="00AB3F05" w:rsidP="00062AED">
      <w:pPr>
        <w:pStyle w:val="FootnoteText"/>
        <w:rPr>
          <w:lang w:val="cy-GB"/>
        </w:rPr>
      </w:pPr>
      <w:r>
        <w:rPr>
          <w:rStyle w:val="FootnoteReference"/>
        </w:rPr>
        <w:footnoteRef/>
      </w:r>
      <w:r>
        <w:t xml:space="preserve"> </w:t>
      </w:r>
      <w:r>
        <w:rPr>
          <w:lang w:val="cy-GB"/>
        </w:rPr>
        <w:t>Ibid.; Cf. D.P. Williams and Frank Hodges, above 2.1.2.5, 2.1.3.1, &amp; 2.1.3.2.</w:t>
      </w:r>
    </w:p>
  </w:footnote>
  <w:footnote w:id="1197">
    <w:p w:rsidR="00AB3F05" w:rsidRPr="00945F5E" w:rsidRDefault="00AB3F05" w:rsidP="00062AED">
      <w:pPr>
        <w:pStyle w:val="FootnoteText"/>
      </w:pPr>
      <w:r>
        <w:rPr>
          <w:rStyle w:val="FootnoteReference"/>
        </w:rPr>
        <w:footnoteRef/>
      </w:r>
      <w:r>
        <w:t xml:space="preserve"> Macchia, </w:t>
      </w:r>
      <w:r w:rsidRPr="00945F5E">
        <w:rPr>
          <w:i/>
        </w:rPr>
        <w:t>Baptized in the Spirit</w:t>
      </w:r>
      <w:r>
        <w:t>, 269.</w:t>
      </w:r>
    </w:p>
  </w:footnote>
  <w:footnote w:id="1198">
    <w:p w:rsidR="00AB3F05" w:rsidRPr="00945F5E" w:rsidRDefault="00AB3F05" w:rsidP="00062AED">
      <w:pPr>
        <w:pStyle w:val="FootnoteText"/>
        <w:rPr>
          <w:lang w:val="cy-GB"/>
        </w:rPr>
      </w:pPr>
      <w:r>
        <w:rPr>
          <w:rStyle w:val="FootnoteReference"/>
        </w:rPr>
        <w:footnoteRef/>
      </w:r>
      <w:r>
        <w:t xml:space="preserve"> </w:t>
      </w:r>
      <w:r>
        <w:rPr>
          <w:lang w:val="cy-GB"/>
        </w:rPr>
        <w:t>Ibid., 259.</w:t>
      </w:r>
    </w:p>
  </w:footnote>
  <w:footnote w:id="1199">
    <w:p w:rsidR="00AB3F05" w:rsidRPr="00945F5E" w:rsidRDefault="00AB3F05" w:rsidP="00062AED">
      <w:pPr>
        <w:pStyle w:val="FootnoteText"/>
      </w:pPr>
      <w:r>
        <w:rPr>
          <w:rStyle w:val="FootnoteReference"/>
        </w:rPr>
        <w:footnoteRef/>
      </w:r>
      <w:r>
        <w:t xml:space="preserve"> Ibid.</w:t>
      </w:r>
    </w:p>
  </w:footnote>
  <w:footnote w:id="1200">
    <w:p w:rsidR="00AB3F05" w:rsidRPr="00945F5E" w:rsidRDefault="00AB3F05" w:rsidP="00062AED">
      <w:pPr>
        <w:pStyle w:val="FootnoteText"/>
        <w:rPr>
          <w:lang w:val="cy-GB"/>
        </w:rPr>
      </w:pPr>
      <w:r>
        <w:rPr>
          <w:rStyle w:val="FootnoteReference"/>
        </w:rPr>
        <w:footnoteRef/>
      </w:r>
      <w:r>
        <w:t xml:space="preserve"> </w:t>
      </w:r>
      <w:r>
        <w:rPr>
          <w:lang w:val="cy-GB"/>
        </w:rPr>
        <w:t>Ibid.</w:t>
      </w:r>
    </w:p>
  </w:footnote>
  <w:footnote w:id="1201">
    <w:p w:rsidR="00AB3F05" w:rsidRPr="002975C1" w:rsidRDefault="00AB3F05" w:rsidP="00062AED">
      <w:pPr>
        <w:pStyle w:val="FootnoteText"/>
        <w:rPr>
          <w:lang w:val="cy-GB"/>
        </w:rPr>
      </w:pPr>
      <w:r>
        <w:rPr>
          <w:rStyle w:val="FootnoteReference"/>
        </w:rPr>
        <w:footnoteRef/>
      </w:r>
      <w:r>
        <w:t xml:space="preserve"> </w:t>
      </w:r>
      <w:r>
        <w:rPr>
          <w:lang w:val="cy-GB"/>
        </w:rPr>
        <w:t>Ricketts, ‘The Church (concluded)’, 57.</w:t>
      </w:r>
    </w:p>
  </w:footnote>
  <w:footnote w:id="1202">
    <w:p w:rsidR="00AB3F05" w:rsidRPr="00945F5E" w:rsidRDefault="00AB3F05" w:rsidP="00062AED">
      <w:pPr>
        <w:pStyle w:val="FootnoteText"/>
      </w:pPr>
      <w:r>
        <w:rPr>
          <w:rStyle w:val="FootnoteReference"/>
        </w:rPr>
        <w:footnoteRef/>
      </w:r>
      <w:r>
        <w:t xml:space="preserve"> Macchia, </w:t>
      </w:r>
      <w:r w:rsidRPr="00945F5E">
        <w:rPr>
          <w:i/>
        </w:rPr>
        <w:t>Baptized in the Spirit</w:t>
      </w:r>
      <w:r>
        <w:t>, 262.</w:t>
      </w:r>
    </w:p>
  </w:footnote>
  <w:footnote w:id="1203">
    <w:p w:rsidR="00AB3F05" w:rsidRDefault="00AB3F05" w:rsidP="00062AED">
      <w:pPr>
        <w:pStyle w:val="FootnoteText"/>
      </w:pPr>
      <w:r>
        <w:rPr>
          <w:rStyle w:val="FootnoteReference"/>
        </w:rPr>
        <w:footnoteRef/>
      </w:r>
      <w:r>
        <w:t xml:space="preserve"> </w:t>
      </w:r>
      <w:r w:rsidRPr="00346144">
        <w:t xml:space="preserve">See Veli-Matti Kärkkäinen, ‘Grace and the Ecumenical Potential of Theosis’, in </w:t>
      </w:r>
      <w:r w:rsidRPr="00346144">
        <w:rPr>
          <w:i/>
        </w:rPr>
        <w:t>Toward a Pneumatological Theology: Pentecostal and Ecumenical Perspectives on Ecclesiology, Soteriology, and Theology of Mission</w:t>
      </w:r>
      <w:r>
        <w:t xml:space="preserve"> (</w:t>
      </w:r>
      <w:r w:rsidRPr="00346144">
        <w:t xml:space="preserve">Lanham: University Press of America, 2002);  </w:t>
      </w:r>
      <w:r>
        <w:t>idem</w:t>
      </w:r>
      <w:r w:rsidRPr="00346144">
        <w:t xml:space="preserve">, </w:t>
      </w:r>
      <w:r w:rsidRPr="00346144">
        <w:rPr>
          <w:i/>
        </w:rPr>
        <w:t>One with God: Salvation as Deification and Justification</w:t>
      </w:r>
      <w:r w:rsidRPr="00346144">
        <w:t xml:space="preserve"> (Collegeville: Liturgical Press, 2004); </w:t>
      </w:r>
      <w:r>
        <w:t>idem</w:t>
      </w:r>
      <w:r w:rsidRPr="00346144">
        <w:t xml:space="preserve">, ‘The Deification View’ in </w:t>
      </w:r>
      <w:r w:rsidRPr="00346144">
        <w:rPr>
          <w:i/>
        </w:rPr>
        <w:t>Justification: Five Views</w:t>
      </w:r>
      <w:r>
        <w:t>,</w:t>
      </w:r>
      <w:r w:rsidRPr="00346144">
        <w:t xml:space="preserve"> ed. Ja</w:t>
      </w:r>
      <w:r>
        <w:t>mes. K. Beilby and Paul R. Eddy,</w:t>
      </w:r>
      <w:r w:rsidRPr="00346144">
        <w:t xml:space="preserve"> </w:t>
      </w:r>
      <w:r>
        <w:t>(</w:t>
      </w:r>
      <w:r w:rsidRPr="00346144">
        <w:t>London: SPCK, 2012</w:t>
      </w:r>
      <w:r>
        <w:t>).</w:t>
      </w:r>
    </w:p>
  </w:footnote>
  <w:footnote w:id="1204">
    <w:p w:rsidR="00AB3F05" w:rsidRPr="00A4770F" w:rsidRDefault="00AB3F05" w:rsidP="00062AED">
      <w:pPr>
        <w:pStyle w:val="FootnoteText"/>
        <w:rPr>
          <w:lang w:val="cy-GB"/>
        </w:rPr>
      </w:pPr>
      <w:r>
        <w:rPr>
          <w:rStyle w:val="FootnoteReference"/>
        </w:rPr>
        <w:footnoteRef/>
      </w:r>
      <w:r>
        <w:t xml:space="preserve"> </w:t>
      </w:r>
      <w:r>
        <w:rPr>
          <w:lang w:val="cy-GB"/>
        </w:rPr>
        <w:t xml:space="preserve">For presentations of the New Finnish Perspective on Luther see, Carl E. Braaten and Robert W. Jenson, ed., </w:t>
      </w:r>
      <w:r w:rsidRPr="00A4770F">
        <w:rPr>
          <w:i/>
          <w:lang w:val="cy-GB"/>
        </w:rPr>
        <w:t>Union with Christ: The New Finnish Interpretation of Luther</w:t>
      </w:r>
      <w:r>
        <w:rPr>
          <w:lang w:val="cy-GB"/>
        </w:rPr>
        <w:t xml:space="preserve"> (Grand Rapids: Eerdman, 1998).</w:t>
      </w:r>
    </w:p>
  </w:footnote>
  <w:footnote w:id="1205">
    <w:p w:rsidR="00AB3F05" w:rsidRDefault="00AB3F05" w:rsidP="00062AED">
      <w:pPr>
        <w:pStyle w:val="FootnoteText"/>
      </w:pPr>
      <w:r>
        <w:rPr>
          <w:rStyle w:val="FootnoteReference"/>
        </w:rPr>
        <w:footnoteRef/>
      </w:r>
      <w:r>
        <w:t xml:space="preserve"> </w:t>
      </w:r>
      <w:r w:rsidRPr="00316B77">
        <w:t>Kärkkäinen</w:t>
      </w:r>
      <w:r>
        <w:t>, ‘Deification View’, 223.</w:t>
      </w:r>
    </w:p>
  </w:footnote>
  <w:footnote w:id="1206">
    <w:p w:rsidR="00AB3F05" w:rsidRDefault="00AB3F05" w:rsidP="00062AED">
      <w:pPr>
        <w:pStyle w:val="FootnoteText"/>
      </w:pPr>
      <w:r>
        <w:rPr>
          <w:rStyle w:val="FootnoteReference"/>
        </w:rPr>
        <w:footnoteRef/>
      </w:r>
      <w:r>
        <w:t xml:space="preserve"> </w:t>
      </w:r>
      <w:r w:rsidRPr="00E25552">
        <w:rPr>
          <w:i/>
        </w:rPr>
        <w:t>Westminster Shorter Catechism</w:t>
      </w:r>
      <w:r>
        <w:t>, Q.33</w:t>
      </w:r>
    </w:p>
  </w:footnote>
  <w:footnote w:id="1207">
    <w:p w:rsidR="00AB3F05" w:rsidRDefault="00AB3F05" w:rsidP="00062AED">
      <w:pPr>
        <w:pStyle w:val="FootnoteText"/>
      </w:pPr>
      <w:r>
        <w:rPr>
          <w:rStyle w:val="FootnoteReference"/>
        </w:rPr>
        <w:footnoteRef/>
      </w:r>
      <w:r>
        <w:t xml:space="preserve"> </w:t>
      </w:r>
      <w:r w:rsidRPr="00A21C86">
        <w:t>Kärkkäinen</w:t>
      </w:r>
      <w:r>
        <w:t>, ‘Deification View’, 224.</w:t>
      </w:r>
    </w:p>
  </w:footnote>
  <w:footnote w:id="1208">
    <w:p w:rsidR="00AB3F05" w:rsidRDefault="00AB3F05" w:rsidP="00062AED">
      <w:pPr>
        <w:pStyle w:val="FootnoteText"/>
      </w:pPr>
      <w:r>
        <w:rPr>
          <w:rStyle w:val="FootnoteReference"/>
        </w:rPr>
        <w:footnoteRef/>
      </w:r>
      <w:r>
        <w:t xml:space="preserve"> </w:t>
      </w:r>
      <w:r w:rsidRPr="00C12A02">
        <w:t>Kärkkäinen</w:t>
      </w:r>
      <w:r>
        <w:t xml:space="preserve">, </w:t>
      </w:r>
      <w:r w:rsidRPr="008F4CC7">
        <w:rPr>
          <w:i/>
        </w:rPr>
        <w:t>One With God</w:t>
      </w:r>
      <w:r>
        <w:t>, 128n20.</w:t>
      </w:r>
    </w:p>
  </w:footnote>
  <w:footnote w:id="1209">
    <w:p w:rsidR="00AB3F05" w:rsidRDefault="00AB3F05" w:rsidP="00062AED">
      <w:pPr>
        <w:pStyle w:val="FootnoteText"/>
      </w:pPr>
      <w:r>
        <w:rPr>
          <w:rStyle w:val="FootnoteReference"/>
        </w:rPr>
        <w:footnoteRef/>
      </w:r>
      <w:r>
        <w:t xml:space="preserve"> </w:t>
      </w:r>
      <w:r w:rsidRPr="0060244D">
        <w:t>Kärkkäinen</w:t>
      </w:r>
      <w:r>
        <w:t>, ‘Grace and the Ecumenical Potential of Theosis’, 150.</w:t>
      </w:r>
    </w:p>
  </w:footnote>
  <w:footnote w:id="1210">
    <w:p w:rsidR="00AB3F05" w:rsidRDefault="00AB3F05" w:rsidP="00062AED">
      <w:pPr>
        <w:pStyle w:val="FootnoteText"/>
      </w:pPr>
      <w:r>
        <w:rPr>
          <w:rStyle w:val="FootnoteReference"/>
        </w:rPr>
        <w:footnoteRef/>
      </w:r>
      <w:r>
        <w:t xml:space="preserve"> Ibid., 162.</w:t>
      </w:r>
    </w:p>
  </w:footnote>
  <w:footnote w:id="1211">
    <w:p w:rsidR="00AB3F05" w:rsidRDefault="00AB3F05" w:rsidP="00062AED">
      <w:pPr>
        <w:pStyle w:val="FootnoteText"/>
      </w:pPr>
      <w:r>
        <w:rPr>
          <w:rStyle w:val="FootnoteReference"/>
        </w:rPr>
        <w:footnoteRef/>
      </w:r>
      <w:r>
        <w:t xml:space="preserve"> Michael Bird, ‘Progressive Reformed Response’, in </w:t>
      </w:r>
      <w:r w:rsidRPr="00574FF7">
        <w:rPr>
          <w:i/>
        </w:rPr>
        <w:t>Justification: Five Views</w:t>
      </w:r>
      <w:r>
        <w:t>, 250.</w:t>
      </w:r>
    </w:p>
  </w:footnote>
  <w:footnote w:id="1212">
    <w:p w:rsidR="00AB3F05" w:rsidRDefault="00AB3F05" w:rsidP="00062AED">
      <w:pPr>
        <w:pStyle w:val="FootnoteText"/>
      </w:pPr>
      <w:r>
        <w:rPr>
          <w:rStyle w:val="FootnoteReference"/>
        </w:rPr>
        <w:footnoteRef/>
      </w:r>
      <w:r>
        <w:t xml:space="preserve"> </w:t>
      </w:r>
      <w:r w:rsidRPr="005015B1">
        <w:t>Kärkkäinen</w:t>
      </w:r>
      <w:r>
        <w:t xml:space="preserve">, ‘Grace and the Ecumenical Potential of Theosis’, 151-152, citing Tuomo Mannermaa, ‘Theosis as a Subject of Finnish Luther Research’, </w:t>
      </w:r>
      <w:r w:rsidRPr="00C9230C">
        <w:rPr>
          <w:i/>
        </w:rPr>
        <w:t>Pro Ecclesia</w:t>
      </w:r>
      <w:r>
        <w:t xml:space="preserve"> 4.1 (1995), 42.</w:t>
      </w:r>
    </w:p>
  </w:footnote>
  <w:footnote w:id="1213">
    <w:p w:rsidR="00AB3F05" w:rsidRDefault="00AB3F05" w:rsidP="00062AED">
      <w:pPr>
        <w:pStyle w:val="FootnoteText"/>
      </w:pPr>
      <w:r>
        <w:rPr>
          <w:rStyle w:val="FootnoteReference"/>
        </w:rPr>
        <w:footnoteRef/>
      </w:r>
      <w:r>
        <w:t xml:space="preserve"> </w:t>
      </w:r>
      <w:r w:rsidRPr="00A7426C">
        <w:t>Kärkkäinen</w:t>
      </w:r>
      <w:r>
        <w:t xml:space="preserve">, </w:t>
      </w:r>
      <w:r w:rsidRPr="00A7426C">
        <w:rPr>
          <w:i/>
        </w:rPr>
        <w:t>One With God</w:t>
      </w:r>
      <w:r>
        <w:t>, 25.</w:t>
      </w:r>
    </w:p>
  </w:footnote>
  <w:footnote w:id="1214">
    <w:p w:rsidR="00AB3F05" w:rsidRDefault="00AB3F05" w:rsidP="00062AED">
      <w:pPr>
        <w:pStyle w:val="FootnoteText"/>
      </w:pPr>
      <w:r>
        <w:rPr>
          <w:rStyle w:val="FootnoteReference"/>
        </w:rPr>
        <w:footnoteRef/>
      </w:r>
      <w:r>
        <w:t xml:space="preserve"> </w:t>
      </w:r>
      <w:r w:rsidRPr="00A7426C">
        <w:t>Kärkkäinen, ‘Grace and the Ecumenical Potential of Theosis’, 149</w:t>
      </w:r>
      <w:r>
        <w:t>.</w:t>
      </w:r>
    </w:p>
  </w:footnote>
  <w:footnote w:id="1215">
    <w:p w:rsidR="00AB3F05" w:rsidRDefault="00AB3F05" w:rsidP="00062AED">
      <w:pPr>
        <w:pStyle w:val="FootnoteText"/>
      </w:pPr>
      <w:r>
        <w:rPr>
          <w:rStyle w:val="FootnoteReference"/>
        </w:rPr>
        <w:footnoteRef/>
      </w:r>
      <w:r>
        <w:t xml:space="preserve"> Ibid., 162.</w:t>
      </w:r>
    </w:p>
  </w:footnote>
  <w:footnote w:id="1216">
    <w:p w:rsidR="00AB3F05" w:rsidRDefault="00AB3F05" w:rsidP="00062AED">
      <w:pPr>
        <w:pStyle w:val="FootnoteText"/>
      </w:pPr>
      <w:r>
        <w:rPr>
          <w:rStyle w:val="FootnoteReference"/>
        </w:rPr>
        <w:footnoteRef/>
      </w:r>
      <w:r>
        <w:t xml:space="preserve"> Ibid.</w:t>
      </w:r>
    </w:p>
  </w:footnote>
  <w:footnote w:id="1217">
    <w:p w:rsidR="00AB3F05" w:rsidRDefault="00AB3F05" w:rsidP="00062AED">
      <w:pPr>
        <w:pStyle w:val="FootnoteText"/>
      </w:pPr>
      <w:r>
        <w:rPr>
          <w:rStyle w:val="FootnoteReference"/>
        </w:rPr>
        <w:footnoteRef/>
      </w:r>
      <w:r>
        <w:t xml:space="preserve"> Ibid., 163.</w:t>
      </w:r>
    </w:p>
  </w:footnote>
  <w:footnote w:id="1218">
    <w:p w:rsidR="00AB3F05" w:rsidRDefault="00AB3F05" w:rsidP="00062AED">
      <w:pPr>
        <w:pStyle w:val="FootnoteText"/>
      </w:pPr>
      <w:r>
        <w:rPr>
          <w:rStyle w:val="FootnoteReference"/>
        </w:rPr>
        <w:footnoteRef/>
      </w:r>
      <w:r>
        <w:t xml:space="preserve"> Ibid.</w:t>
      </w:r>
    </w:p>
  </w:footnote>
  <w:footnote w:id="1219">
    <w:p w:rsidR="00AB3F05" w:rsidRDefault="00AB3F05" w:rsidP="00062AED">
      <w:pPr>
        <w:pStyle w:val="FootnoteText"/>
      </w:pPr>
      <w:r>
        <w:rPr>
          <w:rStyle w:val="FootnoteReference"/>
        </w:rPr>
        <w:footnoteRef/>
      </w:r>
      <w:r>
        <w:t xml:space="preserve"> Ibid.</w:t>
      </w:r>
    </w:p>
  </w:footnote>
  <w:footnote w:id="1220">
    <w:p w:rsidR="00AB3F05" w:rsidRDefault="00AB3F05" w:rsidP="00062AED">
      <w:pPr>
        <w:pStyle w:val="FootnoteText"/>
      </w:pPr>
      <w:r>
        <w:rPr>
          <w:rStyle w:val="FootnoteReference"/>
        </w:rPr>
        <w:footnoteRef/>
      </w:r>
      <w:r>
        <w:t xml:space="preserve"> Ibid., 164 – here drawing on Moltmann. Also ibid., 163.</w:t>
      </w:r>
    </w:p>
  </w:footnote>
  <w:footnote w:id="1221">
    <w:p w:rsidR="00AB3F05" w:rsidRDefault="00AB3F05" w:rsidP="00062AED">
      <w:pPr>
        <w:pStyle w:val="FootnoteText"/>
      </w:pPr>
      <w:r>
        <w:rPr>
          <w:rStyle w:val="FootnoteReference"/>
        </w:rPr>
        <w:footnoteRef/>
      </w:r>
      <w:r>
        <w:t xml:space="preserve"> Ibid.</w:t>
      </w:r>
    </w:p>
  </w:footnote>
  <w:footnote w:id="1222">
    <w:p w:rsidR="00AB3F05" w:rsidRDefault="00AB3F05" w:rsidP="00062AED">
      <w:pPr>
        <w:pStyle w:val="FootnoteText"/>
      </w:pPr>
      <w:r>
        <w:rPr>
          <w:rStyle w:val="FootnoteReference"/>
        </w:rPr>
        <w:footnoteRef/>
      </w:r>
      <w:r>
        <w:t xml:space="preserve"> Ibid., 165.</w:t>
      </w:r>
    </w:p>
  </w:footnote>
  <w:footnote w:id="1223">
    <w:p w:rsidR="00AB3F05" w:rsidRDefault="00AB3F05" w:rsidP="00062AED">
      <w:pPr>
        <w:pStyle w:val="FootnoteText"/>
      </w:pPr>
      <w:r>
        <w:rPr>
          <w:rStyle w:val="FootnoteReference"/>
        </w:rPr>
        <w:footnoteRef/>
      </w:r>
      <w:r>
        <w:t xml:space="preserve"> Ibid., 164. Interestingly, Macchia also ties together the issues of synergy and theosis in his Pentecostal reworking of the doctrine of justification. See Frank D. Macchia, </w:t>
      </w:r>
      <w:r w:rsidRPr="00E92671">
        <w:rPr>
          <w:i/>
        </w:rPr>
        <w:t>Justified in the Spirit</w:t>
      </w:r>
      <w:r>
        <w:rPr>
          <w:i/>
        </w:rPr>
        <w:t>: Creation, Redemption and the Triune God</w:t>
      </w:r>
      <w:r>
        <w:t xml:space="preserve"> (Grand Rapids: Eerdmans, 2010), 26.</w:t>
      </w:r>
    </w:p>
  </w:footnote>
  <w:footnote w:id="1224">
    <w:p w:rsidR="00AB3F05" w:rsidRDefault="00AB3F05" w:rsidP="00062AED">
      <w:pPr>
        <w:pStyle w:val="FootnoteText"/>
      </w:pPr>
      <w:r>
        <w:rPr>
          <w:rStyle w:val="FootnoteReference"/>
        </w:rPr>
        <w:footnoteRef/>
      </w:r>
      <w:r>
        <w:t xml:space="preserve"> </w:t>
      </w:r>
      <w:r w:rsidRPr="00E31712">
        <w:t>Kärkkäinen</w:t>
      </w:r>
      <w:r>
        <w:t xml:space="preserve">, </w:t>
      </w:r>
      <w:r w:rsidRPr="00E31712">
        <w:rPr>
          <w:i/>
        </w:rPr>
        <w:t>One With God</w:t>
      </w:r>
      <w:r>
        <w:t>, 112.</w:t>
      </w:r>
    </w:p>
  </w:footnote>
  <w:footnote w:id="1225">
    <w:p w:rsidR="00AB3F05" w:rsidRDefault="00AB3F05" w:rsidP="00062AED">
      <w:pPr>
        <w:pStyle w:val="FootnoteText"/>
      </w:pPr>
      <w:r>
        <w:rPr>
          <w:rStyle w:val="FootnoteReference"/>
        </w:rPr>
        <w:footnoteRef/>
      </w:r>
      <w:r>
        <w:t xml:space="preserve"> </w:t>
      </w:r>
      <w:r w:rsidRPr="00B93B81">
        <w:rPr>
          <w:i/>
        </w:rPr>
        <w:t>The Apostolic Church Ministers’ Manual</w:t>
      </w:r>
      <w:r>
        <w:t xml:space="preserve">, 42. </w:t>
      </w:r>
    </w:p>
  </w:footnote>
  <w:footnote w:id="1226">
    <w:p w:rsidR="00AB3F05" w:rsidRPr="00144C18" w:rsidRDefault="00AB3F05" w:rsidP="00062AED">
      <w:pPr>
        <w:pStyle w:val="FootnoteText"/>
        <w:rPr>
          <w:lang w:val="cy-GB"/>
        </w:rPr>
      </w:pPr>
      <w:r>
        <w:rPr>
          <w:rStyle w:val="FootnoteReference"/>
        </w:rPr>
        <w:footnoteRef/>
      </w:r>
      <w:r>
        <w:t xml:space="preserve"> </w:t>
      </w:r>
      <w:r>
        <w:rPr>
          <w:lang w:val="cy-GB"/>
        </w:rPr>
        <w:t xml:space="preserve">Paul D. Molnar, </w:t>
      </w:r>
      <w:r w:rsidRPr="00E25552">
        <w:rPr>
          <w:i/>
          <w:lang w:val="cy-GB"/>
        </w:rPr>
        <w:t>Thomas F. Torrance: Theologian of the Trinity</w:t>
      </w:r>
      <w:r>
        <w:rPr>
          <w:lang w:val="cy-GB"/>
        </w:rPr>
        <w:t>, 175.</w:t>
      </w:r>
    </w:p>
  </w:footnote>
  <w:footnote w:id="1227">
    <w:p w:rsidR="00AB3F05" w:rsidRPr="00EC1503" w:rsidRDefault="00AB3F05" w:rsidP="00062AED">
      <w:pPr>
        <w:pStyle w:val="FootnoteText"/>
        <w:rPr>
          <w:lang w:val="cy-GB"/>
        </w:rPr>
      </w:pPr>
      <w:r>
        <w:rPr>
          <w:rStyle w:val="FootnoteReference"/>
        </w:rPr>
        <w:footnoteRef/>
      </w:r>
      <w:r>
        <w:t xml:space="preserve"> </w:t>
      </w:r>
      <w:r w:rsidRPr="0030275F">
        <w:rPr>
          <w:lang w:val="cy-GB"/>
        </w:rPr>
        <w:t xml:space="preserve">D.P. Williams, </w:t>
      </w:r>
      <w:r w:rsidRPr="0030275F">
        <w:rPr>
          <w:i/>
          <w:lang w:val="cy-GB"/>
        </w:rPr>
        <w:t>Justification</w:t>
      </w:r>
      <w:r w:rsidRPr="0030275F">
        <w:rPr>
          <w:lang w:val="cy-GB"/>
        </w:rPr>
        <w:t xml:space="preserve"> (unpublished manuscript), 10</w:t>
      </w:r>
      <w:r>
        <w:rPr>
          <w:lang w:val="cy-GB"/>
        </w:rPr>
        <w:t xml:space="preserve">; </w:t>
      </w:r>
      <w:r w:rsidRPr="00E23D2F">
        <w:rPr>
          <w:i/>
          <w:lang w:val="cy-GB"/>
        </w:rPr>
        <w:t>The Apostolic Church: Its Principles and Practices</w:t>
      </w:r>
      <w:r>
        <w:rPr>
          <w:lang w:val="cy-GB"/>
        </w:rPr>
        <w:t>,195.</w:t>
      </w:r>
    </w:p>
  </w:footnote>
  <w:footnote w:id="1228">
    <w:p w:rsidR="00AB3F05" w:rsidRPr="00C85355" w:rsidRDefault="00AB3F05" w:rsidP="00062AED">
      <w:pPr>
        <w:pStyle w:val="FootnoteText"/>
        <w:rPr>
          <w:lang w:val="cy-GB"/>
        </w:rPr>
      </w:pPr>
      <w:r>
        <w:rPr>
          <w:rStyle w:val="FootnoteReference"/>
        </w:rPr>
        <w:footnoteRef/>
      </w:r>
      <w:r>
        <w:t xml:space="preserve"> </w:t>
      </w:r>
      <w:r>
        <w:rPr>
          <w:lang w:val="cy-GB"/>
        </w:rPr>
        <w:t>Tenet 3. This Tenet concludes with reference to ‘</w:t>
      </w:r>
      <w:r w:rsidRPr="00C85355">
        <w:t>His second coming, and millennial reign upon earth.</w:t>
      </w:r>
      <w:r>
        <w:t>’</w:t>
      </w:r>
    </w:p>
  </w:footnote>
  <w:footnote w:id="1229">
    <w:p w:rsidR="00AB3F05" w:rsidRPr="0016620C" w:rsidRDefault="00AB3F05" w:rsidP="00062AED">
      <w:pPr>
        <w:pStyle w:val="FootnoteText"/>
        <w:rPr>
          <w:lang w:val="cy-GB"/>
        </w:rPr>
      </w:pPr>
      <w:r>
        <w:rPr>
          <w:rStyle w:val="FootnoteReference"/>
        </w:rPr>
        <w:footnoteRef/>
      </w:r>
      <w:r>
        <w:t xml:space="preserve"> </w:t>
      </w:r>
      <w:r>
        <w:rPr>
          <w:lang w:val="cy-GB"/>
        </w:rPr>
        <w:t xml:space="preserve">Williams, </w:t>
      </w:r>
      <w:r w:rsidRPr="00E25552">
        <w:rPr>
          <w:i/>
          <w:lang w:val="cy-GB"/>
        </w:rPr>
        <w:t>Justification</w:t>
      </w:r>
      <w:r>
        <w:rPr>
          <w:lang w:val="cy-GB"/>
        </w:rPr>
        <w:t>, 5.</w:t>
      </w:r>
    </w:p>
  </w:footnote>
  <w:footnote w:id="1230">
    <w:p w:rsidR="00AB3F05" w:rsidRPr="00EC1503" w:rsidRDefault="00AB3F05" w:rsidP="00062AED">
      <w:pPr>
        <w:pStyle w:val="FootnoteText"/>
        <w:rPr>
          <w:lang w:val="cy-GB"/>
        </w:rPr>
      </w:pPr>
      <w:r>
        <w:rPr>
          <w:rStyle w:val="FootnoteReference"/>
        </w:rPr>
        <w:footnoteRef/>
      </w:r>
      <w:r>
        <w:t xml:space="preserve"> </w:t>
      </w:r>
      <w:r>
        <w:rPr>
          <w:lang w:val="cy-GB"/>
        </w:rPr>
        <w:t>Ibid., 11.</w:t>
      </w:r>
    </w:p>
  </w:footnote>
  <w:footnote w:id="1231">
    <w:p w:rsidR="00AB3F05" w:rsidRPr="00EC1503" w:rsidRDefault="00AB3F05" w:rsidP="00062AED">
      <w:pPr>
        <w:pStyle w:val="FootnoteText"/>
        <w:rPr>
          <w:lang w:val="cy-GB"/>
        </w:rPr>
      </w:pPr>
      <w:r>
        <w:rPr>
          <w:rStyle w:val="FootnoteReference"/>
        </w:rPr>
        <w:footnoteRef/>
      </w:r>
      <w:r>
        <w:t xml:space="preserve"> </w:t>
      </w:r>
      <w:r>
        <w:rPr>
          <w:lang w:val="cy-GB"/>
        </w:rPr>
        <w:t>Ibid., 12.</w:t>
      </w:r>
    </w:p>
  </w:footnote>
  <w:footnote w:id="1232">
    <w:p w:rsidR="00AB3F05" w:rsidRPr="00EC1503" w:rsidRDefault="00AB3F05" w:rsidP="00062AED">
      <w:pPr>
        <w:pStyle w:val="FootnoteText"/>
        <w:rPr>
          <w:lang w:val="cy-GB"/>
        </w:rPr>
      </w:pPr>
      <w:r>
        <w:rPr>
          <w:rStyle w:val="FootnoteReference"/>
        </w:rPr>
        <w:footnoteRef/>
      </w:r>
      <w:r>
        <w:t xml:space="preserve"> </w:t>
      </w:r>
      <w:r>
        <w:rPr>
          <w:lang w:val="cy-GB"/>
        </w:rPr>
        <w:t>Ibid., 13.</w:t>
      </w:r>
    </w:p>
  </w:footnote>
  <w:footnote w:id="1233">
    <w:p w:rsidR="00AB3F05" w:rsidRPr="003F56E9" w:rsidRDefault="00AB3F05" w:rsidP="00062AED">
      <w:pPr>
        <w:pStyle w:val="FootnoteText"/>
        <w:rPr>
          <w:lang w:val="cy-GB"/>
        </w:rPr>
      </w:pPr>
      <w:r>
        <w:rPr>
          <w:rStyle w:val="FootnoteReference"/>
        </w:rPr>
        <w:footnoteRef/>
      </w:r>
      <w:r>
        <w:t xml:space="preserve"> </w:t>
      </w:r>
      <w:r>
        <w:rPr>
          <w:lang w:val="cy-GB"/>
        </w:rPr>
        <w:t>It is certainly fair to say Reformed rather than simply Protestant when it comes to Williams, as He repeated grounds His doctrine of justification in Covenant theology and particularly in the concept of the Covenant of Redemption. See e.g. Williams</w:t>
      </w:r>
      <w:r w:rsidRPr="003F56E9">
        <w:rPr>
          <w:i/>
          <w:lang w:val="cy-GB"/>
        </w:rPr>
        <w:t>, Justificat</w:t>
      </w:r>
      <w:r>
        <w:rPr>
          <w:i/>
          <w:lang w:val="cy-GB"/>
        </w:rPr>
        <w:t>i</w:t>
      </w:r>
      <w:r w:rsidRPr="003F56E9">
        <w:rPr>
          <w:i/>
          <w:lang w:val="cy-GB"/>
        </w:rPr>
        <w:t>on</w:t>
      </w:r>
      <w:r>
        <w:rPr>
          <w:lang w:val="cy-GB"/>
        </w:rPr>
        <w:t>, 6.</w:t>
      </w:r>
    </w:p>
  </w:footnote>
  <w:footnote w:id="1234">
    <w:p w:rsidR="00AB3F05" w:rsidRPr="008A1B55" w:rsidRDefault="00AB3F05" w:rsidP="00062AED">
      <w:pPr>
        <w:pStyle w:val="FootnoteText"/>
        <w:rPr>
          <w:lang w:val="cy-GB"/>
        </w:rPr>
      </w:pPr>
      <w:r>
        <w:rPr>
          <w:rStyle w:val="FootnoteReference"/>
        </w:rPr>
        <w:footnoteRef/>
      </w:r>
      <w:r>
        <w:t xml:space="preserve"> </w:t>
      </w:r>
      <w:r>
        <w:rPr>
          <w:lang w:val="cy-GB"/>
        </w:rPr>
        <w:t xml:space="preserve">Williams, </w:t>
      </w:r>
      <w:r w:rsidRPr="008A1B55">
        <w:rPr>
          <w:i/>
          <w:lang w:val="cy-GB"/>
        </w:rPr>
        <w:t>Justification</w:t>
      </w:r>
      <w:r>
        <w:rPr>
          <w:lang w:val="cy-GB"/>
        </w:rPr>
        <w:t>, 7.</w:t>
      </w:r>
    </w:p>
  </w:footnote>
  <w:footnote w:id="1235">
    <w:p w:rsidR="00AB3F05" w:rsidRPr="003D4062" w:rsidRDefault="00AB3F05" w:rsidP="00062AED">
      <w:pPr>
        <w:pStyle w:val="FootnoteText"/>
        <w:rPr>
          <w:lang w:val="cy-GB"/>
        </w:rPr>
      </w:pPr>
      <w:r>
        <w:rPr>
          <w:rStyle w:val="FootnoteReference"/>
        </w:rPr>
        <w:footnoteRef/>
      </w:r>
      <w:r>
        <w:t xml:space="preserve"> </w:t>
      </w:r>
      <w:r>
        <w:rPr>
          <w:lang w:val="cy-GB"/>
        </w:rPr>
        <w:t>Ibid., 6.</w:t>
      </w:r>
    </w:p>
  </w:footnote>
  <w:footnote w:id="1236">
    <w:p w:rsidR="00AB3F05" w:rsidRDefault="00AB3F05" w:rsidP="00062AED">
      <w:pPr>
        <w:pStyle w:val="FootnoteText"/>
      </w:pPr>
      <w:r>
        <w:rPr>
          <w:rStyle w:val="FootnoteReference"/>
        </w:rPr>
        <w:footnoteRef/>
      </w:r>
      <w:r>
        <w:t xml:space="preserve"> Williams, </w:t>
      </w:r>
      <w:r w:rsidRPr="004A653A">
        <w:rPr>
          <w:i/>
        </w:rPr>
        <w:t>Lord’s Prayer</w:t>
      </w:r>
      <w:r>
        <w:t xml:space="preserve">, 31-32, 51; </w:t>
      </w:r>
      <w:r>
        <w:rPr>
          <w:i/>
        </w:rPr>
        <w:t>MDd</w:t>
      </w:r>
      <w:r>
        <w:t xml:space="preserve"> 293; for such monergistic soteriology in other Apostolic sources see, e.g., </w:t>
      </w:r>
      <w:r w:rsidRPr="00B81446">
        <w:rPr>
          <w:i/>
        </w:rPr>
        <w:t>Fu</w:t>
      </w:r>
      <w:r>
        <w:rPr>
          <w:i/>
        </w:rPr>
        <w:t>n</w:t>
      </w:r>
      <w:r w:rsidRPr="00B81446">
        <w:rPr>
          <w:i/>
        </w:rPr>
        <w:t>damentals</w:t>
      </w:r>
      <w:r>
        <w:t xml:space="preserve">, 10-11; Clyne, </w:t>
      </w:r>
      <w:r w:rsidRPr="00B81446">
        <w:rPr>
          <w:i/>
        </w:rPr>
        <w:t>Asked and Answered</w:t>
      </w:r>
      <w:r>
        <w:t xml:space="preserve">, 9; </w:t>
      </w:r>
      <w:r w:rsidRPr="006846A6">
        <w:t>‘Fundamental Truths’</w:t>
      </w:r>
      <w:r>
        <w:t>, 186-187.</w:t>
      </w:r>
    </w:p>
  </w:footnote>
  <w:footnote w:id="1237">
    <w:p w:rsidR="00AB3F05" w:rsidRPr="00BF631E" w:rsidRDefault="00AB3F05" w:rsidP="00062AED">
      <w:pPr>
        <w:pStyle w:val="FootnoteText"/>
        <w:rPr>
          <w:lang w:val="cy-GB"/>
        </w:rPr>
      </w:pPr>
      <w:r>
        <w:rPr>
          <w:rStyle w:val="FootnoteReference"/>
        </w:rPr>
        <w:footnoteRef/>
      </w:r>
      <w:r>
        <w:t xml:space="preserve"> </w:t>
      </w:r>
      <w:r>
        <w:rPr>
          <w:lang w:val="cy-GB"/>
        </w:rPr>
        <w:t xml:space="preserve">Ian M. Randall, </w:t>
      </w:r>
      <w:r w:rsidRPr="00A74C77">
        <w:rPr>
          <w:i/>
          <w:lang w:val="cy-GB"/>
        </w:rPr>
        <w:t>Evangelical Experiences: A Study in the Spirituality of English Evangelicalism 1918-1939</w:t>
      </w:r>
      <w:r>
        <w:rPr>
          <w:lang w:val="cy-GB"/>
        </w:rPr>
        <w:t xml:space="preserve"> (Milton Keynes: Paternoster, 1999), 207-211. As Randall’s study is focused on English evangelicalism, he does not investigate the Welsh influences on the Apostolic Church.</w:t>
      </w:r>
    </w:p>
  </w:footnote>
  <w:footnote w:id="1238">
    <w:p w:rsidR="00AB3F05" w:rsidRPr="0058606B" w:rsidRDefault="00AB3F05" w:rsidP="00062AED">
      <w:pPr>
        <w:pStyle w:val="FootnoteText"/>
        <w:rPr>
          <w:lang w:val="cy-GB"/>
        </w:rPr>
      </w:pPr>
      <w:r>
        <w:rPr>
          <w:rStyle w:val="FootnoteReference"/>
        </w:rPr>
        <w:footnoteRef/>
      </w:r>
      <w:r>
        <w:t xml:space="preserve"> </w:t>
      </w:r>
      <w:r>
        <w:rPr>
          <w:lang w:val="cy-GB"/>
        </w:rPr>
        <w:t>Fairbairn, ‘Patristic Soteriology’, 293-294.</w:t>
      </w:r>
    </w:p>
  </w:footnote>
  <w:footnote w:id="1239">
    <w:p w:rsidR="00AB3F05" w:rsidRPr="00426445" w:rsidRDefault="00AB3F05" w:rsidP="00062AED">
      <w:pPr>
        <w:pStyle w:val="FootnoteText"/>
        <w:rPr>
          <w:lang w:val="cy-GB"/>
        </w:rPr>
      </w:pPr>
      <w:r>
        <w:rPr>
          <w:rStyle w:val="FootnoteReference"/>
        </w:rPr>
        <w:footnoteRef/>
      </w:r>
      <w:r>
        <w:t xml:space="preserve"> </w:t>
      </w:r>
      <w:r>
        <w:rPr>
          <w:lang w:val="cy-GB"/>
        </w:rPr>
        <w:t>Ibid., 307.</w:t>
      </w:r>
    </w:p>
  </w:footnote>
  <w:footnote w:id="1240">
    <w:p w:rsidR="00AB3F05" w:rsidRPr="006337C4" w:rsidRDefault="00AB3F05" w:rsidP="00062AED">
      <w:pPr>
        <w:pStyle w:val="FootnoteText"/>
        <w:rPr>
          <w:lang w:val="cy-GB"/>
        </w:rPr>
      </w:pPr>
      <w:r>
        <w:rPr>
          <w:rStyle w:val="FootnoteReference"/>
        </w:rPr>
        <w:footnoteRef/>
      </w:r>
      <w:r>
        <w:t xml:space="preserve"> </w:t>
      </w:r>
      <w:r>
        <w:rPr>
          <w:lang w:val="cy-GB"/>
        </w:rPr>
        <w:t>Ibid., 297.</w:t>
      </w:r>
    </w:p>
  </w:footnote>
  <w:footnote w:id="1241">
    <w:p w:rsidR="00AB3F05" w:rsidRPr="00617B1D" w:rsidRDefault="00AB3F05" w:rsidP="00062AED">
      <w:pPr>
        <w:pStyle w:val="FootnoteText"/>
        <w:rPr>
          <w:lang w:val="cy-GB"/>
        </w:rPr>
      </w:pPr>
      <w:r>
        <w:rPr>
          <w:rStyle w:val="FootnoteReference"/>
        </w:rPr>
        <w:footnoteRef/>
      </w:r>
      <w:r>
        <w:t xml:space="preserve"> </w:t>
      </w:r>
      <w:r>
        <w:rPr>
          <w:lang w:val="cy-GB"/>
        </w:rPr>
        <w:t xml:space="preserve">Fairbairn, </w:t>
      </w:r>
      <w:r w:rsidRPr="00617B1D">
        <w:rPr>
          <w:i/>
          <w:lang w:val="cy-GB"/>
        </w:rPr>
        <w:t>Life in the Trinity</w:t>
      </w:r>
      <w:r>
        <w:rPr>
          <w:lang w:val="cy-GB"/>
        </w:rPr>
        <w:t>, 9.</w:t>
      </w:r>
    </w:p>
  </w:footnote>
  <w:footnote w:id="1242">
    <w:p w:rsidR="00AB3F05" w:rsidRPr="00825963" w:rsidRDefault="00AB3F05" w:rsidP="00062AED">
      <w:pPr>
        <w:pStyle w:val="FootnoteText"/>
        <w:rPr>
          <w:lang w:val="cy-GB"/>
        </w:rPr>
      </w:pPr>
      <w:r>
        <w:rPr>
          <w:rStyle w:val="FootnoteReference"/>
        </w:rPr>
        <w:footnoteRef/>
      </w:r>
      <w:r>
        <w:t xml:space="preserve"> </w:t>
      </w:r>
      <w:r>
        <w:rPr>
          <w:lang w:val="cy-GB"/>
        </w:rPr>
        <w:t>Ibid., 34.</w:t>
      </w:r>
    </w:p>
  </w:footnote>
  <w:footnote w:id="1243">
    <w:p w:rsidR="00AB3F05" w:rsidRPr="00D21DAB" w:rsidRDefault="00AB3F05" w:rsidP="00062AED">
      <w:pPr>
        <w:pStyle w:val="FootnoteText"/>
        <w:rPr>
          <w:lang w:val="cy-GB"/>
        </w:rPr>
      </w:pPr>
      <w:r>
        <w:rPr>
          <w:rStyle w:val="FootnoteReference"/>
        </w:rPr>
        <w:footnoteRef/>
      </w:r>
      <w:r>
        <w:t xml:space="preserve"> </w:t>
      </w:r>
      <w:r>
        <w:rPr>
          <w:lang w:val="cy-GB"/>
        </w:rPr>
        <w:t>Ibid., 201-202.</w:t>
      </w:r>
    </w:p>
  </w:footnote>
  <w:footnote w:id="1244">
    <w:p w:rsidR="00AB3F05" w:rsidRPr="00807D2C" w:rsidRDefault="00AB3F05" w:rsidP="00062AED">
      <w:pPr>
        <w:pStyle w:val="FootnoteText"/>
        <w:rPr>
          <w:lang w:val="cy-GB"/>
        </w:rPr>
      </w:pPr>
      <w:r>
        <w:rPr>
          <w:rStyle w:val="FootnoteReference"/>
        </w:rPr>
        <w:footnoteRef/>
      </w:r>
      <w:r>
        <w:t xml:space="preserve"> </w:t>
      </w:r>
      <w:r w:rsidRPr="00DD0B9E">
        <w:rPr>
          <w:lang w:val="cy-GB"/>
        </w:rPr>
        <w:t>Myk Habets, ‘Reformed Theosis?: A Response to Gannon Murphy’, Theology Today 65</w:t>
      </w:r>
      <w:r>
        <w:rPr>
          <w:lang w:val="cy-GB"/>
        </w:rPr>
        <w:t>.4</w:t>
      </w:r>
      <w:r w:rsidRPr="00DD0B9E">
        <w:rPr>
          <w:lang w:val="cy-GB"/>
        </w:rPr>
        <w:t xml:space="preserve"> (2009), 494</w:t>
      </w:r>
      <w:r>
        <w:rPr>
          <w:lang w:val="cy-GB"/>
        </w:rPr>
        <w:t>.</w:t>
      </w:r>
    </w:p>
  </w:footnote>
  <w:footnote w:id="1245">
    <w:p w:rsidR="00AB3F05" w:rsidRPr="00807D2C" w:rsidRDefault="00AB3F05" w:rsidP="00062AED">
      <w:pPr>
        <w:pStyle w:val="FootnoteText"/>
        <w:rPr>
          <w:lang w:val="cy-GB"/>
        </w:rPr>
      </w:pPr>
      <w:r>
        <w:rPr>
          <w:rStyle w:val="FootnoteReference"/>
        </w:rPr>
        <w:footnoteRef/>
      </w:r>
      <w:r>
        <w:t xml:space="preserve"> </w:t>
      </w:r>
      <w:r>
        <w:rPr>
          <w:lang w:val="cy-GB"/>
        </w:rPr>
        <w:t>Ibid., 496.</w:t>
      </w:r>
    </w:p>
  </w:footnote>
  <w:footnote w:id="1246">
    <w:p w:rsidR="00AB3F05" w:rsidRPr="00807D2C" w:rsidRDefault="00AB3F05" w:rsidP="00062AED">
      <w:pPr>
        <w:pStyle w:val="FootnoteText"/>
        <w:rPr>
          <w:lang w:val="cy-GB"/>
        </w:rPr>
      </w:pPr>
      <w:r>
        <w:rPr>
          <w:rStyle w:val="FootnoteReference"/>
        </w:rPr>
        <w:footnoteRef/>
      </w:r>
      <w:r>
        <w:t xml:space="preserve"> </w:t>
      </w:r>
      <w:r>
        <w:rPr>
          <w:lang w:val="cy-GB"/>
        </w:rPr>
        <w:t>Ibid., 492.</w:t>
      </w:r>
    </w:p>
  </w:footnote>
  <w:footnote w:id="1247">
    <w:p w:rsidR="00AB3F05" w:rsidRPr="00FD7797" w:rsidRDefault="00AB3F05" w:rsidP="00062AED">
      <w:pPr>
        <w:pStyle w:val="FootnoteText"/>
        <w:rPr>
          <w:lang w:val="cy-GB"/>
        </w:rPr>
      </w:pPr>
      <w:r>
        <w:rPr>
          <w:rStyle w:val="FootnoteReference"/>
        </w:rPr>
        <w:footnoteRef/>
      </w:r>
      <w:r>
        <w:t xml:space="preserve"> </w:t>
      </w:r>
      <w:r>
        <w:rPr>
          <w:lang w:val="cy-GB"/>
        </w:rPr>
        <w:t>Ibid., 496.</w:t>
      </w:r>
    </w:p>
  </w:footnote>
  <w:footnote w:id="1248">
    <w:p w:rsidR="00AB3F05" w:rsidRPr="00C800FF" w:rsidRDefault="00AB3F05" w:rsidP="00062AED">
      <w:pPr>
        <w:pStyle w:val="FootnoteText"/>
        <w:rPr>
          <w:lang w:val="cy-GB"/>
        </w:rPr>
      </w:pPr>
      <w:r>
        <w:rPr>
          <w:rStyle w:val="FootnoteReference"/>
        </w:rPr>
        <w:footnoteRef/>
      </w:r>
      <w:r>
        <w:t xml:space="preserve"> </w:t>
      </w:r>
      <w:r>
        <w:rPr>
          <w:lang w:val="cy-GB"/>
        </w:rPr>
        <w:t>Ibid., 490.</w:t>
      </w:r>
    </w:p>
  </w:footnote>
  <w:footnote w:id="1249">
    <w:p w:rsidR="00AB3F05" w:rsidRPr="00C800FF" w:rsidRDefault="00AB3F05" w:rsidP="00062AED">
      <w:pPr>
        <w:pStyle w:val="FootnoteText"/>
        <w:rPr>
          <w:lang w:val="cy-GB"/>
        </w:rPr>
      </w:pPr>
      <w:r>
        <w:rPr>
          <w:rStyle w:val="FootnoteReference"/>
        </w:rPr>
        <w:footnoteRef/>
      </w:r>
      <w:r>
        <w:t xml:space="preserve"> </w:t>
      </w:r>
      <w:r>
        <w:rPr>
          <w:lang w:val="cy-GB"/>
        </w:rPr>
        <w:t>Ibid., 491.</w:t>
      </w:r>
    </w:p>
  </w:footnote>
  <w:footnote w:id="1250">
    <w:p w:rsidR="00AB3F05" w:rsidRPr="00C800FF" w:rsidRDefault="00AB3F05" w:rsidP="00062AED">
      <w:pPr>
        <w:pStyle w:val="FootnoteText"/>
        <w:rPr>
          <w:lang w:val="cy-GB"/>
        </w:rPr>
      </w:pPr>
      <w:r>
        <w:rPr>
          <w:rStyle w:val="FootnoteReference"/>
        </w:rPr>
        <w:footnoteRef/>
      </w:r>
      <w:r>
        <w:t xml:space="preserve"> </w:t>
      </w:r>
      <w:r>
        <w:rPr>
          <w:lang w:val="cy-GB"/>
        </w:rPr>
        <w:t>Ibid.</w:t>
      </w:r>
    </w:p>
  </w:footnote>
  <w:footnote w:id="1251">
    <w:p w:rsidR="00AB3F05" w:rsidRPr="00C800FF" w:rsidRDefault="00AB3F05" w:rsidP="00062AED">
      <w:pPr>
        <w:pStyle w:val="FootnoteText"/>
        <w:rPr>
          <w:lang w:val="cy-GB"/>
        </w:rPr>
      </w:pPr>
      <w:r>
        <w:rPr>
          <w:rStyle w:val="FootnoteReference"/>
        </w:rPr>
        <w:footnoteRef/>
      </w:r>
      <w:r>
        <w:t xml:space="preserve"> </w:t>
      </w:r>
      <w:r>
        <w:rPr>
          <w:lang w:val="cy-GB"/>
        </w:rPr>
        <w:t>Ibid., 492.</w:t>
      </w:r>
    </w:p>
  </w:footnote>
  <w:footnote w:id="1252">
    <w:p w:rsidR="00AB3F05" w:rsidRPr="00C800FF" w:rsidRDefault="00AB3F05" w:rsidP="00062AED">
      <w:pPr>
        <w:pStyle w:val="FootnoteText"/>
        <w:rPr>
          <w:lang w:val="cy-GB"/>
        </w:rPr>
      </w:pPr>
      <w:r>
        <w:rPr>
          <w:rStyle w:val="FootnoteReference"/>
        </w:rPr>
        <w:footnoteRef/>
      </w:r>
      <w:r>
        <w:t xml:space="preserve"> </w:t>
      </w:r>
      <w:r>
        <w:rPr>
          <w:lang w:val="cy-GB"/>
        </w:rPr>
        <w:t>Ibid., 495.</w:t>
      </w:r>
    </w:p>
  </w:footnote>
  <w:footnote w:id="1253">
    <w:p w:rsidR="00AB3F05" w:rsidRPr="008379AA" w:rsidRDefault="00AB3F05" w:rsidP="00062AED">
      <w:pPr>
        <w:pStyle w:val="FootnoteText"/>
        <w:rPr>
          <w:lang w:val="cy-GB"/>
        </w:rPr>
      </w:pPr>
      <w:r>
        <w:rPr>
          <w:rStyle w:val="FootnoteReference"/>
        </w:rPr>
        <w:footnoteRef/>
      </w:r>
      <w:r>
        <w:t xml:space="preserve"> </w:t>
      </w:r>
      <w:r w:rsidRPr="00DD0B9E">
        <w:rPr>
          <w:lang w:val="cy-GB"/>
        </w:rPr>
        <w:t xml:space="preserve">Myk Habets, </w:t>
      </w:r>
      <w:r w:rsidRPr="00DD0B9E">
        <w:rPr>
          <w:i/>
          <w:lang w:val="cy-GB"/>
        </w:rPr>
        <w:t xml:space="preserve">Theosis in the Theology of Thomas Torrance </w:t>
      </w:r>
      <w:r w:rsidRPr="00DD0B9E">
        <w:rPr>
          <w:lang w:val="cy-GB"/>
        </w:rPr>
        <w:t>(Farnham: Ashgate, 2009), 2.</w:t>
      </w:r>
    </w:p>
  </w:footnote>
  <w:footnote w:id="1254">
    <w:p w:rsidR="00AB3F05" w:rsidRPr="00346108" w:rsidRDefault="00AB3F05" w:rsidP="00062AED">
      <w:pPr>
        <w:pStyle w:val="FootnoteText"/>
        <w:rPr>
          <w:lang w:val="cy-GB"/>
        </w:rPr>
      </w:pPr>
      <w:r>
        <w:rPr>
          <w:rStyle w:val="FootnoteReference"/>
        </w:rPr>
        <w:footnoteRef/>
      </w:r>
      <w:r>
        <w:t xml:space="preserve"> </w:t>
      </w:r>
      <w:r>
        <w:rPr>
          <w:lang w:val="cy-GB"/>
        </w:rPr>
        <w:t>Ibid., 168.</w:t>
      </w:r>
    </w:p>
  </w:footnote>
  <w:footnote w:id="1255">
    <w:p w:rsidR="00AB3F05" w:rsidRPr="00346108" w:rsidRDefault="00AB3F05" w:rsidP="00062AED">
      <w:pPr>
        <w:pStyle w:val="FootnoteText"/>
        <w:rPr>
          <w:lang w:val="cy-GB"/>
        </w:rPr>
      </w:pPr>
      <w:r>
        <w:rPr>
          <w:rStyle w:val="FootnoteReference"/>
        </w:rPr>
        <w:footnoteRef/>
      </w:r>
      <w:r>
        <w:t xml:space="preserve"> </w:t>
      </w:r>
      <w:r>
        <w:rPr>
          <w:lang w:val="cy-GB"/>
        </w:rPr>
        <w:t>Ibid., 166.</w:t>
      </w:r>
    </w:p>
  </w:footnote>
  <w:footnote w:id="1256">
    <w:p w:rsidR="00AB3F05" w:rsidRPr="00346108" w:rsidRDefault="00AB3F05" w:rsidP="00062AED">
      <w:pPr>
        <w:pStyle w:val="FootnoteText"/>
        <w:rPr>
          <w:lang w:val="cy-GB"/>
        </w:rPr>
      </w:pPr>
      <w:r>
        <w:rPr>
          <w:rStyle w:val="FootnoteReference"/>
        </w:rPr>
        <w:footnoteRef/>
      </w:r>
      <w:r>
        <w:t xml:space="preserve"> </w:t>
      </w:r>
      <w:r w:rsidRPr="00AE2E8A">
        <w:rPr>
          <w:lang w:val="cy-GB"/>
        </w:rPr>
        <w:t xml:space="preserve">T.F. Torrance, </w:t>
      </w:r>
      <w:r w:rsidRPr="00AE2E8A">
        <w:rPr>
          <w:i/>
          <w:lang w:val="cy-GB"/>
        </w:rPr>
        <w:t>Atonement: The Person and Work of Christ</w:t>
      </w:r>
      <w:r w:rsidRPr="00AE2E8A">
        <w:rPr>
          <w:lang w:val="cy-GB"/>
        </w:rPr>
        <w:t xml:space="preserve"> (Milton Keynes: Paternoster, 2009), 374.</w:t>
      </w:r>
    </w:p>
  </w:footnote>
  <w:footnote w:id="1257">
    <w:p w:rsidR="00AB3F05" w:rsidRPr="009F2151" w:rsidRDefault="00AB3F05" w:rsidP="00062AED">
      <w:pPr>
        <w:pStyle w:val="FootnoteText"/>
      </w:pPr>
      <w:r>
        <w:rPr>
          <w:rStyle w:val="FootnoteReference"/>
        </w:rPr>
        <w:footnoteRef/>
      </w:r>
      <w:r>
        <w:t xml:space="preserve"> See above 4.2.3.2.</w:t>
      </w:r>
    </w:p>
  </w:footnote>
  <w:footnote w:id="1258">
    <w:p w:rsidR="00AB3F05" w:rsidRPr="007A08C0" w:rsidRDefault="00AB3F05" w:rsidP="00062AED">
      <w:pPr>
        <w:pStyle w:val="FootnoteText"/>
        <w:rPr>
          <w:lang w:val="cy-GB"/>
        </w:rPr>
      </w:pPr>
      <w:r>
        <w:rPr>
          <w:rStyle w:val="FootnoteReference"/>
        </w:rPr>
        <w:footnoteRef/>
      </w:r>
      <w:r>
        <w:t xml:space="preserve"> </w:t>
      </w:r>
      <w:r>
        <w:rPr>
          <w:lang w:val="cy-GB"/>
        </w:rPr>
        <w:t xml:space="preserve">Macchia, </w:t>
      </w:r>
      <w:r w:rsidRPr="00860963">
        <w:rPr>
          <w:i/>
          <w:lang w:val="cy-GB"/>
        </w:rPr>
        <w:t>Baptized in the Spirit</w:t>
      </w:r>
      <w:r>
        <w:rPr>
          <w:lang w:val="cy-GB"/>
        </w:rPr>
        <w:t>, 244.</w:t>
      </w:r>
    </w:p>
  </w:footnote>
  <w:footnote w:id="1259">
    <w:p w:rsidR="00AB3F05" w:rsidRPr="001177E9" w:rsidRDefault="00AB3F05" w:rsidP="00062AED">
      <w:pPr>
        <w:pStyle w:val="FootnoteText"/>
        <w:rPr>
          <w:lang w:val="cy-GB"/>
        </w:rPr>
      </w:pPr>
      <w:r>
        <w:rPr>
          <w:rStyle w:val="FootnoteReference"/>
        </w:rPr>
        <w:footnoteRef/>
      </w:r>
      <w:r>
        <w:t xml:space="preserve"> </w:t>
      </w:r>
      <w:r>
        <w:rPr>
          <w:lang w:val="cy-GB"/>
        </w:rPr>
        <w:t>See above 4.2.3.2.</w:t>
      </w:r>
    </w:p>
  </w:footnote>
  <w:footnote w:id="1260">
    <w:p w:rsidR="00AB3F05" w:rsidRPr="008A7D63" w:rsidRDefault="00AB3F05" w:rsidP="00062AED">
      <w:pPr>
        <w:pStyle w:val="FootnoteText"/>
        <w:rPr>
          <w:lang w:val="cy-GB"/>
        </w:rPr>
      </w:pPr>
      <w:r>
        <w:rPr>
          <w:rStyle w:val="FootnoteReference"/>
        </w:rPr>
        <w:footnoteRef/>
      </w:r>
      <w:r>
        <w:t xml:space="preserve"> </w:t>
      </w:r>
      <w:r>
        <w:rPr>
          <w:lang w:val="cy-GB"/>
        </w:rPr>
        <w:t>As in ecclesiologies which rely too heavily on the concept of historic apostolic succession.</w:t>
      </w:r>
    </w:p>
  </w:footnote>
  <w:footnote w:id="1261">
    <w:p w:rsidR="00AB3F05" w:rsidRPr="006C4117" w:rsidRDefault="00AB3F05" w:rsidP="00062AED">
      <w:pPr>
        <w:pStyle w:val="FootnoteText"/>
        <w:rPr>
          <w:lang w:val="cy-GB"/>
        </w:rPr>
      </w:pPr>
      <w:r>
        <w:rPr>
          <w:rStyle w:val="FootnoteReference"/>
        </w:rPr>
        <w:footnoteRef/>
      </w:r>
      <w:r>
        <w:t xml:space="preserve"> </w:t>
      </w:r>
      <w:r>
        <w:rPr>
          <w:lang w:val="cy-GB"/>
        </w:rPr>
        <w:t xml:space="preserve">Not all calls to the ministry came through prophecy, but it was a common practive among the early Apostolics and one which they strongly encouraged and defended. </w:t>
      </w:r>
    </w:p>
  </w:footnote>
  <w:footnote w:id="1262">
    <w:p w:rsidR="00AB3F05" w:rsidRPr="00BF09CC" w:rsidRDefault="00AB3F05" w:rsidP="00062AED">
      <w:pPr>
        <w:pStyle w:val="FootnoteText"/>
        <w:rPr>
          <w:lang w:val="cy-GB"/>
        </w:rPr>
      </w:pPr>
      <w:r>
        <w:rPr>
          <w:rStyle w:val="FootnoteReference"/>
        </w:rPr>
        <w:footnoteRef/>
      </w:r>
      <w:r>
        <w:t xml:space="preserve"> </w:t>
      </w:r>
      <w:r>
        <w:rPr>
          <w:lang w:val="cy-GB"/>
        </w:rPr>
        <w:t>Although non-Eucharistic interpretations of John 6 are common among Evangelicals and Pentecostals, the Eucharistic interpretation is in line with D.P. Williams’ use of the passage. See above 4.2.1.2.</w:t>
      </w:r>
    </w:p>
  </w:footnote>
  <w:footnote w:id="1263">
    <w:p w:rsidR="00AB3F05" w:rsidRDefault="00AB3F05" w:rsidP="00062AED">
      <w:pPr>
        <w:pStyle w:val="FootnoteText"/>
      </w:pPr>
      <w:r>
        <w:rPr>
          <w:rStyle w:val="FootnoteReference"/>
        </w:rPr>
        <w:footnoteRef/>
      </w:r>
      <w:r>
        <w:t xml:space="preserve"> Williams, ‘Path to Maturity VIII’, 68.</w:t>
      </w:r>
    </w:p>
  </w:footnote>
  <w:footnote w:id="1264">
    <w:p w:rsidR="00AB3F05" w:rsidRDefault="00AB3F05" w:rsidP="00062AED">
      <w:pPr>
        <w:pStyle w:val="FootnoteText"/>
      </w:pPr>
      <w:r>
        <w:rPr>
          <w:rStyle w:val="FootnoteReference"/>
        </w:rPr>
        <w:footnoteRef/>
      </w:r>
      <w:r>
        <w:t xml:space="preserve"> Ibid., 67.</w:t>
      </w:r>
    </w:p>
  </w:footnote>
  <w:footnote w:id="1265">
    <w:p w:rsidR="00AB3F05" w:rsidRDefault="00AB3F05" w:rsidP="00062AED">
      <w:pPr>
        <w:pStyle w:val="FootnoteText"/>
      </w:pPr>
      <w:r>
        <w:rPr>
          <w:rStyle w:val="FootnoteReference"/>
        </w:rPr>
        <w:footnoteRef/>
      </w:r>
      <w:r>
        <w:t xml:space="preserve"> See ‘Loving the Lord: Prophetical Ministry through T.N. Turnbull’, </w:t>
      </w:r>
      <w:r>
        <w:rPr>
          <w:i/>
        </w:rPr>
        <w:t>HoG</w:t>
      </w:r>
      <w:r>
        <w:t>, 3.8 (Aug. 1943), 93.</w:t>
      </w:r>
    </w:p>
  </w:footnote>
  <w:footnote w:id="1266">
    <w:p w:rsidR="00AB3F05" w:rsidRDefault="00AB3F05" w:rsidP="00062AED">
      <w:pPr>
        <w:pStyle w:val="FootnoteText"/>
      </w:pPr>
      <w:r>
        <w:rPr>
          <w:rStyle w:val="FootnoteReference"/>
        </w:rPr>
        <w:footnoteRef/>
      </w:r>
      <w:r>
        <w:t xml:space="preserve"> Ibid.</w:t>
      </w:r>
    </w:p>
  </w:footnote>
  <w:footnote w:id="1267">
    <w:p w:rsidR="00AB3F05" w:rsidRDefault="00AB3F05" w:rsidP="00062AED">
      <w:pPr>
        <w:pStyle w:val="FootnoteText"/>
      </w:pPr>
      <w:r>
        <w:rPr>
          <w:rStyle w:val="FootnoteReference"/>
        </w:rPr>
        <w:footnoteRef/>
      </w:r>
      <w:r>
        <w:t xml:space="preserve"> D.P. Williams, ‘The Priesthood of Jesus Christ’, </w:t>
      </w:r>
      <w:r w:rsidRPr="00884DCA">
        <w:rPr>
          <w:i/>
        </w:rPr>
        <w:t>Herald of Grace</w:t>
      </w:r>
      <w:r>
        <w:t>, 2.4 (June 1942), 48.</w:t>
      </w:r>
    </w:p>
  </w:footnote>
  <w:footnote w:id="1268">
    <w:p w:rsidR="00AB3F05" w:rsidRDefault="00AB3F05" w:rsidP="00062AED">
      <w:pPr>
        <w:pStyle w:val="FootnoteText"/>
      </w:pPr>
      <w:r>
        <w:rPr>
          <w:rStyle w:val="FootnoteReference"/>
        </w:rPr>
        <w:footnoteRef/>
      </w:r>
      <w:r>
        <w:t xml:space="preserve"> J.B. Clyne, ‘Taste the Bread of Sweet Communion’, in Hugh Mitchell, ed., </w:t>
      </w:r>
      <w:r w:rsidRPr="00B147F2">
        <w:rPr>
          <w:i/>
        </w:rPr>
        <w:t>Gospel Quintet Choruses 10</w:t>
      </w:r>
      <w:r>
        <w:t xml:space="preserve">, (Bradford: The Apostolic Church, 1952), No. 480; D.P. Williams, </w:t>
      </w:r>
      <w:r w:rsidRPr="00E505F8">
        <w:rPr>
          <w:i/>
        </w:rPr>
        <w:t>Athrawiaethau Sylfeinol</w:t>
      </w:r>
      <w:r>
        <w:t>, 10; idem, ‘Ministry of the Word’, 171.</w:t>
      </w:r>
    </w:p>
  </w:footnote>
  <w:footnote w:id="1269">
    <w:p w:rsidR="00AB3F05" w:rsidRDefault="00AB3F05" w:rsidP="00062AED">
      <w:pPr>
        <w:pStyle w:val="FootnoteText"/>
      </w:pPr>
      <w:r>
        <w:rPr>
          <w:rStyle w:val="FootnoteReference"/>
        </w:rPr>
        <w:footnoteRef/>
      </w:r>
      <w:r>
        <w:t xml:space="preserve"> Williams, ‘Path to Maturity VIII’, 68.</w:t>
      </w:r>
    </w:p>
  </w:footnote>
  <w:footnote w:id="1270">
    <w:p w:rsidR="00AB3F05" w:rsidRDefault="00AB3F05" w:rsidP="00062AED">
      <w:pPr>
        <w:pStyle w:val="FootnoteText"/>
      </w:pPr>
      <w:r>
        <w:rPr>
          <w:rStyle w:val="FootnoteReference"/>
        </w:rPr>
        <w:footnoteRef/>
      </w:r>
      <w:r>
        <w:t xml:space="preserve"> Williams, ‘Bwrdd Yr Arglwydd’, 13; Clyne, ‘Taste the Bread of Sweet Communion.’</w:t>
      </w:r>
    </w:p>
  </w:footnote>
  <w:footnote w:id="1271">
    <w:p w:rsidR="00AB3F05" w:rsidRDefault="00AB3F05" w:rsidP="00062AED">
      <w:pPr>
        <w:pStyle w:val="FootnoteText"/>
      </w:pPr>
      <w:r>
        <w:rPr>
          <w:rStyle w:val="FootnoteReference"/>
        </w:rPr>
        <w:footnoteRef/>
      </w:r>
      <w:r>
        <w:t xml:space="preserve"> Williams, ‘Three Spheres’, 205; Clyne, ‘Taste the Bread of Sweet Communion.’</w:t>
      </w:r>
    </w:p>
  </w:footnote>
  <w:footnote w:id="1272">
    <w:p w:rsidR="00AB3F05" w:rsidRDefault="00AB3F05" w:rsidP="00062AED">
      <w:pPr>
        <w:pStyle w:val="FootnoteText"/>
      </w:pPr>
      <w:r>
        <w:rPr>
          <w:rStyle w:val="FootnoteReference"/>
        </w:rPr>
        <w:footnoteRef/>
      </w:r>
      <w:r>
        <w:t xml:space="preserve"> ‘Loving the Lord: Prophetical Ministry through T.N. Turnbull’, 93.</w:t>
      </w:r>
    </w:p>
  </w:footnote>
  <w:footnote w:id="1273">
    <w:p w:rsidR="00AB3F05" w:rsidRDefault="00AB3F05" w:rsidP="00062AED">
      <w:pPr>
        <w:pStyle w:val="FootnoteText"/>
      </w:pPr>
      <w:r>
        <w:rPr>
          <w:rStyle w:val="FootnoteReference"/>
        </w:rPr>
        <w:footnoteRef/>
      </w:r>
      <w:r>
        <w:t xml:space="preserve"> Edwin Williams, ‘The Lord’s Supper’, </w:t>
      </w:r>
      <w:r>
        <w:rPr>
          <w:i/>
        </w:rPr>
        <w:t>RoG</w:t>
      </w:r>
      <w:r>
        <w:t xml:space="preserve">, vii.5 (May 1932), 214; Rowe, </w:t>
      </w:r>
      <w:r w:rsidRPr="00180EB2">
        <w:rPr>
          <w:i/>
        </w:rPr>
        <w:t>One Lord, One Faith</w:t>
      </w:r>
      <w:r>
        <w:t>, 211.</w:t>
      </w:r>
    </w:p>
  </w:footnote>
  <w:footnote w:id="1274">
    <w:p w:rsidR="00AB3F05" w:rsidRDefault="00AB3F05" w:rsidP="00062AED">
      <w:pPr>
        <w:pStyle w:val="FootnoteText"/>
      </w:pPr>
      <w:r>
        <w:rPr>
          <w:rStyle w:val="FootnoteReference"/>
        </w:rPr>
        <w:footnoteRef/>
      </w:r>
      <w:r>
        <w:t xml:space="preserve"> Williams, </w:t>
      </w:r>
      <w:r w:rsidRPr="0008793B">
        <w:rPr>
          <w:i/>
        </w:rPr>
        <w:t>Trinity</w:t>
      </w:r>
      <w:r>
        <w:t>, 2:32.</w:t>
      </w:r>
    </w:p>
  </w:footnote>
  <w:footnote w:id="1275">
    <w:p w:rsidR="00AB3F05" w:rsidRPr="00FE3966" w:rsidRDefault="00AB3F05" w:rsidP="00062AED">
      <w:pPr>
        <w:pStyle w:val="FootnoteText"/>
      </w:pPr>
      <w:r>
        <w:rPr>
          <w:rStyle w:val="FootnoteReference"/>
        </w:rPr>
        <w:footnoteRef/>
      </w:r>
      <w:r>
        <w:t xml:space="preserve"> See above 4.2.3.2.</w:t>
      </w:r>
    </w:p>
  </w:footnote>
  <w:footnote w:id="1276">
    <w:p w:rsidR="00AB3F05" w:rsidRPr="005360A9" w:rsidRDefault="00AB3F05" w:rsidP="00062AED">
      <w:pPr>
        <w:pStyle w:val="FootnoteText"/>
        <w:rPr>
          <w:lang w:val="cy-GB"/>
        </w:rPr>
      </w:pPr>
      <w:r>
        <w:rPr>
          <w:rStyle w:val="FootnoteReference"/>
        </w:rPr>
        <w:footnoteRef/>
      </w:r>
      <w:r>
        <w:t xml:space="preserve"> </w:t>
      </w:r>
      <w:r>
        <w:rPr>
          <w:lang w:val="cy-GB"/>
        </w:rPr>
        <w:t xml:space="preserve">See above 5.2.3; Rees, </w:t>
      </w:r>
      <w:r w:rsidRPr="005360A9">
        <w:rPr>
          <w:i/>
          <w:lang w:val="cy-GB"/>
        </w:rPr>
        <w:t>Divine Masterpiece</w:t>
      </w:r>
      <w:r>
        <w:rPr>
          <w:lang w:val="cy-GB"/>
        </w:rPr>
        <w:t>, 7.</w:t>
      </w:r>
    </w:p>
  </w:footnote>
  <w:footnote w:id="1277">
    <w:p w:rsidR="00AB3F05" w:rsidRPr="005360A9" w:rsidRDefault="00AB3F05" w:rsidP="00062AED">
      <w:pPr>
        <w:pStyle w:val="FootnoteText"/>
        <w:rPr>
          <w:lang w:val="cy-GB"/>
        </w:rPr>
      </w:pPr>
      <w:r>
        <w:rPr>
          <w:rStyle w:val="FootnoteReference"/>
        </w:rPr>
        <w:footnoteRef/>
      </w:r>
      <w:r>
        <w:t xml:space="preserve"> </w:t>
      </w:r>
      <w:r>
        <w:rPr>
          <w:lang w:val="cy-GB"/>
        </w:rPr>
        <w:t>Ibid., 14.</w:t>
      </w:r>
    </w:p>
  </w:footnote>
  <w:footnote w:id="1278">
    <w:p w:rsidR="00AB3F05" w:rsidRPr="00F61F1D" w:rsidRDefault="00AB3F05" w:rsidP="00062AED">
      <w:pPr>
        <w:pStyle w:val="FootnoteText"/>
        <w:rPr>
          <w:lang w:val="cy-GB"/>
        </w:rPr>
      </w:pPr>
      <w:r>
        <w:rPr>
          <w:rStyle w:val="FootnoteReference"/>
        </w:rPr>
        <w:footnoteRef/>
      </w:r>
      <w:r>
        <w:t xml:space="preserve"> </w:t>
      </w:r>
      <w:r>
        <w:rPr>
          <w:i/>
          <w:lang w:val="cy-GB"/>
        </w:rPr>
        <w:t>MDd</w:t>
      </w:r>
      <w:r>
        <w:rPr>
          <w:lang w:val="cy-GB"/>
        </w:rPr>
        <w:t>, 139.</w:t>
      </w:r>
    </w:p>
  </w:footnote>
  <w:footnote w:id="1279">
    <w:p w:rsidR="00AB3F05" w:rsidRPr="002337C5" w:rsidRDefault="00AB3F05" w:rsidP="00062AED">
      <w:pPr>
        <w:pStyle w:val="FootnoteText"/>
        <w:rPr>
          <w:lang w:val="cy-GB"/>
        </w:rPr>
      </w:pPr>
      <w:r>
        <w:rPr>
          <w:rStyle w:val="FootnoteReference"/>
        </w:rPr>
        <w:footnoteRef/>
      </w:r>
      <w:r>
        <w:t xml:space="preserve"> </w:t>
      </w:r>
      <w:r>
        <w:rPr>
          <w:lang w:val="cy-GB"/>
        </w:rPr>
        <w:t>Lewis, ‘The Relationships of the Body of Christ’, 124; See further, above,5.2.5.</w:t>
      </w:r>
    </w:p>
  </w:footnote>
  <w:footnote w:id="1280">
    <w:p w:rsidR="00AB3F05" w:rsidRPr="002B0531" w:rsidRDefault="00AB3F05" w:rsidP="00062AED">
      <w:pPr>
        <w:pStyle w:val="FootnoteText"/>
        <w:rPr>
          <w:lang w:val="cy-GB"/>
        </w:rPr>
      </w:pPr>
      <w:r>
        <w:rPr>
          <w:rStyle w:val="FootnoteReference"/>
        </w:rPr>
        <w:footnoteRef/>
      </w:r>
      <w:r>
        <w:t xml:space="preserve"> </w:t>
      </w:r>
      <w:r>
        <w:rPr>
          <w:lang w:val="cy-GB"/>
        </w:rPr>
        <w:t xml:space="preserve">Thomas, </w:t>
      </w:r>
      <w:r w:rsidRPr="002B0531">
        <w:rPr>
          <w:i/>
          <w:lang w:val="cy-GB"/>
        </w:rPr>
        <w:t>On Ephesians</w:t>
      </w:r>
      <w:r>
        <w:rPr>
          <w:lang w:val="cy-GB"/>
        </w:rPr>
        <w:t>, 5.</w:t>
      </w:r>
    </w:p>
  </w:footnote>
  <w:footnote w:id="1281">
    <w:p w:rsidR="00AB3F05" w:rsidRPr="0001480F" w:rsidRDefault="00AB3F05" w:rsidP="00062AED">
      <w:pPr>
        <w:pStyle w:val="FootnoteText"/>
        <w:rPr>
          <w:lang w:val="cy-GB"/>
        </w:rPr>
      </w:pPr>
      <w:r>
        <w:rPr>
          <w:rStyle w:val="FootnoteReference"/>
        </w:rPr>
        <w:footnoteRef/>
      </w:r>
      <w:r>
        <w:t xml:space="preserve"> </w:t>
      </w:r>
      <w:r>
        <w:rPr>
          <w:lang w:val="cy-GB"/>
        </w:rPr>
        <w:t>See above 5.1.1 &amp; 5.2.5.</w:t>
      </w:r>
    </w:p>
  </w:footnote>
  <w:footnote w:id="1282">
    <w:p w:rsidR="00AB3F05" w:rsidRPr="00F57861" w:rsidRDefault="00AB3F05" w:rsidP="00062AED">
      <w:pPr>
        <w:pStyle w:val="FootnoteText"/>
        <w:rPr>
          <w:lang w:val="cy-GB"/>
        </w:rPr>
      </w:pPr>
      <w:r>
        <w:rPr>
          <w:rStyle w:val="FootnoteReference"/>
        </w:rPr>
        <w:footnoteRef/>
      </w:r>
      <w:r>
        <w:t xml:space="preserve"> Williams, ‘Exposition: My Church’, 83.</w:t>
      </w:r>
    </w:p>
  </w:footnote>
  <w:footnote w:id="1283">
    <w:p w:rsidR="00AB3F05" w:rsidRDefault="00AB3F05" w:rsidP="00062AED">
      <w:pPr>
        <w:pStyle w:val="FootnoteText"/>
      </w:pPr>
      <w:r>
        <w:rPr>
          <w:rStyle w:val="FootnoteReference"/>
        </w:rPr>
        <w:footnoteRef/>
      </w:r>
      <w:r>
        <w:t xml:space="preserve"> Chan, </w:t>
      </w:r>
      <w:r w:rsidRPr="00D571D8">
        <w:rPr>
          <w:i/>
        </w:rPr>
        <w:t>Pentecostal Ecclesiology</w:t>
      </w:r>
      <w:r>
        <w:t>, 15.</w:t>
      </w:r>
    </w:p>
  </w:footnote>
  <w:footnote w:id="1284">
    <w:p w:rsidR="00AB3F05" w:rsidRDefault="00AB3F05" w:rsidP="00062AED">
      <w:pPr>
        <w:pStyle w:val="FootnoteText"/>
      </w:pPr>
      <w:r>
        <w:rPr>
          <w:rStyle w:val="FootnoteReference"/>
        </w:rPr>
        <w:footnoteRef/>
      </w:r>
      <w:r>
        <w:t xml:space="preserve"> Ibid.</w:t>
      </w:r>
    </w:p>
  </w:footnote>
  <w:footnote w:id="1285">
    <w:p w:rsidR="00AB3F05" w:rsidRPr="006F4E46" w:rsidRDefault="00AB3F05" w:rsidP="00062AED">
      <w:pPr>
        <w:pStyle w:val="FootnoteText"/>
        <w:rPr>
          <w:b/>
          <w:bCs/>
        </w:rPr>
      </w:pPr>
      <w:r>
        <w:rPr>
          <w:rStyle w:val="FootnoteReference"/>
        </w:rPr>
        <w:footnoteRef/>
      </w:r>
      <w:r>
        <w:t xml:space="preserve"> Ibid., 17-18; Amos Yong, </w:t>
      </w:r>
      <w:r w:rsidRPr="006F4E46">
        <w:rPr>
          <w:i/>
        </w:rPr>
        <w:t>The Missiological Spirit: Christian Mission Theology in the Third Millennium Global Context</w:t>
      </w:r>
      <w:r>
        <w:t xml:space="preserve"> (Eugene: Cascade, 2014); Macchia, </w:t>
      </w:r>
      <w:r w:rsidRPr="006F4E46">
        <w:rPr>
          <w:i/>
        </w:rPr>
        <w:t>Baptized in the Spirit</w:t>
      </w:r>
      <w:r>
        <w:t xml:space="preserve">, 178-179; Neumann, </w:t>
      </w:r>
      <w:r w:rsidRPr="003630A2">
        <w:rPr>
          <w:i/>
        </w:rPr>
        <w:t>Pentecostal Experience</w:t>
      </w:r>
      <w:r>
        <w:t>, 308.</w:t>
      </w:r>
    </w:p>
  </w:footnote>
  <w:footnote w:id="1286">
    <w:p w:rsidR="00AB3F05" w:rsidRDefault="00AB3F05" w:rsidP="00062AED">
      <w:pPr>
        <w:pStyle w:val="FootnoteText"/>
      </w:pPr>
      <w:r>
        <w:rPr>
          <w:rStyle w:val="FootnoteReference"/>
        </w:rPr>
        <w:footnoteRef/>
      </w:r>
      <w:r>
        <w:t xml:space="preserve"> Yong, </w:t>
      </w:r>
      <w:r w:rsidRPr="003630A2">
        <w:rPr>
          <w:i/>
        </w:rPr>
        <w:t>The Spirit Poured Out</w:t>
      </w:r>
      <w:r>
        <w:rPr>
          <w:i/>
        </w:rPr>
        <w:t>,</w:t>
      </w:r>
      <w:r w:rsidRPr="003630A2">
        <w:rPr>
          <w:i/>
        </w:rPr>
        <w:t xml:space="preserve"> </w:t>
      </w:r>
      <w:r>
        <w:t xml:space="preserve">247; Neumann, </w:t>
      </w:r>
      <w:r w:rsidRPr="003630A2">
        <w:rPr>
          <w:i/>
        </w:rPr>
        <w:t>Pentecostal Experience</w:t>
      </w:r>
      <w:r>
        <w:t>, 301.</w:t>
      </w:r>
    </w:p>
  </w:footnote>
  <w:footnote w:id="1287">
    <w:p w:rsidR="00AB3F05" w:rsidRDefault="00AB3F05" w:rsidP="00062AED">
      <w:pPr>
        <w:pStyle w:val="FootnoteText"/>
      </w:pPr>
      <w:r>
        <w:rPr>
          <w:rStyle w:val="FootnoteReference"/>
        </w:rPr>
        <w:footnoteRef/>
      </w:r>
      <w:r>
        <w:t xml:space="preserve"> Yong, </w:t>
      </w:r>
      <w:r w:rsidRPr="003630A2">
        <w:rPr>
          <w:i/>
        </w:rPr>
        <w:t>Spirit Poured Out</w:t>
      </w:r>
      <w:r>
        <w:t xml:space="preserve">, 247; cf. idem, </w:t>
      </w:r>
      <w:r w:rsidRPr="008E6517">
        <w:rPr>
          <w:i/>
        </w:rPr>
        <w:t>Renewing Christian Theology</w:t>
      </w:r>
      <w:r>
        <w:t>, 323-325.</w:t>
      </w:r>
    </w:p>
  </w:footnote>
  <w:footnote w:id="1288">
    <w:p w:rsidR="00AB3F05" w:rsidRDefault="00AB3F05" w:rsidP="00062AED">
      <w:pPr>
        <w:pStyle w:val="FootnoteText"/>
      </w:pPr>
      <w:r>
        <w:rPr>
          <w:rStyle w:val="FootnoteReference"/>
        </w:rPr>
        <w:footnoteRef/>
      </w:r>
      <w:r>
        <w:t xml:space="preserve"> Yong, </w:t>
      </w:r>
      <w:r w:rsidRPr="008E6517">
        <w:rPr>
          <w:i/>
        </w:rPr>
        <w:t>Renewing Christian Theology</w:t>
      </w:r>
      <w:r>
        <w:t>, 129, cf. 200.</w:t>
      </w:r>
    </w:p>
  </w:footnote>
  <w:footnote w:id="1289">
    <w:p w:rsidR="00AB3F05" w:rsidRDefault="00AB3F05" w:rsidP="00062AED">
      <w:pPr>
        <w:pStyle w:val="FootnoteText"/>
      </w:pPr>
      <w:r>
        <w:rPr>
          <w:rStyle w:val="FootnoteReference"/>
        </w:rPr>
        <w:footnoteRef/>
      </w:r>
      <w:r>
        <w:t xml:space="preserve"> Chan, </w:t>
      </w:r>
      <w:r w:rsidRPr="002C55F9">
        <w:rPr>
          <w:i/>
        </w:rPr>
        <w:t>Pentecostal Ecclesiology</w:t>
      </w:r>
      <w:r>
        <w:t>, 13.</w:t>
      </w:r>
    </w:p>
  </w:footnote>
  <w:footnote w:id="1290">
    <w:p w:rsidR="00AB3F05" w:rsidRDefault="00AB3F05" w:rsidP="00062AED">
      <w:pPr>
        <w:pStyle w:val="FootnoteText"/>
      </w:pPr>
      <w:r>
        <w:rPr>
          <w:rStyle w:val="FootnoteReference"/>
        </w:rPr>
        <w:footnoteRef/>
      </w:r>
      <w:r>
        <w:t xml:space="preserve"> Chan, </w:t>
      </w:r>
      <w:r w:rsidRPr="00AE0DA3">
        <w:rPr>
          <w:i/>
        </w:rPr>
        <w:t>Liturgical Theology</w:t>
      </w:r>
      <w:r>
        <w:t>, 22.</w:t>
      </w:r>
    </w:p>
  </w:footnote>
  <w:footnote w:id="1291">
    <w:p w:rsidR="00AB3F05" w:rsidRDefault="00AB3F05" w:rsidP="00062AED">
      <w:pPr>
        <w:pStyle w:val="FootnoteText"/>
      </w:pPr>
      <w:r>
        <w:rPr>
          <w:rStyle w:val="FootnoteReference"/>
        </w:rPr>
        <w:footnoteRef/>
      </w:r>
      <w:r>
        <w:t xml:space="preserve"> Ibid., 23.</w:t>
      </w:r>
    </w:p>
  </w:footnote>
  <w:footnote w:id="1292">
    <w:p w:rsidR="00AB3F05" w:rsidRDefault="00AB3F05" w:rsidP="00062AED">
      <w:pPr>
        <w:pStyle w:val="FootnoteText"/>
      </w:pPr>
      <w:r>
        <w:rPr>
          <w:rStyle w:val="FootnoteReference"/>
        </w:rPr>
        <w:footnoteRef/>
      </w:r>
      <w:r>
        <w:t xml:space="preserve"> Ibid.</w:t>
      </w:r>
    </w:p>
  </w:footnote>
  <w:footnote w:id="1293">
    <w:p w:rsidR="00AB3F05" w:rsidRDefault="00AB3F05" w:rsidP="00062AED">
      <w:pPr>
        <w:pStyle w:val="FootnoteText"/>
      </w:pPr>
      <w:r>
        <w:rPr>
          <w:rStyle w:val="FootnoteReference"/>
        </w:rPr>
        <w:footnoteRef/>
      </w:r>
      <w:r>
        <w:t xml:space="preserve"> Ibid., 23-24, 27-29.</w:t>
      </w:r>
    </w:p>
  </w:footnote>
  <w:footnote w:id="1294">
    <w:p w:rsidR="00AB3F05" w:rsidRPr="00095548" w:rsidRDefault="00AB3F05" w:rsidP="00062AED">
      <w:pPr>
        <w:pStyle w:val="FootnoteText"/>
        <w:rPr>
          <w:lang w:val="cy-GB"/>
        </w:rPr>
      </w:pPr>
      <w:r>
        <w:rPr>
          <w:rStyle w:val="FootnoteReference"/>
        </w:rPr>
        <w:footnoteRef/>
      </w:r>
      <w:r>
        <w:t xml:space="preserve"> </w:t>
      </w:r>
      <w:r>
        <w:rPr>
          <w:lang w:val="cy-GB"/>
        </w:rPr>
        <w:t xml:space="preserve">See above,5.1.1, 5.2.5-6. Significantly, Chan picks up on two of these three to support his case for the priority of the Church; Chan, </w:t>
      </w:r>
      <w:r w:rsidRPr="00C67791">
        <w:rPr>
          <w:i/>
          <w:lang w:val="cy-GB"/>
        </w:rPr>
        <w:t>Liturgical Theology</w:t>
      </w:r>
      <w:r>
        <w:rPr>
          <w:lang w:val="cy-GB"/>
        </w:rPr>
        <w:t>, 23.</w:t>
      </w:r>
    </w:p>
  </w:footnote>
  <w:footnote w:id="1295">
    <w:p w:rsidR="00AB3F05" w:rsidRPr="0083282B" w:rsidRDefault="00AB3F05" w:rsidP="00062AED">
      <w:pPr>
        <w:pStyle w:val="FootnoteText"/>
        <w:rPr>
          <w:lang w:val="cy-GB"/>
        </w:rPr>
      </w:pPr>
      <w:r>
        <w:rPr>
          <w:rStyle w:val="FootnoteReference"/>
        </w:rPr>
        <w:footnoteRef/>
      </w:r>
      <w:r>
        <w:t xml:space="preserve"> </w:t>
      </w:r>
      <w:r>
        <w:rPr>
          <w:lang w:val="cy-GB"/>
        </w:rPr>
        <w:t>See above 4.2, 4.2.1, &amp; 5.2.3.</w:t>
      </w:r>
    </w:p>
  </w:footnote>
  <w:footnote w:id="1296">
    <w:p w:rsidR="00AB3F05" w:rsidRPr="00CC04DC" w:rsidRDefault="00AB3F05" w:rsidP="00062AED">
      <w:pPr>
        <w:pStyle w:val="FootnoteText"/>
        <w:rPr>
          <w:lang w:val="cy-GB"/>
        </w:rPr>
      </w:pPr>
      <w:r>
        <w:rPr>
          <w:rStyle w:val="FootnoteReference"/>
        </w:rPr>
        <w:footnoteRef/>
      </w:r>
      <w:r>
        <w:t xml:space="preserve"> </w:t>
      </w:r>
      <w:r>
        <w:rPr>
          <w:lang w:val="cy-GB"/>
        </w:rPr>
        <w:t>See W.H. Lewis and W.R. Thomas above, 5.2.5-6.</w:t>
      </w:r>
    </w:p>
  </w:footnote>
  <w:footnote w:id="1297">
    <w:p w:rsidR="00AB3F05" w:rsidRPr="00D8040E" w:rsidRDefault="00AB3F05" w:rsidP="00062AED">
      <w:pPr>
        <w:pStyle w:val="FootnoteText"/>
        <w:rPr>
          <w:lang w:val="cy-GB"/>
        </w:rPr>
      </w:pPr>
      <w:r>
        <w:rPr>
          <w:rStyle w:val="FootnoteReference"/>
        </w:rPr>
        <w:footnoteRef/>
      </w:r>
      <w:r>
        <w:t xml:space="preserve"> </w:t>
      </w:r>
      <w:r>
        <w:rPr>
          <w:lang w:val="cy-GB"/>
        </w:rPr>
        <w:t>See above 2.2.1-3.</w:t>
      </w:r>
    </w:p>
  </w:footnote>
  <w:footnote w:id="1298">
    <w:p w:rsidR="00AB3F05" w:rsidRPr="0068083D" w:rsidRDefault="00AB3F05" w:rsidP="00062AED">
      <w:pPr>
        <w:pStyle w:val="FootnoteText"/>
        <w:rPr>
          <w:lang w:val="cy-GB"/>
        </w:rPr>
      </w:pPr>
      <w:r>
        <w:rPr>
          <w:rStyle w:val="FootnoteReference"/>
        </w:rPr>
        <w:footnoteRef/>
      </w:r>
      <w:r>
        <w:t xml:space="preserve"> E.g. Stanley Horton, ‘Spirit Baptism: A Pentecostal Perspective’, in Chad Owen Brand, ed., </w:t>
      </w:r>
      <w:r w:rsidRPr="002854A3">
        <w:rPr>
          <w:i/>
        </w:rPr>
        <w:t>Perspectives on Spirit Baptism</w:t>
      </w:r>
      <w:r>
        <w:t xml:space="preserve"> (Nashville: Broadman and Holman, 2004), 47-94; Palma, </w:t>
      </w:r>
      <w:r>
        <w:rPr>
          <w:i/>
        </w:rPr>
        <w:t>Holy Spirit</w:t>
      </w:r>
      <w:r>
        <w:t xml:space="preserve">, 161-178; Petts, </w:t>
      </w:r>
      <w:r w:rsidRPr="00795EB2">
        <w:rPr>
          <w:i/>
        </w:rPr>
        <w:t>Holy Spirit</w:t>
      </w:r>
      <w:r>
        <w:t xml:space="preserve">, 63-78; John W. Wyckoff, ‘The Baptism in the Holy Spirit’, in Stanley M. Horton, ed., </w:t>
      </w:r>
      <w:r w:rsidRPr="002854A3">
        <w:rPr>
          <w:i/>
        </w:rPr>
        <w:t>Systematic Theology</w:t>
      </w:r>
      <w:r>
        <w:t xml:space="preserve"> (Springfield: Logion, rev. ed. 1995), 423-455; French L. Arrington, </w:t>
      </w:r>
      <w:r w:rsidRPr="002854A3">
        <w:rPr>
          <w:i/>
        </w:rPr>
        <w:t>Christian Doctrine: A Pentecostal Perspective</w:t>
      </w:r>
      <w:r>
        <w:t xml:space="preserve">, vol.3 (Cleveland: Pathway, 1994), 51-95. </w:t>
      </w:r>
      <w:r>
        <w:rPr>
          <w:lang w:val="cy-GB"/>
        </w:rPr>
        <w:t>For some Pentecostals this may be because they subsume the nature of the Baptism under its effects.</w:t>
      </w:r>
    </w:p>
  </w:footnote>
  <w:footnote w:id="1299">
    <w:p w:rsidR="00AB3F05" w:rsidRPr="00CF63D3" w:rsidRDefault="00AB3F05" w:rsidP="00062AED">
      <w:pPr>
        <w:pStyle w:val="FootnoteText"/>
        <w:rPr>
          <w:lang w:val="cy-GB"/>
        </w:rPr>
      </w:pPr>
      <w:r>
        <w:rPr>
          <w:rStyle w:val="FootnoteReference"/>
        </w:rPr>
        <w:footnoteRef/>
      </w:r>
      <w:r>
        <w:t xml:space="preserve"> </w:t>
      </w:r>
      <w:r>
        <w:rPr>
          <w:lang w:val="cy-GB"/>
        </w:rPr>
        <w:t>To define BHS as empowerment for service merely points to an effect of the Baptism rather than providing an adequate theological answer to the question.</w:t>
      </w:r>
    </w:p>
  </w:footnote>
  <w:footnote w:id="1300">
    <w:p w:rsidR="00AB3F05" w:rsidRPr="009E5BF6" w:rsidRDefault="00AB3F05" w:rsidP="00062AED">
      <w:pPr>
        <w:pStyle w:val="FootnoteText"/>
        <w:rPr>
          <w:lang w:val="cy-GB"/>
        </w:rPr>
      </w:pPr>
      <w:r>
        <w:rPr>
          <w:rStyle w:val="FootnoteReference"/>
        </w:rPr>
        <w:footnoteRef/>
      </w:r>
      <w:r>
        <w:t xml:space="preserve"> </w:t>
      </w:r>
      <w:r>
        <w:rPr>
          <w:lang w:val="cy-GB"/>
        </w:rPr>
        <w:t xml:space="preserve">Separability is the doctrine that BHS is ‘logically and therefore theologically separate from the conversion experience, though it may take place either immediately upon conversion or some time afterward.’ Anthony D. Palma, </w:t>
      </w:r>
      <w:r w:rsidRPr="0089560F">
        <w:rPr>
          <w:i/>
          <w:lang w:val="cy-GB"/>
        </w:rPr>
        <w:t>Holy Spirit</w:t>
      </w:r>
      <w:r>
        <w:rPr>
          <w:lang w:val="cy-GB"/>
        </w:rPr>
        <w:t>, 108.</w:t>
      </w:r>
    </w:p>
  </w:footnote>
  <w:footnote w:id="1301">
    <w:p w:rsidR="00AB3F05" w:rsidRDefault="00AB3F05" w:rsidP="00062AED">
      <w:pPr>
        <w:pStyle w:val="FootnoteText"/>
      </w:pPr>
      <w:r>
        <w:rPr>
          <w:rStyle w:val="FootnoteReference"/>
        </w:rPr>
        <w:footnoteRef/>
      </w:r>
      <w:r>
        <w:t xml:space="preserve"> Although, as stated above, we are not arguing here for, but rather assuming a Pentecostal doctrine of subsequence/separability, this verse may provide strong support for the Pentecostal doctrine, as is noted by James Dunn, </w:t>
      </w:r>
      <w:r w:rsidRPr="00035C21">
        <w:rPr>
          <w:i/>
        </w:rPr>
        <w:t>Baptism in the Holy Spirit</w:t>
      </w:r>
      <w:r>
        <w:t xml:space="preserve">, 113. Fee also notes this possibility and interpreters who have followed it (both Pentecostal and non-Pentecostal), Gordon Fee, </w:t>
      </w:r>
      <w:r w:rsidRPr="00671F1B">
        <w:rPr>
          <w:i/>
        </w:rPr>
        <w:t>God’s Empowering Presence</w:t>
      </w:r>
      <w:r>
        <w:rPr>
          <w:i/>
        </w:rPr>
        <w:t>: The Holy Spirit in the Letters of Paul</w:t>
      </w:r>
      <w:r>
        <w:t xml:space="preserve">, 406-407. From a Pentecostal perspective, see Harold D. Hunter, </w:t>
      </w:r>
      <w:r w:rsidRPr="00035C21">
        <w:rPr>
          <w:i/>
        </w:rPr>
        <w:t>Spirit Baptism: A Pentecostal Alternative</w:t>
      </w:r>
      <w:r>
        <w:t>, 55-56.</w:t>
      </w:r>
    </w:p>
  </w:footnote>
  <w:footnote w:id="1302">
    <w:p w:rsidR="00AB3F05" w:rsidRDefault="00AB3F05" w:rsidP="00062AED">
      <w:pPr>
        <w:pStyle w:val="FootnoteText"/>
      </w:pPr>
      <w:r>
        <w:rPr>
          <w:rStyle w:val="FootnoteReference"/>
        </w:rPr>
        <w:footnoteRef/>
      </w:r>
      <w:r>
        <w:t xml:space="preserve"> Thomas Smail, </w:t>
      </w:r>
      <w:r w:rsidRPr="00082DAF">
        <w:rPr>
          <w:i/>
        </w:rPr>
        <w:t>Reflected Glory</w:t>
      </w:r>
      <w:r w:rsidRPr="00862BD5">
        <w:rPr>
          <w:i/>
        </w:rPr>
        <w:t>: The Spirit in Christ and Christians</w:t>
      </w:r>
      <w:r>
        <w:t xml:space="preserve"> (</w:t>
      </w:r>
      <w:r w:rsidRPr="00862BD5">
        <w:t>London: Hodder and Stoughton, 1975</w:t>
      </w:r>
      <w:r>
        <w:t>), 55.</w:t>
      </w:r>
    </w:p>
  </w:footnote>
  <w:footnote w:id="1303">
    <w:p w:rsidR="00AB3F05" w:rsidRDefault="00AB3F05" w:rsidP="00062AED">
      <w:pPr>
        <w:pStyle w:val="FootnoteText"/>
      </w:pPr>
      <w:r>
        <w:rPr>
          <w:rStyle w:val="FootnoteReference"/>
        </w:rPr>
        <w:footnoteRef/>
      </w:r>
      <w:r>
        <w:t xml:space="preserve"> See above 2.1.3.4.</w:t>
      </w:r>
    </w:p>
  </w:footnote>
  <w:footnote w:id="1304">
    <w:p w:rsidR="00AB3F05" w:rsidRDefault="00AB3F05" w:rsidP="00062AED">
      <w:pPr>
        <w:pStyle w:val="FootnoteText"/>
      </w:pPr>
      <w:r>
        <w:rPr>
          <w:rStyle w:val="FootnoteReference"/>
        </w:rPr>
        <w:footnoteRef/>
      </w:r>
      <w:r>
        <w:t xml:space="preserve"> Cf. Chan, </w:t>
      </w:r>
      <w:r w:rsidRPr="00C27D5B">
        <w:rPr>
          <w:i/>
        </w:rPr>
        <w:t>Pentecostal Ecclesiology</w:t>
      </w:r>
      <w:r>
        <w:t xml:space="preserve">, 42; Macchia, </w:t>
      </w:r>
      <w:r w:rsidRPr="00AE3454">
        <w:rPr>
          <w:i/>
        </w:rPr>
        <w:t>Baptized in the Spirit</w:t>
      </w:r>
      <w:r>
        <w:t xml:space="preserve">, 156; Irenaeus, </w:t>
      </w:r>
      <w:r w:rsidRPr="0088284C">
        <w:rPr>
          <w:i/>
        </w:rPr>
        <w:t>Ad</w:t>
      </w:r>
      <w:r>
        <w:rPr>
          <w:i/>
        </w:rPr>
        <w:t>v</w:t>
      </w:r>
      <w:r w:rsidRPr="0088284C">
        <w:rPr>
          <w:i/>
        </w:rPr>
        <w:t>. Haer.</w:t>
      </w:r>
      <w:r>
        <w:t xml:space="preserve"> 3.19.1; Athanasius, </w:t>
      </w:r>
      <w:r w:rsidRPr="00082DAF">
        <w:rPr>
          <w:i/>
        </w:rPr>
        <w:t>Contra Arianos</w:t>
      </w:r>
      <w:r>
        <w:t xml:space="preserve"> 2.59, 61; Cyril of Alexandria, </w:t>
      </w:r>
      <w:r w:rsidRPr="006A6D0B">
        <w:rPr>
          <w:i/>
        </w:rPr>
        <w:t>In. Io.</w:t>
      </w:r>
      <w:r>
        <w:t xml:space="preserve"> 1.9.</w:t>
      </w:r>
    </w:p>
  </w:footnote>
  <w:footnote w:id="1305">
    <w:p w:rsidR="00AB3F05" w:rsidRDefault="00AB3F05" w:rsidP="00062AED">
      <w:pPr>
        <w:pStyle w:val="FootnoteText"/>
      </w:pPr>
      <w:r>
        <w:rPr>
          <w:rStyle w:val="FootnoteReference"/>
        </w:rPr>
        <w:footnoteRef/>
      </w:r>
      <w:r>
        <w:t xml:space="preserve"> Cf. Simon Chan: ‘If the bestowal of the Spirit in Jn 20:22 establishes the “legal” status of the church as Christ’s, Pentecost makes the church the dynamic extension of Christ the Truth. In the first event the church stands in a somewhat extrinsic relation to Christ, whereas in the second the church is taken into the eternal life of the Trinity.’ Chan, </w:t>
      </w:r>
      <w:r w:rsidRPr="00C27D5B">
        <w:rPr>
          <w:i/>
        </w:rPr>
        <w:t>Pentecostal Ecclesiology</w:t>
      </w:r>
      <w:r>
        <w:t>, 60.</w:t>
      </w:r>
    </w:p>
  </w:footnote>
  <w:footnote w:id="1306">
    <w:p w:rsidR="00AB3F05" w:rsidRDefault="00AB3F05" w:rsidP="00062AED">
      <w:pPr>
        <w:pStyle w:val="FootnoteText"/>
      </w:pPr>
      <w:r>
        <w:rPr>
          <w:rStyle w:val="FootnoteReference"/>
        </w:rPr>
        <w:footnoteRef/>
      </w:r>
      <w:r>
        <w:t xml:space="preserve"> See above 2.1.2.5, 2.1.3.1, &amp; 2.1.3.4. On the experiential nature of Gal. 4:6 see Dunn, </w:t>
      </w:r>
      <w:r w:rsidRPr="0051506C">
        <w:rPr>
          <w:i/>
        </w:rPr>
        <w:t>Baptism</w:t>
      </w:r>
      <w:r>
        <w:t xml:space="preserve">, 113; James Dunn, ‘Galatians’, in Burke and Warrington, ed., </w:t>
      </w:r>
      <w:r w:rsidRPr="006B6E85">
        <w:rPr>
          <w:i/>
        </w:rPr>
        <w:t>A Biblical Theology of the Holy Spirit</w:t>
      </w:r>
      <w:r>
        <w:t xml:space="preserve">, 181; McDonnell and Montague, </w:t>
      </w:r>
      <w:r w:rsidRPr="0049186A">
        <w:rPr>
          <w:i/>
        </w:rPr>
        <w:t>Christian Initiation and Baptism in the Holy Spirit</w:t>
      </w:r>
      <w:r>
        <w:t xml:space="preserve">, 359; Killian McDonnell, </w:t>
      </w:r>
      <w:r w:rsidRPr="0049186A">
        <w:rPr>
          <w:i/>
        </w:rPr>
        <w:t>The Other Hand of God: The Holy Spirit as the Universal Touch and Goal</w:t>
      </w:r>
      <w:r>
        <w:t xml:space="preserve"> (Collegeville: Liturgical Press, 2003), 163-166. On BHS subsequent to salvation which functions as an assurance of sonship, see Martyn Lloyd-Jones, </w:t>
      </w:r>
      <w:r w:rsidRPr="00E90632">
        <w:rPr>
          <w:i/>
        </w:rPr>
        <w:t xml:space="preserve">God’s Ultimate Purpose: An Exposition of Ephesians One </w:t>
      </w:r>
      <w:r>
        <w:t xml:space="preserve">(Edinburgh: Banner of Truth, 1978), 243-278; Michael A. Eaton, </w:t>
      </w:r>
      <w:r w:rsidRPr="00E90632">
        <w:rPr>
          <w:i/>
        </w:rPr>
        <w:t>Baptism with the Spirit : The Teaching of Martyn Lloyd-Jones</w:t>
      </w:r>
      <w:r>
        <w:t>(Leicester: IVP, 1989), 171-180.</w:t>
      </w:r>
    </w:p>
  </w:footnote>
  <w:footnote w:id="1307">
    <w:p w:rsidR="00AB3F05" w:rsidRDefault="00AB3F05" w:rsidP="00062AED">
      <w:pPr>
        <w:pStyle w:val="FootnoteText"/>
      </w:pPr>
      <w:r>
        <w:rPr>
          <w:rStyle w:val="FootnoteReference"/>
        </w:rPr>
        <w:footnoteRef/>
      </w:r>
      <w:r>
        <w:t xml:space="preserve"> Simon Chan, ‘Evidential Glossolalia and the Doctrine of Subsequence’, </w:t>
      </w:r>
      <w:r w:rsidRPr="00D44A3B">
        <w:rPr>
          <w:i/>
        </w:rPr>
        <w:t>Asian Journal of Pentecostal Studies</w:t>
      </w:r>
      <w:r>
        <w:t xml:space="preserve"> 2.2 (July 1999), 196. NB Chan’s explanation of the Pentecostal understanding of revelation: ‘Revelation, in early Pentecostal parlance, does not mean the disclosure of extra-scriptural truths, but usually means truths that break forth </w:t>
      </w:r>
      <w:r w:rsidRPr="00075B1C">
        <w:rPr>
          <w:i/>
        </w:rPr>
        <w:t>from</w:t>
      </w:r>
      <w:r>
        <w:t xml:space="preserve"> Scripture with a new existential depth and urgency.’ Chan, </w:t>
      </w:r>
      <w:r w:rsidRPr="00075B1C">
        <w:rPr>
          <w:i/>
        </w:rPr>
        <w:t>Pentecostal Ecclesiology</w:t>
      </w:r>
      <w:r>
        <w:t>, 103.</w:t>
      </w:r>
    </w:p>
  </w:footnote>
  <w:footnote w:id="1308">
    <w:p w:rsidR="00AB3F05" w:rsidRDefault="00AB3F05" w:rsidP="00062AED">
      <w:pPr>
        <w:pStyle w:val="FootnoteText"/>
      </w:pPr>
      <w:r>
        <w:rPr>
          <w:rStyle w:val="FootnoteReference"/>
        </w:rPr>
        <w:footnoteRef/>
      </w:r>
      <w:r>
        <w:t xml:space="preserve"> Chan, ‘Evidential Glossolalia and the Doctrine of Subsequence’, 196.</w:t>
      </w:r>
    </w:p>
  </w:footnote>
  <w:footnote w:id="1309">
    <w:p w:rsidR="00AB3F05" w:rsidRDefault="00AB3F05" w:rsidP="00062AED">
      <w:pPr>
        <w:pStyle w:val="FootnoteText"/>
      </w:pPr>
      <w:r>
        <w:rPr>
          <w:rStyle w:val="FootnoteReference"/>
        </w:rPr>
        <w:footnoteRef/>
      </w:r>
      <w:r>
        <w:t xml:space="preserve"> H.I. Lederle, </w:t>
      </w:r>
      <w:r w:rsidRPr="002A110C">
        <w:rPr>
          <w:i/>
        </w:rPr>
        <w:t>Treasures Old and New: Interpretations of Spirit-Baptism in the Charismatic Renewal Movement</w:t>
      </w:r>
      <w:r>
        <w:t xml:space="preserve"> (Peabody: Hendrickson, 1988), 85.</w:t>
      </w:r>
    </w:p>
  </w:footnote>
  <w:footnote w:id="1310">
    <w:p w:rsidR="00AB3F05" w:rsidRDefault="00AB3F05" w:rsidP="00062AED">
      <w:pPr>
        <w:pStyle w:val="FootnoteText"/>
      </w:pPr>
      <w:r>
        <w:rPr>
          <w:rStyle w:val="FootnoteReference"/>
        </w:rPr>
        <w:footnoteRef/>
      </w:r>
      <w:r>
        <w:t xml:space="preserve"> Theodore Jungkuntz, ‘Secularization Theory, Charismatic Renewal, and Luther’s Theology of the Cross’, </w:t>
      </w:r>
      <w:r w:rsidRPr="00A0172C">
        <w:rPr>
          <w:i/>
        </w:rPr>
        <w:t>Concordia Theological Monthly</w:t>
      </w:r>
      <w:r>
        <w:t>, xlii.1 (Jan. 1971), 20.</w:t>
      </w:r>
    </w:p>
  </w:footnote>
  <w:footnote w:id="1311">
    <w:p w:rsidR="00AB3F05" w:rsidRDefault="00AB3F05" w:rsidP="00062AED">
      <w:pPr>
        <w:pStyle w:val="FootnoteText"/>
      </w:pPr>
      <w:r>
        <w:rPr>
          <w:rStyle w:val="FootnoteReference"/>
        </w:rPr>
        <w:footnoteRef/>
      </w:r>
      <w:r>
        <w:t xml:space="preserve"> Ibid., 20-21.</w:t>
      </w:r>
    </w:p>
  </w:footnote>
  <w:footnote w:id="1312">
    <w:p w:rsidR="00AB3F05" w:rsidRDefault="00AB3F05" w:rsidP="00062AED">
      <w:pPr>
        <w:pStyle w:val="FootnoteText"/>
      </w:pPr>
      <w:r>
        <w:rPr>
          <w:rStyle w:val="FootnoteReference"/>
        </w:rPr>
        <w:footnoteRef/>
      </w:r>
      <w:r>
        <w:t xml:space="preserve"> Ibid., 21.</w:t>
      </w:r>
    </w:p>
  </w:footnote>
  <w:footnote w:id="1313">
    <w:p w:rsidR="00AB3F05" w:rsidRDefault="00AB3F05" w:rsidP="00062AED">
      <w:pPr>
        <w:pStyle w:val="FootnoteText"/>
      </w:pPr>
      <w:r>
        <w:rPr>
          <w:rStyle w:val="FootnoteReference"/>
        </w:rPr>
        <w:footnoteRef/>
      </w:r>
      <w:r>
        <w:t xml:space="preserve"> Cf. Thomas Goodwin; see Paul Blackham, ‘The Pneumatology of Thomas Goodwin’, PhD Dissertation, University of London, 1995, 151-164. Cf. also Lloyd-Jones, </w:t>
      </w:r>
      <w:r w:rsidRPr="0064266C">
        <w:rPr>
          <w:i/>
        </w:rPr>
        <w:t>God’s Ultimate Purpose</w:t>
      </w:r>
      <w:r>
        <w:t xml:space="preserve">, 243-288. Lederle discusses a number of ‘Reformed Sealers’, Lederle, </w:t>
      </w:r>
      <w:r w:rsidRPr="00661E21">
        <w:rPr>
          <w:i/>
        </w:rPr>
        <w:t>Treasures</w:t>
      </w:r>
      <w:r>
        <w:t>, 5-9.</w:t>
      </w:r>
    </w:p>
  </w:footnote>
  <w:footnote w:id="1314">
    <w:p w:rsidR="00AB3F05" w:rsidRDefault="00AB3F05" w:rsidP="00062AED">
      <w:pPr>
        <w:pStyle w:val="FootnoteText"/>
      </w:pPr>
      <w:r>
        <w:rPr>
          <w:rStyle w:val="FootnoteReference"/>
        </w:rPr>
        <w:footnoteRef/>
      </w:r>
      <w:r>
        <w:t xml:space="preserve"> Pentecostals are more than happy to look to the long ending of Mark’s Gospel for doctrinal formulation.</w:t>
      </w:r>
    </w:p>
  </w:footnote>
  <w:footnote w:id="1315">
    <w:p w:rsidR="00AB3F05" w:rsidRDefault="00AB3F05" w:rsidP="00062AED">
      <w:pPr>
        <w:pStyle w:val="FootnoteText"/>
      </w:pPr>
      <w:r>
        <w:rPr>
          <w:rStyle w:val="FootnoteReference"/>
        </w:rPr>
        <w:footnoteRef/>
      </w:r>
      <w:r>
        <w:t xml:space="preserve"> Which shows us that ultimately it is the Trinity which comes to us, and thus the power of Pentecost is the power of the Triune God, reminding us that </w:t>
      </w:r>
      <w:r w:rsidRPr="0074146E">
        <w:rPr>
          <w:i/>
        </w:rPr>
        <w:t>opera Trinitatis ad extra indivisa sunt</w:t>
      </w:r>
      <w:r>
        <w:t>.</w:t>
      </w:r>
    </w:p>
  </w:footnote>
  <w:footnote w:id="1316">
    <w:p w:rsidR="00AB3F05" w:rsidRDefault="00AB3F05" w:rsidP="00062AED">
      <w:pPr>
        <w:pStyle w:val="FootnoteText"/>
      </w:pPr>
      <w:r>
        <w:rPr>
          <w:rStyle w:val="FootnoteReference"/>
        </w:rPr>
        <w:footnoteRef/>
      </w:r>
      <w:r>
        <w:t xml:space="preserve"> T.N. Turnbull, ‘The Deity and Personality of the Holy Spirit: The Promise and Power of the Holy Spirit’, </w:t>
      </w:r>
      <w:r w:rsidRPr="00126811">
        <w:rPr>
          <w:i/>
        </w:rPr>
        <w:t>RoG</w:t>
      </w:r>
      <w:r>
        <w:t>, 14.2 (Feb. 1961), 59; see above 2.1.3.3.</w:t>
      </w:r>
    </w:p>
  </w:footnote>
  <w:footnote w:id="1317">
    <w:p w:rsidR="00AB3F05" w:rsidRDefault="00AB3F05" w:rsidP="00062AED">
      <w:pPr>
        <w:pStyle w:val="FootnoteText"/>
      </w:pPr>
      <w:r>
        <w:rPr>
          <w:rStyle w:val="FootnoteReference"/>
        </w:rPr>
        <w:footnoteRef/>
      </w:r>
      <w:r>
        <w:t xml:space="preserve"> See above 2.1.3.3.</w:t>
      </w:r>
    </w:p>
  </w:footnote>
  <w:footnote w:id="1318">
    <w:p w:rsidR="00AB3F05" w:rsidRDefault="00AB3F05" w:rsidP="00062AED">
      <w:pPr>
        <w:pStyle w:val="FootnoteText"/>
      </w:pPr>
      <w:r>
        <w:rPr>
          <w:rStyle w:val="FootnoteReference"/>
        </w:rPr>
        <w:footnoteRef/>
      </w:r>
      <w:r>
        <w:t xml:space="preserve"> Chan, ‘Evidential Glossolalia and the Doctrine of Subsequence’, 205.</w:t>
      </w:r>
    </w:p>
  </w:footnote>
  <w:footnote w:id="1319">
    <w:p w:rsidR="00AB3F05" w:rsidRDefault="00AB3F05" w:rsidP="00062AED">
      <w:pPr>
        <w:pStyle w:val="FootnoteText"/>
      </w:pPr>
      <w:r>
        <w:rPr>
          <w:rStyle w:val="FootnoteReference"/>
        </w:rPr>
        <w:footnoteRef/>
      </w:r>
      <w:r>
        <w:t xml:space="preserve"> Ibid., 204-205.</w:t>
      </w:r>
    </w:p>
  </w:footnote>
  <w:footnote w:id="1320">
    <w:p w:rsidR="00AB3F05" w:rsidRDefault="00AB3F05" w:rsidP="00062AED">
      <w:pPr>
        <w:pStyle w:val="FootnoteText"/>
      </w:pPr>
      <w:r>
        <w:rPr>
          <w:rStyle w:val="FootnoteReference"/>
        </w:rPr>
        <w:footnoteRef/>
      </w:r>
      <w:r>
        <w:t xml:space="preserve"> Chan, </w:t>
      </w:r>
      <w:r w:rsidRPr="00847DAC">
        <w:rPr>
          <w:i/>
        </w:rPr>
        <w:t>Pentecostal Theology and the Christian Spiritual Tradition</w:t>
      </w:r>
      <w:r>
        <w:t>, 54-55.</w:t>
      </w:r>
    </w:p>
  </w:footnote>
  <w:footnote w:id="1321">
    <w:p w:rsidR="00AB3F05" w:rsidRDefault="00AB3F05" w:rsidP="00062AED">
      <w:pPr>
        <w:pStyle w:val="FootnoteText"/>
      </w:pPr>
      <w:r>
        <w:rPr>
          <w:rStyle w:val="FootnoteReference"/>
        </w:rPr>
        <w:footnoteRef/>
      </w:r>
      <w:r>
        <w:t xml:space="preserve"> Ibid., 55.</w:t>
      </w:r>
    </w:p>
  </w:footnote>
  <w:footnote w:id="1322">
    <w:p w:rsidR="00AB3F05" w:rsidRDefault="00AB3F05" w:rsidP="00062AED">
      <w:pPr>
        <w:pStyle w:val="FootnoteText"/>
      </w:pPr>
      <w:r>
        <w:rPr>
          <w:rStyle w:val="FootnoteReference"/>
        </w:rPr>
        <w:footnoteRef/>
      </w:r>
      <w:r>
        <w:t xml:space="preserve"> Smail, </w:t>
      </w:r>
      <w:r w:rsidRPr="00BC2244">
        <w:rPr>
          <w:i/>
        </w:rPr>
        <w:t>Reflected Glory</w:t>
      </w:r>
      <w:r>
        <w:t>, 53.</w:t>
      </w:r>
    </w:p>
  </w:footnote>
  <w:footnote w:id="1323">
    <w:p w:rsidR="00AB3F05" w:rsidRDefault="00AB3F05" w:rsidP="00062AED">
      <w:pPr>
        <w:pStyle w:val="FootnoteText"/>
      </w:pPr>
      <w:r>
        <w:rPr>
          <w:rStyle w:val="FootnoteReference"/>
        </w:rPr>
        <w:footnoteRef/>
      </w:r>
      <w:r>
        <w:t xml:space="preserve"> Ibid., 54.</w:t>
      </w:r>
    </w:p>
  </w:footnote>
  <w:footnote w:id="1324">
    <w:p w:rsidR="00AB3F05" w:rsidRDefault="00AB3F05" w:rsidP="00062AED">
      <w:pPr>
        <w:pStyle w:val="FootnoteText"/>
      </w:pPr>
      <w:r>
        <w:rPr>
          <w:rStyle w:val="FootnoteReference"/>
        </w:rPr>
        <w:footnoteRef/>
      </w:r>
      <w:r>
        <w:t xml:space="preserve"> See above 2.1.3.1; see also C. Ireson, ‘Holy Spirit Baptism’, </w:t>
      </w:r>
      <w:r>
        <w:rPr>
          <w:i/>
        </w:rPr>
        <w:t>RoG</w:t>
      </w:r>
      <w:r>
        <w:t>, xi.4 (March 1936), 315; ‘The Music of Deliverance: Prophetical Ministry through Pastor W.A.C. Rowe’, RoG, xi.1 (Sept. 1935), 29.</w:t>
      </w:r>
    </w:p>
  </w:footnote>
  <w:footnote w:id="1325">
    <w:p w:rsidR="00AB3F05" w:rsidRDefault="00AB3F05" w:rsidP="00062AED">
      <w:pPr>
        <w:pStyle w:val="FootnoteText"/>
      </w:pPr>
      <w:r>
        <w:rPr>
          <w:rStyle w:val="FootnoteReference"/>
        </w:rPr>
        <w:footnoteRef/>
      </w:r>
      <w:r>
        <w:t xml:space="preserve"> Montague &amp; McDonnell, </w:t>
      </w:r>
      <w:r w:rsidRPr="00A85A51">
        <w:rPr>
          <w:i/>
        </w:rPr>
        <w:t>Christian Initiation</w:t>
      </w:r>
      <w:r>
        <w:t>, 14.</w:t>
      </w:r>
    </w:p>
  </w:footnote>
  <w:footnote w:id="1326">
    <w:p w:rsidR="00AB3F05" w:rsidRDefault="00AB3F05" w:rsidP="00062AED">
      <w:pPr>
        <w:pStyle w:val="FootnoteText"/>
      </w:pPr>
      <w:r>
        <w:rPr>
          <w:rStyle w:val="FootnoteReference"/>
        </w:rPr>
        <w:footnoteRef/>
      </w:r>
      <w:r>
        <w:t xml:space="preserve"> Smail, </w:t>
      </w:r>
      <w:r w:rsidRPr="00A85A51">
        <w:rPr>
          <w:i/>
        </w:rPr>
        <w:t>Reflected Glory</w:t>
      </w:r>
      <w:r>
        <w:t>, 112.</w:t>
      </w:r>
    </w:p>
  </w:footnote>
  <w:footnote w:id="1327">
    <w:p w:rsidR="00AB3F05" w:rsidRDefault="00AB3F05" w:rsidP="00062AED">
      <w:pPr>
        <w:pStyle w:val="FootnoteText"/>
      </w:pPr>
      <w:r>
        <w:rPr>
          <w:rStyle w:val="FootnoteReference"/>
        </w:rPr>
        <w:footnoteRef/>
      </w:r>
      <w:r>
        <w:t xml:space="preserve"> Ibid., 116.</w:t>
      </w:r>
    </w:p>
  </w:footnote>
  <w:footnote w:id="1328">
    <w:p w:rsidR="00AB3F05" w:rsidRDefault="00AB3F05" w:rsidP="00062AED">
      <w:pPr>
        <w:pStyle w:val="FootnoteText"/>
      </w:pPr>
      <w:r>
        <w:rPr>
          <w:rStyle w:val="FootnoteReference"/>
        </w:rPr>
        <w:footnoteRef/>
      </w:r>
      <w:r>
        <w:t xml:space="preserve"> See above 2.1.2.5 &amp; 2.1.3.1.</w:t>
      </w:r>
    </w:p>
  </w:footnote>
  <w:footnote w:id="1329">
    <w:p w:rsidR="00AB3F05" w:rsidRDefault="00AB3F05" w:rsidP="00062AED">
      <w:pPr>
        <w:pStyle w:val="FootnoteText"/>
      </w:pPr>
      <w:r>
        <w:rPr>
          <w:rStyle w:val="FootnoteReference"/>
        </w:rPr>
        <w:footnoteRef/>
      </w:r>
      <w:r>
        <w:t xml:space="preserve"> See above 2.1.3.2.</w:t>
      </w:r>
    </w:p>
  </w:footnote>
  <w:footnote w:id="1330">
    <w:p w:rsidR="00AB3F05" w:rsidRDefault="00AB3F05" w:rsidP="00062AED">
      <w:pPr>
        <w:pStyle w:val="FootnoteText"/>
      </w:pPr>
      <w:r>
        <w:rPr>
          <w:rStyle w:val="FootnoteReference"/>
        </w:rPr>
        <w:footnoteRef/>
      </w:r>
      <w:r>
        <w:t xml:space="preserve"> Tenet 7</w:t>
      </w:r>
    </w:p>
  </w:footnote>
  <w:footnote w:id="1331">
    <w:p w:rsidR="00AB3F05" w:rsidRDefault="00AB3F05" w:rsidP="00062AED">
      <w:pPr>
        <w:pStyle w:val="FootnoteText"/>
      </w:pPr>
      <w:r>
        <w:rPr>
          <w:rStyle w:val="FootnoteReference"/>
        </w:rPr>
        <w:footnoteRef/>
      </w:r>
      <w:r>
        <w:t xml:space="preserve"> Although it would include a pouring out of the Spirit, as such language is biblical. See e.g. Acts 2:17-18,33; 10:45; Rom. 5:5. </w:t>
      </w:r>
    </w:p>
  </w:footnote>
  <w:footnote w:id="1332">
    <w:p w:rsidR="00AB3F05" w:rsidRDefault="00AB3F05" w:rsidP="00062AED">
      <w:pPr>
        <w:pStyle w:val="FootnoteText"/>
      </w:pPr>
      <w:r>
        <w:rPr>
          <w:rStyle w:val="FootnoteReference"/>
        </w:rPr>
        <w:footnoteRef/>
      </w:r>
      <w:r>
        <w:t xml:space="preserve"> Frank Hodges explicitly uses the language of ‘an immersion … into the Trinity’. Frank Hodges, ‘The Glory which is to be in and upon the Saints’, </w:t>
      </w:r>
      <w:r w:rsidRPr="00335A27">
        <w:rPr>
          <w:i/>
        </w:rPr>
        <w:t>Floods Upon the Dry Ground</w:t>
      </w:r>
      <w:r>
        <w:t xml:space="preserve"> (Penygroes: Apostolic Publications, 1939), 135.</w:t>
      </w:r>
    </w:p>
  </w:footnote>
  <w:footnote w:id="1333">
    <w:p w:rsidR="00AB3F05" w:rsidRDefault="00AB3F05" w:rsidP="00062AED">
      <w:pPr>
        <w:pStyle w:val="FootnoteText"/>
      </w:pPr>
      <w:r>
        <w:rPr>
          <w:rStyle w:val="FootnoteReference"/>
        </w:rPr>
        <w:footnoteRef/>
      </w:r>
      <w:r>
        <w:t xml:space="preserve"> W.R. Thomas, </w:t>
      </w:r>
      <w:r w:rsidRPr="006666CE">
        <w:rPr>
          <w:i/>
        </w:rPr>
        <w:t>On Ephesians</w:t>
      </w:r>
      <w:r>
        <w:t>, 137. See above 2.2.3.</w:t>
      </w:r>
    </w:p>
  </w:footnote>
  <w:footnote w:id="1334">
    <w:p w:rsidR="00AB3F05" w:rsidRDefault="00AB3F05" w:rsidP="00062AED">
      <w:pPr>
        <w:pStyle w:val="FootnoteText"/>
      </w:pPr>
      <w:r>
        <w:rPr>
          <w:rStyle w:val="FootnoteReference"/>
        </w:rPr>
        <w:footnoteRef/>
      </w:r>
      <w:r>
        <w:t xml:space="preserve"> Cyril of Alexandria, In. Io. 10 (comments on Jn 14:23; ET 2:193-194); Gary M. Burge, ‘The Gospel of John’, in Burke and Warrington, ed., </w:t>
      </w:r>
      <w:r w:rsidRPr="006C42BD">
        <w:rPr>
          <w:i/>
        </w:rPr>
        <w:t>A Biblical Theology of the Holy Spirit</w:t>
      </w:r>
      <w:r>
        <w:t xml:space="preserve">, 111; William P. Atkinson, </w:t>
      </w:r>
      <w:r w:rsidRPr="00252096">
        <w:rPr>
          <w:i/>
        </w:rPr>
        <w:t>Trinity After Pentecost</w:t>
      </w:r>
      <w:r>
        <w:t xml:space="preserve"> (Eugene, OR: Wipf &amp; Stock, 2013), 92; Max Turner, </w:t>
      </w:r>
      <w:r w:rsidRPr="00D83FB1">
        <w:rPr>
          <w:i/>
        </w:rPr>
        <w:t>The Holy Spirit and Spiritual Gifts</w:t>
      </w:r>
      <w:r>
        <w:t xml:space="preserve">, 80-81; </w:t>
      </w:r>
      <w:r w:rsidRPr="00DD1450">
        <w:rPr>
          <w:i/>
        </w:rPr>
        <w:t>Catechism of the Catholic Church</w:t>
      </w:r>
      <w:r>
        <w:t>, 260.</w:t>
      </w:r>
    </w:p>
  </w:footnote>
  <w:footnote w:id="1335">
    <w:p w:rsidR="00AB3F05" w:rsidRDefault="00AB3F05" w:rsidP="00062AED">
      <w:pPr>
        <w:pStyle w:val="FootnoteText"/>
      </w:pPr>
      <w:r>
        <w:rPr>
          <w:rStyle w:val="FootnoteReference"/>
        </w:rPr>
        <w:footnoteRef/>
      </w:r>
      <w:r>
        <w:t xml:space="preserve"> Williams, ‘Human Temples’, 308; See above 2.1.3.1.</w:t>
      </w:r>
    </w:p>
  </w:footnote>
  <w:footnote w:id="1336">
    <w:p w:rsidR="00AB3F05" w:rsidRDefault="00AB3F05" w:rsidP="00062AED">
      <w:pPr>
        <w:pStyle w:val="FootnoteText"/>
      </w:pPr>
      <w:r>
        <w:rPr>
          <w:rStyle w:val="FootnoteReference"/>
        </w:rPr>
        <w:footnoteRef/>
      </w:r>
      <w:r>
        <w:t xml:space="preserve"> Hodges, ‘Divine Love’, 246.</w:t>
      </w:r>
    </w:p>
  </w:footnote>
  <w:footnote w:id="1337">
    <w:p w:rsidR="00AB3F05" w:rsidRDefault="00AB3F05" w:rsidP="00062AED">
      <w:pPr>
        <w:pStyle w:val="FootnoteText"/>
      </w:pPr>
      <w:r>
        <w:rPr>
          <w:rStyle w:val="FootnoteReference"/>
        </w:rPr>
        <w:footnoteRef/>
      </w:r>
      <w:r>
        <w:t xml:space="preserve"> Thomas, </w:t>
      </w:r>
      <w:r w:rsidRPr="009E5505">
        <w:rPr>
          <w:i/>
        </w:rPr>
        <w:t>Paraclete</w:t>
      </w:r>
      <w:r>
        <w:t xml:space="preserve">, xv. See above 2.1.3.4, 2.1.5, &amp; 2.2.2. See further: Jacob Purnell, ‘God’s Perfect Gifts’, </w:t>
      </w:r>
      <w:r>
        <w:rPr>
          <w:i/>
        </w:rPr>
        <w:t>RoG</w:t>
      </w:r>
      <w:r>
        <w:t xml:space="preserve">, vi.6 (July 1931), 245; W.H. Lewis, ‘The Baptism of the Holy Spirit’, </w:t>
      </w:r>
      <w:r>
        <w:rPr>
          <w:i/>
        </w:rPr>
        <w:t>RoG</w:t>
      </w:r>
      <w:r>
        <w:t>, xii.3 (Jan. 1937), 291.</w:t>
      </w:r>
    </w:p>
  </w:footnote>
  <w:footnote w:id="1338">
    <w:p w:rsidR="00AB3F05" w:rsidRDefault="00AB3F05" w:rsidP="00062AED">
      <w:pPr>
        <w:pStyle w:val="FootnoteText"/>
      </w:pPr>
      <w:r>
        <w:rPr>
          <w:rStyle w:val="FootnoteReference"/>
        </w:rPr>
        <w:footnoteRef/>
      </w:r>
      <w:r>
        <w:t xml:space="preserve"> See above 2.1.5.1 &amp; 5.1.3.</w:t>
      </w:r>
    </w:p>
  </w:footnote>
  <w:footnote w:id="1339">
    <w:p w:rsidR="00AB3F05" w:rsidRDefault="00AB3F05" w:rsidP="00062AED">
      <w:pPr>
        <w:pStyle w:val="FootnoteText"/>
      </w:pPr>
      <w:r>
        <w:rPr>
          <w:rStyle w:val="FootnoteReference"/>
        </w:rPr>
        <w:footnoteRef/>
      </w:r>
      <w:r>
        <w:t xml:space="preserve"> Cyril of Alexandria, </w:t>
      </w:r>
      <w:r w:rsidRPr="00276BD1">
        <w:rPr>
          <w:i/>
        </w:rPr>
        <w:t>In Luc.</w:t>
      </w:r>
      <w:r>
        <w:t xml:space="preserve">, Hom. x,xi; idem., </w:t>
      </w:r>
      <w:r w:rsidRPr="00276BD1">
        <w:rPr>
          <w:i/>
        </w:rPr>
        <w:t>Five Tomes Against Nestorius</w:t>
      </w:r>
      <w:r>
        <w:t xml:space="preserve">, iii.2. See further, Keating, </w:t>
      </w:r>
      <w:r w:rsidRPr="00E72165">
        <w:rPr>
          <w:i/>
        </w:rPr>
        <w:t>Appropriation of Divine Life</w:t>
      </w:r>
      <w:r>
        <w:t xml:space="preserve">, 42-43,54-64,75-80, 102-104,129,193; Cynthia Peters Anderson, </w:t>
      </w:r>
      <w:r w:rsidRPr="00276BD1">
        <w:rPr>
          <w:i/>
        </w:rPr>
        <w:t>Reclaiming Participation</w:t>
      </w:r>
      <w:r>
        <w:rPr>
          <w:i/>
        </w:rPr>
        <w:t>:</w:t>
      </w:r>
      <w:r w:rsidRPr="00163B9F">
        <w:t xml:space="preserve"> </w:t>
      </w:r>
      <w:r>
        <w:rPr>
          <w:i/>
        </w:rPr>
        <w:t>Christ as God's Life for All</w:t>
      </w:r>
      <w:r w:rsidRPr="00163B9F">
        <w:rPr>
          <w:i/>
        </w:rPr>
        <w:t xml:space="preserve"> </w:t>
      </w:r>
      <w:r w:rsidRPr="00163B9F">
        <w:t>(Minneapolis: Fortress, 2014),</w:t>
      </w:r>
      <w:r>
        <w:t xml:space="preserve"> 61,71-72; Ben Blackwell, </w:t>
      </w:r>
      <w:r w:rsidRPr="00376F83">
        <w:rPr>
          <w:i/>
        </w:rPr>
        <w:t>Christosis</w:t>
      </w:r>
      <w:r>
        <w:rPr>
          <w:i/>
        </w:rPr>
        <w:t xml:space="preserve">: </w:t>
      </w:r>
      <w:r w:rsidRPr="00D54E27">
        <w:rPr>
          <w:i/>
        </w:rPr>
        <w:t xml:space="preserve">Pauline Soteriology in Light of Deification in Irenaeus and Cyril of Alexandria </w:t>
      </w:r>
      <w:r w:rsidRPr="00D54E27">
        <w:t>(Tübingen: Mohr Siebeck, 2011)</w:t>
      </w:r>
      <w:r>
        <w:t>, 81-82,91.</w:t>
      </w:r>
    </w:p>
  </w:footnote>
  <w:footnote w:id="1340">
    <w:p w:rsidR="00AB3F05" w:rsidRDefault="00AB3F05" w:rsidP="00062AED">
      <w:pPr>
        <w:pStyle w:val="FootnoteText"/>
      </w:pPr>
      <w:r>
        <w:rPr>
          <w:rStyle w:val="FootnoteReference"/>
        </w:rPr>
        <w:footnoteRef/>
      </w:r>
      <w:r>
        <w:t xml:space="preserve"> Russell, </w:t>
      </w:r>
      <w:r w:rsidRPr="0055715D">
        <w:rPr>
          <w:i/>
        </w:rPr>
        <w:t>Deification</w:t>
      </w:r>
      <w:r>
        <w:t>, 245.</w:t>
      </w:r>
    </w:p>
  </w:footnote>
  <w:footnote w:id="1341">
    <w:p w:rsidR="00AB3F05" w:rsidRDefault="00AB3F05" w:rsidP="00062AED">
      <w:pPr>
        <w:pStyle w:val="FootnoteText"/>
      </w:pPr>
      <w:r>
        <w:rPr>
          <w:rStyle w:val="FootnoteReference"/>
        </w:rPr>
        <w:footnoteRef/>
      </w:r>
      <w:r>
        <w:t xml:space="preserve"> Ibid., 302; For Pentecostal and Charismatic appraisals of Symeon’s understanding of BHS, see Hunter, </w:t>
      </w:r>
      <w:r w:rsidRPr="00373D21">
        <w:rPr>
          <w:i/>
        </w:rPr>
        <w:t>Spirit-Baptism</w:t>
      </w:r>
      <w:r>
        <w:t xml:space="preserve">, 147-148; Simon Tugwell, </w:t>
      </w:r>
      <w:r w:rsidRPr="00373D21">
        <w:rPr>
          <w:i/>
        </w:rPr>
        <w:t>Did you receive the Spirit?</w:t>
      </w:r>
      <w:r>
        <w:t xml:space="preserve"> (London: Darton, Longman &amp; Todd, 1972), 52-55; S.M. Burgess, ‘Symeon the New Theologian’, </w:t>
      </w:r>
      <w:r w:rsidRPr="00373D21">
        <w:rPr>
          <w:i/>
        </w:rPr>
        <w:t>NIDPCM</w:t>
      </w:r>
      <w:r>
        <w:t>, 1112.</w:t>
      </w:r>
    </w:p>
  </w:footnote>
  <w:footnote w:id="1342">
    <w:p w:rsidR="00AB3F05" w:rsidRDefault="00AB3F05" w:rsidP="00062AED">
      <w:pPr>
        <w:pStyle w:val="FootnoteText"/>
      </w:pPr>
      <w:r>
        <w:rPr>
          <w:rStyle w:val="FootnoteReference"/>
        </w:rPr>
        <w:footnoteRef/>
      </w:r>
      <w:r>
        <w:t xml:space="preserve"> Russell, </w:t>
      </w:r>
      <w:r w:rsidRPr="00D67431">
        <w:rPr>
          <w:i/>
        </w:rPr>
        <w:t>Deification</w:t>
      </w:r>
      <w:r>
        <w:t>, 321.</w:t>
      </w:r>
    </w:p>
  </w:footnote>
  <w:footnote w:id="1343">
    <w:p w:rsidR="00AB3F05" w:rsidRDefault="00AB3F05" w:rsidP="00062AED">
      <w:pPr>
        <w:pStyle w:val="FootnoteText"/>
      </w:pPr>
      <w:r>
        <w:rPr>
          <w:rStyle w:val="FootnoteReference"/>
        </w:rPr>
        <w:footnoteRef/>
      </w:r>
      <w:r>
        <w:t xml:space="preserve"> Fairbairn, ‘Patristic Soteriology’, 307.</w:t>
      </w:r>
    </w:p>
  </w:footnote>
  <w:footnote w:id="1344">
    <w:p w:rsidR="00AB3F05" w:rsidRDefault="00AB3F05" w:rsidP="00062AED">
      <w:pPr>
        <w:pStyle w:val="FootnoteText"/>
      </w:pPr>
      <w:r>
        <w:rPr>
          <w:rStyle w:val="FootnoteReference"/>
        </w:rPr>
        <w:footnoteRef/>
      </w:r>
      <w:r>
        <w:t xml:space="preserve"> Ibid., 306. Fairbairn notes that ‘the juridical way of understanding salvation also emphasizes adoption, but that view understands the word “adoption” primarily in a legal way, as an indication of the believer’s changed </w:t>
      </w:r>
      <w:r w:rsidRPr="003C0FF6">
        <w:rPr>
          <w:i/>
        </w:rPr>
        <w:t>status</w:t>
      </w:r>
      <w:r>
        <w:t xml:space="preserve"> before God. In contrast, the participatory understanding of adoption concentrates on the personal aspect of adoption/salvation – the believer’s sharing in the very fellowship that unites the Father and the Son.’ Ibid., 293-294.</w:t>
      </w:r>
    </w:p>
  </w:footnote>
  <w:footnote w:id="1345">
    <w:p w:rsidR="00AB3F05" w:rsidRDefault="00AB3F05" w:rsidP="00062AED">
      <w:pPr>
        <w:pStyle w:val="FootnoteText"/>
      </w:pPr>
      <w:r>
        <w:rPr>
          <w:rStyle w:val="FootnoteReference"/>
        </w:rPr>
        <w:footnoteRef/>
      </w:r>
      <w:r>
        <w:t xml:space="preserve"> Simon Chan, ‘The Language Game of Glossolalia, or Making Sense of the “Initial Evidence”’, in Wonsuk Ma &amp; Robert P. Menzies, ed., </w:t>
      </w:r>
      <w:r w:rsidRPr="00575890">
        <w:rPr>
          <w:i/>
        </w:rPr>
        <w:t>Pentecostalism in Context: Essays in Honor of William P. Menzies</w:t>
      </w:r>
      <w:r>
        <w:t xml:space="preserve">, (Eugene: Wipf &amp; Stock, 2008), 91; Cf. Eaton’s assessment of Lloyd-Jones’ teaching, Eaton, </w:t>
      </w:r>
      <w:r w:rsidRPr="00491625">
        <w:rPr>
          <w:i/>
        </w:rPr>
        <w:t>Baptism with the Spirit</w:t>
      </w:r>
      <w:r>
        <w:t>, 240-242.</w:t>
      </w:r>
    </w:p>
  </w:footnote>
  <w:footnote w:id="1346">
    <w:p w:rsidR="00AB3F05" w:rsidRDefault="00AB3F05" w:rsidP="00062AED">
      <w:pPr>
        <w:pStyle w:val="FootnoteText"/>
      </w:pPr>
      <w:r>
        <w:rPr>
          <w:rStyle w:val="FootnoteReference"/>
        </w:rPr>
        <w:footnoteRef/>
      </w:r>
      <w:r>
        <w:t xml:space="preserve"> Eaton, </w:t>
      </w:r>
      <w:r w:rsidRPr="00625D38">
        <w:rPr>
          <w:i/>
        </w:rPr>
        <w:t>Baptism with the Spirit</w:t>
      </w:r>
      <w:r>
        <w:t>, 240.</w:t>
      </w:r>
    </w:p>
  </w:footnote>
  <w:footnote w:id="1347">
    <w:p w:rsidR="00AB3F05" w:rsidRDefault="00AB3F05" w:rsidP="00062AED">
      <w:pPr>
        <w:pStyle w:val="FootnoteText"/>
      </w:pPr>
      <w:r>
        <w:rPr>
          <w:rStyle w:val="FootnoteReference"/>
        </w:rPr>
        <w:footnoteRef/>
      </w:r>
      <w:r>
        <w:t xml:space="preserve"> Chan, </w:t>
      </w:r>
      <w:r w:rsidRPr="00A460C0">
        <w:rPr>
          <w:i/>
        </w:rPr>
        <w:t>Pentecostal Ecclesiology</w:t>
      </w:r>
      <w:r>
        <w:t xml:space="preserve">, 77,81,94; Macchia, </w:t>
      </w:r>
      <w:r w:rsidRPr="00A460C0">
        <w:rPr>
          <w:i/>
        </w:rPr>
        <w:t>Baptized in the Spirit</w:t>
      </w:r>
      <w:r>
        <w:t xml:space="preserve">, 155; Smail, </w:t>
      </w:r>
      <w:r w:rsidRPr="007263C3">
        <w:rPr>
          <w:i/>
        </w:rPr>
        <w:t>Reflected Glory</w:t>
      </w:r>
      <w:r>
        <w:t xml:space="preserve">, 58. </w:t>
      </w:r>
    </w:p>
  </w:footnote>
  <w:footnote w:id="1348">
    <w:p w:rsidR="00AB3F05" w:rsidRDefault="00AB3F05" w:rsidP="00062AED">
      <w:pPr>
        <w:pStyle w:val="FootnoteText"/>
      </w:pPr>
      <w:r>
        <w:rPr>
          <w:rStyle w:val="FootnoteReference"/>
        </w:rPr>
        <w:footnoteRef/>
      </w:r>
      <w:r>
        <w:t xml:space="preserve"> </w:t>
      </w:r>
      <w:r w:rsidRPr="00916F4D">
        <w:t xml:space="preserve">Arnold Bittlinger, ‘Baptized in Water and in Spirit’, cited in Lederle, </w:t>
      </w:r>
      <w:r w:rsidRPr="00916F4D">
        <w:rPr>
          <w:i/>
        </w:rPr>
        <w:t>Treasures</w:t>
      </w:r>
      <w:r w:rsidRPr="00916F4D">
        <w:t>, 173</w:t>
      </w:r>
      <w:r>
        <w:t>.</w:t>
      </w:r>
    </w:p>
  </w:footnote>
  <w:footnote w:id="1349">
    <w:p w:rsidR="00AB3F05" w:rsidRDefault="00AB3F05" w:rsidP="00062AED">
      <w:pPr>
        <w:pStyle w:val="FootnoteText"/>
      </w:pPr>
      <w:r>
        <w:rPr>
          <w:rStyle w:val="FootnoteReference"/>
        </w:rPr>
        <w:footnoteRef/>
      </w:r>
      <w:r>
        <w:t xml:space="preserve"> George Montague points to the ecclesial dimension of BHS in Matthew, Luke-Acts, and Paul; see McDonnell &amp; Montague, </w:t>
      </w:r>
      <w:r w:rsidRPr="008C1431">
        <w:rPr>
          <w:i/>
        </w:rPr>
        <w:t>Christian Initiation</w:t>
      </w:r>
      <w:r>
        <w:t>, 1-22,34,73-75,85.</w:t>
      </w:r>
    </w:p>
  </w:footnote>
  <w:footnote w:id="1350">
    <w:p w:rsidR="00AB3F05" w:rsidRDefault="00AB3F05" w:rsidP="00062AED">
      <w:pPr>
        <w:pStyle w:val="FootnoteText"/>
      </w:pPr>
      <w:r>
        <w:rPr>
          <w:rStyle w:val="FootnoteReference"/>
        </w:rPr>
        <w:footnoteRef/>
      </w:r>
      <w:r>
        <w:t xml:space="preserve"> Turnbull, </w:t>
      </w:r>
      <w:r w:rsidRPr="00295F17">
        <w:rPr>
          <w:i/>
        </w:rPr>
        <w:t>Brothers</w:t>
      </w:r>
      <w:r>
        <w:t>, 22.</w:t>
      </w:r>
    </w:p>
  </w:footnote>
  <w:footnote w:id="1351">
    <w:p w:rsidR="00AB3F05" w:rsidRDefault="00AB3F05" w:rsidP="00062AED">
      <w:pPr>
        <w:pStyle w:val="FootnoteText"/>
      </w:pPr>
      <w:r>
        <w:rPr>
          <w:rStyle w:val="FootnoteReference"/>
        </w:rPr>
        <w:footnoteRef/>
      </w:r>
      <w:r>
        <w:t xml:space="preserve"> See above 2.1.4.1-2.</w:t>
      </w:r>
    </w:p>
  </w:footnote>
  <w:footnote w:id="1352">
    <w:p w:rsidR="00AB3F05" w:rsidRDefault="00AB3F05" w:rsidP="00062AED">
      <w:pPr>
        <w:pStyle w:val="FootnoteText"/>
      </w:pPr>
      <w:r>
        <w:rPr>
          <w:rStyle w:val="FootnoteReference"/>
        </w:rPr>
        <w:footnoteRef/>
      </w:r>
      <w:r>
        <w:t xml:space="preserve"> Chan, </w:t>
      </w:r>
      <w:r w:rsidRPr="00EE5C1F">
        <w:rPr>
          <w:i/>
        </w:rPr>
        <w:t>Pentecostal Ecclesiology</w:t>
      </w:r>
      <w:r>
        <w:t>, 61.</w:t>
      </w:r>
    </w:p>
  </w:footnote>
  <w:footnote w:id="1353">
    <w:p w:rsidR="00AB3F05" w:rsidRDefault="00AB3F05" w:rsidP="00062AED">
      <w:pPr>
        <w:pStyle w:val="FootnoteText"/>
      </w:pPr>
      <w:r>
        <w:rPr>
          <w:rStyle w:val="FootnoteReference"/>
        </w:rPr>
        <w:footnoteRef/>
      </w:r>
      <w:r>
        <w:t xml:space="preserve"> Ibid., 77.</w:t>
      </w:r>
    </w:p>
  </w:footnote>
  <w:footnote w:id="1354">
    <w:p w:rsidR="00AB3F05" w:rsidRDefault="00AB3F05" w:rsidP="00062AED">
      <w:pPr>
        <w:pStyle w:val="FootnoteText"/>
      </w:pPr>
      <w:r>
        <w:rPr>
          <w:rStyle w:val="FootnoteReference"/>
        </w:rPr>
        <w:footnoteRef/>
      </w:r>
      <w:r>
        <w:t xml:space="preserve"> Ibid., 94.</w:t>
      </w:r>
    </w:p>
  </w:footnote>
  <w:footnote w:id="1355">
    <w:p w:rsidR="00AB3F05" w:rsidRDefault="00AB3F05" w:rsidP="00062AED">
      <w:pPr>
        <w:pStyle w:val="FootnoteText"/>
      </w:pPr>
      <w:r>
        <w:rPr>
          <w:rStyle w:val="FootnoteReference"/>
        </w:rPr>
        <w:footnoteRef/>
      </w:r>
      <w:r>
        <w:t xml:space="preserve"> The other great question which has haunted Apostolic thinkers has been that of holding together both unconditional election and the possibility of falling from grace. Both questions have been answered in different ways by Apostolic thinkers, but neither question has gone away.</w:t>
      </w:r>
    </w:p>
  </w:footnote>
  <w:footnote w:id="1356">
    <w:p w:rsidR="00AB3F05" w:rsidRDefault="00AB3F05" w:rsidP="00062AED">
      <w:pPr>
        <w:pStyle w:val="FootnoteText"/>
      </w:pPr>
      <w:r>
        <w:rPr>
          <w:rStyle w:val="FootnoteReference"/>
        </w:rPr>
        <w:footnoteRef/>
      </w:r>
      <w:r>
        <w:t xml:space="preserve"> See above 2.1.4.1-2. We have also noted above how D.P. Williams appears to have changed his view on the matter, without compromising his strongly ecclesiological understanding of BHS. See above 4.2.3.1.</w:t>
      </w:r>
    </w:p>
  </w:footnote>
  <w:footnote w:id="1357">
    <w:p w:rsidR="00AB3F05" w:rsidRDefault="00AB3F05" w:rsidP="00062AED">
      <w:pPr>
        <w:pStyle w:val="FootnoteText"/>
      </w:pPr>
      <w:r>
        <w:rPr>
          <w:rStyle w:val="FootnoteReference"/>
        </w:rPr>
        <w:footnoteRef/>
      </w:r>
      <w:r>
        <w:t xml:space="preserve"> Smail, </w:t>
      </w:r>
      <w:r w:rsidRPr="0005214D">
        <w:rPr>
          <w:i/>
        </w:rPr>
        <w:t>Reflected Glory</w:t>
      </w:r>
      <w:r>
        <w:t>, 82.</w:t>
      </w:r>
    </w:p>
  </w:footnote>
  <w:footnote w:id="1358">
    <w:p w:rsidR="00AB3F05" w:rsidRDefault="00AB3F05" w:rsidP="00062AED">
      <w:pPr>
        <w:pStyle w:val="FootnoteText"/>
      </w:pPr>
      <w:r>
        <w:rPr>
          <w:rStyle w:val="FootnoteReference"/>
        </w:rPr>
        <w:footnoteRef/>
      </w:r>
      <w:r>
        <w:t xml:space="preserve"> </w:t>
      </w:r>
      <w:r w:rsidRPr="00370520">
        <w:t xml:space="preserve">See, Keith Warrington, ‘The Synoptic Gospels’, in Burke &amp; Warrington, ed., </w:t>
      </w:r>
      <w:r w:rsidRPr="00370520">
        <w:rPr>
          <w:i/>
        </w:rPr>
        <w:t>A Biblical Theology of the Holy Spirit</w:t>
      </w:r>
      <w:r w:rsidRPr="00370520">
        <w:t>, 94-95.</w:t>
      </w:r>
    </w:p>
  </w:footnote>
  <w:footnote w:id="1359">
    <w:p w:rsidR="00AB3F05" w:rsidRDefault="00AB3F05" w:rsidP="00062AED">
      <w:pPr>
        <w:pStyle w:val="FootnoteText"/>
      </w:pPr>
      <w:r>
        <w:rPr>
          <w:rStyle w:val="FootnoteReference"/>
        </w:rPr>
        <w:footnoteRef/>
      </w:r>
      <w:r>
        <w:t xml:space="preserve"> Cf. Joel 2:28-32; Acts 2:17-21.</w:t>
      </w:r>
    </w:p>
  </w:footnote>
  <w:footnote w:id="1360">
    <w:p w:rsidR="00AB3F05" w:rsidRDefault="00AB3F05" w:rsidP="00062AED">
      <w:pPr>
        <w:pStyle w:val="FootnoteText"/>
      </w:pPr>
      <w:r>
        <w:rPr>
          <w:rStyle w:val="FootnoteReference"/>
        </w:rPr>
        <w:footnoteRef/>
      </w:r>
      <w:r>
        <w:t xml:space="preserve"> E.g. Riggs, </w:t>
      </w:r>
      <w:r w:rsidRPr="00685157">
        <w:rPr>
          <w:i/>
        </w:rPr>
        <w:t>Spirit Himself</w:t>
      </w:r>
      <w:r>
        <w:t xml:space="preserve">, 64,105; Horton, </w:t>
      </w:r>
      <w:r w:rsidRPr="00A16D99">
        <w:rPr>
          <w:i/>
        </w:rPr>
        <w:t>What the Bible Says About the Holy Spirit</w:t>
      </w:r>
      <w:r>
        <w:t>, 171-172.</w:t>
      </w:r>
    </w:p>
  </w:footnote>
  <w:footnote w:id="1361">
    <w:p w:rsidR="00AB3F05" w:rsidRDefault="00AB3F05" w:rsidP="00062AED">
      <w:pPr>
        <w:pStyle w:val="FootnoteText"/>
      </w:pPr>
      <w:r>
        <w:rPr>
          <w:rStyle w:val="FootnoteReference"/>
        </w:rPr>
        <w:footnoteRef/>
      </w:r>
      <w:r>
        <w:t xml:space="preserve"> Chan, </w:t>
      </w:r>
      <w:r w:rsidRPr="00F74322">
        <w:rPr>
          <w:i/>
        </w:rPr>
        <w:t>Pentecostal Ecclesiology</w:t>
      </w:r>
      <w:r>
        <w:t>, 70.</w:t>
      </w:r>
    </w:p>
  </w:footnote>
  <w:footnote w:id="1362">
    <w:p w:rsidR="00AB3F05" w:rsidRDefault="00AB3F05" w:rsidP="00062AED">
      <w:pPr>
        <w:pStyle w:val="FootnoteText"/>
      </w:pPr>
      <w:r>
        <w:rPr>
          <w:rStyle w:val="FootnoteReference"/>
        </w:rPr>
        <w:footnoteRef/>
      </w:r>
      <w:r>
        <w:t xml:space="preserve"> It is even specifically enumerated as one of the blessings in the passage as the sealing of the Spirit (Eph. 1:13-14).</w:t>
      </w:r>
    </w:p>
  </w:footnote>
  <w:footnote w:id="1363">
    <w:p w:rsidR="00AB3F05" w:rsidRDefault="00AB3F05" w:rsidP="00062AED">
      <w:pPr>
        <w:pStyle w:val="FootnoteText"/>
      </w:pPr>
      <w:r>
        <w:rPr>
          <w:rStyle w:val="FootnoteReference"/>
        </w:rPr>
        <w:footnoteRef/>
      </w:r>
      <w:r>
        <w:t xml:space="preserve"> E.g. Frederick Dale Bruner, </w:t>
      </w:r>
      <w:r w:rsidRPr="00496775">
        <w:rPr>
          <w:i/>
        </w:rPr>
        <w:t xml:space="preserve">A Theology of the Holy Spirit: The Pentecostal Experience and the New Testament Witness </w:t>
      </w:r>
      <w:r>
        <w:t xml:space="preserve">(London: Hodder &amp; Stoughton, 1971), 241-242; Smail, </w:t>
      </w:r>
      <w:r w:rsidRPr="00D8603A">
        <w:rPr>
          <w:i/>
        </w:rPr>
        <w:t>Reflected Glory</w:t>
      </w:r>
      <w:r>
        <w:t>, 45.</w:t>
      </w:r>
    </w:p>
  </w:footnote>
  <w:footnote w:id="1364">
    <w:p w:rsidR="00AB3F05" w:rsidRDefault="00AB3F05" w:rsidP="00062AED">
      <w:pPr>
        <w:pStyle w:val="FootnoteText"/>
      </w:pPr>
      <w:r>
        <w:rPr>
          <w:rStyle w:val="FootnoteReference"/>
        </w:rPr>
        <w:footnoteRef/>
      </w:r>
      <w:r>
        <w:t xml:space="preserve"> Smail, </w:t>
      </w:r>
      <w:r w:rsidRPr="00E84CE5">
        <w:rPr>
          <w:i/>
        </w:rPr>
        <w:t>Reflected Glory</w:t>
      </w:r>
      <w:r>
        <w:t>, 44-45; cf. 44-49.</w:t>
      </w:r>
    </w:p>
  </w:footnote>
  <w:footnote w:id="1365">
    <w:p w:rsidR="00AB3F05" w:rsidRDefault="00AB3F05" w:rsidP="00062AED">
      <w:pPr>
        <w:pStyle w:val="FootnoteText"/>
      </w:pPr>
      <w:r>
        <w:rPr>
          <w:rStyle w:val="FootnoteReference"/>
        </w:rPr>
        <w:footnoteRef/>
      </w:r>
      <w:r>
        <w:t xml:space="preserve"> See above 3.2.1.</w:t>
      </w:r>
    </w:p>
  </w:footnote>
  <w:footnote w:id="1366">
    <w:p w:rsidR="00AB3F05" w:rsidRDefault="00AB3F05" w:rsidP="00062AED">
      <w:pPr>
        <w:pStyle w:val="FootnoteText"/>
      </w:pPr>
      <w:r>
        <w:rPr>
          <w:rStyle w:val="FootnoteReference"/>
        </w:rPr>
        <w:footnoteRef/>
      </w:r>
      <w:r>
        <w:t xml:space="preserve"> A.L Greenway, ‘Deeper in Thee’, </w:t>
      </w:r>
      <w:r w:rsidRPr="00665438">
        <w:rPr>
          <w:i/>
        </w:rPr>
        <w:t>Gospel Quintet Choruses 8</w:t>
      </w:r>
      <w:r>
        <w:t xml:space="preserve"> (Bradford: Puritan Press, 1950), No. 379.</w:t>
      </w:r>
    </w:p>
  </w:footnote>
  <w:footnote w:id="1367">
    <w:p w:rsidR="00AB3F05" w:rsidRDefault="00AB3F05" w:rsidP="00062AED">
      <w:pPr>
        <w:pStyle w:val="FootnoteText"/>
      </w:pPr>
      <w:r>
        <w:rPr>
          <w:rStyle w:val="FootnoteReference"/>
        </w:rPr>
        <w:footnoteRef/>
      </w:r>
      <w:r>
        <w:t xml:space="preserve"> Smail, </w:t>
      </w:r>
      <w:r w:rsidRPr="006F7501">
        <w:rPr>
          <w:i/>
        </w:rPr>
        <w:t>Reflected Glory</w:t>
      </w:r>
      <w:r>
        <w:t>, 45.</w:t>
      </w:r>
    </w:p>
  </w:footnote>
  <w:footnote w:id="1368">
    <w:p w:rsidR="00AB3F05" w:rsidRDefault="00AB3F05" w:rsidP="00062AED">
      <w:pPr>
        <w:pStyle w:val="FootnoteText"/>
      </w:pPr>
      <w:r>
        <w:rPr>
          <w:rStyle w:val="FootnoteReference"/>
        </w:rPr>
        <w:footnoteRef/>
      </w:r>
      <w:r>
        <w:t xml:space="preserve"> M. Jeff Brannon, </w:t>
      </w:r>
      <w:r w:rsidRPr="00141D53">
        <w:rPr>
          <w:i/>
        </w:rPr>
        <w:t>‘The Heavenlies’ in Ephesians: A Lexical, Exegetical and Conceptual Analysis</w:t>
      </w:r>
      <w:r>
        <w:t>, PhD diss., University of Edinburgh, 2010.</w:t>
      </w:r>
    </w:p>
  </w:footnote>
  <w:footnote w:id="1369">
    <w:p w:rsidR="00AB3F05" w:rsidRDefault="00AB3F05" w:rsidP="00062AED">
      <w:pPr>
        <w:pStyle w:val="FootnoteText"/>
      </w:pPr>
      <w:r>
        <w:rPr>
          <w:rStyle w:val="FootnoteReference"/>
        </w:rPr>
        <w:footnoteRef/>
      </w:r>
      <w:r>
        <w:t xml:space="preserve"> Ibid., 125-128, 242.</w:t>
      </w:r>
    </w:p>
  </w:footnote>
  <w:footnote w:id="1370">
    <w:p w:rsidR="00AB3F05" w:rsidRDefault="00AB3F05" w:rsidP="00062AED">
      <w:pPr>
        <w:pStyle w:val="FootnoteText"/>
      </w:pPr>
      <w:r>
        <w:rPr>
          <w:rStyle w:val="FootnoteReference"/>
        </w:rPr>
        <w:footnoteRef/>
      </w:r>
      <w:r>
        <w:t xml:space="preserve"> For Brannon’s discussion of ‘the heavenly gift’ of Eph. 6:4 (without reference to ‘the powers of the age to come’ of 6:5) see, ibid., 102. O’Brien interprets this as ‘the inbreaking of “the age to come”’; Peter T. O’Brien, </w:t>
      </w:r>
      <w:r w:rsidRPr="00D93EAF">
        <w:rPr>
          <w:i/>
        </w:rPr>
        <w:t>The Letter to the Hebrews</w:t>
      </w:r>
      <w:r>
        <w:t>, Pillar New Testament Commentary (Nottingham/Grand Rapids: Apollos/Eerdmans, 2010), 223.</w:t>
      </w:r>
    </w:p>
  </w:footnote>
  <w:footnote w:id="1371">
    <w:p w:rsidR="00AB3F05" w:rsidRDefault="00AB3F05" w:rsidP="00062AED">
      <w:pPr>
        <w:pStyle w:val="FootnoteText"/>
      </w:pPr>
      <w:r>
        <w:rPr>
          <w:rStyle w:val="FootnoteReference"/>
        </w:rPr>
        <w:footnoteRef/>
      </w:r>
      <w:r>
        <w:t xml:space="preserve"> Cf. </w:t>
      </w:r>
      <w:r w:rsidRPr="00BB2B60">
        <w:t xml:space="preserve">Similar 3-fold nature to adoption </w:t>
      </w:r>
      <w:r>
        <w:t>in NT.</w:t>
      </w:r>
    </w:p>
  </w:footnote>
  <w:footnote w:id="1372">
    <w:p w:rsidR="00AB3F05" w:rsidRDefault="00AB3F05" w:rsidP="00062AED">
      <w:pPr>
        <w:pStyle w:val="FootnoteText"/>
      </w:pPr>
      <w:r>
        <w:rPr>
          <w:rStyle w:val="FootnoteReference"/>
        </w:rPr>
        <w:footnoteRef/>
      </w:r>
      <w:r>
        <w:t xml:space="preserve"> Cf. Macchia: ‘Spirit baptism as mediated through the risen Christ [will be] fulfilled at his return on the “Day of the Lord” (Acts 2:17-21)’, Macchia, </w:t>
      </w:r>
      <w:r w:rsidRPr="00D3766B">
        <w:rPr>
          <w:i/>
        </w:rPr>
        <w:t>Baptized in the Spirit</w:t>
      </w:r>
      <w:r>
        <w:t>, 191; ‘the eschatological fulfilment of the Spirit-baptized church [is] in the new creation’, ibid., 228.</w:t>
      </w:r>
    </w:p>
  </w:footnote>
  <w:footnote w:id="1373">
    <w:p w:rsidR="00AB3F05" w:rsidRDefault="00AB3F05" w:rsidP="00062AED">
      <w:pPr>
        <w:pStyle w:val="FootnoteText"/>
      </w:pPr>
      <w:r>
        <w:rPr>
          <w:rStyle w:val="FootnoteReference"/>
        </w:rPr>
        <w:footnoteRef/>
      </w:r>
      <w:r>
        <w:t xml:space="preserve"> Smail, </w:t>
      </w:r>
      <w:r w:rsidRPr="00F05A8F">
        <w:rPr>
          <w:i/>
        </w:rPr>
        <w:t>Reflected Glory</w:t>
      </w:r>
      <w:r>
        <w:t xml:space="preserve">, 34, cf. 124; cf. Simon Chan, </w:t>
      </w:r>
      <w:r w:rsidRPr="00D37A80">
        <w:rPr>
          <w:i/>
        </w:rPr>
        <w:t>Grass Roots Asian Theology</w:t>
      </w:r>
      <w:r>
        <w:t>, 110.</w:t>
      </w:r>
    </w:p>
  </w:footnote>
  <w:footnote w:id="1374">
    <w:p w:rsidR="00AB3F05" w:rsidRDefault="00AB3F05" w:rsidP="00062AED">
      <w:pPr>
        <w:pStyle w:val="FootnoteText"/>
      </w:pPr>
      <w:r>
        <w:rPr>
          <w:rStyle w:val="FootnoteReference"/>
        </w:rPr>
        <w:footnoteRef/>
      </w:r>
      <w:r>
        <w:t xml:space="preserve"> Cf. Jesus’ baptism in the Jordan as a prolepsis of his ultimate baptism at the cross (Lk 12:50; Matt. 20:22; Mark 10:38-39).</w:t>
      </w:r>
    </w:p>
  </w:footnote>
  <w:footnote w:id="1375">
    <w:p w:rsidR="00AB3F05" w:rsidRDefault="00AB3F05" w:rsidP="00062AED">
      <w:pPr>
        <w:pStyle w:val="FootnoteText"/>
      </w:pPr>
      <w:r>
        <w:rPr>
          <w:rStyle w:val="FootnoteReference"/>
        </w:rPr>
        <w:footnoteRef/>
      </w:r>
      <w:r>
        <w:t xml:space="preserve"> Fee, </w:t>
      </w:r>
      <w:r w:rsidRPr="00BD535D">
        <w:rPr>
          <w:i/>
        </w:rPr>
        <w:t>God’s Empowering Presence</w:t>
      </w:r>
      <w:r>
        <w:t xml:space="preserve">, 178-182; idem, </w:t>
      </w:r>
      <w:r w:rsidRPr="00BD535D">
        <w:rPr>
          <w:i/>
        </w:rPr>
        <w:t>1 Corinthians</w:t>
      </w:r>
      <w:r>
        <w:t>, 603-606.</w:t>
      </w:r>
    </w:p>
  </w:footnote>
  <w:footnote w:id="1376">
    <w:p w:rsidR="00AB3F05" w:rsidRDefault="00AB3F05" w:rsidP="00062AED">
      <w:pPr>
        <w:pStyle w:val="FootnoteText"/>
      </w:pPr>
      <w:r>
        <w:rPr>
          <w:rStyle w:val="FootnoteReference"/>
        </w:rPr>
        <w:footnoteRef/>
      </w:r>
      <w:r>
        <w:t xml:space="preserve"> Fee, </w:t>
      </w:r>
      <w:r w:rsidRPr="009A48C9">
        <w:rPr>
          <w:i/>
        </w:rPr>
        <w:t>God’s Empowering Presence</w:t>
      </w:r>
      <w:r>
        <w:t xml:space="preserve">, 178 (emphasis original). However, despite this warning, Fee does return to initiation in the end of his analysis; 183. </w:t>
      </w:r>
    </w:p>
  </w:footnote>
  <w:footnote w:id="1377">
    <w:p w:rsidR="00AB3F05" w:rsidRDefault="00AB3F05" w:rsidP="00062AED">
      <w:pPr>
        <w:pStyle w:val="FootnoteText"/>
      </w:pPr>
      <w:r>
        <w:rPr>
          <w:rStyle w:val="FootnoteReference"/>
        </w:rPr>
        <w:footnoteRef/>
      </w:r>
      <w:r>
        <w:t xml:space="preserve"> G.R. Beasley-Murray, </w:t>
      </w:r>
      <w:r w:rsidRPr="005354C8">
        <w:rPr>
          <w:i/>
        </w:rPr>
        <w:t>Baptism in the New Testament</w:t>
      </w:r>
      <w:r>
        <w:t xml:space="preserve"> (Grand Rapids: Eerdmans, 1973), 167.</w:t>
      </w:r>
    </w:p>
  </w:footnote>
  <w:footnote w:id="1378">
    <w:p w:rsidR="00AB3F05" w:rsidRDefault="00AB3F05" w:rsidP="00062AED">
      <w:pPr>
        <w:pStyle w:val="FootnoteText"/>
      </w:pPr>
      <w:r>
        <w:rPr>
          <w:rStyle w:val="FootnoteReference"/>
        </w:rPr>
        <w:footnoteRef/>
      </w:r>
      <w:r>
        <w:t xml:space="preserve"> Fee, </w:t>
      </w:r>
      <w:r w:rsidRPr="009A48C9">
        <w:rPr>
          <w:i/>
        </w:rPr>
        <w:t>God’s Empowering Presence</w:t>
      </w:r>
      <w:r>
        <w:t>, 179 (emphasis original).</w:t>
      </w:r>
    </w:p>
  </w:footnote>
  <w:footnote w:id="1379">
    <w:p w:rsidR="00AB3F05" w:rsidRDefault="00AB3F05" w:rsidP="00062AED">
      <w:pPr>
        <w:pStyle w:val="FootnoteText"/>
      </w:pPr>
      <w:r>
        <w:rPr>
          <w:rStyle w:val="FootnoteReference"/>
        </w:rPr>
        <w:footnoteRef/>
      </w:r>
      <w:r>
        <w:t xml:space="preserve"> Anthony R. Cross, </w:t>
      </w:r>
      <w:r w:rsidRPr="00AE5735">
        <w:rPr>
          <w:i/>
        </w:rPr>
        <w:t>Recovering the Evangelical Sacrament: Baptisma Semper Reformandum</w:t>
      </w:r>
      <w:r>
        <w:t xml:space="preserve"> (Eugene: Pickwick, 2013), 144.</w:t>
      </w:r>
    </w:p>
  </w:footnote>
  <w:footnote w:id="1380">
    <w:p w:rsidR="00AB3F05" w:rsidRDefault="00AB3F05" w:rsidP="00062AED">
      <w:pPr>
        <w:pStyle w:val="FootnoteText"/>
      </w:pPr>
      <w:r>
        <w:rPr>
          <w:rStyle w:val="FootnoteReference"/>
        </w:rPr>
        <w:footnoteRef/>
      </w:r>
      <w:r>
        <w:t xml:space="preserve"> See above 2.1.4.1-2.</w:t>
      </w:r>
    </w:p>
  </w:footnote>
  <w:footnote w:id="1381">
    <w:p w:rsidR="00AB3F05" w:rsidRDefault="00AB3F05" w:rsidP="00062AED">
      <w:pPr>
        <w:pStyle w:val="FootnoteText"/>
      </w:pPr>
      <w:r>
        <w:rPr>
          <w:rStyle w:val="FootnoteReference"/>
        </w:rPr>
        <w:footnoteRef/>
      </w:r>
      <w:r>
        <w:t xml:space="preserve"> </w:t>
      </w:r>
      <w:r w:rsidRPr="00573C84">
        <w:t>Turnbull, ‘The Deity and Personality of the Holy Spirit: The Holy Spiri</w:t>
      </w:r>
      <w:r>
        <w:t>t and the Body of Christ’, 219.</w:t>
      </w:r>
    </w:p>
  </w:footnote>
  <w:footnote w:id="1382">
    <w:p w:rsidR="00AB3F05" w:rsidRDefault="00AB3F05" w:rsidP="00062AED">
      <w:pPr>
        <w:pStyle w:val="FootnoteText"/>
      </w:pPr>
      <w:r>
        <w:rPr>
          <w:rStyle w:val="FootnoteReference"/>
        </w:rPr>
        <w:footnoteRef/>
      </w:r>
      <w:r>
        <w:t xml:space="preserve"> Ibid.</w:t>
      </w:r>
    </w:p>
  </w:footnote>
  <w:footnote w:id="1383">
    <w:p w:rsidR="00AB3F05" w:rsidRDefault="00AB3F05" w:rsidP="00062AED">
      <w:pPr>
        <w:pStyle w:val="FootnoteText"/>
      </w:pPr>
      <w:r>
        <w:rPr>
          <w:rStyle w:val="FootnoteReference"/>
        </w:rPr>
        <w:footnoteRef/>
      </w:r>
      <w:r>
        <w:t xml:space="preserve"> John Calvin. ‘Summary of Doctrine Concerning the Ministry of Word and Sacrament’, in Reid, J.K.S., ed. </w:t>
      </w:r>
      <w:r w:rsidRPr="0036263C">
        <w:rPr>
          <w:i/>
        </w:rPr>
        <w:t>Calvin: Theological Treatises</w:t>
      </w:r>
      <w:r>
        <w:t xml:space="preserve"> (Philadelphia: Westminster, 1964), 172; Robert Letham, </w:t>
      </w:r>
      <w:r w:rsidRPr="001361B1">
        <w:rPr>
          <w:i/>
        </w:rPr>
        <w:t>Union with Christ: In Scripture, History and Theology</w:t>
      </w:r>
      <w:r>
        <w:t xml:space="preserve">, 48; </w:t>
      </w:r>
      <w:r w:rsidRPr="0036263C">
        <w:t>Billings, J. Todd,</w:t>
      </w:r>
      <w:r w:rsidRPr="0036263C">
        <w:rPr>
          <w:i/>
        </w:rPr>
        <w:t xml:space="preserve"> Union with Christ: Reforming Theology and Ministry for the Church</w:t>
      </w:r>
      <w:r>
        <w:t xml:space="preserve"> (Grand Rapids: Baker Academic, 2012), 159-160.</w:t>
      </w:r>
    </w:p>
  </w:footnote>
  <w:footnote w:id="1384">
    <w:p w:rsidR="00AB3F05" w:rsidRDefault="00AB3F05" w:rsidP="00062AED">
      <w:pPr>
        <w:pStyle w:val="FootnoteText"/>
      </w:pPr>
      <w:r>
        <w:rPr>
          <w:rStyle w:val="FootnoteReference"/>
        </w:rPr>
        <w:footnoteRef/>
      </w:r>
      <w:r>
        <w:t xml:space="preserve"> Brannon, ‘The Heavenlies in Ephesians’, 196.</w:t>
      </w:r>
    </w:p>
  </w:footnote>
  <w:footnote w:id="1385">
    <w:p w:rsidR="00AB3F05" w:rsidRDefault="00AB3F05" w:rsidP="00062AED">
      <w:pPr>
        <w:pStyle w:val="FootnoteText"/>
      </w:pPr>
      <w:r>
        <w:rPr>
          <w:rStyle w:val="FootnoteReference"/>
        </w:rPr>
        <w:footnoteRef/>
      </w:r>
      <w:r>
        <w:t xml:space="preserve"> Hebrews 6:4-5 notes the eschatological in-breaking of the Spirit, stating that those who ‘</w:t>
      </w:r>
      <w:r w:rsidRPr="002F0186">
        <w:t>have become partakers of the Holy Spirit</w:t>
      </w:r>
      <w:r>
        <w:t xml:space="preserve">… have tasted… </w:t>
      </w:r>
      <w:r w:rsidRPr="002F0186">
        <w:t>the powers of the age to come</w:t>
      </w:r>
      <w:r>
        <w:t>’.</w:t>
      </w:r>
    </w:p>
  </w:footnote>
  <w:footnote w:id="1386">
    <w:p w:rsidR="00AB3F05" w:rsidRDefault="00AB3F05" w:rsidP="00062AED">
      <w:pPr>
        <w:pStyle w:val="FootnoteText"/>
      </w:pPr>
      <w:r>
        <w:rPr>
          <w:rStyle w:val="FootnoteReference"/>
        </w:rPr>
        <w:footnoteRef/>
      </w:r>
      <w:r>
        <w:t xml:space="preserve"> </w:t>
      </w:r>
      <w:r w:rsidRPr="00BB732E">
        <w:t xml:space="preserve">Macchia, </w:t>
      </w:r>
      <w:r>
        <w:rPr>
          <w:i/>
          <w:iCs/>
        </w:rPr>
        <w:t xml:space="preserve">Baptized in the </w:t>
      </w:r>
      <w:r w:rsidRPr="00CC00F9">
        <w:rPr>
          <w:i/>
          <w:iCs/>
        </w:rPr>
        <w:t>Spirit</w:t>
      </w:r>
      <w:r>
        <w:rPr>
          <w:iCs/>
        </w:rPr>
        <w:t xml:space="preserve">, </w:t>
      </w:r>
      <w:r w:rsidRPr="00CC00F9">
        <w:t>87</w:t>
      </w:r>
      <w:r>
        <w:t>.</w:t>
      </w:r>
    </w:p>
  </w:footnote>
  <w:footnote w:id="1387">
    <w:p w:rsidR="00AB3F05" w:rsidRDefault="00AB3F05" w:rsidP="00062AED">
      <w:pPr>
        <w:pStyle w:val="FootnoteText"/>
      </w:pPr>
      <w:r>
        <w:rPr>
          <w:rStyle w:val="FootnoteReference"/>
        </w:rPr>
        <w:footnoteRef/>
      </w:r>
      <w:r>
        <w:t xml:space="preserve"> Ibid.</w:t>
      </w:r>
    </w:p>
  </w:footnote>
  <w:footnote w:id="1388">
    <w:p w:rsidR="00AB3F05" w:rsidRDefault="00AB3F05" w:rsidP="00062AED">
      <w:pPr>
        <w:pStyle w:val="FootnoteText"/>
      </w:pPr>
      <w:r>
        <w:rPr>
          <w:rStyle w:val="FootnoteReference"/>
        </w:rPr>
        <w:footnoteRef/>
      </w:r>
      <w:r>
        <w:t xml:space="preserve"> </w:t>
      </w:r>
      <w:r w:rsidRPr="00276D11">
        <w:t>Chan</w:t>
      </w:r>
      <w:r>
        <w:t>,</w:t>
      </w:r>
      <w:r w:rsidRPr="00276D11">
        <w:t xml:space="preserve"> </w:t>
      </w:r>
      <w:r w:rsidRPr="00276D11">
        <w:rPr>
          <w:i/>
          <w:iCs/>
        </w:rPr>
        <w:t>Pentecostal Ecclesiology</w:t>
      </w:r>
      <w:r w:rsidRPr="00CC00F9">
        <w:rPr>
          <w:iCs/>
        </w:rPr>
        <w:t>,</w:t>
      </w:r>
      <w:r>
        <w:t xml:space="preserve"> 96.</w:t>
      </w:r>
    </w:p>
  </w:footnote>
  <w:footnote w:id="1389">
    <w:p w:rsidR="00AB3F05" w:rsidRDefault="00AB3F05" w:rsidP="00062AED">
      <w:pPr>
        <w:pStyle w:val="FootnoteText"/>
      </w:pPr>
      <w:r>
        <w:rPr>
          <w:rStyle w:val="FootnoteReference"/>
        </w:rPr>
        <w:footnoteRef/>
      </w:r>
      <w:r>
        <w:t xml:space="preserve"> Chan, ‘Mother Church’, 180-181.</w:t>
      </w:r>
    </w:p>
  </w:footnote>
  <w:footnote w:id="1390">
    <w:p w:rsidR="00AB3F05" w:rsidRDefault="00AB3F05" w:rsidP="00062AED">
      <w:pPr>
        <w:pStyle w:val="FootnoteText"/>
      </w:pPr>
      <w:r>
        <w:rPr>
          <w:rStyle w:val="FootnoteReference"/>
        </w:rPr>
        <w:footnoteRef/>
      </w:r>
      <w:r>
        <w:t xml:space="preserve"> Frank Parker,</w:t>
      </w:r>
      <w:r w:rsidRPr="00E76A79">
        <w:t xml:space="preserve"> ‘The Eternal Purpose’. </w:t>
      </w:r>
      <w:r>
        <w:rPr>
          <w:i/>
          <w:iCs/>
        </w:rPr>
        <w:t>RoG</w:t>
      </w:r>
      <w:r>
        <w:t xml:space="preserve"> 3.2 (Feb.1979), 23; Iorwerth </w:t>
      </w:r>
      <w:r w:rsidRPr="00E76A79">
        <w:t>Howells</w:t>
      </w:r>
      <w:r>
        <w:t>,</w:t>
      </w:r>
      <w:r w:rsidRPr="00E76A79">
        <w:t xml:space="preserve"> ‘The Dispensational Ministry o</w:t>
      </w:r>
      <w:r>
        <w:t>f the Spirit: Glorifying Jesus’,</w:t>
      </w:r>
      <w:r w:rsidRPr="00E76A79">
        <w:t xml:space="preserve"> </w:t>
      </w:r>
      <w:r>
        <w:rPr>
          <w:i/>
          <w:iCs/>
        </w:rPr>
        <w:t>RoG</w:t>
      </w:r>
      <w:r>
        <w:t xml:space="preserve"> 25 (Nov. 1972), 208; </w:t>
      </w:r>
      <w:r w:rsidRPr="00E76A79">
        <w:t xml:space="preserve">Rowe, </w:t>
      </w:r>
      <w:r w:rsidRPr="00E76A79">
        <w:rPr>
          <w:i/>
          <w:iCs/>
        </w:rPr>
        <w:t>One Lord, One Faith</w:t>
      </w:r>
      <w:r>
        <w:t xml:space="preserve">, 81-84; R.L. </w:t>
      </w:r>
      <w:r w:rsidRPr="00E76A79">
        <w:t>Davies, ‘Membe</w:t>
      </w:r>
      <w:r>
        <w:t>rs of the New Testament Church’,</w:t>
      </w:r>
      <w:r w:rsidRPr="00E76A79">
        <w:t xml:space="preserve"> </w:t>
      </w:r>
      <w:r>
        <w:rPr>
          <w:i/>
          <w:iCs/>
        </w:rPr>
        <w:t>RoG</w:t>
      </w:r>
      <w:r>
        <w:t xml:space="preserve"> 15 (Dec. 1962), 365; D.P. Williams, </w:t>
      </w:r>
      <w:r w:rsidRPr="00E76A79">
        <w:t>‘A Vision, A Vessel, A Victory: Expo</w:t>
      </w:r>
      <w:r>
        <w:t>sition of Foregoing Prophecies’,</w:t>
      </w:r>
      <w:r w:rsidRPr="00E76A79">
        <w:t xml:space="preserve"> </w:t>
      </w:r>
      <w:r>
        <w:rPr>
          <w:i/>
          <w:iCs/>
        </w:rPr>
        <w:t>RoG</w:t>
      </w:r>
      <w:r w:rsidRPr="00E76A79">
        <w:t xml:space="preserve"> xiv</w:t>
      </w:r>
      <w:r>
        <w:t>.1 (Sept. 1938), 85.</w:t>
      </w:r>
    </w:p>
  </w:footnote>
  <w:footnote w:id="1391">
    <w:p w:rsidR="00AB3F05" w:rsidRDefault="00AB3F05" w:rsidP="00062AED">
      <w:pPr>
        <w:pStyle w:val="FootnoteText"/>
      </w:pPr>
      <w:r>
        <w:rPr>
          <w:rStyle w:val="FootnoteReference"/>
        </w:rPr>
        <w:footnoteRef/>
      </w:r>
      <w:r>
        <w:t xml:space="preserve"> Williams</w:t>
      </w:r>
      <w:r w:rsidRPr="00635080">
        <w:t xml:space="preserve"> ‘A Vision, A Vessel, A Victory</w:t>
      </w:r>
      <w:r>
        <w:t xml:space="preserve">’, </w:t>
      </w:r>
      <w:r w:rsidRPr="00635080">
        <w:t>85.</w:t>
      </w:r>
    </w:p>
  </w:footnote>
  <w:footnote w:id="1392">
    <w:p w:rsidR="00AB3F05" w:rsidRDefault="00AB3F05" w:rsidP="00062AED">
      <w:pPr>
        <w:pStyle w:val="FootnoteText"/>
      </w:pPr>
      <w:r>
        <w:rPr>
          <w:rStyle w:val="FootnoteReference"/>
        </w:rPr>
        <w:footnoteRef/>
      </w:r>
      <w:r>
        <w:t xml:space="preserve"> Matthias Wenk, ‘Acts’, in Burke &amp; Warrington, ed., </w:t>
      </w:r>
      <w:r w:rsidRPr="005240B8">
        <w:rPr>
          <w:i/>
        </w:rPr>
        <w:t>A Biblical Theology of the Holy Spirit</w:t>
      </w:r>
      <w:r>
        <w:t>, 124.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F73F53"/>
    <w:multiLevelType w:val="hybridMultilevel"/>
    <w:tmpl w:val="37D44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C00F26"/>
    <w:multiLevelType w:val="hybridMultilevel"/>
    <w:tmpl w:val="C2EC92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2717E78"/>
    <w:multiLevelType w:val="hybridMultilevel"/>
    <w:tmpl w:val="12C2163A"/>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3AEC40A8"/>
    <w:multiLevelType w:val="hybridMultilevel"/>
    <w:tmpl w:val="D21E4C58"/>
    <w:lvl w:ilvl="0" w:tplc="0964B02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66FE6BFF"/>
    <w:multiLevelType w:val="hybridMultilevel"/>
    <w:tmpl w:val="B0CCEF62"/>
    <w:lvl w:ilvl="0" w:tplc="0CAA31B0">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333"/>
    <w:rsid w:val="0000056B"/>
    <w:rsid w:val="00006767"/>
    <w:rsid w:val="00007253"/>
    <w:rsid w:val="00007795"/>
    <w:rsid w:val="00007AA2"/>
    <w:rsid w:val="00007BD4"/>
    <w:rsid w:val="00014E42"/>
    <w:rsid w:val="00022403"/>
    <w:rsid w:val="00023C98"/>
    <w:rsid w:val="00024B5C"/>
    <w:rsid w:val="00032BBE"/>
    <w:rsid w:val="000401B1"/>
    <w:rsid w:val="00042812"/>
    <w:rsid w:val="0004303C"/>
    <w:rsid w:val="00046DE2"/>
    <w:rsid w:val="00055D90"/>
    <w:rsid w:val="00055DB3"/>
    <w:rsid w:val="00056E39"/>
    <w:rsid w:val="00057B61"/>
    <w:rsid w:val="00062AED"/>
    <w:rsid w:val="00066301"/>
    <w:rsid w:val="0006647A"/>
    <w:rsid w:val="00066BC8"/>
    <w:rsid w:val="00066D3A"/>
    <w:rsid w:val="00070BBB"/>
    <w:rsid w:val="00071202"/>
    <w:rsid w:val="00072337"/>
    <w:rsid w:val="000732F6"/>
    <w:rsid w:val="000738C4"/>
    <w:rsid w:val="0008031E"/>
    <w:rsid w:val="00081290"/>
    <w:rsid w:val="000828C8"/>
    <w:rsid w:val="00082A60"/>
    <w:rsid w:val="00082FFF"/>
    <w:rsid w:val="00085529"/>
    <w:rsid w:val="00091765"/>
    <w:rsid w:val="000931F1"/>
    <w:rsid w:val="000936FE"/>
    <w:rsid w:val="0009378C"/>
    <w:rsid w:val="000941CB"/>
    <w:rsid w:val="00096BD1"/>
    <w:rsid w:val="00096CBB"/>
    <w:rsid w:val="000A1EF5"/>
    <w:rsid w:val="000A30EA"/>
    <w:rsid w:val="000A4E6F"/>
    <w:rsid w:val="000A7859"/>
    <w:rsid w:val="000B1341"/>
    <w:rsid w:val="000B3A86"/>
    <w:rsid w:val="000B3BE7"/>
    <w:rsid w:val="000B556F"/>
    <w:rsid w:val="000B5A71"/>
    <w:rsid w:val="000C1C7D"/>
    <w:rsid w:val="000C1F04"/>
    <w:rsid w:val="000C3D70"/>
    <w:rsid w:val="000C44C9"/>
    <w:rsid w:val="000C48A1"/>
    <w:rsid w:val="000C5F7C"/>
    <w:rsid w:val="000C6082"/>
    <w:rsid w:val="000C6F97"/>
    <w:rsid w:val="000D1963"/>
    <w:rsid w:val="000D40D5"/>
    <w:rsid w:val="000D5FBE"/>
    <w:rsid w:val="000D5FDE"/>
    <w:rsid w:val="000D6392"/>
    <w:rsid w:val="000E06DA"/>
    <w:rsid w:val="000E50AD"/>
    <w:rsid w:val="000F0E10"/>
    <w:rsid w:val="000F1183"/>
    <w:rsid w:val="000F37B2"/>
    <w:rsid w:val="000F4459"/>
    <w:rsid w:val="00100529"/>
    <w:rsid w:val="00102198"/>
    <w:rsid w:val="00103702"/>
    <w:rsid w:val="001044B7"/>
    <w:rsid w:val="00104C35"/>
    <w:rsid w:val="001065F2"/>
    <w:rsid w:val="00106D73"/>
    <w:rsid w:val="0010742A"/>
    <w:rsid w:val="00111A71"/>
    <w:rsid w:val="00112264"/>
    <w:rsid w:val="00112674"/>
    <w:rsid w:val="00112A32"/>
    <w:rsid w:val="001163B5"/>
    <w:rsid w:val="00116AAE"/>
    <w:rsid w:val="00122743"/>
    <w:rsid w:val="001228A0"/>
    <w:rsid w:val="001229E7"/>
    <w:rsid w:val="00123700"/>
    <w:rsid w:val="001244F3"/>
    <w:rsid w:val="00126676"/>
    <w:rsid w:val="00126811"/>
    <w:rsid w:val="0012720D"/>
    <w:rsid w:val="00127B34"/>
    <w:rsid w:val="00130010"/>
    <w:rsid w:val="001311FA"/>
    <w:rsid w:val="0013192D"/>
    <w:rsid w:val="001319FD"/>
    <w:rsid w:val="00131C3A"/>
    <w:rsid w:val="00133AD5"/>
    <w:rsid w:val="001354C5"/>
    <w:rsid w:val="00136210"/>
    <w:rsid w:val="0013779E"/>
    <w:rsid w:val="001424C6"/>
    <w:rsid w:val="00144434"/>
    <w:rsid w:val="001457D0"/>
    <w:rsid w:val="001458CA"/>
    <w:rsid w:val="00146AE7"/>
    <w:rsid w:val="00150537"/>
    <w:rsid w:val="001506F7"/>
    <w:rsid w:val="00153213"/>
    <w:rsid w:val="00155D91"/>
    <w:rsid w:val="00156284"/>
    <w:rsid w:val="0016089A"/>
    <w:rsid w:val="00163A92"/>
    <w:rsid w:val="00163B9F"/>
    <w:rsid w:val="0016578B"/>
    <w:rsid w:val="00167015"/>
    <w:rsid w:val="00170D8D"/>
    <w:rsid w:val="001725F2"/>
    <w:rsid w:val="00174167"/>
    <w:rsid w:val="00184777"/>
    <w:rsid w:val="00187029"/>
    <w:rsid w:val="00190D3B"/>
    <w:rsid w:val="001938A0"/>
    <w:rsid w:val="001940A1"/>
    <w:rsid w:val="00195618"/>
    <w:rsid w:val="001A034B"/>
    <w:rsid w:val="001A06D5"/>
    <w:rsid w:val="001A088C"/>
    <w:rsid w:val="001A1E2E"/>
    <w:rsid w:val="001A255C"/>
    <w:rsid w:val="001A6218"/>
    <w:rsid w:val="001B13F5"/>
    <w:rsid w:val="001B2D34"/>
    <w:rsid w:val="001B3519"/>
    <w:rsid w:val="001B4C51"/>
    <w:rsid w:val="001B4EE1"/>
    <w:rsid w:val="001B5690"/>
    <w:rsid w:val="001B6A2C"/>
    <w:rsid w:val="001B6DBA"/>
    <w:rsid w:val="001B72F1"/>
    <w:rsid w:val="001C4F07"/>
    <w:rsid w:val="001C65DD"/>
    <w:rsid w:val="001C71BE"/>
    <w:rsid w:val="001D0C0D"/>
    <w:rsid w:val="001D3BA2"/>
    <w:rsid w:val="001D3DCF"/>
    <w:rsid w:val="001D431B"/>
    <w:rsid w:val="001D6289"/>
    <w:rsid w:val="001E0000"/>
    <w:rsid w:val="001E1818"/>
    <w:rsid w:val="001E5311"/>
    <w:rsid w:val="001F0AE2"/>
    <w:rsid w:val="001F1886"/>
    <w:rsid w:val="001F3F44"/>
    <w:rsid w:val="001F44E3"/>
    <w:rsid w:val="001F5C67"/>
    <w:rsid w:val="001F61DB"/>
    <w:rsid w:val="00204783"/>
    <w:rsid w:val="002047A4"/>
    <w:rsid w:val="00206321"/>
    <w:rsid w:val="002073A0"/>
    <w:rsid w:val="00210CF2"/>
    <w:rsid w:val="00215BAD"/>
    <w:rsid w:val="00216A67"/>
    <w:rsid w:val="002266BC"/>
    <w:rsid w:val="002275F7"/>
    <w:rsid w:val="00231C66"/>
    <w:rsid w:val="0023390C"/>
    <w:rsid w:val="0023512B"/>
    <w:rsid w:val="002353CE"/>
    <w:rsid w:val="00235828"/>
    <w:rsid w:val="00240B92"/>
    <w:rsid w:val="00240C2A"/>
    <w:rsid w:val="0024529B"/>
    <w:rsid w:val="0024685F"/>
    <w:rsid w:val="0025080A"/>
    <w:rsid w:val="00254136"/>
    <w:rsid w:val="00254995"/>
    <w:rsid w:val="002618E8"/>
    <w:rsid w:val="00264DEF"/>
    <w:rsid w:val="0026528E"/>
    <w:rsid w:val="00267255"/>
    <w:rsid w:val="0027208D"/>
    <w:rsid w:val="00272224"/>
    <w:rsid w:val="00273AEE"/>
    <w:rsid w:val="00275B2F"/>
    <w:rsid w:val="00277676"/>
    <w:rsid w:val="002776CE"/>
    <w:rsid w:val="002807A2"/>
    <w:rsid w:val="002842B4"/>
    <w:rsid w:val="0028771E"/>
    <w:rsid w:val="0029169A"/>
    <w:rsid w:val="00291B0E"/>
    <w:rsid w:val="00292146"/>
    <w:rsid w:val="00292867"/>
    <w:rsid w:val="00292BC3"/>
    <w:rsid w:val="0029485E"/>
    <w:rsid w:val="00295935"/>
    <w:rsid w:val="00296F64"/>
    <w:rsid w:val="002A244A"/>
    <w:rsid w:val="002A37FA"/>
    <w:rsid w:val="002A3811"/>
    <w:rsid w:val="002A5494"/>
    <w:rsid w:val="002B030B"/>
    <w:rsid w:val="002B439C"/>
    <w:rsid w:val="002B4669"/>
    <w:rsid w:val="002B7136"/>
    <w:rsid w:val="002C2CE3"/>
    <w:rsid w:val="002C384F"/>
    <w:rsid w:val="002D141C"/>
    <w:rsid w:val="002D3964"/>
    <w:rsid w:val="002D644F"/>
    <w:rsid w:val="002D6A0D"/>
    <w:rsid w:val="002D70FA"/>
    <w:rsid w:val="002E0E78"/>
    <w:rsid w:val="002E0FDC"/>
    <w:rsid w:val="002E2492"/>
    <w:rsid w:val="002E3E7D"/>
    <w:rsid w:val="002E56A9"/>
    <w:rsid w:val="002E6255"/>
    <w:rsid w:val="002F06A9"/>
    <w:rsid w:val="002F28B6"/>
    <w:rsid w:val="002F2EC4"/>
    <w:rsid w:val="002F3BF8"/>
    <w:rsid w:val="002F506D"/>
    <w:rsid w:val="002F5B82"/>
    <w:rsid w:val="002F695B"/>
    <w:rsid w:val="002F7333"/>
    <w:rsid w:val="0030034D"/>
    <w:rsid w:val="0030275F"/>
    <w:rsid w:val="00302B8D"/>
    <w:rsid w:val="0030370B"/>
    <w:rsid w:val="003059A9"/>
    <w:rsid w:val="003102F0"/>
    <w:rsid w:val="003104FB"/>
    <w:rsid w:val="00311B23"/>
    <w:rsid w:val="00312A27"/>
    <w:rsid w:val="003236D7"/>
    <w:rsid w:val="00330725"/>
    <w:rsid w:val="00330DAD"/>
    <w:rsid w:val="003313DC"/>
    <w:rsid w:val="00331432"/>
    <w:rsid w:val="00332D2D"/>
    <w:rsid w:val="00332E53"/>
    <w:rsid w:val="00334831"/>
    <w:rsid w:val="00335F63"/>
    <w:rsid w:val="003364BD"/>
    <w:rsid w:val="00336C5A"/>
    <w:rsid w:val="00337BC2"/>
    <w:rsid w:val="00337F2B"/>
    <w:rsid w:val="00342985"/>
    <w:rsid w:val="00344C2F"/>
    <w:rsid w:val="00345126"/>
    <w:rsid w:val="00345E0B"/>
    <w:rsid w:val="00345EE6"/>
    <w:rsid w:val="00346144"/>
    <w:rsid w:val="003476D4"/>
    <w:rsid w:val="00353F91"/>
    <w:rsid w:val="0035655D"/>
    <w:rsid w:val="00362081"/>
    <w:rsid w:val="00363720"/>
    <w:rsid w:val="003639FE"/>
    <w:rsid w:val="00363B63"/>
    <w:rsid w:val="00364888"/>
    <w:rsid w:val="003648C6"/>
    <w:rsid w:val="00364F9F"/>
    <w:rsid w:val="00365905"/>
    <w:rsid w:val="00366B86"/>
    <w:rsid w:val="00367FD1"/>
    <w:rsid w:val="00371405"/>
    <w:rsid w:val="00373BB8"/>
    <w:rsid w:val="00376A60"/>
    <w:rsid w:val="00377BA0"/>
    <w:rsid w:val="0038199C"/>
    <w:rsid w:val="00382006"/>
    <w:rsid w:val="0038482B"/>
    <w:rsid w:val="00384D74"/>
    <w:rsid w:val="003854DE"/>
    <w:rsid w:val="003855A7"/>
    <w:rsid w:val="00386396"/>
    <w:rsid w:val="00386EE7"/>
    <w:rsid w:val="00387B98"/>
    <w:rsid w:val="00387F6B"/>
    <w:rsid w:val="00390A84"/>
    <w:rsid w:val="00390BA4"/>
    <w:rsid w:val="00391D79"/>
    <w:rsid w:val="00392DBB"/>
    <w:rsid w:val="003936FE"/>
    <w:rsid w:val="003A0684"/>
    <w:rsid w:val="003A6D94"/>
    <w:rsid w:val="003B30A6"/>
    <w:rsid w:val="003B45EE"/>
    <w:rsid w:val="003B4F50"/>
    <w:rsid w:val="003B5090"/>
    <w:rsid w:val="003B6D72"/>
    <w:rsid w:val="003C0394"/>
    <w:rsid w:val="003C1C93"/>
    <w:rsid w:val="003C1E5A"/>
    <w:rsid w:val="003C6D4F"/>
    <w:rsid w:val="003D08EA"/>
    <w:rsid w:val="003D4AD3"/>
    <w:rsid w:val="003D54AC"/>
    <w:rsid w:val="003D5674"/>
    <w:rsid w:val="003D6F3F"/>
    <w:rsid w:val="003E1FE6"/>
    <w:rsid w:val="003E20EC"/>
    <w:rsid w:val="003E29B5"/>
    <w:rsid w:val="003E43BA"/>
    <w:rsid w:val="003E6550"/>
    <w:rsid w:val="003E7161"/>
    <w:rsid w:val="003F1081"/>
    <w:rsid w:val="003F12EC"/>
    <w:rsid w:val="003F1BAD"/>
    <w:rsid w:val="003F685D"/>
    <w:rsid w:val="003F7164"/>
    <w:rsid w:val="003F754C"/>
    <w:rsid w:val="003F7821"/>
    <w:rsid w:val="00401EE7"/>
    <w:rsid w:val="004046AA"/>
    <w:rsid w:val="00405C08"/>
    <w:rsid w:val="004060F9"/>
    <w:rsid w:val="00406ACB"/>
    <w:rsid w:val="00407E8F"/>
    <w:rsid w:val="00410922"/>
    <w:rsid w:val="00413C3D"/>
    <w:rsid w:val="004261A1"/>
    <w:rsid w:val="00427012"/>
    <w:rsid w:val="00430E28"/>
    <w:rsid w:val="00432783"/>
    <w:rsid w:val="00435AC0"/>
    <w:rsid w:val="00442B53"/>
    <w:rsid w:val="00443928"/>
    <w:rsid w:val="0044471E"/>
    <w:rsid w:val="00445F65"/>
    <w:rsid w:val="00450016"/>
    <w:rsid w:val="00454D26"/>
    <w:rsid w:val="004558CB"/>
    <w:rsid w:val="00460F06"/>
    <w:rsid w:val="0046170F"/>
    <w:rsid w:val="00462027"/>
    <w:rsid w:val="00462EE0"/>
    <w:rsid w:val="004711E1"/>
    <w:rsid w:val="00471CA6"/>
    <w:rsid w:val="00471FB7"/>
    <w:rsid w:val="00473009"/>
    <w:rsid w:val="00473528"/>
    <w:rsid w:val="00475E49"/>
    <w:rsid w:val="004802E5"/>
    <w:rsid w:val="00480771"/>
    <w:rsid w:val="0048194C"/>
    <w:rsid w:val="004819F3"/>
    <w:rsid w:val="00481BAC"/>
    <w:rsid w:val="004841D7"/>
    <w:rsid w:val="00484701"/>
    <w:rsid w:val="004871EC"/>
    <w:rsid w:val="0049399D"/>
    <w:rsid w:val="00496559"/>
    <w:rsid w:val="0049664F"/>
    <w:rsid w:val="004A3939"/>
    <w:rsid w:val="004A53D0"/>
    <w:rsid w:val="004B0BB2"/>
    <w:rsid w:val="004B1B86"/>
    <w:rsid w:val="004B2815"/>
    <w:rsid w:val="004B52C0"/>
    <w:rsid w:val="004B548D"/>
    <w:rsid w:val="004B561C"/>
    <w:rsid w:val="004C0912"/>
    <w:rsid w:val="004C54BD"/>
    <w:rsid w:val="004D3475"/>
    <w:rsid w:val="004D3AB6"/>
    <w:rsid w:val="004D4023"/>
    <w:rsid w:val="004D4158"/>
    <w:rsid w:val="004D4BD7"/>
    <w:rsid w:val="004D638C"/>
    <w:rsid w:val="004D782C"/>
    <w:rsid w:val="004E0515"/>
    <w:rsid w:val="004E2C17"/>
    <w:rsid w:val="004E3BA1"/>
    <w:rsid w:val="004E61D3"/>
    <w:rsid w:val="004E6BD4"/>
    <w:rsid w:val="004E6E5B"/>
    <w:rsid w:val="004F518B"/>
    <w:rsid w:val="004F5E38"/>
    <w:rsid w:val="005055CD"/>
    <w:rsid w:val="00507629"/>
    <w:rsid w:val="00507776"/>
    <w:rsid w:val="0051506C"/>
    <w:rsid w:val="00516D98"/>
    <w:rsid w:val="00517F9B"/>
    <w:rsid w:val="005208BE"/>
    <w:rsid w:val="00526586"/>
    <w:rsid w:val="005301FD"/>
    <w:rsid w:val="00542611"/>
    <w:rsid w:val="0054509E"/>
    <w:rsid w:val="0054726A"/>
    <w:rsid w:val="00551027"/>
    <w:rsid w:val="00554EAF"/>
    <w:rsid w:val="0055507E"/>
    <w:rsid w:val="0055637F"/>
    <w:rsid w:val="00561723"/>
    <w:rsid w:val="00561A42"/>
    <w:rsid w:val="00561A68"/>
    <w:rsid w:val="00566A32"/>
    <w:rsid w:val="00566C03"/>
    <w:rsid w:val="00571093"/>
    <w:rsid w:val="0057150F"/>
    <w:rsid w:val="005720E2"/>
    <w:rsid w:val="0057528A"/>
    <w:rsid w:val="00575320"/>
    <w:rsid w:val="0057668C"/>
    <w:rsid w:val="00576D79"/>
    <w:rsid w:val="00586195"/>
    <w:rsid w:val="00586EE7"/>
    <w:rsid w:val="00587454"/>
    <w:rsid w:val="00591AE4"/>
    <w:rsid w:val="00591D2D"/>
    <w:rsid w:val="00592E8F"/>
    <w:rsid w:val="005936B4"/>
    <w:rsid w:val="0059370E"/>
    <w:rsid w:val="0059459F"/>
    <w:rsid w:val="005A22AF"/>
    <w:rsid w:val="005A3297"/>
    <w:rsid w:val="005A42E8"/>
    <w:rsid w:val="005A57F4"/>
    <w:rsid w:val="005B05D2"/>
    <w:rsid w:val="005B1628"/>
    <w:rsid w:val="005B26AA"/>
    <w:rsid w:val="005B2E39"/>
    <w:rsid w:val="005B313E"/>
    <w:rsid w:val="005B457E"/>
    <w:rsid w:val="005B5D2F"/>
    <w:rsid w:val="005B6361"/>
    <w:rsid w:val="005C0363"/>
    <w:rsid w:val="005C0487"/>
    <w:rsid w:val="005C09AD"/>
    <w:rsid w:val="005C37EF"/>
    <w:rsid w:val="005C44F6"/>
    <w:rsid w:val="005C4D00"/>
    <w:rsid w:val="005C5AEB"/>
    <w:rsid w:val="005C6759"/>
    <w:rsid w:val="005D006E"/>
    <w:rsid w:val="005D5F46"/>
    <w:rsid w:val="005D6B17"/>
    <w:rsid w:val="005D7E51"/>
    <w:rsid w:val="005E3742"/>
    <w:rsid w:val="005E4A16"/>
    <w:rsid w:val="005E69DA"/>
    <w:rsid w:val="005F21B9"/>
    <w:rsid w:val="005F4CC9"/>
    <w:rsid w:val="005F5E5B"/>
    <w:rsid w:val="005F7BDB"/>
    <w:rsid w:val="006006F5"/>
    <w:rsid w:val="0060093A"/>
    <w:rsid w:val="006048BF"/>
    <w:rsid w:val="006068C8"/>
    <w:rsid w:val="00610796"/>
    <w:rsid w:val="00614642"/>
    <w:rsid w:val="00616A7C"/>
    <w:rsid w:val="006209BE"/>
    <w:rsid w:val="0062366F"/>
    <w:rsid w:val="00624655"/>
    <w:rsid w:val="00631816"/>
    <w:rsid w:val="00632379"/>
    <w:rsid w:val="006336CF"/>
    <w:rsid w:val="00636EC3"/>
    <w:rsid w:val="0063702E"/>
    <w:rsid w:val="00637EEC"/>
    <w:rsid w:val="00642B1C"/>
    <w:rsid w:val="00650383"/>
    <w:rsid w:val="00650467"/>
    <w:rsid w:val="00650824"/>
    <w:rsid w:val="0065164B"/>
    <w:rsid w:val="00653666"/>
    <w:rsid w:val="00654002"/>
    <w:rsid w:val="006564D0"/>
    <w:rsid w:val="006570E1"/>
    <w:rsid w:val="006610BF"/>
    <w:rsid w:val="00662BB7"/>
    <w:rsid w:val="006631A6"/>
    <w:rsid w:val="006637DD"/>
    <w:rsid w:val="0066409B"/>
    <w:rsid w:val="006642DB"/>
    <w:rsid w:val="00665390"/>
    <w:rsid w:val="00665438"/>
    <w:rsid w:val="00670405"/>
    <w:rsid w:val="006704C8"/>
    <w:rsid w:val="006715DC"/>
    <w:rsid w:val="00671A97"/>
    <w:rsid w:val="00672A43"/>
    <w:rsid w:val="00674021"/>
    <w:rsid w:val="006752DB"/>
    <w:rsid w:val="006755B7"/>
    <w:rsid w:val="0067568F"/>
    <w:rsid w:val="00675D6A"/>
    <w:rsid w:val="00675E9A"/>
    <w:rsid w:val="00676F3F"/>
    <w:rsid w:val="006808C4"/>
    <w:rsid w:val="00682D80"/>
    <w:rsid w:val="0068335A"/>
    <w:rsid w:val="00684148"/>
    <w:rsid w:val="00686992"/>
    <w:rsid w:val="006A2428"/>
    <w:rsid w:val="006A41F5"/>
    <w:rsid w:val="006A647B"/>
    <w:rsid w:val="006B066B"/>
    <w:rsid w:val="006B24E3"/>
    <w:rsid w:val="006B2DBF"/>
    <w:rsid w:val="006B3B69"/>
    <w:rsid w:val="006C0616"/>
    <w:rsid w:val="006C06CC"/>
    <w:rsid w:val="006C1161"/>
    <w:rsid w:val="006C1995"/>
    <w:rsid w:val="006C3704"/>
    <w:rsid w:val="006C5CC1"/>
    <w:rsid w:val="006D1247"/>
    <w:rsid w:val="006D1620"/>
    <w:rsid w:val="006D1F36"/>
    <w:rsid w:val="006D2786"/>
    <w:rsid w:val="006D5472"/>
    <w:rsid w:val="006D605A"/>
    <w:rsid w:val="006D6929"/>
    <w:rsid w:val="006D7033"/>
    <w:rsid w:val="006D70ED"/>
    <w:rsid w:val="006E11B2"/>
    <w:rsid w:val="006E18F4"/>
    <w:rsid w:val="006E4197"/>
    <w:rsid w:val="006E4E06"/>
    <w:rsid w:val="006E637D"/>
    <w:rsid w:val="006E7674"/>
    <w:rsid w:val="006E7680"/>
    <w:rsid w:val="006F0384"/>
    <w:rsid w:val="006F0E65"/>
    <w:rsid w:val="006F2833"/>
    <w:rsid w:val="006F2C60"/>
    <w:rsid w:val="006F32FF"/>
    <w:rsid w:val="006F43C6"/>
    <w:rsid w:val="006F4603"/>
    <w:rsid w:val="006F57E0"/>
    <w:rsid w:val="007008D1"/>
    <w:rsid w:val="00701E72"/>
    <w:rsid w:val="00703750"/>
    <w:rsid w:val="007050C8"/>
    <w:rsid w:val="007116BE"/>
    <w:rsid w:val="00712924"/>
    <w:rsid w:val="007130DD"/>
    <w:rsid w:val="0071455D"/>
    <w:rsid w:val="00715ED7"/>
    <w:rsid w:val="00722A7C"/>
    <w:rsid w:val="00722B69"/>
    <w:rsid w:val="00723758"/>
    <w:rsid w:val="007259BF"/>
    <w:rsid w:val="0073350B"/>
    <w:rsid w:val="00734BF4"/>
    <w:rsid w:val="007363C7"/>
    <w:rsid w:val="00741C1B"/>
    <w:rsid w:val="00747189"/>
    <w:rsid w:val="0075149F"/>
    <w:rsid w:val="007543AA"/>
    <w:rsid w:val="007547C0"/>
    <w:rsid w:val="0075510B"/>
    <w:rsid w:val="0075514A"/>
    <w:rsid w:val="00755926"/>
    <w:rsid w:val="007620B0"/>
    <w:rsid w:val="00762E39"/>
    <w:rsid w:val="00762F99"/>
    <w:rsid w:val="007639D2"/>
    <w:rsid w:val="00764388"/>
    <w:rsid w:val="00771AC6"/>
    <w:rsid w:val="00772261"/>
    <w:rsid w:val="0077387D"/>
    <w:rsid w:val="00773EC8"/>
    <w:rsid w:val="00775A27"/>
    <w:rsid w:val="00777FE5"/>
    <w:rsid w:val="00781397"/>
    <w:rsid w:val="007818EF"/>
    <w:rsid w:val="007819B6"/>
    <w:rsid w:val="00781B62"/>
    <w:rsid w:val="007823B3"/>
    <w:rsid w:val="007823B8"/>
    <w:rsid w:val="007835F5"/>
    <w:rsid w:val="00783E08"/>
    <w:rsid w:val="00784751"/>
    <w:rsid w:val="00787AAC"/>
    <w:rsid w:val="007958F9"/>
    <w:rsid w:val="0079619F"/>
    <w:rsid w:val="00797DBE"/>
    <w:rsid w:val="007A3D58"/>
    <w:rsid w:val="007A4A1F"/>
    <w:rsid w:val="007A554C"/>
    <w:rsid w:val="007A6994"/>
    <w:rsid w:val="007A6D6B"/>
    <w:rsid w:val="007A7E28"/>
    <w:rsid w:val="007B17DC"/>
    <w:rsid w:val="007B3B7A"/>
    <w:rsid w:val="007B54B0"/>
    <w:rsid w:val="007B6452"/>
    <w:rsid w:val="007C00B0"/>
    <w:rsid w:val="007C00B9"/>
    <w:rsid w:val="007C0E03"/>
    <w:rsid w:val="007C1175"/>
    <w:rsid w:val="007C1288"/>
    <w:rsid w:val="007C32AC"/>
    <w:rsid w:val="007C34B3"/>
    <w:rsid w:val="007C5949"/>
    <w:rsid w:val="007C6158"/>
    <w:rsid w:val="007C6233"/>
    <w:rsid w:val="007C6AA2"/>
    <w:rsid w:val="007C725E"/>
    <w:rsid w:val="007D184A"/>
    <w:rsid w:val="007D297B"/>
    <w:rsid w:val="007D77B5"/>
    <w:rsid w:val="007E6E54"/>
    <w:rsid w:val="007E7F37"/>
    <w:rsid w:val="007F0953"/>
    <w:rsid w:val="007F2455"/>
    <w:rsid w:val="007F36AD"/>
    <w:rsid w:val="007F4BA0"/>
    <w:rsid w:val="0080253A"/>
    <w:rsid w:val="00803B8A"/>
    <w:rsid w:val="00806BA7"/>
    <w:rsid w:val="00810142"/>
    <w:rsid w:val="00810C61"/>
    <w:rsid w:val="008154B6"/>
    <w:rsid w:val="008155ED"/>
    <w:rsid w:val="008171D6"/>
    <w:rsid w:val="0082356D"/>
    <w:rsid w:val="00823D92"/>
    <w:rsid w:val="00824E20"/>
    <w:rsid w:val="008277F7"/>
    <w:rsid w:val="00835F0E"/>
    <w:rsid w:val="008404AE"/>
    <w:rsid w:val="0084101E"/>
    <w:rsid w:val="00853642"/>
    <w:rsid w:val="00860253"/>
    <w:rsid w:val="00860AB8"/>
    <w:rsid w:val="00862BD5"/>
    <w:rsid w:val="00867DDD"/>
    <w:rsid w:val="00870F48"/>
    <w:rsid w:val="008743B4"/>
    <w:rsid w:val="00874682"/>
    <w:rsid w:val="00876681"/>
    <w:rsid w:val="00876A68"/>
    <w:rsid w:val="00877B1E"/>
    <w:rsid w:val="00877DA7"/>
    <w:rsid w:val="0088357C"/>
    <w:rsid w:val="008859B4"/>
    <w:rsid w:val="00890922"/>
    <w:rsid w:val="008920DA"/>
    <w:rsid w:val="00893186"/>
    <w:rsid w:val="008934E6"/>
    <w:rsid w:val="0089549D"/>
    <w:rsid w:val="0089569E"/>
    <w:rsid w:val="00896084"/>
    <w:rsid w:val="008A2D2D"/>
    <w:rsid w:val="008A3773"/>
    <w:rsid w:val="008A6635"/>
    <w:rsid w:val="008A672C"/>
    <w:rsid w:val="008B04E9"/>
    <w:rsid w:val="008B3121"/>
    <w:rsid w:val="008B3892"/>
    <w:rsid w:val="008B4754"/>
    <w:rsid w:val="008B4EF9"/>
    <w:rsid w:val="008B6F3B"/>
    <w:rsid w:val="008B7E47"/>
    <w:rsid w:val="008C232B"/>
    <w:rsid w:val="008C38C2"/>
    <w:rsid w:val="008C413F"/>
    <w:rsid w:val="008C4BE2"/>
    <w:rsid w:val="008C6B28"/>
    <w:rsid w:val="008C7042"/>
    <w:rsid w:val="008D24E9"/>
    <w:rsid w:val="008D3607"/>
    <w:rsid w:val="008D504C"/>
    <w:rsid w:val="008D50A1"/>
    <w:rsid w:val="008D59BB"/>
    <w:rsid w:val="008D639B"/>
    <w:rsid w:val="008E08D4"/>
    <w:rsid w:val="008E723D"/>
    <w:rsid w:val="008F0754"/>
    <w:rsid w:val="008F0C24"/>
    <w:rsid w:val="008F0C38"/>
    <w:rsid w:val="008F20F6"/>
    <w:rsid w:val="008F2B9A"/>
    <w:rsid w:val="008F354F"/>
    <w:rsid w:val="008F3B99"/>
    <w:rsid w:val="008F3BDA"/>
    <w:rsid w:val="008F655D"/>
    <w:rsid w:val="0090058E"/>
    <w:rsid w:val="00903A59"/>
    <w:rsid w:val="00906922"/>
    <w:rsid w:val="009128B6"/>
    <w:rsid w:val="00912FB7"/>
    <w:rsid w:val="00916F4D"/>
    <w:rsid w:val="009228AA"/>
    <w:rsid w:val="00922B72"/>
    <w:rsid w:val="00922EA6"/>
    <w:rsid w:val="00923600"/>
    <w:rsid w:val="00923DAB"/>
    <w:rsid w:val="009258A7"/>
    <w:rsid w:val="00935690"/>
    <w:rsid w:val="00936A99"/>
    <w:rsid w:val="009370EA"/>
    <w:rsid w:val="009416FF"/>
    <w:rsid w:val="00941B8F"/>
    <w:rsid w:val="0094213C"/>
    <w:rsid w:val="00944C4E"/>
    <w:rsid w:val="009457C7"/>
    <w:rsid w:val="00950043"/>
    <w:rsid w:val="00950D62"/>
    <w:rsid w:val="009515FA"/>
    <w:rsid w:val="00952AE0"/>
    <w:rsid w:val="009538EF"/>
    <w:rsid w:val="00953E5F"/>
    <w:rsid w:val="00965AC8"/>
    <w:rsid w:val="00965CDA"/>
    <w:rsid w:val="009663F2"/>
    <w:rsid w:val="00966BBA"/>
    <w:rsid w:val="00970D26"/>
    <w:rsid w:val="009720CF"/>
    <w:rsid w:val="00972128"/>
    <w:rsid w:val="00973BD0"/>
    <w:rsid w:val="00975BB3"/>
    <w:rsid w:val="00976AE7"/>
    <w:rsid w:val="00976E39"/>
    <w:rsid w:val="009771D8"/>
    <w:rsid w:val="009801FB"/>
    <w:rsid w:val="0098277B"/>
    <w:rsid w:val="00983535"/>
    <w:rsid w:val="00990541"/>
    <w:rsid w:val="0099387C"/>
    <w:rsid w:val="00993B43"/>
    <w:rsid w:val="00995091"/>
    <w:rsid w:val="00996377"/>
    <w:rsid w:val="009A1FA4"/>
    <w:rsid w:val="009A27A3"/>
    <w:rsid w:val="009A28A1"/>
    <w:rsid w:val="009A42C8"/>
    <w:rsid w:val="009A43F2"/>
    <w:rsid w:val="009A4F4C"/>
    <w:rsid w:val="009A5C1D"/>
    <w:rsid w:val="009A7F22"/>
    <w:rsid w:val="009B0FFC"/>
    <w:rsid w:val="009B4F54"/>
    <w:rsid w:val="009B7637"/>
    <w:rsid w:val="009C0C0F"/>
    <w:rsid w:val="009C200D"/>
    <w:rsid w:val="009C3532"/>
    <w:rsid w:val="009C3D38"/>
    <w:rsid w:val="009C3EBE"/>
    <w:rsid w:val="009C5855"/>
    <w:rsid w:val="009D0990"/>
    <w:rsid w:val="009D1BA3"/>
    <w:rsid w:val="009D39A9"/>
    <w:rsid w:val="009D6527"/>
    <w:rsid w:val="009D671D"/>
    <w:rsid w:val="009E07F9"/>
    <w:rsid w:val="009E08EC"/>
    <w:rsid w:val="009E10C6"/>
    <w:rsid w:val="009E1744"/>
    <w:rsid w:val="009E53B3"/>
    <w:rsid w:val="009E6D66"/>
    <w:rsid w:val="009E7383"/>
    <w:rsid w:val="009F02D0"/>
    <w:rsid w:val="009F0860"/>
    <w:rsid w:val="009F2554"/>
    <w:rsid w:val="009F31D4"/>
    <w:rsid w:val="009F464D"/>
    <w:rsid w:val="009F54A9"/>
    <w:rsid w:val="009F7C0A"/>
    <w:rsid w:val="00A00F7F"/>
    <w:rsid w:val="00A01899"/>
    <w:rsid w:val="00A01AAE"/>
    <w:rsid w:val="00A02F08"/>
    <w:rsid w:val="00A030F7"/>
    <w:rsid w:val="00A06210"/>
    <w:rsid w:val="00A06DEF"/>
    <w:rsid w:val="00A11387"/>
    <w:rsid w:val="00A143AA"/>
    <w:rsid w:val="00A14FCD"/>
    <w:rsid w:val="00A15DE8"/>
    <w:rsid w:val="00A15F99"/>
    <w:rsid w:val="00A20286"/>
    <w:rsid w:val="00A2043B"/>
    <w:rsid w:val="00A215F6"/>
    <w:rsid w:val="00A23A2B"/>
    <w:rsid w:val="00A24384"/>
    <w:rsid w:val="00A255B9"/>
    <w:rsid w:val="00A25AA0"/>
    <w:rsid w:val="00A25B6E"/>
    <w:rsid w:val="00A2659C"/>
    <w:rsid w:val="00A30756"/>
    <w:rsid w:val="00A30D6C"/>
    <w:rsid w:val="00A32F8F"/>
    <w:rsid w:val="00A33F89"/>
    <w:rsid w:val="00A34F9A"/>
    <w:rsid w:val="00A3534D"/>
    <w:rsid w:val="00A36465"/>
    <w:rsid w:val="00A37641"/>
    <w:rsid w:val="00A407DF"/>
    <w:rsid w:val="00A40E59"/>
    <w:rsid w:val="00A40E9A"/>
    <w:rsid w:val="00A42243"/>
    <w:rsid w:val="00A42898"/>
    <w:rsid w:val="00A44734"/>
    <w:rsid w:val="00A47C54"/>
    <w:rsid w:val="00A51642"/>
    <w:rsid w:val="00A53AE1"/>
    <w:rsid w:val="00A55DCB"/>
    <w:rsid w:val="00A55DEC"/>
    <w:rsid w:val="00A61616"/>
    <w:rsid w:val="00A64F99"/>
    <w:rsid w:val="00A6663E"/>
    <w:rsid w:val="00A67DD3"/>
    <w:rsid w:val="00A71D75"/>
    <w:rsid w:val="00A71F7D"/>
    <w:rsid w:val="00A72B90"/>
    <w:rsid w:val="00A75247"/>
    <w:rsid w:val="00A754A7"/>
    <w:rsid w:val="00A84571"/>
    <w:rsid w:val="00A85274"/>
    <w:rsid w:val="00A8579F"/>
    <w:rsid w:val="00A87376"/>
    <w:rsid w:val="00A94472"/>
    <w:rsid w:val="00A967B0"/>
    <w:rsid w:val="00A97C86"/>
    <w:rsid w:val="00AA032A"/>
    <w:rsid w:val="00AA2ADD"/>
    <w:rsid w:val="00AA3E9D"/>
    <w:rsid w:val="00AA4D5C"/>
    <w:rsid w:val="00AA6428"/>
    <w:rsid w:val="00AA6D50"/>
    <w:rsid w:val="00AB0794"/>
    <w:rsid w:val="00AB139F"/>
    <w:rsid w:val="00AB1D6B"/>
    <w:rsid w:val="00AB375A"/>
    <w:rsid w:val="00AB3F05"/>
    <w:rsid w:val="00AB4469"/>
    <w:rsid w:val="00AB61D3"/>
    <w:rsid w:val="00AB6224"/>
    <w:rsid w:val="00AB7F70"/>
    <w:rsid w:val="00AC0AF6"/>
    <w:rsid w:val="00AC2A2F"/>
    <w:rsid w:val="00AC2A5A"/>
    <w:rsid w:val="00AC79CD"/>
    <w:rsid w:val="00AD3372"/>
    <w:rsid w:val="00AD5078"/>
    <w:rsid w:val="00AD53D2"/>
    <w:rsid w:val="00AD7026"/>
    <w:rsid w:val="00AD7A7D"/>
    <w:rsid w:val="00AE2E8A"/>
    <w:rsid w:val="00AE63BC"/>
    <w:rsid w:val="00AE6626"/>
    <w:rsid w:val="00AF09D0"/>
    <w:rsid w:val="00AF0F3D"/>
    <w:rsid w:val="00AF10F7"/>
    <w:rsid w:val="00AF1AF2"/>
    <w:rsid w:val="00AF1C74"/>
    <w:rsid w:val="00AF314B"/>
    <w:rsid w:val="00AF3AB1"/>
    <w:rsid w:val="00B01A1F"/>
    <w:rsid w:val="00B01AE7"/>
    <w:rsid w:val="00B05F0A"/>
    <w:rsid w:val="00B118BA"/>
    <w:rsid w:val="00B142BE"/>
    <w:rsid w:val="00B15672"/>
    <w:rsid w:val="00B17C15"/>
    <w:rsid w:val="00B20378"/>
    <w:rsid w:val="00B234FA"/>
    <w:rsid w:val="00B25E45"/>
    <w:rsid w:val="00B26CD9"/>
    <w:rsid w:val="00B2737A"/>
    <w:rsid w:val="00B27A9A"/>
    <w:rsid w:val="00B30D58"/>
    <w:rsid w:val="00B32E97"/>
    <w:rsid w:val="00B32F7D"/>
    <w:rsid w:val="00B34295"/>
    <w:rsid w:val="00B3476E"/>
    <w:rsid w:val="00B408FD"/>
    <w:rsid w:val="00B41774"/>
    <w:rsid w:val="00B4581F"/>
    <w:rsid w:val="00B52256"/>
    <w:rsid w:val="00B53477"/>
    <w:rsid w:val="00B5491E"/>
    <w:rsid w:val="00B574BE"/>
    <w:rsid w:val="00B57686"/>
    <w:rsid w:val="00B64773"/>
    <w:rsid w:val="00B7005B"/>
    <w:rsid w:val="00B713DB"/>
    <w:rsid w:val="00B759C3"/>
    <w:rsid w:val="00B75D9F"/>
    <w:rsid w:val="00B76BDF"/>
    <w:rsid w:val="00B774FD"/>
    <w:rsid w:val="00B77659"/>
    <w:rsid w:val="00B809E6"/>
    <w:rsid w:val="00B81E80"/>
    <w:rsid w:val="00B8280D"/>
    <w:rsid w:val="00B83EA8"/>
    <w:rsid w:val="00B84961"/>
    <w:rsid w:val="00B874B3"/>
    <w:rsid w:val="00B90521"/>
    <w:rsid w:val="00B91B18"/>
    <w:rsid w:val="00B91C0C"/>
    <w:rsid w:val="00B9448D"/>
    <w:rsid w:val="00BA13FE"/>
    <w:rsid w:val="00BA22DA"/>
    <w:rsid w:val="00BA2BD4"/>
    <w:rsid w:val="00BA3260"/>
    <w:rsid w:val="00BA3D7A"/>
    <w:rsid w:val="00BA4B7F"/>
    <w:rsid w:val="00BA6B18"/>
    <w:rsid w:val="00BB2B60"/>
    <w:rsid w:val="00BB40EB"/>
    <w:rsid w:val="00BB4332"/>
    <w:rsid w:val="00BB45DA"/>
    <w:rsid w:val="00BB5074"/>
    <w:rsid w:val="00BB6A11"/>
    <w:rsid w:val="00BB711B"/>
    <w:rsid w:val="00BC070F"/>
    <w:rsid w:val="00BC0A73"/>
    <w:rsid w:val="00BC215D"/>
    <w:rsid w:val="00BD120A"/>
    <w:rsid w:val="00BD19E1"/>
    <w:rsid w:val="00BD383A"/>
    <w:rsid w:val="00BD3CAD"/>
    <w:rsid w:val="00BD4AE5"/>
    <w:rsid w:val="00BD5014"/>
    <w:rsid w:val="00BD7431"/>
    <w:rsid w:val="00BD77EB"/>
    <w:rsid w:val="00BD7A5C"/>
    <w:rsid w:val="00BE007B"/>
    <w:rsid w:val="00BE0DAF"/>
    <w:rsid w:val="00BE3A87"/>
    <w:rsid w:val="00BE7AFB"/>
    <w:rsid w:val="00BF0670"/>
    <w:rsid w:val="00BF10B6"/>
    <w:rsid w:val="00BF3E1D"/>
    <w:rsid w:val="00BF4115"/>
    <w:rsid w:val="00BF52BB"/>
    <w:rsid w:val="00C0037D"/>
    <w:rsid w:val="00C01E57"/>
    <w:rsid w:val="00C02645"/>
    <w:rsid w:val="00C04C65"/>
    <w:rsid w:val="00C05EC5"/>
    <w:rsid w:val="00C10341"/>
    <w:rsid w:val="00C12EEF"/>
    <w:rsid w:val="00C13BAC"/>
    <w:rsid w:val="00C14CAE"/>
    <w:rsid w:val="00C17E32"/>
    <w:rsid w:val="00C2024E"/>
    <w:rsid w:val="00C20505"/>
    <w:rsid w:val="00C26575"/>
    <w:rsid w:val="00C32F15"/>
    <w:rsid w:val="00C34F58"/>
    <w:rsid w:val="00C40283"/>
    <w:rsid w:val="00C41745"/>
    <w:rsid w:val="00C435E9"/>
    <w:rsid w:val="00C43E1B"/>
    <w:rsid w:val="00C466E0"/>
    <w:rsid w:val="00C46AC4"/>
    <w:rsid w:val="00C47814"/>
    <w:rsid w:val="00C52E50"/>
    <w:rsid w:val="00C533A4"/>
    <w:rsid w:val="00C55C87"/>
    <w:rsid w:val="00C6099E"/>
    <w:rsid w:val="00C60ED5"/>
    <w:rsid w:val="00C61384"/>
    <w:rsid w:val="00C614A3"/>
    <w:rsid w:val="00C638BD"/>
    <w:rsid w:val="00C64BB8"/>
    <w:rsid w:val="00C66AB1"/>
    <w:rsid w:val="00C6734D"/>
    <w:rsid w:val="00C6768E"/>
    <w:rsid w:val="00C70021"/>
    <w:rsid w:val="00C70D03"/>
    <w:rsid w:val="00C73296"/>
    <w:rsid w:val="00C7415D"/>
    <w:rsid w:val="00C74EB8"/>
    <w:rsid w:val="00C75606"/>
    <w:rsid w:val="00C756C2"/>
    <w:rsid w:val="00C759EE"/>
    <w:rsid w:val="00C75EF7"/>
    <w:rsid w:val="00C76B2B"/>
    <w:rsid w:val="00C821C1"/>
    <w:rsid w:val="00C825B0"/>
    <w:rsid w:val="00C83265"/>
    <w:rsid w:val="00C84319"/>
    <w:rsid w:val="00C85473"/>
    <w:rsid w:val="00C85CA4"/>
    <w:rsid w:val="00C85D7B"/>
    <w:rsid w:val="00C91F55"/>
    <w:rsid w:val="00C92434"/>
    <w:rsid w:val="00C9259C"/>
    <w:rsid w:val="00C931FD"/>
    <w:rsid w:val="00C940BC"/>
    <w:rsid w:val="00C94727"/>
    <w:rsid w:val="00C95F79"/>
    <w:rsid w:val="00C96AD4"/>
    <w:rsid w:val="00C9725F"/>
    <w:rsid w:val="00CA02E0"/>
    <w:rsid w:val="00CA151A"/>
    <w:rsid w:val="00CA3C78"/>
    <w:rsid w:val="00CA42FD"/>
    <w:rsid w:val="00CA475B"/>
    <w:rsid w:val="00CB1EF6"/>
    <w:rsid w:val="00CB4985"/>
    <w:rsid w:val="00CB5A8A"/>
    <w:rsid w:val="00CB613D"/>
    <w:rsid w:val="00CB7153"/>
    <w:rsid w:val="00CC14A2"/>
    <w:rsid w:val="00CC1CE8"/>
    <w:rsid w:val="00CC3F49"/>
    <w:rsid w:val="00CC41D0"/>
    <w:rsid w:val="00CC4B1A"/>
    <w:rsid w:val="00CC504F"/>
    <w:rsid w:val="00CD0B5A"/>
    <w:rsid w:val="00CD1AA0"/>
    <w:rsid w:val="00CD215F"/>
    <w:rsid w:val="00CD6F1C"/>
    <w:rsid w:val="00CE0848"/>
    <w:rsid w:val="00CE0ADC"/>
    <w:rsid w:val="00CE254B"/>
    <w:rsid w:val="00CE3A02"/>
    <w:rsid w:val="00CE6E2F"/>
    <w:rsid w:val="00CF2EA5"/>
    <w:rsid w:val="00D00EF8"/>
    <w:rsid w:val="00D0186B"/>
    <w:rsid w:val="00D02F38"/>
    <w:rsid w:val="00D0312B"/>
    <w:rsid w:val="00D0436F"/>
    <w:rsid w:val="00D04CC2"/>
    <w:rsid w:val="00D1440A"/>
    <w:rsid w:val="00D16811"/>
    <w:rsid w:val="00D16B71"/>
    <w:rsid w:val="00D16D01"/>
    <w:rsid w:val="00D1753D"/>
    <w:rsid w:val="00D20D57"/>
    <w:rsid w:val="00D23116"/>
    <w:rsid w:val="00D23454"/>
    <w:rsid w:val="00D24FA2"/>
    <w:rsid w:val="00D310A2"/>
    <w:rsid w:val="00D32555"/>
    <w:rsid w:val="00D32597"/>
    <w:rsid w:val="00D3267C"/>
    <w:rsid w:val="00D328A2"/>
    <w:rsid w:val="00D340A5"/>
    <w:rsid w:val="00D34F07"/>
    <w:rsid w:val="00D35AFE"/>
    <w:rsid w:val="00D35D69"/>
    <w:rsid w:val="00D36447"/>
    <w:rsid w:val="00D37C8B"/>
    <w:rsid w:val="00D37EAC"/>
    <w:rsid w:val="00D4008F"/>
    <w:rsid w:val="00D403A5"/>
    <w:rsid w:val="00D413DB"/>
    <w:rsid w:val="00D44133"/>
    <w:rsid w:val="00D4431D"/>
    <w:rsid w:val="00D44A3B"/>
    <w:rsid w:val="00D44CE3"/>
    <w:rsid w:val="00D51CAD"/>
    <w:rsid w:val="00D52387"/>
    <w:rsid w:val="00D52920"/>
    <w:rsid w:val="00D53E6E"/>
    <w:rsid w:val="00D54329"/>
    <w:rsid w:val="00D54E27"/>
    <w:rsid w:val="00D55469"/>
    <w:rsid w:val="00D6006C"/>
    <w:rsid w:val="00D620A0"/>
    <w:rsid w:val="00D63D06"/>
    <w:rsid w:val="00D64615"/>
    <w:rsid w:val="00D64A7E"/>
    <w:rsid w:val="00D71587"/>
    <w:rsid w:val="00D74665"/>
    <w:rsid w:val="00D74A80"/>
    <w:rsid w:val="00D8245C"/>
    <w:rsid w:val="00D834F9"/>
    <w:rsid w:val="00D856B7"/>
    <w:rsid w:val="00D87858"/>
    <w:rsid w:val="00D9000A"/>
    <w:rsid w:val="00D9077F"/>
    <w:rsid w:val="00D91A33"/>
    <w:rsid w:val="00D92A30"/>
    <w:rsid w:val="00D9387E"/>
    <w:rsid w:val="00D9655E"/>
    <w:rsid w:val="00D973AE"/>
    <w:rsid w:val="00DA02AF"/>
    <w:rsid w:val="00DA1301"/>
    <w:rsid w:val="00DA20AC"/>
    <w:rsid w:val="00DA2834"/>
    <w:rsid w:val="00DA29B8"/>
    <w:rsid w:val="00DA4474"/>
    <w:rsid w:val="00DA47A1"/>
    <w:rsid w:val="00DA5C37"/>
    <w:rsid w:val="00DA67B5"/>
    <w:rsid w:val="00DA6BB1"/>
    <w:rsid w:val="00DB2B27"/>
    <w:rsid w:val="00DB3DA3"/>
    <w:rsid w:val="00DB4350"/>
    <w:rsid w:val="00DC04EC"/>
    <w:rsid w:val="00DC29AD"/>
    <w:rsid w:val="00DC3555"/>
    <w:rsid w:val="00DC7230"/>
    <w:rsid w:val="00DC7233"/>
    <w:rsid w:val="00DC7536"/>
    <w:rsid w:val="00DC7A22"/>
    <w:rsid w:val="00DD0336"/>
    <w:rsid w:val="00DD0B9E"/>
    <w:rsid w:val="00DD1F21"/>
    <w:rsid w:val="00DD235F"/>
    <w:rsid w:val="00DD2C58"/>
    <w:rsid w:val="00DD48BF"/>
    <w:rsid w:val="00DD7071"/>
    <w:rsid w:val="00DD7287"/>
    <w:rsid w:val="00DD74E3"/>
    <w:rsid w:val="00DE20F6"/>
    <w:rsid w:val="00DE4259"/>
    <w:rsid w:val="00DE514D"/>
    <w:rsid w:val="00DE5EDF"/>
    <w:rsid w:val="00DE7001"/>
    <w:rsid w:val="00DE7C32"/>
    <w:rsid w:val="00DE7D75"/>
    <w:rsid w:val="00DF39D1"/>
    <w:rsid w:val="00DF629E"/>
    <w:rsid w:val="00E04AB9"/>
    <w:rsid w:val="00E10076"/>
    <w:rsid w:val="00E11EF3"/>
    <w:rsid w:val="00E1268F"/>
    <w:rsid w:val="00E14AC0"/>
    <w:rsid w:val="00E1506A"/>
    <w:rsid w:val="00E15C52"/>
    <w:rsid w:val="00E1714C"/>
    <w:rsid w:val="00E172D1"/>
    <w:rsid w:val="00E17D69"/>
    <w:rsid w:val="00E215EE"/>
    <w:rsid w:val="00E23FF0"/>
    <w:rsid w:val="00E24105"/>
    <w:rsid w:val="00E24F65"/>
    <w:rsid w:val="00E26797"/>
    <w:rsid w:val="00E27973"/>
    <w:rsid w:val="00E31374"/>
    <w:rsid w:val="00E33F3A"/>
    <w:rsid w:val="00E348D6"/>
    <w:rsid w:val="00E36E48"/>
    <w:rsid w:val="00E40344"/>
    <w:rsid w:val="00E40558"/>
    <w:rsid w:val="00E40702"/>
    <w:rsid w:val="00E40D16"/>
    <w:rsid w:val="00E40D30"/>
    <w:rsid w:val="00E434BB"/>
    <w:rsid w:val="00E43857"/>
    <w:rsid w:val="00E4494F"/>
    <w:rsid w:val="00E476C0"/>
    <w:rsid w:val="00E51DB7"/>
    <w:rsid w:val="00E541FC"/>
    <w:rsid w:val="00E54934"/>
    <w:rsid w:val="00E55644"/>
    <w:rsid w:val="00E56D7E"/>
    <w:rsid w:val="00E573D6"/>
    <w:rsid w:val="00E6146F"/>
    <w:rsid w:val="00E66CFA"/>
    <w:rsid w:val="00E675C4"/>
    <w:rsid w:val="00E717E4"/>
    <w:rsid w:val="00E71AD3"/>
    <w:rsid w:val="00E721FA"/>
    <w:rsid w:val="00E72D9D"/>
    <w:rsid w:val="00E74634"/>
    <w:rsid w:val="00E80D05"/>
    <w:rsid w:val="00E8266D"/>
    <w:rsid w:val="00E828C9"/>
    <w:rsid w:val="00E8325A"/>
    <w:rsid w:val="00E8405C"/>
    <w:rsid w:val="00E84B78"/>
    <w:rsid w:val="00E86662"/>
    <w:rsid w:val="00E87555"/>
    <w:rsid w:val="00E90F9A"/>
    <w:rsid w:val="00E940AA"/>
    <w:rsid w:val="00E95D17"/>
    <w:rsid w:val="00E9637B"/>
    <w:rsid w:val="00EA0288"/>
    <w:rsid w:val="00EA2997"/>
    <w:rsid w:val="00EA47F3"/>
    <w:rsid w:val="00EA4DDC"/>
    <w:rsid w:val="00EA52CE"/>
    <w:rsid w:val="00EB1039"/>
    <w:rsid w:val="00EB1A53"/>
    <w:rsid w:val="00EB294E"/>
    <w:rsid w:val="00EB538F"/>
    <w:rsid w:val="00EB64DA"/>
    <w:rsid w:val="00EC1B0A"/>
    <w:rsid w:val="00EC2768"/>
    <w:rsid w:val="00EC2930"/>
    <w:rsid w:val="00EC32ED"/>
    <w:rsid w:val="00EC374D"/>
    <w:rsid w:val="00EC6E57"/>
    <w:rsid w:val="00ED32FA"/>
    <w:rsid w:val="00ED3ADB"/>
    <w:rsid w:val="00ED5B73"/>
    <w:rsid w:val="00ED7D5D"/>
    <w:rsid w:val="00EE18C8"/>
    <w:rsid w:val="00EE26C9"/>
    <w:rsid w:val="00EE3FF6"/>
    <w:rsid w:val="00EE41E5"/>
    <w:rsid w:val="00EE47D9"/>
    <w:rsid w:val="00EE72C3"/>
    <w:rsid w:val="00EF2645"/>
    <w:rsid w:val="00EF37A3"/>
    <w:rsid w:val="00EF39BD"/>
    <w:rsid w:val="00EF4CC1"/>
    <w:rsid w:val="00EF7163"/>
    <w:rsid w:val="00EF7DB5"/>
    <w:rsid w:val="00F00F98"/>
    <w:rsid w:val="00F03CB9"/>
    <w:rsid w:val="00F0497F"/>
    <w:rsid w:val="00F0603E"/>
    <w:rsid w:val="00F07600"/>
    <w:rsid w:val="00F11E9A"/>
    <w:rsid w:val="00F13518"/>
    <w:rsid w:val="00F16723"/>
    <w:rsid w:val="00F22DE1"/>
    <w:rsid w:val="00F240D4"/>
    <w:rsid w:val="00F27243"/>
    <w:rsid w:val="00F27E63"/>
    <w:rsid w:val="00F32584"/>
    <w:rsid w:val="00F367AE"/>
    <w:rsid w:val="00F36887"/>
    <w:rsid w:val="00F40116"/>
    <w:rsid w:val="00F40484"/>
    <w:rsid w:val="00F42C06"/>
    <w:rsid w:val="00F448F8"/>
    <w:rsid w:val="00F47D43"/>
    <w:rsid w:val="00F5249B"/>
    <w:rsid w:val="00F53177"/>
    <w:rsid w:val="00F557F9"/>
    <w:rsid w:val="00F56874"/>
    <w:rsid w:val="00F6686F"/>
    <w:rsid w:val="00F66EA7"/>
    <w:rsid w:val="00F67BA2"/>
    <w:rsid w:val="00F73693"/>
    <w:rsid w:val="00F7592E"/>
    <w:rsid w:val="00F76412"/>
    <w:rsid w:val="00F772B0"/>
    <w:rsid w:val="00F7738A"/>
    <w:rsid w:val="00F810E8"/>
    <w:rsid w:val="00F8156F"/>
    <w:rsid w:val="00F81A48"/>
    <w:rsid w:val="00F831B0"/>
    <w:rsid w:val="00F835A2"/>
    <w:rsid w:val="00F83990"/>
    <w:rsid w:val="00F842FB"/>
    <w:rsid w:val="00F855CC"/>
    <w:rsid w:val="00F90AEE"/>
    <w:rsid w:val="00F91D05"/>
    <w:rsid w:val="00F924EC"/>
    <w:rsid w:val="00F92821"/>
    <w:rsid w:val="00F95343"/>
    <w:rsid w:val="00F95DB5"/>
    <w:rsid w:val="00FA032C"/>
    <w:rsid w:val="00FA36AA"/>
    <w:rsid w:val="00FA7410"/>
    <w:rsid w:val="00FA773E"/>
    <w:rsid w:val="00FB0360"/>
    <w:rsid w:val="00FB503A"/>
    <w:rsid w:val="00FB6B22"/>
    <w:rsid w:val="00FC0569"/>
    <w:rsid w:val="00FC0B44"/>
    <w:rsid w:val="00FC2A40"/>
    <w:rsid w:val="00FC7805"/>
    <w:rsid w:val="00FD01F2"/>
    <w:rsid w:val="00FD1BB4"/>
    <w:rsid w:val="00FD5155"/>
    <w:rsid w:val="00FD71F0"/>
    <w:rsid w:val="00FD7561"/>
    <w:rsid w:val="00FD7A48"/>
    <w:rsid w:val="00FE4558"/>
    <w:rsid w:val="00FE57BF"/>
    <w:rsid w:val="00FE59E3"/>
    <w:rsid w:val="00FF60D8"/>
    <w:rsid w:val="00FF6245"/>
    <w:rsid w:val="00FF74F8"/>
    <w:rsid w:val="00FF756C"/>
    <w:rsid w:val="00FF7D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43D3DE-587C-4915-B77A-348ABF13B4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62A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unhideWhenUsed/>
    <w:rsid w:val="00F66EA7"/>
    <w:pPr>
      <w:spacing w:after="0" w:line="240" w:lineRule="auto"/>
    </w:pPr>
    <w:rPr>
      <w:sz w:val="20"/>
      <w:szCs w:val="20"/>
    </w:rPr>
  </w:style>
  <w:style w:type="character" w:customStyle="1" w:styleId="FootnoteTextChar">
    <w:name w:val="Footnote Text Char"/>
    <w:basedOn w:val="DefaultParagraphFont"/>
    <w:link w:val="FootnoteText"/>
    <w:semiHidden/>
    <w:rsid w:val="00F66EA7"/>
    <w:rPr>
      <w:sz w:val="20"/>
      <w:szCs w:val="20"/>
    </w:rPr>
  </w:style>
  <w:style w:type="character" w:styleId="FootnoteReference">
    <w:name w:val="footnote reference"/>
    <w:basedOn w:val="DefaultParagraphFont"/>
    <w:semiHidden/>
    <w:unhideWhenUsed/>
    <w:rsid w:val="00F66EA7"/>
    <w:rPr>
      <w:vertAlign w:val="superscript"/>
    </w:rPr>
  </w:style>
  <w:style w:type="paragraph" w:styleId="ListParagraph">
    <w:name w:val="List Paragraph"/>
    <w:basedOn w:val="Normal"/>
    <w:uiPriority w:val="34"/>
    <w:qFormat/>
    <w:rsid w:val="00364F9F"/>
    <w:pPr>
      <w:ind w:left="720"/>
      <w:contextualSpacing/>
    </w:pPr>
  </w:style>
  <w:style w:type="paragraph" w:styleId="Quote">
    <w:name w:val="Quote"/>
    <w:basedOn w:val="Normal"/>
    <w:next w:val="Normal"/>
    <w:link w:val="QuoteChar"/>
    <w:uiPriority w:val="29"/>
    <w:qFormat/>
    <w:rsid w:val="00B53477"/>
    <w:pPr>
      <w:spacing w:before="200" w:after="0"/>
      <w:ind w:left="360" w:right="360"/>
    </w:pPr>
    <w:rPr>
      <w:rFonts w:eastAsiaTheme="minorEastAsia"/>
      <w:i/>
      <w:iCs/>
    </w:rPr>
  </w:style>
  <w:style w:type="character" w:customStyle="1" w:styleId="QuoteChar">
    <w:name w:val="Quote Char"/>
    <w:basedOn w:val="DefaultParagraphFont"/>
    <w:link w:val="Quote"/>
    <w:uiPriority w:val="29"/>
    <w:rsid w:val="00B53477"/>
    <w:rPr>
      <w:rFonts w:eastAsiaTheme="minorEastAsia"/>
      <w:i/>
      <w:iCs/>
    </w:rPr>
  </w:style>
  <w:style w:type="paragraph" w:styleId="Header">
    <w:name w:val="header"/>
    <w:basedOn w:val="Normal"/>
    <w:link w:val="HeaderChar"/>
    <w:uiPriority w:val="99"/>
    <w:unhideWhenUsed/>
    <w:rsid w:val="009A42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2C8"/>
  </w:style>
  <w:style w:type="paragraph" w:styleId="Footer">
    <w:name w:val="footer"/>
    <w:basedOn w:val="Normal"/>
    <w:link w:val="FooterChar"/>
    <w:uiPriority w:val="99"/>
    <w:unhideWhenUsed/>
    <w:rsid w:val="009A42C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2C8"/>
  </w:style>
  <w:style w:type="character" w:customStyle="1" w:styleId="Heading1Char">
    <w:name w:val="Heading 1 Char"/>
    <w:basedOn w:val="DefaultParagraphFont"/>
    <w:link w:val="Heading1"/>
    <w:uiPriority w:val="9"/>
    <w:rsid w:val="00062AED"/>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062AED"/>
    <w:rPr>
      <w:color w:val="0000FF" w:themeColor="hyperlink"/>
      <w:u w:val="single"/>
    </w:rPr>
  </w:style>
  <w:style w:type="paragraph" w:styleId="EndnoteText">
    <w:name w:val="endnote text"/>
    <w:basedOn w:val="Normal"/>
    <w:link w:val="EndnoteTextChar"/>
    <w:uiPriority w:val="99"/>
    <w:semiHidden/>
    <w:unhideWhenUsed/>
    <w:rsid w:val="00062AE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62AED"/>
    <w:rPr>
      <w:sz w:val="20"/>
      <w:szCs w:val="20"/>
    </w:rPr>
  </w:style>
  <w:style w:type="character" w:styleId="EndnoteReference">
    <w:name w:val="endnote reference"/>
    <w:basedOn w:val="DefaultParagraphFont"/>
    <w:uiPriority w:val="99"/>
    <w:semiHidden/>
    <w:unhideWhenUsed/>
    <w:rsid w:val="00062AED"/>
    <w:rPr>
      <w:vertAlign w:val="superscript"/>
    </w:rPr>
  </w:style>
  <w:style w:type="paragraph" w:styleId="BalloonText">
    <w:name w:val="Balloon Text"/>
    <w:basedOn w:val="Normal"/>
    <w:link w:val="BalloonTextChar"/>
    <w:uiPriority w:val="99"/>
    <w:semiHidden/>
    <w:unhideWhenUsed/>
    <w:rsid w:val="00062A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2AED"/>
    <w:rPr>
      <w:rFonts w:ascii="Tahoma" w:hAnsi="Tahoma" w:cs="Tahoma"/>
      <w:sz w:val="16"/>
      <w:szCs w:val="16"/>
    </w:rPr>
  </w:style>
  <w:style w:type="paragraph" w:customStyle="1" w:styleId="PhDChapterTitle">
    <w:name w:val="PhD Chapter Title"/>
    <w:basedOn w:val="Normal"/>
    <w:link w:val="PhDChapterTitleChar"/>
    <w:qFormat/>
    <w:rsid w:val="00AB7F70"/>
    <w:pPr>
      <w:spacing w:after="0"/>
      <w:jc w:val="center"/>
    </w:pPr>
    <w:rPr>
      <w:b/>
      <w:smallCaps/>
      <w:sz w:val="28"/>
    </w:rPr>
  </w:style>
  <w:style w:type="paragraph" w:customStyle="1" w:styleId="PhDSubheading">
    <w:name w:val="PhD Subheading"/>
    <w:basedOn w:val="Normal"/>
    <w:link w:val="PhDSubheadingChar"/>
    <w:qFormat/>
    <w:rsid w:val="00973BD0"/>
    <w:pPr>
      <w:jc w:val="both"/>
    </w:pPr>
    <w:rPr>
      <w:b/>
      <w:i/>
      <w:iCs/>
    </w:rPr>
  </w:style>
  <w:style w:type="character" w:customStyle="1" w:styleId="PhDChapterTitleChar">
    <w:name w:val="PhD Chapter Title Char"/>
    <w:basedOn w:val="DefaultParagraphFont"/>
    <w:link w:val="PhDChapterTitle"/>
    <w:rsid w:val="00AB7F70"/>
    <w:rPr>
      <w:b/>
      <w:smallCaps/>
      <w:sz w:val="28"/>
    </w:rPr>
  </w:style>
  <w:style w:type="paragraph" w:styleId="TOCHeading">
    <w:name w:val="TOC Heading"/>
    <w:basedOn w:val="Heading1"/>
    <w:next w:val="Normal"/>
    <w:uiPriority w:val="39"/>
    <w:semiHidden/>
    <w:unhideWhenUsed/>
    <w:qFormat/>
    <w:rsid w:val="007B6452"/>
    <w:pPr>
      <w:outlineLvl w:val="9"/>
    </w:pPr>
    <w:rPr>
      <w:lang w:val="en-US" w:eastAsia="ja-JP"/>
    </w:rPr>
  </w:style>
  <w:style w:type="character" w:customStyle="1" w:styleId="PhDSubheadingChar">
    <w:name w:val="PhD Subheading Char"/>
    <w:basedOn w:val="DefaultParagraphFont"/>
    <w:link w:val="PhDSubheading"/>
    <w:rsid w:val="00973BD0"/>
    <w:rPr>
      <w:b/>
      <w:i/>
      <w:iCs/>
    </w:rPr>
  </w:style>
  <w:style w:type="paragraph" w:styleId="TOC2">
    <w:name w:val="toc 2"/>
    <w:basedOn w:val="Normal"/>
    <w:next w:val="Normal"/>
    <w:autoRedefine/>
    <w:uiPriority w:val="39"/>
    <w:unhideWhenUsed/>
    <w:qFormat/>
    <w:rsid w:val="007B6452"/>
    <w:pPr>
      <w:spacing w:after="100"/>
      <w:ind w:left="220"/>
    </w:pPr>
    <w:rPr>
      <w:rFonts w:eastAsiaTheme="minorEastAsia"/>
      <w:lang w:val="en-US" w:eastAsia="ja-JP"/>
    </w:rPr>
  </w:style>
  <w:style w:type="paragraph" w:styleId="TOC1">
    <w:name w:val="toc 1"/>
    <w:basedOn w:val="Normal"/>
    <w:next w:val="Normal"/>
    <w:autoRedefine/>
    <w:uiPriority w:val="39"/>
    <w:semiHidden/>
    <w:unhideWhenUsed/>
    <w:qFormat/>
    <w:rsid w:val="007B6452"/>
    <w:pPr>
      <w:spacing w:after="100"/>
    </w:pPr>
    <w:rPr>
      <w:rFonts w:eastAsiaTheme="minorEastAsia"/>
      <w:lang w:val="en-US" w:eastAsia="ja-JP"/>
    </w:rPr>
  </w:style>
  <w:style w:type="paragraph" w:styleId="TOC3">
    <w:name w:val="toc 3"/>
    <w:basedOn w:val="Normal"/>
    <w:next w:val="Normal"/>
    <w:autoRedefine/>
    <w:uiPriority w:val="39"/>
    <w:unhideWhenUsed/>
    <w:qFormat/>
    <w:rsid w:val="007B6452"/>
    <w:pPr>
      <w:spacing w:after="100"/>
      <w:ind w:left="440"/>
    </w:pPr>
    <w:rPr>
      <w:rFonts w:eastAsiaTheme="minorEastAsia"/>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377321">
      <w:bodyDiv w:val="1"/>
      <w:marLeft w:val="0"/>
      <w:marRight w:val="0"/>
      <w:marTop w:val="0"/>
      <w:marBottom w:val="0"/>
      <w:divBdr>
        <w:top w:val="none" w:sz="0" w:space="0" w:color="auto"/>
        <w:left w:val="none" w:sz="0" w:space="0" w:color="auto"/>
        <w:bottom w:val="none" w:sz="0" w:space="0" w:color="auto"/>
        <w:right w:val="none" w:sz="0" w:space="0" w:color="auto"/>
      </w:divBdr>
    </w:div>
    <w:div w:id="240526646">
      <w:bodyDiv w:val="1"/>
      <w:marLeft w:val="0"/>
      <w:marRight w:val="0"/>
      <w:marTop w:val="0"/>
      <w:marBottom w:val="0"/>
      <w:divBdr>
        <w:top w:val="none" w:sz="0" w:space="0" w:color="auto"/>
        <w:left w:val="none" w:sz="0" w:space="0" w:color="auto"/>
        <w:bottom w:val="none" w:sz="0" w:space="0" w:color="auto"/>
        <w:right w:val="none" w:sz="0" w:space="0" w:color="auto"/>
      </w:divBdr>
      <w:divsChild>
        <w:div w:id="413668086">
          <w:marLeft w:val="0"/>
          <w:marRight w:val="0"/>
          <w:marTop w:val="0"/>
          <w:marBottom w:val="0"/>
          <w:divBdr>
            <w:top w:val="none" w:sz="0" w:space="0" w:color="auto"/>
            <w:left w:val="none" w:sz="0" w:space="0" w:color="auto"/>
            <w:bottom w:val="none" w:sz="0" w:space="0" w:color="auto"/>
            <w:right w:val="none" w:sz="0" w:space="0" w:color="auto"/>
          </w:divBdr>
        </w:div>
        <w:div w:id="16277431">
          <w:marLeft w:val="0"/>
          <w:marRight w:val="0"/>
          <w:marTop w:val="0"/>
          <w:marBottom w:val="0"/>
          <w:divBdr>
            <w:top w:val="none" w:sz="0" w:space="0" w:color="auto"/>
            <w:left w:val="none" w:sz="0" w:space="0" w:color="auto"/>
            <w:bottom w:val="none" w:sz="0" w:space="0" w:color="auto"/>
            <w:right w:val="none" w:sz="0" w:space="0" w:color="auto"/>
          </w:divBdr>
        </w:div>
        <w:div w:id="264655661">
          <w:marLeft w:val="0"/>
          <w:marRight w:val="0"/>
          <w:marTop w:val="0"/>
          <w:marBottom w:val="0"/>
          <w:divBdr>
            <w:top w:val="none" w:sz="0" w:space="0" w:color="auto"/>
            <w:left w:val="none" w:sz="0" w:space="0" w:color="auto"/>
            <w:bottom w:val="none" w:sz="0" w:space="0" w:color="auto"/>
            <w:right w:val="none" w:sz="0" w:space="0" w:color="auto"/>
          </w:divBdr>
        </w:div>
      </w:divsChild>
    </w:div>
    <w:div w:id="48871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A584A4-53B0-4C4A-A14B-969F057B6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74342</Words>
  <Characters>423755</Characters>
  <Application>Microsoft Office Word</Application>
  <DocSecurity>0</DocSecurity>
  <Lines>3531</Lines>
  <Paragraphs>994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497103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Jonathan Black</dc:creator>
  <cp:lastModifiedBy>Sally Myers</cp:lastModifiedBy>
  <cp:revision>3</cp:revision>
  <cp:lastPrinted>2016-07-18T09:05:00Z</cp:lastPrinted>
  <dcterms:created xsi:type="dcterms:W3CDTF">2017-01-26T15:04:00Z</dcterms:created>
  <dcterms:modified xsi:type="dcterms:W3CDTF">2017-01-26T15:05:00Z</dcterms:modified>
</cp:coreProperties>
</file>