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45A7" w:rsidRPr="00A237D1" w:rsidRDefault="00B345A7" w:rsidP="00867F6B">
      <w:pPr>
        <w:spacing w:line="360" w:lineRule="auto"/>
        <w:jc w:val="center"/>
        <w:rPr>
          <w:b/>
        </w:rPr>
      </w:pPr>
      <w:bookmarkStart w:id="0" w:name="_GoBack"/>
      <w:bookmarkEnd w:id="0"/>
      <w:r>
        <w:rPr>
          <w:b/>
        </w:rPr>
        <w:t>Components</w:t>
      </w:r>
      <w:r w:rsidRPr="00F3374B">
        <w:rPr>
          <w:b/>
        </w:rPr>
        <w:t xml:space="preserve"> of therapy as mechanism</w:t>
      </w:r>
      <w:r>
        <w:rPr>
          <w:b/>
        </w:rPr>
        <w:t>s</w:t>
      </w:r>
      <w:r w:rsidRPr="00F3374B">
        <w:rPr>
          <w:b/>
        </w:rPr>
        <w:t xml:space="preserve"> of </w:t>
      </w:r>
      <w:r>
        <w:rPr>
          <w:b/>
        </w:rPr>
        <w:t xml:space="preserve">change in cognitive therapy for people at risk of psychosis: </w:t>
      </w:r>
      <w:r w:rsidR="00A237D1" w:rsidRPr="00A237D1">
        <w:rPr>
          <w:b/>
        </w:rPr>
        <w:t xml:space="preserve">An </w:t>
      </w:r>
      <w:r w:rsidRPr="00A237D1">
        <w:rPr>
          <w:b/>
        </w:rPr>
        <w:t xml:space="preserve">analysis of the EDIE-2 </w:t>
      </w:r>
      <w:r w:rsidR="00A237D1" w:rsidRPr="00A237D1">
        <w:rPr>
          <w:b/>
        </w:rPr>
        <w:t>trial</w:t>
      </w:r>
    </w:p>
    <w:p w:rsidR="00B345A7" w:rsidRDefault="00B345A7" w:rsidP="00867F6B">
      <w:pPr>
        <w:spacing w:line="360" w:lineRule="auto"/>
        <w:jc w:val="center"/>
        <w:rPr>
          <w:b/>
        </w:rPr>
      </w:pPr>
    </w:p>
    <w:p w:rsidR="00B345A7" w:rsidRDefault="00B345A7" w:rsidP="00867F6B">
      <w:pPr>
        <w:spacing w:line="360" w:lineRule="auto"/>
        <w:jc w:val="center"/>
        <w:rPr>
          <w:b/>
        </w:rPr>
      </w:pPr>
    </w:p>
    <w:p w:rsidR="00B345A7" w:rsidRDefault="00B345A7" w:rsidP="00867F6B">
      <w:pPr>
        <w:spacing w:line="360" w:lineRule="auto"/>
        <w:jc w:val="center"/>
        <w:rPr>
          <w:b/>
        </w:rPr>
      </w:pPr>
    </w:p>
    <w:p w:rsidR="00B345A7" w:rsidRPr="00BF71D9" w:rsidRDefault="00B345A7" w:rsidP="00867F6B">
      <w:pPr>
        <w:spacing w:line="360" w:lineRule="auto"/>
        <w:jc w:val="center"/>
        <w:rPr>
          <w:b/>
        </w:rPr>
      </w:pPr>
      <w:r w:rsidRPr="001E50B5">
        <w:rPr>
          <w:b/>
        </w:rPr>
        <w:t>Clare</w:t>
      </w:r>
      <w:r w:rsidRPr="00DD71AB">
        <w:rPr>
          <w:b/>
        </w:rPr>
        <w:t xml:space="preserve"> Flach</w:t>
      </w:r>
      <w:r>
        <w:rPr>
          <w:vertAlign w:val="superscript"/>
        </w:rPr>
        <w:t>1</w:t>
      </w:r>
    </w:p>
    <w:p w:rsidR="00B345A7" w:rsidRDefault="00B345A7" w:rsidP="00867F6B">
      <w:pPr>
        <w:spacing w:line="360" w:lineRule="auto"/>
        <w:jc w:val="center"/>
        <w:rPr>
          <w:b/>
        </w:rPr>
      </w:pPr>
      <w:r>
        <w:rPr>
          <w:b/>
        </w:rPr>
        <w:t>Paul French</w:t>
      </w:r>
      <w:r>
        <w:rPr>
          <w:b/>
          <w:vertAlign w:val="superscript"/>
        </w:rPr>
        <w:t>2,3</w:t>
      </w:r>
    </w:p>
    <w:p w:rsidR="00B345A7" w:rsidRDefault="00B345A7" w:rsidP="00867F6B">
      <w:pPr>
        <w:spacing w:line="360" w:lineRule="auto"/>
        <w:jc w:val="center"/>
        <w:rPr>
          <w:b/>
        </w:rPr>
      </w:pPr>
      <w:r w:rsidRPr="00DD71AB">
        <w:rPr>
          <w:b/>
        </w:rPr>
        <w:t>Graham Dunn</w:t>
      </w:r>
      <w:r w:rsidRPr="00DD71AB">
        <w:rPr>
          <w:b/>
          <w:vertAlign w:val="superscript"/>
        </w:rPr>
        <w:t>1</w:t>
      </w:r>
    </w:p>
    <w:p w:rsidR="00B345A7" w:rsidRPr="009468E3" w:rsidRDefault="00B345A7" w:rsidP="00867F6B">
      <w:pPr>
        <w:spacing w:line="360" w:lineRule="auto"/>
        <w:jc w:val="center"/>
        <w:rPr>
          <w:b/>
        </w:rPr>
      </w:pPr>
      <w:r w:rsidRPr="009468E3">
        <w:rPr>
          <w:b/>
        </w:rPr>
        <w:t>David Fowler</w:t>
      </w:r>
      <w:r>
        <w:rPr>
          <w:b/>
          <w:vertAlign w:val="superscript"/>
        </w:rPr>
        <w:t>4</w:t>
      </w:r>
    </w:p>
    <w:p w:rsidR="00B345A7" w:rsidRPr="009468E3" w:rsidRDefault="00B345A7" w:rsidP="00867F6B">
      <w:pPr>
        <w:spacing w:line="360" w:lineRule="auto"/>
        <w:jc w:val="center"/>
        <w:rPr>
          <w:b/>
        </w:rPr>
      </w:pPr>
      <w:r w:rsidRPr="009468E3">
        <w:rPr>
          <w:b/>
        </w:rPr>
        <w:t>Andrew I. Gumley</w:t>
      </w:r>
      <w:r>
        <w:rPr>
          <w:b/>
          <w:vertAlign w:val="superscript"/>
        </w:rPr>
        <w:t>5</w:t>
      </w:r>
    </w:p>
    <w:p w:rsidR="00B345A7" w:rsidRPr="009468E3" w:rsidRDefault="00B345A7" w:rsidP="00867F6B">
      <w:pPr>
        <w:tabs>
          <w:tab w:val="center" w:pos="3997"/>
          <w:tab w:val="left" w:pos="6480"/>
        </w:tabs>
        <w:spacing w:line="360" w:lineRule="auto"/>
        <w:jc w:val="center"/>
        <w:rPr>
          <w:b/>
        </w:rPr>
      </w:pPr>
      <w:r w:rsidRPr="009468E3">
        <w:rPr>
          <w:b/>
        </w:rPr>
        <w:t>Max Birchwood</w:t>
      </w:r>
      <w:r>
        <w:rPr>
          <w:b/>
          <w:vertAlign w:val="superscript"/>
        </w:rPr>
        <w:t>6</w:t>
      </w:r>
    </w:p>
    <w:p w:rsidR="00B345A7" w:rsidRDefault="00B345A7" w:rsidP="00867F6B">
      <w:pPr>
        <w:spacing w:line="360" w:lineRule="auto"/>
        <w:jc w:val="center"/>
        <w:rPr>
          <w:b/>
        </w:rPr>
      </w:pPr>
      <w:r w:rsidRPr="009468E3">
        <w:rPr>
          <w:b/>
        </w:rPr>
        <w:t>Suzanne L. K. Stewart</w:t>
      </w:r>
      <w:r>
        <w:rPr>
          <w:b/>
          <w:vertAlign w:val="superscript"/>
        </w:rPr>
        <w:t>7</w:t>
      </w:r>
    </w:p>
    <w:p w:rsidR="00B345A7" w:rsidRDefault="00B345A7" w:rsidP="00867F6B">
      <w:pPr>
        <w:spacing w:line="360" w:lineRule="auto"/>
        <w:jc w:val="center"/>
        <w:rPr>
          <w:b/>
        </w:rPr>
      </w:pPr>
      <w:r w:rsidRPr="00DD71AB">
        <w:rPr>
          <w:b/>
        </w:rPr>
        <w:t xml:space="preserve">Anthony P. </w:t>
      </w:r>
      <w:r w:rsidRPr="001E50B5">
        <w:rPr>
          <w:b/>
        </w:rPr>
        <w:t>Morrison</w:t>
      </w:r>
      <w:r w:rsidRPr="001E50B5">
        <w:rPr>
          <w:b/>
          <w:vertAlign w:val="superscript"/>
        </w:rPr>
        <w:t>2</w:t>
      </w:r>
      <w:r>
        <w:rPr>
          <w:b/>
          <w:vertAlign w:val="superscript"/>
        </w:rPr>
        <w:t>,</w:t>
      </w:r>
      <w:r w:rsidR="00BB418E">
        <w:rPr>
          <w:b/>
          <w:vertAlign w:val="superscript"/>
        </w:rPr>
        <w:t>8</w:t>
      </w:r>
    </w:p>
    <w:p w:rsidR="00B345A7" w:rsidRDefault="00B345A7" w:rsidP="00867F6B">
      <w:pPr>
        <w:spacing w:line="360" w:lineRule="auto"/>
        <w:jc w:val="both"/>
        <w:rPr>
          <w:b/>
        </w:rPr>
      </w:pPr>
    </w:p>
    <w:p w:rsidR="00B345A7" w:rsidRDefault="00B345A7" w:rsidP="00867F6B">
      <w:pPr>
        <w:spacing w:line="360" w:lineRule="auto"/>
        <w:jc w:val="both"/>
      </w:pPr>
      <w:r w:rsidRPr="00B40E3E">
        <w:rPr>
          <w:vertAlign w:val="superscript"/>
        </w:rPr>
        <w:t>1</w:t>
      </w:r>
      <w:r>
        <w:t xml:space="preserve"> Centre for Biostatistics, </w:t>
      </w:r>
      <w:smartTag w:uri="urn:schemas-microsoft-com:office:smarttags" w:element="PlaceType">
        <w:r>
          <w:t>Institute</w:t>
        </w:r>
      </w:smartTag>
      <w:r>
        <w:t xml:space="preserve"> of </w:t>
      </w:r>
      <w:smartTag w:uri="urn:schemas-microsoft-com:office:smarttags" w:element="PlaceName">
        <w:r>
          <w:t>Population</w:t>
        </w:r>
      </w:smartTag>
      <w:r>
        <w:t xml:space="preserve"> Health, </w:t>
      </w:r>
      <w:smartTag w:uri="urn:schemas-microsoft-com:office:smarttags" w:element="PlaceType">
        <w:r w:rsidRPr="00DD71AB">
          <w:t>University</w:t>
        </w:r>
      </w:smartTag>
      <w:r w:rsidRPr="00DD71AB">
        <w:t xml:space="preserve"> of </w:t>
      </w:r>
      <w:smartTag w:uri="urn:schemas-microsoft-com:office:smarttags" w:element="PlaceName">
        <w:r w:rsidRPr="00DD71AB">
          <w:t>Manchester</w:t>
        </w:r>
      </w:smartTag>
      <w:r w:rsidRPr="00DD71AB">
        <w:t xml:space="preserve">, </w:t>
      </w:r>
      <w:smartTag w:uri="urn:schemas-microsoft-com:office:smarttags" w:element="place">
        <w:smartTag w:uri="urn:schemas-microsoft-com:office:smarttags" w:element="City">
          <w:r w:rsidRPr="00DD71AB">
            <w:t>Manchester</w:t>
          </w:r>
        </w:smartTag>
        <w:r w:rsidRPr="00DD71AB">
          <w:t xml:space="preserve">, </w:t>
        </w:r>
        <w:smartTag w:uri="urn:schemas-microsoft-com:office:smarttags" w:element="country-region">
          <w:r w:rsidRPr="00DD71AB">
            <w:t>United Kingdom</w:t>
          </w:r>
        </w:smartTag>
      </w:smartTag>
    </w:p>
    <w:p w:rsidR="00B345A7" w:rsidRDefault="00B345A7" w:rsidP="00867F6B">
      <w:pPr>
        <w:spacing w:line="360" w:lineRule="auto"/>
        <w:jc w:val="both"/>
      </w:pPr>
      <w:r>
        <w:rPr>
          <w:vertAlign w:val="superscript"/>
        </w:rPr>
        <w:t>2</w:t>
      </w:r>
      <w:r w:rsidRPr="00DD71AB">
        <w:rPr>
          <w:vertAlign w:val="superscript"/>
        </w:rPr>
        <w:t xml:space="preserve"> </w:t>
      </w:r>
      <w:r w:rsidR="00BB418E" w:rsidRPr="00DD71AB">
        <w:t>Psycho</w:t>
      </w:r>
      <w:r w:rsidR="00BB418E">
        <w:t xml:space="preserve">sis Research Unit, Greater </w:t>
      </w:r>
      <w:smartTag w:uri="urn:schemas-microsoft-com:office:smarttags" w:element="place">
        <w:smartTag w:uri="urn:schemas-microsoft-com:office:smarttags" w:element="City">
          <w:r w:rsidR="00BB418E">
            <w:t>Manchest</w:t>
          </w:r>
          <w:r w:rsidR="00BB418E" w:rsidRPr="008642BC">
            <w:t>er</w:t>
          </w:r>
        </w:smartTag>
      </w:smartTag>
      <w:r w:rsidR="00BB418E" w:rsidRPr="008642BC">
        <w:t xml:space="preserve"> West NHS Foundation Trust</w:t>
      </w:r>
      <w:r w:rsidR="00BB418E">
        <w:t xml:space="preserve"> </w:t>
      </w:r>
    </w:p>
    <w:p w:rsidR="00B345A7" w:rsidRDefault="00B345A7" w:rsidP="00867F6B">
      <w:pPr>
        <w:spacing w:line="360" w:lineRule="auto"/>
      </w:pPr>
      <w:r>
        <w:rPr>
          <w:vertAlign w:val="superscript"/>
        </w:rPr>
        <w:t>3</w:t>
      </w:r>
      <w:r w:rsidRPr="00DD71AB">
        <w:rPr>
          <w:vertAlign w:val="superscript"/>
        </w:rPr>
        <w:t xml:space="preserve"> </w:t>
      </w:r>
      <w:r w:rsidR="00BB418E">
        <w:t>Department of Psychological Sciences, Liverpool University, Liverpool, United Kingdom</w:t>
      </w:r>
    </w:p>
    <w:p w:rsidR="00B345A7" w:rsidRPr="008642BC" w:rsidRDefault="00B345A7" w:rsidP="00867F6B">
      <w:pPr>
        <w:spacing w:line="360" w:lineRule="auto"/>
        <w:jc w:val="both"/>
      </w:pPr>
      <w:r>
        <w:rPr>
          <w:vertAlign w:val="superscript"/>
        </w:rPr>
        <w:t>4</w:t>
      </w:r>
      <w:r w:rsidRPr="008642BC">
        <w:t xml:space="preserve"> </w:t>
      </w:r>
      <w:r>
        <w:t xml:space="preserve">School of Psychology, </w:t>
      </w:r>
      <w:r w:rsidRPr="008642BC">
        <w:t>University of Sussex, Brighton, United Kingdom</w:t>
      </w:r>
    </w:p>
    <w:p w:rsidR="00B345A7" w:rsidRPr="008642BC" w:rsidRDefault="00B345A7" w:rsidP="00867F6B">
      <w:pPr>
        <w:spacing w:line="360" w:lineRule="auto"/>
        <w:jc w:val="both"/>
      </w:pPr>
      <w:r>
        <w:rPr>
          <w:vertAlign w:val="superscript"/>
        </w:rPr>
        <w:t>5</w:t>
      </w:r>
      <w:r w:rsidRPr="008642BC">
        <w:t xml:space="preserve"> Institute of Health and Wellbeing, </w:t>
      </w:r>
      <w:smartTag w:uri="urn:schemas-microsoft-com:office:smarttags" w:element="PlaceType">
        <w:r w:rsidRPr="008642BC">
          <w:t>University</w:t>
        </w:r>
      </w:smartTag>
      <w:r w:rsidRPr="008642BC">
        <w:t xml:space="preserve"> of </w:t>
      </w:r>
      <w:smartTag w:uri="urn:schemas-microsoft-com:office:smarttags" w:element="PlaceName">
        <w:r w:rsidRPr="008642BC">
          <w:t>Glasgow</w:t>
        </w:r>
      </w:smartTag>
      <w:r w:rsidRPr="008642BC">
        <w:t xml:space="preserve">, </w:t>
      </w:r>
      <w:smartTag w:uri="urn:schemas-microsoft-com:office:smarttags" w:element="place">
        <w:smartTag w:uri="urn:schemas-microsoft-com:office:smarttags" w:element="City">
          <w:r w:rsidRPr="008642BC">
            <w:t>Glasgow</w:t>
          </w:r>
        </w:smartTag>
        <w:r w:rsidRPr="008642BC">
          <w:t xml:space="preserve">, </w:t>
        </w:r>
        <w:smartTag w:uri="urn:schemas-microsoft-com:office:smarttags" w:element="country-region">
          <w:r w:rsidRPr="008642BC">
            <w:t>United Kingdom</w:t>
          </w:r>
        </w:smartTag>
      </w:smartTag>
    </w:p>
    <w:p w:rsidR="00B345A7" w:rsidRPr="008642BC" w:rsidRDefault="00B345A7" w:rsidP="00867F6B">
      <w:pPr>
        <w:spacing w:line="360" w:lineRule="auto"/>
        <w:jc w:val="both"/>
      </w:pPr>
      <w:r>
        <w:rPr>
          <w:vertAlign w:val="superscript"/>
        </w:rPr>
        <w:t>6</w:t>
      </w:r>
      <w:r w:rsidRPr="008642BC">
        <w:rPr>
          <w:vertAlign w:val="superscript"/>
        </w:rPr>
        <w:t xml:space="preserve"> </w:t>
      </w:r>
      <w:r w:rsidRPr="008642BC">
        <w:t xml:space="preserve">Division of Mental Health and Wellbeing, </w:t>
      </w:r>
      <w:smartTag w:uri="urn:schemas-microsoft-com:office:smarttags" w:element="PlaceType">
        <w:r w:rsidRPr="008642BC">
          <w:t>University</w:t>
        </w:r>
      </w:smartTag>
      <w:r w:rsidRPr="008642BC">
        <w:t xml:space="preserve"> of </w:t>
      </w:r>
      <w:smartTag w:uri="urn:schemas-microsoft-com:office:smarttags" w:element="PlaceName">
        <w:r w:rsidRPr="008642BC">
          <w:t>Warwick</w:t>
        </w:r>
      </w:smartTag>
      <w:r w:rsidRPr="008642BC">
        <w:t xml:space="preserve">, </w:t>
      </w:r>
      <w:smartTag w:uri="urn:schemas-microsoft-com:office:smarttags" w:element="place">
        <w:smartTag w:uri="urn:schemas-microsoft-com:office:smarttags" w:element="City">
          <w:r w:rsidRPr="008642BC">
            <w:t>Warwick</w:t>
          </w:r>
        </w:smartTag>
        <w:r w:rsidRPr="008642BC">
          <w:t xml:space="preserve">, </w:t>
        </w:r>
        <w:smartTag w:uri="urn:schemas-microsoft-com:office:smarttags" w:element="country-region">
          <w:r w:rsidRPr="008642BC">
            <w:t>United Kingdom</w:t>
          </w:r>
        </w:smartTag>
      </w:smartTag>
    </w:p>
    <w:p w:rsidR="00B345A7" w:rsidRDefault="00B345A7" w:rsidP="00B40E3E">
      <w:pPr>
        <w:spacing w:line="360" w:lineRule="auto"/>
        <w:jc w:val="both"/>
      </w:pPr>
      <w:r>
        <w:rPr>
          <w:vertAlign w:val="superscript"/>
        </w:rPr>
        <w:t>7</w:t>
      </w:r>
      <w:r w:rsidRPr="008642BC">
        <w:t xml:space="preserve"> Department of Psychology, </w:t>
      </w:r>
      <w:smartTag w:uri="urn:schemas-microsoft-com:office:smarttags" w:element="PlaceType">
        <w:r w:rsidRPr="008642BC">
          <w:t>University</w:t>
        </w:r>
      </w:smartTag>
      <w:r w:rsidRPr="008642BC">
        <w:t xml:space="preserve"> of </w:t>
      </w:r>
      <w:smartTag w:uri="urn:schemas-microsoft-com:office:smarttags" w:element="PlaceName">
        <w:r w:rsidRPr="008642BC">
          <w:t>Chester</w:t>
        </w:r>
      </w:smartTag>
      <w:r w:rsidRPr="008642BC">
        <w:t xml:space="preserve">, </w:t>
      </w:r>
      <w:smartTag w:uri="urn:schemas-microsoft-com:office:smarttags" w:element="place">
        <w:smartTag w:uri="urn:schemas-microsoft-com:office:smarttags" w:element="City">
          <w:r w:rsidRPr="008642BC">
            <w:t>Chester</w:t>
          </w:r>
        </w:smartTag>
        <w:r w:rsidRPr="008642BC">
          <w:t xml:space="preserve">, </w:t>
        </w:r>
        <w:smartTag w:uri="urn:schemas-microsoft-com:office:smarttags" w:element="country-region">
          <w:r w:rsidRPr="008642BC">
            <w:t>United Kingdom</w:t>
          </w:r>
        </w:smartTag>
      </w:smartTag>
    </w:p>
    <w:p w:rsidR="00B345A7" w:rsidRPr="008642BC" w:rsidRDefault="00BB418E" w:rsidP="00867F6B">
      <w:pPr>
        <w:spacing w:line="360" w:lineRule="auto"/>
        <w:jc w:val="both"/>
      </w:pPr>
      <w:r>
        <w:rPr>
          <w:vertAlign w:val="superscript"/>
        </w:rPr>
        <w:t xml:space="preserve">8 </w:t>
      </w:r>
      <w:r w:rsidRPr="00DD71AB">
        <w:t>School of Psychological Sciences, University of Manchester, Manchester, United Kingdom</w:t>
      </w:r>
    </w:p>
    <w:p w:rsidR="00B345A7" w:rsidRPr="00F3374B" w:rsidRDefault="00B345A7" w:rsidP="00867F6B">
      <w:pPr>
        <w:spacing w:line="360" w:lineRule="auto"/>
        <w:jc w:val="center"/>
        <w:rPr>
          <w:b/>
        </w:rPr>
      </w:pPr>
    </w:p>
    <w:p w:rsidR="00B345A7" w:rsidRPr="006A17FF" w:rsidRDefault="00B345A7" w:rsidP="006A17FF">
      <w:pPr>
        <w:rPr>
          <w:sz w:val="24"/>
          <w:szCs w:val="24"/>
          <w:lang w:eastAsia="en-GB"/>
        </w:rPr>
      </w:pPr>
      <w:r>
        <w:t>*</w:t>
      </w:r>
      <w:r w:rsidRPr="00BF71D9">
        <w:t>Corres</w:t>
      </w:r>
      <w:r w:rsidRPr="006A17FF">
        <w:t>ponding author</w:t>
      </w:r>
      <w:r>
        <w:t xml:space="preserve">: </w:t>
      </w:r>
      <w:r w:rsidRPr="006A17FF">
        <w:t xml:space="preserve">Clare Flach, </w:t>
      </w:r>
      <w:r>
        <w:t xml:space="preserve">London School of Hygiene and Tropical Medicine, </w:t>
      </w:r>
      <w:smartTag w:uri="urn:schemas-microsoft-com:office:smarttags" w:element="City">
        <w:smartTag w:uri="urn:schemas-microsoft-com:office:smarttags" w:element="Street">
          <w:r>
            <w:rPr>
              <w:sz w:val="24"/>
              <w:szCs w:val="24"/>
              <w:lang w:eastAsia="en-GB"/>
            </w:rPr>
            <w:t>Keppel Street</w:t>
          </w:r>
        </w:smartTag>
        <w:r>
          <w:rPr>
            <w:sz w:val="24"/>
            <w:szCs w:val="24"/>
            <w:lang w:eastAsia="en-GB"/>
          </w:rPr>
          <w:t xml:space="preserve">, </w:t>
        </w:r>
        <w:smartTag w:uri="urn:schemas-microsoft-com:office:smarttags" w:element="City">
          <w:r>
            <w:rPr>
              <w:sz w:val="24"/>
              <w:szCs w:val="24"/>
              <w:lang w:eastAsia="en-GB"/>
            </w:rPr>
            <w:t>London</w:t>
          </w:r>
        </w:smartTag>
        <w:r>
          <w:rPr>
            <w:sz w:val="24"/>
            <w:szCs w:val="24"/>
            <w:lang w:eastAsia="en-GB"/>
          </w:rPr>
          <w:t xml:space="preserve">, </w:t>
        </w:r>
        <w:smartTag w:uri="urn:schemas-microsoft-com:office:smarttags" w:element="City">
          <w:r>
            <w:rPr>
              <w:sz w:val="24"/>
              <w:szCs w:val="24"/>
              <w:lang w:eastAsia="en-GB"/>
            </w:rPr>
            <w:t>WC1E 7HT</w:t>
          </w:r>
        </w:smartTag>
      </w:smartTag>
      <w:r>
        <w:t>, clare.flach@lshtm.ac.uk</w:t>
      </w:r>
    </w:p>
    <w:p w:rsidR="00B345A7" w:rsidRPr="00BF71D9" w:rsidRDefault="00B345A7" w:rsidP="00867F6B">
      <w:pPr>
        <w:spacing w:line="360" w:lineRule="auto"/>
      </w:pPr>
    </w:p>
    <w:p w:rsidR="00B345A7" w:rsidRDefault="00B345A7" w:rsidP="00867F6B">
      <w:pPr>
        <w:spacing w:line="360" w:lineRule="auto"/>
      </w:pPr>
      <w:r w:rsidRPr="00BF71D9">
        <w:t>Word Count</w:t>
      </w:r>
    </w:p>
    <w:p w:rsidR="00B345A7" w:rsidRDefault="00B345A7" w:rsidP="00867F6B">
      <w:pPr>
        <w:spacing w:line="360" w:lineRule="auto"/>
      </w:pPr>
      <w:r>
        <w:t>Abstract: 1</w:t>
      </w:r>
      <w:r w:rsidR="00746258">
        <w:t>49</w:t>
      </w:r>
      <w:r>
        <w:t xml:space="preserve"> </w:t>
      </w:r>
    </w:p>
    <w:p w:rsidR="00B345A7" w:rsidRDefault="00B345A7" w:rsidP="00867F6B">
      <w:pPr>
        <w:spacing w:line="360" w:lineRule="auto"/>
      </w:pPr>
      <w:r>
        <w:t xml:space="preserve">Main text: </w:t>
      </w:r>
      <w:r w:rsidR="00932D2B">
        <w:t>4,045</w:t>
      </w:r>
      <w:r>
        <w:t xml:space="preserve"> </w:t>
      </w:r>
    </w:p>
    <w:p w:rsidR="00B345A7" w:rsidRDefault="00B345A7" w:rsidP="00B000F9">
      <w:pPr>
        <w:spacing w:line="360" w:lineRule="auto"/>
      </w:pPr>
    </w:p>
    <w:p w:rsidR="00B345A7" w:rsidRDefault="00B345A7" w:rsidP="00867F6B">
      <w:pPr>
        <w:spacing w:line="360" w:lineRule="auto"/>
        <w:rPr>
          <w:b/>
        </w:rPr>
      </w:pPr>
      <w:r>
        <w:rPr>
          <w:b/>
        </w:rPr>
        <w:br w:type="page"/>
      </w:r>
      <w:r>
        <w:rPr>
          <w:b/>
        </w:rPr>
        <w:lastRenderedPageBreak/>
        <w:t>Abstract</w:t>
      </w:r>
    </w:p>
    <w:p w:rsidR="00B345A7" w:rsidRDefault="00B345A7" w:rsidP="00185EEC">
      <w:pPr>
        <w:spacing w:line="360" w:lineRule="auto"/>
      </w:pPr>
      <w:r>
        <w:t>Background: Research suggests that the way in which cognitive therapy is delivered is an important factor in determining outcomes. We test the hypothese</w:t>
      </w:r>
      <w:r w:rsidRPr="003C6199">
        <w:t xml:space="preserve">s that </w:t>
      </w:r>
      <w:r>
        <w:t>the development of a shared problem list, use of case formulation, homework tasks and active intervention strategies will act as process variables.</w:t>
      </w:r>
    </w:p>
    <w:p w:rsidR="00B345A7" w:rsidRDefault="00B345A7" w:rsidP="00185EEC">
      <w:pPr>
        <w:spacing w:line="360" w:lineRule="auto"/>
      </w:pPr>
      <w:r>
        <w:t xml:space="preserve">Methods: Presence of these components during therapy is taken from therapist notes. The direct and indirect effect of the intervention is estimated by an instrumental variable analysis. </w:t>
      </w:r>
    </w:p>
    <w:p w:rsidR="00B345A7" w:rsidRDefault="00B345A7" w:rsidP="00185EEC">
      <w:pPr>
        <w:spacing w:line="360" w:lineRule="auto"/>
      </w:pPr>
      <w:r>
        <w:t xml:space="preserve">Results: </w:t>
      </w:r>
      <w:r>
        <w:rPr>
          <w:rFonts w:cs="Tahoma"/>
          <w:szCs w:val="20"/>
        </w:rPr>
        <w:t xml:space="preserve">A significant decrease in symptom score for case formulation (coefficient=-23, 95%CI -44 to -1.7, p=0.036) and homework (coefficient=-0.26, 95%CI -0.51 to -0.001, p=0.049) is found. Improvement with the inclusion of active change strategies is of borderline significance (coefficient= -0.23, 95%CI -0.47 to 0.005, p=0.056). </w:t>
      </w:r>
    </w:p>
    <w:p w:rsidR="00B345A7" w:rsidRDefault="00B345A7" w:rsidP="00185EEC">
      <w:pPr>
        <w:spacing w:line="360" w:lineRule="auto"/>
      </w:pPr>
      <w:r>
        <w:rPr>
          <w:rFonts w:cs="Tahoma"/>
          <w:szCs w:val="20"/>
        </w:rPr>
        <w:t>Conclusions: T</w:t>
      </w:r>
      <w:r>
        <w:t xml:space="preserve">here is a greater treatment effect if formulation and homework are involved in therapy. However, high correlation between components means that these may be indicators of overall treatment fidelity. </w:t>
      </w:r>
    </w:p>
    <w:p w:rsidR="00B345A7" w:rsidRDefault="00B345A7" w:rsidP="007B5510">
      <w:pPr>
        <w:spacing w:line="360" w:lineRule="auto"/>
        <w:rPr>
          <w:b/>
        </w:rPr>
      </w:pPr>
    </w:p>
    <w:p w:rsidR="00B345A7" w:rsidRDefault="00B345A7" w:rsidP="007B5510">
      <w:pPr>
        <w:spacing w:line="360" w:lineRule="auto"/>
      </w:pPr>
      <w:r>
        <w:rPr>
          <w:b/>
        </w:rPr>
        <w:t>Declarations</w:t>
      </w:r>
      <w:r w:rsidRPr="00B000F9">
        <w:rPr>
          <w:b/>
        </w:rPr>
        <w:t xml:space="preserve"> of interest</w:t>
      </w:r>
      <w:r>
        <w:rPr>
          <w:b/>
        </w:rPr>
        <w:t xml:space="preserve">: </w:t>
      </w:r>
      <w:r>
        <w:t>None</w:t>
      </w:r>
    </w:p>
    <w:p w:rsidR="00B345A7" w:rsidRDefault="00B345A7" w:rsidP="00185EEC">
      <w:pPr>
        <w:spacing w:line="360" w:lineRule="auto"/>
        <w:rPr>
          <w:b/>
        </w:rPr>
      </w:pPr>
    </w:p>
    <w:p w:rsidR="00B345A7" w:rsidRDefault="00B345A7" w:rsidP="00185EEC">
      <w:pPr>
        <w:spacing w:line="360" w:lineRule="auto"/>
        <w:rPr>
          <w:b/>
        </w:rPr>
      </w:pPr>
    </w:p>
    <w:p w:rsidR="00B345A7" w:rsidRPr="00F3374B" w:rsidRDefault="00B345A7" w:rsidP="00867F6B">
      <w:pPr>
        <w:spacing w:line="360" w:lineRule="auto"/>
        <w:rPr>
          <w:b/>
        </w:rPr>
      </w:pPr>
      <w:r w:rsidRPr="00F3374B">
        <w:rPr>
          <w:b/>
        </w:rPr>
        <w:t>Introduction</w:t>
      </w:r>
    </w:p>
    <w:p w:rsidR="00B345A7" w:rsidRDefault="00B345A7" w:rsidP="00A60880">
      <w:pPr>
        <w:spacing w:line="360" w:lineRule="auto"/>
        <w:ind w:firstLine="720"/>
      </w:pPr>
      <w:r w:rsidRPr="003C6199">
        <w:t xml:space="preserve">Reliable and valid criteria are now available to identify help-seeking individuals who are at increased risk of imminently developing </w:t>
      </w:r>
      <w:r>
        <w:t xml:space="preserve">a first episode of </w:t>
      </w:r>
      <w:r w:rsidRPr="003C6199">
        <w:t>schizophrenia</w:t>
      </w:r>
      <w:r>
        <w:t xml:space="preserve"> or</w:t>
      </w:r>
      <w:r w:rsidRPr="003C6199">
        <w:t xml:space="preserve"> related psychoses</w:t>
      </w:r>
      <w:r>
        <w:t xml:space="preserve"> (FEP)</w:t>
      </w:r>
      <w:r w:rsidRPr="003C6199">
        <w:t xml:space="preserve">. Yung and colleagues </w:t>
      </w:r>
      <w:r w:rsidR="00CA2B2A">
        <w:fldChar w:fldCharType="begin"/>
      </w:r>
      <w:r>
        <w:instrText xml:space="preserve"> ADDIN EN.CITE &lt;EndNote&gt;&lt;Cite&gt;&lt;Author&gt;Yung&lt;/Author&gt;&lt;Year&gt;1996&lt;/Year&gt;&lt;RecNum&gt;7349&lt;/RecNum&gt;&lt;DisplayText&gt;(1)&lt;/DisplayText&gt;&lt;record&gt;&lt;rec-number&gt;7349&lt;/rec-number&gt;&lt;foreign-keys&gt;&lt;key app="EN" db-id="rarexaz5t5x52wewrfpx2xw2d2f5wvw9p5fa"&gt;7349&lt;/key&gt;&lt;/foreign-keys&gt;&lt;ref-type name="Journal Article"&gt;17&lt;/ref-type&gt;&lt;contributors&gt;&lt;authors&gt;&lt;author&gt;Yung, A. R.&lt;/author&gt;&lt;author&gt;McGorry, P. D.&lt;/author&gt;&lt;author&gt;McFarlane, C.&lt;/author&gt;&lt;author&gt;Jackson, H. J.&lt;/author&gt;&lt;author&gt;Patton, G. C.&lt;/author&gt;&lt;author&gt;Rakkar, A.&lt;/author&gt;&lt;/authors&gt;&lt;/contributors&gt;&lt;auth-address&gt;Early Psychosis Prevention and Intervention Centre, Parkville, Victoria, Australia.&lt;/auth-address&gt;&lt;titles&gt;&lt;title&gt;Monitoring and care of young people at incipient risk of psychosis&lt;/title&gt;&lt;secondary-title&gt;Schizophrenia Bulletin&lt;/secondary-title&gt;&lt;/titles&gt;&lt;pages&gt;283-303&lt;/pages&gt;&lt;volume&gt;22&lt;/volume&gt;&lt;number&gt;2&lt;/number&gt;&lt;keywords&gt;&lt;keyword&gt;Adolescent/physiology&lt;/keyword&gt;&lt;keyword&gt;Adult&lt;/keyword&gt;&lt;keyword&gt;Age of Onset&lt;/keyword&gt;&lt;keyword&gt;Antipsychotic Agents/therapeutic use&lt;/keyword&gt;&lt;keyword&gt;Cognitive Therapy/methods&lt;/keyword&gt;&lt;keyword&gt;Disease Progression&lt;/keyword&gt;&lt;keyword&gt;Female&lt;/keyword&gt;&lt;keyword&gt;Follow-Up Studies&lt;/keyword&gt;&lt;keyword&gt;Humans&lt;/keyword&gt;&lt;keyword&gt;Intervention Studies&lt;/keyword&gt;&lt;keyword&gt;Male&lt;/keyword&gt;&lt;keyword&gt;Mental Health Services/ organization &amp;amp; administration&lt;/keyword&gt;&lt;keyword&gt;Patient Selection&lt;/keyword&gt;&lt;keyword&gt;Pilot Projects&lt;/keyword&gt;&lt;keyword&gt;Predictive Value of Tests&lt;/keyword&gt;&lt;keyword&gt;Preventive Psychiatry/ methods&lt;/keyword&gt;&lt;keyword&gt;Psychiatric Status Rating Scales&lt;/keyword&gt;&lt;keyword&gt;Relaxation Techniques&lt;/keyword&gt;&lt;keyword&gt;Risk Factors&lt;/keyword&gt;&lt;keyword&gt;Sampling Studies&lt;/keyword&gt;&lt;keyword&gt;Schizophrenia/diagnosis/ prevention &amp;amp; control/therapy&lt;/keyword&gt;&lt;/keywords&gt;&lt;dates&gt;&lt;year&gt;1996&lt;/year&gt;&lt;/dates&gt;&lt;isbn&gt;0586-7614 (Print)&lt;/isbn&gt;&lt;accession-num&gt;8782287&lt;/accession-num&gt;&lt;urls&gt;&lt;/urls&gt;&lt;/record&gt;&lt;/Cite&gt;&lt;/EndNote&gt;</w:instrText>
      </w:r>
      <w:r w:rsidR="00CA2B2A">
        <w:fldChar w:fldCharType="separate"/>
      </w:r>
      <w:r>
        <w:rPr>
          <w:noProof/>
        </w:rPr>
        <w:t>(</w:t>
      </w:r>
      <w:hyperlink w:anchor="_ENREF_1" w:tooltip="Yung, 1996 #7349" w:history="1">
        <w:r w:rsidR="00A237D1">
          <w:rPr>
            <w:noProof/>
          </w:rPr>
          <w:t>1</w:t>
        </w:r>
      </w:hyperlink>
      <w:r>
        <w:rPr>
          <w:noProof/>
        </w:rPr>
        <w:t>)</w:t>
      </w:r>
      <w:r w:rsidR="00CA2B2A">
        <w:fldChar w:fldCharType="end"/>
      </w:r>
      <w:r w:rsidRPr="003C6199">
        <w:rPr>
          <w:vertAlign w:val="superscript"/>
        </w:rPr>
        <w:t xml:space="preserve"> </w:t>
      </w:r>
      <w:r w:rsidRPr="003C6199">
        <w:t>developed operational criteria to identify three subgroups experiencing an “at risk mental state” (ARMS) for psychosis. Two subgro</w:t>
      </w:r>
      <w:r>
        <w:t xml:space="preserve">ups specify state risk factors; (1) </w:t>
      </w:r>
      <w:r w:rsidRPr="003C6199">
        <w:t>Brief Limited Intermi</w:t>
      </w:r>
      <w:r>
        <w:t>ttent Psychotic Symptoms</w:t>
      </w:r>
      <w:r w:rsidRPr="003C6199">
        <w:t xml:space="preserve"> or </w:t>
      </w:r>
      <w:r>
        <w:t xml:space="preserve">(2) </w:t>
      </w:r>
      <w:r w:rsidRPr="003C6199">
        <w:t>attenuated (subclinical) psychotic symptoms</w:t>
      </w:r>
      <w:r>
        <w:t xml:space="preserve"> and are </w:t>
      </w:r>
      <w:r w:rsidRPr="003C6199">
        <w:t>defined by the presence of transi</w:t>
      </w:r>
      <w:r>
        <w:t>ent psychotic symptoms</w:t>
      </w:r>
      <w:r w:rsidRPr="003C6199">
        <w:t>. The other subgroup comprises trait-plus-state risk factors, operationally defined by the presence of diminished functioning plus either a first-degree relative with a history of psychosis or a pre-existing</w:t>
      </w:r>
      <w:r w:rsidRPr="003C6199">
        <w:rPr>
          <w:i/>
        </w:rPr>
        <w:t xml:space="preserve"> </w:t>
      </w:r>
      <w:r w:rsidRPr="003C6199">
        <w:t xml:space="preserve">schizotypal personality disorder. These criteria have now been widely adopted, and have led to </w:t>
      </w:r>
      <w:r>
        <w:t>attempts to deliver interventions that will reduce the risk of development of a FEP; e</w:t>
      </w:r>
      <w:r w:rsidRPr="003C6199">
        <w:t>ffective interventions are attractive because of the significant personal, social and financial costs associated with the development of psychosis</w:t>
      </w:r>
      <w:r>
        <w:t xml:space="preserve">. </w:t>
      </w:r>
      <w:r w:rsidRPr="003C6199">
        <w:t xml:space="preserve"> In addition, it is clear that people meeting the ARMS criteria have significant mental health problems and impaired functioning, regardless of eventual transition. Several randomised controlled trials have evaluated the impact of psychosocial and pharmacological interventions </w:t>
      </w:r>
      <w:r w:rsidR="00CA2B2A">
        <w:fldChar w:fldCharType="begin">
          <w:fldData xml:space="preserve">PEVuZE5vdGU+PENpdGU+PEF1dGhvcj5BZGRpbmd0b248L0F1dGhvcj48WWVhcj4yMDExPC9ZZWFy
PjxSZWNOdW0+MjY3PC9SZWNOdW0+PERpc3BsYXlUZXh0PigyLTkpPC9EaXNwbGF5VGV4dD48cmVj
b3JkPjxyZWMtbnVtYmVyPjI2NzwvcmVjLW51bWJlcj48Zm9yZWlnbi1rZXlzPjxrZXkgYXBwPSJF
TiIgZGItaWQ9IjkwOXh6YWE5dnRzd3NzZTJ2OTN4NXQybnR2ZGR4YXY5cnR0cyIgdGltZXN0YW1w
PSIwIj4yNjc8L2tleT48L2ZvcmVpZ24ta2V5cz48cmVmLXR5cGUgbmFtZT0iSm91cm5hbCBBcnRp
Y2xlIj4xNzwvcmVmLXR5cGU+PGNvbnRyaWJ1dG9ycz48YXV0aG9ycz48YXV0aG9yPkFkZGluZ3Rv
biwgSmVhbjwvYXV0aG9yPjxhdXRob3I+RXBzdGVpbiwgSXJ2aW48L2F1dGhvcj48YXV0aG9yPkxp
dSwgTHU8L2F1dGhvcj48YXV0aG9yPkZyZW5jaCwgUGF1bDwvYXV0aG9yPjxhdXRob3I+Qm95ZGVs
bCwgS2F0aGVyaW5lIE0uPC9hdXRob3I+PGF1dGhvcj5aaXB1cnNreSwgUm9iZXJ0IEIuPC9hdXRo
b3I+PC9hdXRob3JzPjwvY29udHJpYnV0b3JzPjx0aXRsZXM+PHRpdGxlPkEgcmFuZG9taXplZCBj
b250cm9sbGVkIHRyaWFsIG9mIGNvZ25pdGl2ZSBiZWhhdmlvcmFsIHRoZXJhcHkgZm9yIGluZGl2
aWR1YWxzIGF0IGNsaW5pY2FsIGhpZ2ggcmlzayBvZiBwc3ljaG9zaXM8L3RpdGxlPjxzZWNvbmRh
cnktdGl0bGU+U2NoaXpvcGhyZW5pYSBSZXNlYXJjaDwvc2Vjb25kYXJ5LXRpdGxlPjwvdGl0bGVz
PjxwZXJpb2RpY2FsPjxmdWxsLXRpdGxlPlNjaGl6b3BocmVuaWEgUmVzZWFyY2g8L2Z1bGwtdGl0
bGU+PGFiYnItMT5TY2hpem9waHIuIFJlcy48L2FiYnItMT48YWJici0yPlNjaGl6b3BociBSZXM8
L2FiYnItMj48L3BlcmlvZGljYWw+PHBhZ2VzPjU0LTYxPC9wYWdlcz48dm9sdW1lPjEyNTwvdm9s
dW1lPjxudW1iZXI+MTwvbnVtYmVyPjxrZXl3b3Jkcz48a2V5d29yZD5Qc3ljaG9zaXM8L2tleXdv
cmQ+PGtleXdvcmQ+Q2xpbmljYWwgaGlnaCByaXNrPC9rZXl3b3JkPjxrZXl3b3JkPkNvZ25pdGl2
ZSBiZWhhdmlvciB0aGVyYXB5PC9rZXl3b3JkPjwva2V5d29yZHM+PGRhdGVzPjx5ZWFyPjIwMTE8
L3llYXI+PC9kYXRlcz48dXJscz48cmVsYXRlZC11cmxzPjx1cmw+aHR0cDovL3d3dy5zY2llbmNl
ZGlyZWN0LmNvbS9zY2llbmNlL2FydGljbGUvcGlpL1MwOTIwOTk2NDEwMDE1OTAyIDwvdXJsPjwv
cmVsYXRlZC11cmxzPjwvdXJscz48L3JlY29yZD48L0NpdGU+PENpdGU+PEF1dGhvcj5NY0dsYXNo
YW48L0F1dGhvcj48WWVhcj4yMDA2PC9ZZWFyPjxSZWNOdW0+NzA5OTwvUmVjTnVtPjxyZWNvcmQ+
PHJlYy1udW1iZXI+NzA5OTwvcmVjLW51bWJlcj48Zm9yZWlnbi1rZXlzPjxrZXkgYXBwPSJFTiIg
ZGItaWQ9InJhcmV4YXo1dDV4NTJ3ZXdyZnB4Mnh3MmQyZjV3dnc5cDVmYSI+NzA5OTwva2V5Pjwv
Zm9yZWlnbi1rZXlzPjxyZWYtdHlwZSBuYW1lPSJKb3VybmFsIEFydGljbGUiPjE3PC9yZWYtdHlw
ZT48Y29udHJpYnV0b3JzPjxhdXRob3JzPjxhdXRob3I+TWNHbGFzaGFuLCBUaG9tYXMgSC48L2F1
dGhvcj48YXV0aG9yPlppcHVyc2t5LCBSb2JlcnQgQi48L2F1dGhvcj48YXV0aG9yPlBlcmtpbnMs
IERpYW5hPC9hdXRob3I+PGF1dGhvcj5BZGRpbmd0b24sIEplYW48L2F1dGhvcj48YXV0aG9yPk1p
bGxlciwgVGFuZHk8L2F1dGhvcj48YXV0aG9yPldvb2RzLCBTY290dCBXLjwvYXV0aG9yPjxhdXRo
b3I+QS4gSGF3a2lucywgS2VpdGg8L2F1dGhvcj48YXV0aG9yPkUuIEhvZmZtYW4sIFJhbHBoPC9h
dXRob3I+PGF1dGhvcj5QcmVkYSwgQWRyaWFuPC9hdXRob3I+PGF1dGhvcj5FcHN0ZWluLCBJcnZp
bjwvYXV0aG9yPjxhdXRob3I+QWRkaW5ndG9uLCBEb25hbGQ8L2F1dGhvcj48YXV0aG9yPkxpbmRi
b3JnLCBTdGFjeTwvYXV0aG9yPjxhdXRob3I+VHJ6YXNrb21hLCBRdXluaDwvYXV0aG9yPjxhdXRo
b3I+VG9oZW4sIE1hdXJpY2lvPC9hdXRob3I+PGF1dGhvcj5CcmVpZXIsIEFsYW48L2F1dGhvcj48
L2F1dGhvcnM+PC9jb250cmlidXRvcnM+PHRpdGxlcz48dGl0bGU+UmFuZG9taXplZCwgRG91Ymxl
LUJsaW5kIFRyaWFsIG9mIE9sYW56YXBpbmUgVmVyc3VzIFBsYWNlYm8gaW4gUGF0aWVudHMgUHJv
ZHJvbWFsbHkgU3ltcHRvbWF0aWMgZm9yIFBzeWNob3NpczwvdGl0bGU+PHNlY29uZGFyeS10aXRs
ZT5BbWVyaWNhbiBKb3VybmFsIG9mIFBzeWNoaWF0cnk8L3NlY29uZGFyeS10aXRsZT48YWx0LXRp
dGxlPkFtZXJpY2FuIEpvdXJuYWwgb2YgUHN5Y2hpYXRyeTwvYWx0LXRpdGxlPjwvdGl0bGVzPjxw
YWdlcz43OTAtNzk5PC9wYWdlcz48dm9sdW1lPjE2Mzwvdm9sdW1lPjxudW1iZXI+NTwvbnVtYmVy
PjxkYXRlcz48eWVhcj4yMDA2PC95ZWFyPjxwdWItZGF0ZXM+PGRhdGU+TWF5IDEsIDIwMDY8L2Rh
dGU+PC9wdWItZGF0ZXM+PC9kYXRlcz48dXJscz48cmVsYXRlZC11cmxzPjx1cmw+aHR0cDovL2Fq
cC5wc3ljaGlhdHJ5b25saW5lLm9yZy9jZ2kvY29udGVudC9hYnN0cmFjdC8xNjMvNS83OTA8L3Vy
bD48L3JlbGF0ZWQtdXJscz48L3VybHM+PC9yZWNvcmQ+PC9DaXRlPjxDaXRlPjxBdXRob3I+TWNH
b3JyeTwvQXV0aG9yPjxZZWFyPjIwMDI8L1llYXI+PFJlY051bT4zMDA0PC9SZWNOdW0+PHJlY29y
ZD48cmVjLW51bWJlcj4zMDA0PC9yZWMtbnVtYmVyPjxmb3JlaWduLWtleXM+PGtleSBhcHA9IkVO
IiBkYi1pZD0icmFyZXhhejV0NXg1Mndld3JmcHgyeHcyZDJmNXd2dzlwNWZhIj4zMDA0PC9rZXk+
PC9mb3JlaWduLWtleXM+PHJlZi10eXBlIG5hbWU9IkpvdXJuYWwgQXJ0aWNsZSI+MTc8L3JlZi10
eXBlPjxjb250cmlidXRvcnM+PGF1dGhvcnM+PGF1dGhvcj5NY0dvcnJ5LCBQLkQuPC9hdXRob3I+
PGF1dGhvcj5ZdW5nLCBBLlIuPC9hdXRob3I+PGF1dGhvcj5QaGlsbGlwcywgTC5KLjwvYXV0aG9y
PjxhdXRob3I+WXVlbiwgSC5QLjwvYXV0aG9yPjxhdXRob3I+RnJhbmNleSwgUy48L2F1dGhvcj48
YXV0aG9yPkNvc2dyYXZlLCBFLk0uPC9hdXRob3I+PGF1dGhvcj5HZXJtYW5vLCBELjwvYXV0aG9y
PjxhdXRob3I+QnJhdmluLCBKLjwvYXV0aG9yPjxhdXRob3I+TWNEb25hbGQsIFQuPC9hdXRob3I+
PGF1dGhvcj5CbGFpciwgQS48L2F1dGhvcj48YXV0aG9yPkFkbGFyZCwgUy48L2F1dGhvcj48YXV0
aG9yPkphY2tzb24sIEguPC9hdXRob3I+PC9hdXRob3JzPjwvY29udHJpYnV0b3JzPjx0aXRsZXM+
PHRpdGxlPlJhbmRvbWl6ZWQgY29udHJvbGxlZCB0cmlhbCBvZiBpbnRlcnZlbnRpb25zIGRlc2ln
bmVkIHRvIHJlZHVjZSB0aGUgcmlzayBvZiBwcm9ncmVzc2lvbiB0byBmaXJzdC1lcGlzb2RlIHBz
eWNob3NpcyBpbiBhIGNsaW5pY2FsIHNhbXBsZSB3aXRoIHN1YnRocmVzaG9sZCBzeW1wdG9tczwv
dGl0bGU+PHNlY29uZGFyeS10aXRsZT5BcmNoaXZlcyBvZiBHZW5lcmFsIFBzeWNoaWF0cnk8L3Nl
Y29uZGFyeS10aXRsZT48L3RpdGxlcz48cGFnZXM+OTIxLTkyODwvcGFnZXM+PHZvbHVtZT41OTwv
dm9sdW1lPjxkYXRlcz48eWVhcj4yMDAyPC95ZWFyPjwvZGF0ZXM+PHVybHM+PC91cmxzPjwvcmVj
b3JkPjwvQ2l0ZT48Q2l0ZT48QXV0aG9yPk1vcnJpc29uPC9BdXRob3I+PFllYXI+MjAwNDwvWWVh
cj48UmVjTnVtPjMyNTE8L1JlY051bT48cmVjb3JkPjxyZWMtbnVtYmVyPjMyNTE8L3JlYy1udW1i
ZXI+PGZvcmVpZ24ta2V5cz48a2V5IGFwcD0iRU4iIGRiLWlkPSJyYXJleGF6NXQ1eDUyd2V3cmZw
eDJ4dzJkMmY1d3Z3OXA1ZmEiPjMyNTE8L2tleT48L2ZvcmVpZ24ta2V5cz48cmVmLXR5cGUgbmFt
ZT0iSm91cm5hbCBBcnRpY2xlIj4xNzwvcmVmLXR5cGU+PGNvbnRyaWJ1dG9ycz48YXV0aG9ycz48
YXV0aG9yPk1vcnJpc29uLCBBbnRob255IFAuPC9hdXRob3I+PGF1dGhvcj5GcmVuY2gsIFBhdWw8
L2F1dGhvcj48YXV0aG9yPldhbGZvcmQsIExhcmE8L2F1dGhvcj48YXV0aG9yPkxld2lzLCBTaG9u
IFcuPC9hdXRob3I+PGF1dGhvcj5LaWxjb21tb25zLCBBb2lmZmU8L2F1dGhvcj48YXV0aG9yPkdy
ZWVuLCBKb2FubmU8L2F1dGhvcj48YXV0aG9yPlBhcmtlciwgU29waGllPC9hdXRob3I+PGF1dGhv
cj5CZW50YWxsLCBSaWNoYXJkIFAuPC9hdXRob3I+PC9hdXRob3JzPjwvY29udHJpYnV0b3JzPjx0
aXRsZXM+PHRpdGxlPkNvZ25pdGl2ZSB0aGVyYXB5IGZvciB0aGUgcHJldmVudGlvbiBvZiBwc3lj
aG9zaXMgaW4gcGVvcGxlIGF0IHVsdHJhLWhpZ2ggcmlzazogUmFuZG9taXNlZCBjb250cm9sbGVk
IHRyaWFsPC90aXRsZT48c2Vjb25kYXJ5LXRpdGxlPkJyaXRpc2ggSm91cm5hbCBvZiBQc3ljaGlh
dHJ5PC9zZWNvbmRhcnktdGl0bGU+PGFsdC10aXRsZT5CciBKIFBzeWNoaWF0cnk8L2FsdC10aXRs
ZT48L3RpdGxlcz48cGFnZXM+MjkxLTI5NzwvcGFnZXM+PHZvbHVtZT4xODU8L3ZvbHVtZT48bnVt
YmVyPjQ8L251bWJlcj48ZGF0ZXM+PHllYXI+MjAwNDwveWVhcj48cHViLWRhdGVzPjxkYXRlPk9j
dG9iZXIgMSwgMjAwNDwvZGF0ZT48L3B1Yi1kYXRlcz48L2RhdGVzPjx1cmxzPjxyZWxhdGVkLXVy
bHM+PHVybD5odHRwOi8vYmpwLnJjcHN5Y2gub3JnL2NnaS9jb250ZW50L2Fic3RyYWN0LzE4NS80
LzI5MTwvdXJsPjwvcmVsYXRlZC11cmxzPjwvdXJscz48L3JlY29yZD48L0NpdGU+PENpdGU+PEF1
dGhvcj5BbW1pbmdlcjwvQXV0aG9yPjxZZWFyPjIwMTA8L1llYXI+PFJlY051bT43NDAwPC9SZWNO
dW0+PHJlY29yZD48cmVjLW51bWJlcj43NDAwPC9yZWMtbnVtYmVyPjxmb3JlaWduLWtleXM+PGtl
eSBhcHA9IkVOIiBkYi1pZD0icmFyZXhhejV0NXg1Mndld3JmcHgyeHcyZDJmNXd2dzlwNWZhIj43
NDAwPC9rZXk+PC9mb3JlaWduLWtleXM+PHJlZi10eXBlIG5hbWU9IkpvdXJuYWwgQXJ0aWNsZSI+
MTc8L3JlZi10eXBlPjxjb250cmlidXRvcnM+PGF1dGhvcnM+PGF1dGhvcj5BbW1pbmdlciwgRy4g
UGF1bDwvYXV0aG9yPjxhdXRob3I+U2NoYWZlciwgTWlyaWFtIFIuPC9hdXRob3I+PGF1dGhvcj5Q
YXBhZ2Vvcmdpb3UsIEtvbnN0YW50aW5vczwvYXV0aG9yPjxhdXRob3I+S2xpZXIsIENsYXVkaWEg
TS48L2F1dGhvcj48YXV0aG9yPkNvdHRvbiwgU3VlIE0uPC9hdXRob3I+PGF1dGhvcj5IYXJyaWdh
biwgU3VzYW4gTS48L2F1dGhvcj48YXV0aG9yPk1hY2tpbm5vbiwgQW5kcmV3PC9hdXRob3I+PGF1
dGhvcj5NY0dvcnJ5LCBQYXRyaWNrIEQuPC9hdXRob3I+PGF1dGhvcj5CZXJnZXIsIEdyZWdvciBF
LjwvYXV0aG9yPjwvYXV0aG9ycz48L2NvbnRyaWJ1dG9ycz48dGl0bGVzPjx0aXRsZT5Mb25nLUNo
YWluIG9tZWdhLTMgRmF0dHkgQWNpZHMgZm9yIEluZGljYXRlZCBQcmV2ZW50aW9uIG9mIFBzeWNo
b3RpYyBEaXNvcmRlcnM6IEEgUmFuZG9taXplZCwgUGxhY2Viby1Db250cm9sbGVkIFRyaWFsPC90
aXRsZT48c2Vjb25kYXJ5LXRpdGxlPkFyY2ggR2VuIFBzeWNoaWF0cnk8L3NlY29uZGFyeS10aXRs
ZT48L3RpdGxlcz48cGFnZXM+MTQ2LTE1NDwvcGFnZXM+PHZvbHVtZT42Nzwvdm9sdW1lPjxudW1i
ZXI+MjwvbnVtYmVyPjxkYXRlcz48eWVhcj4yMDEwPC95ZWFyPjxwdWItZGF0ZXM+PGRhdGU+RmVi
cnVhcnkgMSwgPC9kYXRlPjwvcHViLWRhdGVzPjwvZGF0ZXM+PHVybHM+PHJlbGF0ZWQtdXJscz48
dXJsPmh0dHA6Ly9hcmNocHN5Yy5hbWEtYXNzbi5vcmcvY2dpL2NvbnRlbnQvYWJzdHJhY3QvNjcv
Mi8xNDYgPC91cmw+PC9yZWxhdGVkLXVybHM+PC91cmxzPjxlbGVjdHJvbmljLXJlc291cmNlLW51
bT4xMC4xMDAxL2FyY2hnZW5wc3ljaGlhdHJ5LjIwMDkuMTkyPC9lbGVjdHJvbmljLXJlc291cmNl
LW51bT48L3JlY29yZD48L0NpdGU+PENpdGU+PEF1dGhvcj5CZWNoZG9sZjwvQXV0aG9yPjxZZWFy
PjIwMTE8L1llYXI+PFJlY051bT43NjM3PC9SZWNOdW0+PHJlY29yZD48cmVjLW51bWJlcj43NjM3
PC9yZWMtbnVtYmVyPjxmb3JlaWduLWtleXM+PGtleSBhcHA9IkVOIiBkYi1pZD0iNTV0MHRkdHJo
cmZ6czNlNTJkY3ZkcDVkYXcwZnh0NXpyNXR0Ij43NjM3PC9rZXk+PC9mb3JlaWduLWtleXM+PHJl
Zi10eXBlIG5hbWU9IkpvdXJuYWwgQXJ0aWNsZSI+MTc8L3JlZi10eXBlPjxjb250cmlidXRvcnM+
PGF1dGhvcnM+PGF1dGhvcj5CZWNoZG9sZiwgQS4gPC9hdXRob3I+PGF1dGhvcj5XYWduZXIsIE0u
IDwvYXV0aG9yPjxhdXRob3I+UnVocm1hbm4sIFMuPC9hdXRob3I+PC9hdXRob3JzPjwvY29udHJp
YnV0b3JzPjx0aXRsZXM+PHRpdGxlPlByZXZlbnRpbmcgcHJvZ3Jlc3Npb24gdG8gZmlyc3QtZXBp
c29kZSBwc3ljaG9zaXMgaW4gZWFybHkgaW5pdGlhbCBwcm9kcm9tYWwgc3RhdGVzPC90aXRsZT48
c2Vjb25kYXJ5LXRpdGxlPkJyaXRpc2ggSm91cm5hbCBvZiBQc3ljaGlhdHJ5PC9zZWNvbmRhcnkt
dGl0bGU+PC90aXRsZXM+PHZvbHVtZT5pbiBwcmVzczwvdm9sdW1lPjxkYXRlcz48eWVhcj4yMDEx
PC95ZWFyPjwvZGF0ZXM+PHVybHM+PC91cmxzPjwvcmVjb3JkPjwvQ2l0ZT48Q2l0ZT48QXV0aG9y
Pll1bmc8L0F1dGhvcj48WWVhcj4yMDExPC9ZZWFyPjxSZWNOdW0+NzQ3MDwvUmVjTnVtPjxyZWNv
cmQ+PHJlYy1udW1iZXI+NzQ3MDwvcmVjLW51bWJlcj48Zm9yZWlnbi1rZXlzPjxrZXkgYXBwPSJF
TiIgZGItaWQ9InJhcmV4YXo1dDV4NTJ3ZXdyZnB4Mnh3MmQyZjV3dnc5cDVmYSI+NzQ3MDwva2V5
PjwvZm9yZWlnbi1rZXlzPjxyZWYtdHlwZSBuYW1lPSJKb3VybmFsIEFydGljbGUiPjE3PC9yZWYt
dHlwZT48Y29udHJpYnV0b3JzPjxhdXRob3JzPjxhdXRob3I+WXVuZywgQS4gUi48L2F1dGhvcj48
YXV0aG9yPlBoaWxsaXBzIExKLCA8L2F1dGhvcj48YXV0aG9yPk5lbHNvbiwgQi4gPC9hdXRob3I+
PGF1dGhvcj5GcmFuY2V5LCBTLk0uPC9hdXRob3I+PGF1dGhvcj5QYW5ZdWVuLCBILjwvYXV0aG9y
PjxhdXRob3I+U2ltbW9ucywgTS5CLjwvYXV0aG9yPjxhdXRob3I+Um9zcywgTS5MLjwvYXV0aG9y
PjxhdXRob3I+S2VsbHksIEQuPC9hdXRob3I+PGF1dGhvcj5CYWtlciwgSy48L2F1dGhvcj48YXV0
aG9yPkFtbWluZ2VyLCBHLlAuPC9hdXRob3I+PGF1dGhvcj5CZXJnZXIsIEcuPC9hdXRob3I+PGF1
dGhvcj5UaG9tcHNvbiwgQS5ELjwvYXV0aG9yPjxhdXRob3I+VGhhbXBpLCBBLjwvYXV0aG9yPjxh
dXRob3I+TWNHb3JyeSwgUC5ELjwvYXV0aG9yPjwvYXV0aG9ycz48L2NvbnRyaWJ1dG9ycz48dGl0
bGVzPjx0aXRsZT5SYW5kb21pemVkIGNvbnRyb2xsZWQgdHJpYWwgb2YgaW50ZXJ2ZW50aW9ucyBm
b3IgeW91bmcgcGVvcGxlIGF0IHVsdHJhIGhpZ2ggcmlzayBmb3IgcHN5Y2hvc2lzOiA2LW1vbnRo
IGFuYWx5c2lzPC90aXRsZT48c2Vjb25kYXJ5LXRpdGxlPkpvdXJuYWwgb2YgQ2xpbmljYWwgUHN5
Y2hpYXRyeTwvc2Vjb25kYXJ5LXRpdGxlPjwvdGl0bGVzPjxwYWdlcz40MzAtNDQwPC9wYWdlcz48
dm9sdW1lPjcyPC92b2x1bWU+PGRhdGVzPjx5ZWFyPjIwMTE8L3llYXI+PC9kYXRlcz48dXJscz48
L3VybHM+PC9yZWNvcmQ+PC9DaXRlPjxDaXRlPjxBdXRob3I+TW9ycmlzb248L0F1dGhvcj48WWVh
cj4yMDEyPC9ZZWFyPjxSZWNOdW0+MzIxPC9SZWNOdW0+PHJlY29yZD48cmVjLW51bWJlcj4zMjE8
L3JlYy1udW1iZXI+PGZvcmVpZ24ta2V5cz48a2V5IGFwcD0iRU4iIGRiLWlkPSI5MDl4emFhOXZ0
c3dzc2UydjkzeDV0Mm50dmRkeGF2OXJ0dHMiIHRpbWVzdGFtcD0iMCI+MzIxPC9rZXk+PC9mb3Jl
aWduLWtleXM+PHJlZi10eXBlIG5hbWU9IkpvdXJuYWwgQXJ0aWNsZSI+MTc8L3JlZi10eXBlPjxj
b250cmlidXRvcnM+PGF1dGhvcnM+PGF1dGhvcj5Nb3JyaXNvbiwgQW50aG9ueSBQLjwvYXV0aG9y
PjxhdXRob3I+RnJlbmNoLCBQYXVsPC9hdXRob3I+PGF1dGhvcj5TdGV3YXJ0LCBTdXphbm5lIEwu
IEsuPC9hdXRob3I+PGF1dGhvcj5CaXJjaHdvb2QsIE1heDwvYXV0aG9yPjxhdXRob3I+Rm93bGVy
LCBEYXZpZDwvYXV0aG9yPjxhdXRob3I+R3VtbGV5LCBBbmRyZXcgSS48L2F1dGhvcj48YXV0aG9y
PkpvbmVzLCBQZXRlciBCLjwvYXV0aG9yPjxhdXRob3I+QmVudGFsbCwgUmljaGFyZCBQLjwvYXV0
aG9yPjxhdXRob3I+TGV3aXMsIFNob24gVy48L2F1dGhvcj48YXV0aG9yPk11cnJheSwgR3JhaGFt
IEsuPC9hdXRob3I+PGF1dGhvcj5QYXR0ZXJzb24sIFBhdWw8L2F1dGhvcj48YXV0aG9yPkJydW5l
dCwgS2F0PC9hdXRob3I+PGF1dGhvcj5Db25yb3ksIEplbm5pZTwvYXV0aG9yPjxhdXRob3I+UGFy
a2VyLCBTb3BoaWU8L2F1dGhvcj48YXV0aG9yPlJlaWxseSwgVG9ueTwvYXV0aG9yPjxhdXRob3I+
QnlybmUsIFJvcnk8L2F1dGhvcj48YXV0aG9yPkRhdmllcywgTGluZGEgTS48L2F1dGhvcj48YXV0
aG9yPkR1bm4sIEdyYWhhbTwvYXV0aG9yPjwvYXV0aG9ycz48L2NvbnRyaWJ1dG9ycz48dGl0bGVz
Pjx0aXRsZT5FYXJseSBkZXRlY3Rpb24gYW5kIGludGVydmVudGlvbiBldmFsdWF0aW9uIGZvciBw
ZW9wbGUgYXQgcmlzayBvZiBwc3ljaG9zaXM6IG11bHRpc2l0ZSByYW5kb21pc2VkIGNvbnRyb2xs
ZWQgdHJpYWw8L3RpdGxlPjxzZWNvbmRhcnktdGl0bGU+Qk1KPC9zZWNvbmRhcnktdGl0bGU+PC90
aXRsZXM+PHBlcmlvZGljYWw+PGZ1bGwtdGl0bGU+Qk1KPC9mdWxsLXRpdGxlPjxhYmJyLTE+Qk1K
PC9hYmJyLTE+PGFiYnItMj5CTUo8L2FiYnItMj48L3BlcmlvZGljYWw+PHZvbHVtZT4zNDQ8L3Zv
bHVtZT48ZGF0ZXM+PHllYXI+MjAxMjwveWVhcj48cHViLWRhdGVzPjxkYXRlPjIwMTItMDQtMDUg
MjM6MzI6MjQ8L2RhdGU+PC9wdWItZGF0ZXM+PC9kYXRlcz48dXJscz48cGRmLXVybHM+PHVybD5o
dHRwOi8vd3d3LmJtai5jb20vYm1qLzM0NC9ibWouZTIyMzMuZnVsbC5wZGYgPC91cmw+PC9wZGYt
dXJscz48L3VybHM+PGVsZWN0cm9uaWMtcmVzb3VyY2UtbnVtPjEwLjExMzYvYm1qLmUyMjMzPC9l
bGVjdHJvbmljLXJlc291cmNlLW51bT48L3JlY29yZD48L0NpdGU+PC9FbmROb3RlPgAA
</w:fldData>
        </w:fldChar>
      </w:r>
      <w:r>
        <w:instrText xml:space="preserve"> ADDIN EN.CITE </w:instrText>
      </w:r>
      <w:r w:rsidR="00CA2B2A">
        <w:fldChar w:fldCharType="begin">
          <w:fldData xml:space="preserve">PEVuZE5vdGU+PENpdGU+PEF1dGhvcj5BZGRpbmd0b248L0F1dGhvcj48WWVhcj4yMDExPC9ZZWFy
PjxSZWNOdW0+MjY3PC9SZWNOdW0+PERpc3BsYXlUZXh0PigyLTkpPC9EaXNwbGF5VGV4dD48cmVj
b3JkPjxyZWMtbnVtYmVyPjI2NzwvcmVjLW51bWJlcj48Zm9yZWlnbi1rZXlzPjxrZXkgYXBwPSJF
TiIgZGItaWQ9IjkwOXh6YWE5dnRzd3NzZTJ2OTN4NXQybnR2ZGR4YXY5cnR0cyIgdGltZXN0YW1w
PSIwIj4yNjc8L2tleT48L2ZvcmVpZ24ta2V5cz48cmVmLXR5cGUgbmFtZT0iSm91cm5hbCBBcnRp
Y2xlIj4xNzwvcmVmLXR5cGU+PGNvbnRyaWJ1dG9ycz48YXV0aG9ycz48YXV0aG9yPkFkZGluZ3Rv
biwgSmVhbjwvYXV0aG9yPjxhdXRob3I+RXBzdGVpbiwgSXJ2aW48L2F1dGhvcj48YXV0aG9yPkxp
dSwgTHU8L2F1dGhvcj48YXV0aG9yPkZyZW5jaCwgUGF1bDwvYXV0aG9yPjxhdXRob3I+Qm95ZGVs
bCwgS2F0aGVyaW5lIE0uPC9hdXRob3I+PGF1dGhvcj5aaXB1cnNreSwgUm9iZXJ0IEIuPC9hdXRo
b3I+PC9hdXRob3JzPjwvY29udHJpYnV0b3JzPjx0aXRsZXM+PHRpdGxlPkEgcmFuZG9taXplZCBj
b250cm9sbGVkIHRyaWFsIG9mIGNvZ25pdGl2ZSBiZWhhdmlvcmFsIHRoZXJhcHkgZm9yIGluZGl2
aWR1YWxzIGF0IGNsaW5pY2FsIGhpZ2ggcmlzayBvZiBwc3ljaG9zaXM8L3RpdGxlPjxzZWNvbmRh
cnktdGl0bGU+U2NoaXpvcGhyZW5pYSBSZXNlYXJjaDwvc2Vjb25kYXJ5LXRpdGxlPjwvdGl0bGVz
PjxwZXJpb2RpY2FsPjxmdWxsLXRpdGxlPlNjaGl6b3BocmVuaWEgUmVzZWFyY2g8L2Z1bGwtdGl0
bGU+PGFiYnItMT5TY2hpem9waHIuIFJlcy48L2FiYnItMT48YWJici0yPlNjaGl6b3BociBSZXM8
L2FiYnItMj48L3BlcmlvZGljYWw+PHBhZ2VzPjU0LTYxPC9wYWdlcz48dm9sdW1lPjEyNTwvdm9s
dW1lPjxudW1iZXI+MTwvbnVtYmVyPjxrZXl3b3Jkcz48a2V5d29yZD5Qc3ljaG9zaXM8L2tleXdv
cmQ+PGtleXdvcmQ+Q2xpbmljYWwgaGlnaCByaXNrPC9rZXl3b3JkPjxrZXl3b3JkPkNvZ25pdGl2
ZSBiZWhhdmlvciB0aGVyYXB5PC9rZXl3b3JkPjwva2V5d29yZHM+PGRhdGVzPjx5ZWFyPjIwMTE8
L3llYXI+PC9kYXRlcz48dXJscz48cmVsYXRlZC11cmxzPjx1cmw+aHR0cDovL3d3dy5zY2llbmNl
ZGlyZWN0LmNvbS9zY2llbmNlL2FydGljbGUvcGlpL1MwOTIwOTk2NDEwMDE1OTAyIDwvdXJsPjwv
cmVsYXRlZC11cmxzPjwvdXJscz48L3JlY29yZD48L0NpdGU+PENpdGU+PEF1dGhvcj5NY0dsYXNo
YW48L0F1dGhvcj48WWVhcj4yMDA2PC9ZZWFyPjxSZWNOdW0+NzA5OTwvUmVjTnVtPjxyZWNvcmQ+
PHJlYy1udW1iZXI+NzA5OTwvcmVjLW51bWJlcj48Zm9yZWlnbi1rZXlzPjxrZXkgYXBwPSJFTiIg
ZGItaWQ9InJhcmV4YXo1dDV4NTJ3ZXdyZnB4Mnh3MmQyZjV3dnc5cDVmYSI+NzA5OTwva2V5Pjwv
Zm9yZWlnbi1rZXlzPjxyZWYtdHlwZSBuYW1lPSJKb3VybmFsIEFydGljbGUiPjE3PC9yZWYtdHlw
ZT48Y29udHJpYnV0b3JzPjxhdXRob3JzPjxhdXRob3I+TWNHbGFzaGFuLCBUaG9tYXMgSC48L2F1
dGhvcj48YXV0aG9yPlppcHVyc2t5LCBSb2JlcnQgQi48L2F1dGhvcj48YXV0aG9yPlBlcmtpbnMs
IERpYW5hPC9hdXRob3I+PGF1dGhvcj5BZGRpbmd0b24sIEplYW48L2F1dGhvcj48YXV0aG9yPk1p
bGxlciwgVGFuZHk8L2F1dGhvcj48YXV0aG9yPldvb2RzLCBTY290dCBXLjwvYXV0aG9yPjxhdXRo
b3I+QS4gSGF3a2lucywgS2VpdGg8L2F1dGhvcj48YXV0aG9yPkUuIEhvZmZtYW4sIFJhbHBoPC9h
dXRob3I+PGF1dGhvcj5QcmVkYSwgQWRyaWFuPC9hdXRob3I+PGF1dGhvcj5FcHN0ZWluLCBJcnZp
bjwvYXV0aG9yPjxhdXRob3I+QWRkaW5ndG9uLCBEb25hbGQ8L2F1dGhvcj48YXV0aG9yPkxpbmRi
b3JnLCBTdGFjeTwvYXV0aG9yPjxhdXRob3I+VHJ6YXNrb21hLCBRdXluaDwvYXV0aG9yPjxhdXRo
b3I+VG9oZW4sIE1hdXJpY2lvPC9hdXRob3I+PGF1dGhvcj5CcmVpZXIsIEFsYW48L2F1dGhvcj48
L2F1dGhvcnM+PC9jb250cmlidXRvcnM+PHRpdGxlcz48dGl0bGU+UmFuZG9taXplZCwgRG91Ymxl
LUJsaW5kIFRyaWFsIG9mIE9sYW56YXBpbmUgVmVyc3VzIFBsYWNlYm8gaW4gUGF0aWVudHMgUHJv
ZHJvbWFsbHkgU3ltcHRvbWF0aWMgZm9yIFBzeWNob3NpczwvdGl0bGU+PHNlY29uZGFyeS10aXRs
ZT5BbWVyaWNhbiBKb3VybmFsIG9mIFBzeWNoaWF0cnk8L3NlY29uZGFyeS10aXRsZT48YWx0LXRp
dGxlPkFtZXJpY2FuIEpvdXJuYWwgb2YgUHN5Y2hpYXRyeTwvYWx0LXRpdGxlPjwvdGl0bGVzPjxw
YWdlcz43OTAtNzk5PC9wYWdlcz48dm9sdW1lPjE2Mzwvdm9sdW1lPjxudW1iZXI+NTwvbnVtYmVy
PjxkYXRlcz48eWVhcj4yMDA2PC95ZWFyPjxwdWItZGF0ZXM+PGRhdGU+TWF5IDEsIDIwMDY8L2Rh
dGU+PC9wdWItZGF0ZXM+PC9kYXRlcz48dXJscz48cmVsYXRlZC11cmxzPjx1cmw+aHR0cDovL2Fq
cC5wc3ljaGlhdHJ5b25saW5lLm9yZy9jZ2kvY29udGVudC9hYnN0cmFjdC8xNjMvNS83OTA8L3Vy
bD48L3JlbGF0ZWQtdXJscz48L3VybHM+PC9yZWNvcmQ+PC9DaXRlPjxDaXRlPjxBdXRob3I+TWNH
b3JyeTwvQXV0aG9yPjxZZWFyPjIwMDI8L1llYXI+PFJlY051bT4zMDA0PC9SZWNOdW0+PHJlY29y
ZD48cmVjLW51bWJlcj4zMDA0PC9yZWMtbnVtYmVyPjxmb3JlaWduLWtleXM+PGtleSBhcHA9IkVO
IiBkYi1pZD0icmFyZXhhejV0NXg1Mndld3JmcHgyeHcyZDJmNXd2dzlwNWZhIj4zMDA0PC9rZXk+
PC9mb3JlaWduLWtleXM+PHJlZi10eXBlIG5hbWU9IkpvdXJuYWwgQXJ0aWNsZSI+MTc8L3JlZi10
eXBlPjxjb250cmlidXRvcnM+PGF1dGhvcnM+PGF1dGhvcj5NY0dvcnJ5LCBQLkQuPC9hdXRob3I+
PGF1dGhvcj5ZdW5nLCBBLlIuPC9hdXRob3I+PGF1dGhvcj5QaGlsbGlwcywgTC5KLjwvYXV0aG9y
PjxhdXRob3I+WXVlbiwgSC5QLjwvYXV0aG9yPjxhdXRob3I+RnJhbmNleSwgUy48L2F1dGhvcj48
YXV0aG9yPkNvc2dyYXZlLCBFLk0uPC9hdXRob3I+PGF1dGhvcj5HZXJtYW5vLCBELjwvYXV0aG9y
PjxhdXRob3I+QnJhdmluLCBKLjwvYXV0aG9yPjxhdXRob3I+TWNEb25hbGQsIFQuPC9hdXRob3I+
PGF1dGhvcj5CbGFpciwgQS48L2F1dGhvcj48YXV0aG9yPkFkbGFyZCwgUy48L2F1dGhvcj48YXV0
aG9yPkphY2tzb24sIEguPC9hdXRob3I+PC9hdXRob3JzPjwvY29udHJpYnV0b3JzPjx0aXRsZXM+
PHRpdGxlPlJhbmRvbWl6ZWQgY29udHJvbGxlZCB0cmlhbCBvZiBpbnRlcnZlbnRpb25zIGRlc2ln
bmVkIHRvIHJlZHVjZSB0aGUgcmlzayBvZiBwcm9ncmVzc2lvbiB0byBmaXJzdC1lcGlzb2RlIHBz
eWNob3NpcyBpbiBhIGNsaW5pY2FsIHNhbXBsZSB3aXRoIHN1YnRocmVzaG9sZCBzeW1wdG9tczwv
dGl0bGU+PHNlY29uZGFyeS10aXRsZT5BcmNoaXZlcyBvZiBHZW5lcmFsIFBzeWNoaWF0cnk8L3Nl
Y29uZGFyeS10aXRsZT48L3RpdGxlcz48cGFnZXM+OTIxLTkyODwvcGFnZXM+PHZvbHVtZT41OTwv
dm9sdW1lPjxkYXRlcz48eWVhcj4yMDAyPC95ZWFyPjwvZGF0ZXM+PHVybHM+PC91cmxzPjwvcmVj
b3JkPjwvQ2l0ZT48Q2l0ZT48QXV0aG9yPk1vcnJpc29uPC9BdXRob3I+PFllYXI+MjAwNDwvWWVh
cj48UmVjTnVtPjMyNTE8L1JlY051bT48cmVjb3JkPjxyZWMtbnVtYmVyPjMyNTE8L3JlYy1udW1i
ZXI+PGZvcmVpZ24ta2V5cz48a2V5IGFwcD0iRU4iIGRiLWlkPSJyYXJleGF6NXQ1eDUyd2V3cmZw
eDJ4dzJkMmY1d3Z3OXA1ZmEiPjMyNTE8L2tleT48L2ZvcmVpZ24ta2V5cz48cmVmLXR5cGUgbmFt
ZT0iSm91cm5hbCBBcnRpY2xlIj4xNzwvcmVmLXR5cGU+PGNvbnRyaWJ1dG9ycz48YXV0aG9ycz48
YXV0aG9yPk1vcnJpc29uLCBBbnRob255IFAuPC9hdXRob3I+PGF1dGhvcj5GcmVuY2gsIFBhdWw8
L2F1dGhvcj48YXV0aG9yPldhbGZvcmQsIExhcmE8L2F1dGhvcj48YXV0aG9yPkxld2lzLCBTaG9u
IFcuPC9hdXRob3I+PGF1dGhvcj5LaWxjb21tb25zLCBBb2lmZmU8L2F1dGhvcj48YXV0aG9yPkdy
ZWVuLCBKb2FubmU8L2F1dGhvcj48YXV0aG9yPlBhcmtlciwgU29waGllPC9hdXRob3I+PGF1dGhv
cj5CZW50YWxsLCBSaWNoYXJkIFAuPC9hdXRob3I+PC9hdXRob3JzPjwvY29udHJpYnV0b3JzPjx0
aXRsZXM+PHRpdGxlPkNvZ25pdGl2ZSB0aGVyYXB5IGZvciB0aGUgcHJldmVudGlvbiBvZiBwc3lj
aG9zaXMgaW4gcGVvcGxlIGF0IHVsdHJhLWhpZ2ggcmlzazogUmFuZG9taXNlZCBjb250cm9sbGVk
IHRyaWFsPC90aXRsZT48c2Vjb25kYXJ5LXRpdGxlPkJyaXRpc2ggSm91cm5hbCBvZiBQc3ljaGlh
dHJ5PC9zZWNvbmRhcnktdGl0bGU+PGFsdC10aXRsZT5CciBKIFBzeWNoaWF0cnk8L2FsdC10aXRs
ZT48L3RpdGxlcz48cGFnZXM+MjkxLTI5NzwvcGFnZXM+PHZvbHVtZT4xODU8L3ZvbHVtZT48bnVt
YmVyPjQ8L251bWJlcj48ZGF0ZXM+PHllYXI+MjAwNDwveWVhcj48cHViLWRhdGVzPjxkYXRlPk9j
dG9iZXIgMSwgMjAwNDwvZGF0ZT48L3B1Yi1kYXRlcz48L2RhdGVzPjx1cmxzPjxyZWxhdGVkLXVy
bHM+PHVybD5odHRwOi8vYmpwLnJjcHN5Y2gub3JnL2NnaS9jb250ZW50L2Fic3RyYWN0LzE4NS80
LzI5MTwvdXJsPjwvcmVsYXRlZC11cmxzPjwvdXJscz48L3JlY29yZD48L0NpdGU+PENpdGU+PEF1
dGhvcj5BbW1pbmdlcjwvQXV0aG9yPjxZZWFyPjIwMTA8L1llYXI+PFJlY051bT43NDAwPC9SZWNO
dW0+PHJlY29yZD48cmVjLW51bWJlcj43NDAwPC9yZWMtbnVtYmVyPjxmb3JlaWduLWtleXM+PGtl
eSBhcHA9IkVOIiBkYi1pZD0icmFyZXhhejV0NXg1Mndld3JmcHgyeHcyZDJmNXd2dzlwNWZhIj43
NDAwPC9rZXk+PC9mb3JlaWduLWtleXM+PHJlZi10eXBlIG5hbWU9IkpvdXJuYWwgQXJ0aWNsZSI+
MTc8L3JlZi10eXBlPjxjb250cmlidXRvcnM+PGF1dGhvcnM+PGF1dGhvcj5BbW1pbmdlciwgRy4g
UGF1bDwvYXV0aG9yPjxhdXRob3I+U2NoYWZlciwgTWlyaWFtIFIuPC9hdXRob3I+PGF1dGhvcj5Q
YXBhZ2Vvcmdpb3UsIEtvbnN0YW50aW5vczwvYXV0aG9yPjxhdXRob3I+S2xpZXIsIENsYXVkaWEg
TS48L2F1dGhvcj48YXV0aG9yPkNvdHRvbiwgU3VlIE0uPC9hdXRob3I+PGF1dGhvcj5IYXJyaWdh
biwgU3VzYW4gTS48L2F1dGhvcj48YXV0aG9yPk1hY2tpbm5vbiwgQW5kcmV3PC9hdXRob3I+PGF1
dGhvcj5NY0dvcnJ5LCBQYXRyaWNrIEQuPC9hdXRob3I+PGF1dGhvcj5CZXJnZXIsIEdyZWdvciBF
LjwvYXV0aG9yPjwvYXV0aG9ycz48L2NvbnRyaWJ1dG9ycz48dGl0bGVzPjx0aXRsZT5Mb25nLUNo
YWluIG9tZWdhLTMgRmF0dHkgQWNpZHMgZm9yIEluZGljYXRlZCBQcmV2ZW50aW9uIG9mIFBzeWNo
b3RpYyBEaXNvcmRlcnM6IEEgUmFuZG9taXplZCwgUGxhY2Viby1Db250cm9sbGVkIFRyaWFsPC90
aXRsZT48c2Vjb25kYXJ5LXRpdGxlPkFyY2ggR2VuIFBzeWNoaWF0cnk8L3NlY29uZGFyeS10aXRs
ZT48L3RpdGxlcz48cGFnZXM+MTQ2LTE1NDwvcGFnZXM+PHZvbHVtZT42Nzwvdm9sdW1lPjxudW1i
ZXI+MjwvbnVtYmVyPjxkYXRlcz48eWVhcj4yMDEwPC95ZWFyPjxwdWItZGF0ZXM+PGRhdGU+RmVi
cnVhcnkgMSwgPC9kYXRlPjwvcHViLWRhdGVzPjwvZGF0ZXM+PHVybHM+PHJlbGF0ZWQtdXJscz48
dXJsPmh0dHA6Ly9hcmNocHN5Yy5hbWEtYXNzbi5vcmcvY2dpL2NvbnRlbnQvYWJzdHJhY3QvNjcv
Mi8xNDYgPC91cmw+PC9yZWxhdGVkLXVybHM+PC91cmxzPjxlbGVjdHJvbmljLXJlc291cmNlLW51
bT4xMC4xMDAxL2FyY2hnZW5wc3ljaGlhdHJ5LjIwMDkuMTkyPC9lbGVjdHJvbmljLXJlc291cmNl
LW51bT48L3JlY29yZD48L0NpdGU+PENpdGU+PEF1dGhvcj5CZWNoZG9sZjwvQXV0aG9yPjxZZWFy
PjIwMTE8L1llYXI+PFJlY051bT43NjM3PC9SZWNOdW0+PHJlY29yZD48cmVjLW51bWJlcj43NjM3
PC9yZWMtbnVtYmVyPjxmb3JlaWduLWtleXM+PGtleSBhcHA9IkVOIiBkYi1pZD0iNTV0MHRkdHJo
cmZ6czNlNTJkY3ZkcDVkYXcwZnh0NXpyNXR0Ij43NjM3PC9rZXk+PC9mb3JlaWduLWtleXM+PHJl
Zi10eXBlIG5hbWU9IkpvdXJuYWwgQXJ0aWNsZSI+MTc8L3JlZi10eXBlPjxjb250cmlidXRvcnM+
PGF1dGhvcnM+PGF1dGhvcj5CZWNoZG9sZiwgQS4gPC9hdXRob3I+PGF1dGhvcj5XYWduZXIsIE0u
IDwvYXV0aG9yPjxhdXRob3I+UnVocm1hbm4sIFMuPC9hdXRob3I+PC9hdXRob3JzPjwvY29udHJp
YnV0b3JzPjx0aXRsZXM+PHRpdGxlPlByZXZlbnRpbmcgcHJvZ3Jlc3Npb24gdG8gZmlyc3QtZXBp
c29kZSBwc3ljaG9zaXMgaW4gZWFybHkgaW5pdGlhbCBwcm9kcm9tYWwgc3RhdGVzPC90aXRsZT48
c2Vjb25kYXJ5LXRpdGxlPkJyaXRpc2ggSm91cm5hbCBvZiBQc3ljaGlhdHJ5PC9zZWNvbmRhcnkt
dGl0bGU+PC90aXRsZXM+PHZvbHVtZT5pbiBwcmVzczwvdm9sdW1lPjxkYXRlcz48eWVhcj4yMDEx
PC95ZWFyPjwvZGF0ZXM+PHVybHM+PC91cmxzPjwvcmVjb3JkPjwvQ2l0ZT48Q2l0ZT48QXV0aG9y
Pll1bmc8L0F1dGhvcj48WWVhcj4yMDExPC9ZZWFyPjxSZWNOdW0+NzQ3MDwvUmVjTnVtPjxyZWNv
cmQ+PHJlYy1udW1iZXI+NzQ3MDwvcmVjLW51bWJlcj48Zm9yZWlnbi1rZXlzPjxrZXkgYXBwPSJF
TiIgZGItaWQ9InJhcmV4YXo1dDV4NTJ3ZXdyZnB4Mnh3MmQyZjV3dnc5cDVmYSI+NzQ3MDwva2V5
PjwvZm9yZWlnbi1rZXlzPjxyZWYtdHlwZSBuYW1lPSJKb3VybmFsIEFydGljbGUiPjE3PC9yZWYt
dHlwZT48Y29udHJpYnV0b3JzPjxhdXRob3JzPjxhdXRob3I+WXVuZywgQS4gUi48L2F1dGhvcj48
YXV0aG9yPlBoaWxsaXBzIExKLCA8L2F1dGhvcj48YXV0aG9yPk5lbHNvbiwgQi4gPC9hdXRob3I+
PGF1dGhvcj5GcmFuY2V5LCBTLk0uPC9hdXRob3I+PGF1dGhvcj5QYW5ZdWVuLCBILjwvYXV0aG9y
PjxhdXRob3I+U2ltbW9ucywgTS5CLjwvYXV0aG9yPjxhdXRob3I+Um9zcywgTS5MLjwvYXV0aG9y
PjxhdXRob3I+S2VsbHksIEQuPC9hdXRob3I+PGF1dGhvcj5CYWtlciwgSy48L2F1dGhvcj48YXV0
aG9yPkFtbWluZ2VyLCBHLlAuPC9hdXRob3I+PGF1dGhvcj5CZXJnZXIsIEcuPC9hdXRob3I+PGF1
dGhvcj5UaG9tcHNvbiwgQS5ELjwvYXV0aG9yPjxhdXRob3I+VGhhbXBpLCBBLjwvYXV0aG9yPjxh
dXRob3I+TWNHb3JyeSwgUC5ELjwvYXV0aG9yPjwvYXV0aG9ycz48L2NvbnRyaWJ1dG9ycz48dGl0
bGVzPjx0aXRsZT5SYW5kb21pemVkIGNvbnRyb2xsZWQgdHJpYWwgb2YgaW50ZXJ2ZW50aW9ucyBm
b3IgeW91bmcgcGVvcGxlIGF0IHVsdHJhIGhpZ2ggcmlzayBmb3IgcHN5Y2hvc2lzOiA2LW1vbnRo
IGFuYWx5c2lzPC90aXRsZT48c2Vjb25kYXJ5LXRpdGxlPkpvdXJuYWwgb2YgQ2xpbmljYWwgUHN5
Y2hpYXRyeTwvc2Vjb25kYXJ5LXRpdGxlPjwvdGl0bGVzPjxwYWdlcz40MzAtNDQwPC9wYWdlcz48
dm9sdW1lPjcyPC92b2x1bWU+PGRhdGVzPjx5ZWFyPjIwMTE8L3llYXI+PC9kYXRlcz48dXJscz48
L3VybHM+PC9yZWNvcmQ+PC9DaXRlPjxDaXRlPjxBdXRob3I+TW9ycmlzb248L0F1dGhvcj48WWVh
cj4yMDEyPC9ZZWFyPjxSZWNOdW0+MzIxPC9SZWNOdW0+PHJlY29yZD48cmVjLW51bWJlcj4zMjE8
L3JlYy1udW1iZXI+PGZvcmVpZ24ta2V5cz48a2V5IGFwcD0iRU4iIGRiLWlkPSI5MDl4emFhOXZ0
c3dzc2UydjkzeDV0Mm50dmRkeGF2OXJ0dHMiIHRpbWVzdGFtcD0iMCI+MzIxPC9rZXk+PC9mb3Jl
aWduLWtleXM+PHJlZi10eXBlIG5hbWU9IkpvdXJuYWwgQXJ0aWNsZSI+MTc8L3JlZi10eXBlPjxj
b250cmlidXRvcnM+PGF1dGhvcnM+PGF1dGhvcj5Nb3JyaXNvbiwgQW50aG9ueSBQLjwvYXV0aG9y
PjxhdXRob3I+RnJlbmNoLCBQYXVsPC9hdXRob3I+PGF1dGhvcj5TdGV3YXJ0LCBTdXphbm5lIEwu
IEsuPC9hdXRob3I+PGF1dGhvcj5CaXJjaHdvb2QsIE1heDwvYXV0aG9yPjxhdXRob3I+Rm93bGVy
LCBEYXZpZDwvYXV0aG9yPjxhdXRob3I+R3VtbGV5LCBBbmRyZXcgSS48L2F1dGhvcj48YXV0aG9y
PkpvbmVzLCBQZXRlciBCLjwvYXV0aG9yPjxhdXRob3I+QmVudGFsbCwgUmljaGFyZCBQLjwvYXV0
aG9yPjxhdXRob3I+TGV3aXMsIFNob24gVy48L2F1dGhvcj48YXV0aG9yPk11cnJheSwgR3JhaGFt
IEsuPC9hdXRob3I+PGF1dGhvcj5QYXR0ZXJzb24sIFBhdWw8L2F1dGhvcj48YXV0aG9yPkJydW5l
dCwgS2F0PC9hdXRob3I+PGF1dGhvcj5Db25yb3ksIEplbm5pZTwvYXV0aG9yPjxhdXRob3I+UGFy
a2VyLCBTb3BoaWU8L2F1dGhvcj48YXV0aG9yPlJlaWxseSwgVG9ueTwvYXV0aG9yPjxhdXRob3I+
QnlybmUsIFJvcnk8L2F1dGhvcj48YXV0aG9yPkRhdmllcywgTGluZGEgTS48L2F1dGhvcj48YXV0
aG9yPkR1bm4sIEdyYWhhbTwvYXV0aG9yPjwvYXV0aG9ycz48L2NvbnRyaWJ1dG9ycz48dGl0bGVz
Pjx0aXRsZT5FYXJseSBkZXRlY3Rpb24gYW5kIGludGVydmVudGlvbiBldmFsdWF0aW9uIGZvciBw
ZW9wbGUgYXQgcmlzayBvZiBwc3ljaG9zaXM6IG11bHRpc2l0ZSByYW5kb21pc2VkIGNvbnRyb2xs
ZWQgdHJpYWw8L3RpdGxlPjxzZWNvbmRhcnktdGl0bGU+Qk1KPC9zZWNvbmRhcnktdGl0bGU+PC90
aXRsZXM+PHBlcmlvZGljYWw+PGZ1bGwtdGl0bGU+Qk1KPC9mdWxsLXRpdGxlPjxhYmJyLTE+Qk1K
PC9hYmJyLTE+PGFiYnItMj5CTUo8L2FiYnItMj48L3BlcmlvZGljYWw+PHZvbHVtZT4zNDQ8L3Zv
bHVtZT48ZGF0ZXM+PHllYXI+MjAxMjwveWVhcj48cHViLWRhdGVzPjxkYXRlPjIwMTItMDQtMDUg
MjM6MzI6MjQ8L2RhdGU+PC9wdWItZGF0ZXM+PC9kYXRlcz48dXJscz48cGRmLXVybHM+PHVybD5o
dHRwOi8vd3d3LmJtai5jb20vYm1qLzM0NC9ibWouZTIyMzMuZnVsbC5wZGYgPC91cmw+PC9wZGYt
dXJscz48L3VybHM+PGVsZWN0cm9uaWMtcmVzb3VyY2UtbnVtPjEwLjExMzYvYm1qLmUyMjMzPC9l
bGVjdHJvbmljLXJlc291cmNlLW51bT48L3JlY29yZD48L0NpdGU+PC9FbmROb3RlPgBQ
</w:fldData>
        </w:fldChar>
      </w:r>
      <w:r>
        <w:instrText xml:space="preserve"> ADDIN EN.CITE.DATA </w:instrText>
      </w:r>
      <w:r w:rsidR="00CA2B2A">
        <w:fldChar w:fldCharType="end"/>
      </w:r>
      <w:r w:rsidR="00CA2B2A">
        <w:fldChar w:fldCharType="separate"/>
      </w:r>
      <w:r>
        <w:rPr>
          <w:noProof/>
        </w:rPr>
        <w:t>(</w:t>
      </w:r>
      <w:hyperlink w:anchor="_ENREF_2" w:tooltip="Addington, 2011 #267" w:history="1">
        <w:r w:rsidR="00A237D1">
          <w:rPr>
            <w:noProof/>
          </w:rPr>
          <w:t>2-9</w:t>
        </w:r>
      </w:hyperlink>
      <w:r>
        <w:rPr>
          <w:noProof/>
        </w:rPr>
        <w:t>)</w:t>
      </w:r>
      <w:r w:rsidR="00CA2B2A">
        <w:fldChar w:fldCharType="end"/>
      </w:r>
      <w:r w:rsidRPr="003C6199">
        <w:t xml:space="preserve"> on transition to psychosis and the severity of psychotic experiences within this population. These studies have found </w:t>
      </w:r>
      <w:r w:rsidRPr="003C6199">
        <w:lastRenderedPageBreak/>
        <w:t>relatively encouraging results, suggesting that such interventions can reduce attenuated psychotic symptoms and may delay or prevent psychosis in some instances</w:t>
      </w:r>
      <w:r>
        <w:t xml:space="preserve">, and recent meta-analyses have concluded that cognitive therapy (CT) significantly reduces the risk of transition to psychosis at 12 months. A moderate effect was also reported at 18 months but was not sustained in a sensitivity analysis </w:t>
      </w:r>
      <w:r w:rsidR="00CA2B2A">
        <w:fldChar w:fldCharType="begin"/>
      </w:r>
      <w:r>
        <w:instrText xml:space="preserve"> ADDIN EN.CITE &lt;EndNote&gt;&lt;Cite&gt;&lt;Author&gt;Stafford&lt;/Author&gt;&lt;Year&gt;2013&lt;/Year&gt;&lt;RecNum&gt;7784&lt;/RecNum&gt;&lt;DisplayText&gt;(10)&lt;/DisplayText&gt;&lt;record&gt;&lt;rec-number&gt;7784&lt;/rec-number&gt;&lt;foreign-keys&gt;&lt;key app="EN" db-id="rarexaz5t5x52wewrfpx2xw2d2f5wvw9p5fa"&gt;7784&lt;/key&gt;&lt;/foreign-keys&gt;&lt;ref-type name="Journal Article"&gt;17&lt;/ref-type&gt;&lt;contributors&gt;&lt;authors&gt;&lt;author&gt;Megan R. Stafford&lt;/author&gt;&lt;author&gt;Hannah Jackson&lt;/author&gt;&lt;author&gt;Evan Mayo-Wilson&lt;/author&gt;&lt;author&gt;Anthony P. Morrison&lt;/author&gt;&lt;author&gt;Tim Kendall&lt;/author&gt;&lt;/authors&gt;&lt;/contributors&gt;&lt;titles&gt;&lt;title&gt;Early interventions to prevent psychosis: systematic review and meta-analysis&lt;/title&gt;&lt;secondary-title&gt;BMJ&lt;/secondary-title&gt;&lt;/titles&gt;&lt;periodical&gt;&lt;full-title&gt;BMJ&lt;/full-title&gt;&lt;/periodical&gt;&lt;volume&gt;346&lt;/volume&gt;&lt;dates&gt;&lt;year&gt;2013&lt;/year&gt;&lt;pub-dates&gt;&lt;date&gt;2013-01-18 12:14:28&lt;/date&gt;&lt;/pub-dates&gt;&lt;/dates&gt;&lt;urls&gt;&lt;pdf-urls&gt;&lt;url&gt;http://www.bmj.com/bmj/346/bmj.f185.full.pdf &lt;/url&gt;&lt;/pdf-urls&gt;&lt;/urls&gt;&lt;electronic-resource-num&gt;10.1136/bmj.f185&lt;/electronic-resource-num&gt;&lt;/record&gt;&lt;/Cite&gt;&lt;/EndNote&gt;</w:instrText>
      </w:r>
      <w:r w:rsidR="00CA2B2A">
        <w:fldChar w:fldCharType="separate"/>
      </w:r>
      <w:r>
        <w:rPr>
          <w:noProof/>
        </w:rPr>
        <w:t>(</w:t>
      </w:r>
      <w:hyperlink w:anchor="_ENREF_10" w:tooltip="Stafford, 2013 #7784" w:history="1">
        <w:r w:rsidR="00A237D1">
          <w:rPr>
            <w:noProof/>
          </w:rPr>
          <w:t>10</w:t>
        </w:r>
      </w:hyperlink>
      <w:r>
        <w:rPr>
          <w:noProof/>
        </w:rPr>
        <w:t>)</w:t>
      </w:r>
      <w:r w:rsidR="00CA2B2A">
        <w:fldChar w:fldCharType="end"/>
      </w:r>
      <w:r w:rsidRPr="003C6199">
        <w:t xml:space="preserve">. </w:t>
      </w:r>
    </w:p>
    <w:p w:rsidR="00B345A7" w:rsidRDefault="00B345A7" w:rsidP="00A60880">
      <w:pPr>
        <w:spacing w:line="360" w:lineRule="auto"/>
        <w:ind w:firstLine="720"/>
      </w:pPr>
      <w:r>
        <w:t>Recent research suggests that the way in which CT is delivered is an important factor in determining outcomes. For example, in a recent trial of CT for people with psychosis, participants derived benefit if they received full therapy that involved active change strategies such as evaluation of beliefs and the use of behavioural experiments, whereas CT was potentially harmful if participants received partial therapy that only involved engagement and assessment</w:t>
      </w:r>
      <w:r w:rsidR="00CA2B2A">
        <w:fldChar w:fldCharType="begin"/>
      </w:r>
      <w:r>
        <w:instrText xml:space="preserve"> ADDIN EN.CITE &lt;EndNote&gt;&lt;Cite&gt;&lt;Author&gt;Dunn&lt;/Author&gt;&lt;Year&gt;2012&lt;/Year&gt;&lt;RecNum&gt;299&lt;/RecNum&gt;&lt;DisplayText&gt;(11)&lt;/DisplayText&gt;&lt;record&gt;&lt;rec-number&gt;299&lt;/rec-number&gt;&lt;foreign-keys&gt;&lt;key app="EN" db-id="909xzaa9vtswsse2v93x5t2ntvddxav9rtts" timestamp="0"&gt;299&lt;/key&gt;&lt;/foreign-keys&gt;&lt;ref-type name="Journal Article"&gt;17&lt;/ref-type&gt;&lt;contributors&gt;&lt;authors&gt;&lt;author&gt;Dunn, G.&lt;/author&gt;&lt;author&gt;Fowler, D.&lt;/author&gt;&lt;author&gt;Rollinson, R.&lt;/author&gt;&lt;author&gt;Freeman, D.&lt;/author&gt;&lt;author&gt;Kuipers, E.&lt;/author&gt;&lt;author&gt;Smith, B.&lt;/author&gt;&lt;author&gt;Steel, C.&lt;/author&gt;&lt;author&gt;Onwumere, J.&lt;/author&gt;&lt;author&gt;Jolley, S.&lt;/author&gt;&lt;author&gt;Garety, P.&lt;/author&gt;&lt;author&gt;Bebbington, P.&lt;/author&gt;&lt;/authors&gt;&lt;/contributors&gt;&lt;titles&gt;&lt;title&gt;Effective elements of cognitive behaviour therapy for psychosis: results of a novel type of subgroup analysis based on principal stratification&lt;/title&gt;&lt;secondary-title&gt;Psychological Medicine&lt;/secondary-title&gt;&lt;/titles&gt;&lt;periodical&gt;&lt;full-title&gt;Psychological Medicine&lt;/full-title&gt;&lt;abbr-1&gt;Psychol. Med.&lt;/abbr-1&gt;&lt;abbr-2&gt;Psychol Med&lt;/abbr-2&gt;&lt;/periodical&gt;&lt;pages&gt;1057-1068&lt;/pages&gt;&lt;volume&gt;42&lt;/volume&gt;&lt;number&gt;05&lt;/number&gt;&lt;keywords&gt;&lt;keyword&gt;Cognitive behavioural therapy, principal stratification, psychosis, subgroup analysis, treatment-effect heterogeneity&lt;/keyword&gt;&lt;/keywords&gt;&lt;dates&gt;&lt;year&gt;2012&lt;/year&gt;&lt;/dates&gt;&lt;isbn&gt;1469-8978 %[ 2012&lt;/isbn&gt;&lt;urls&gt;&lt;related-urls&gt;&lt;url&gt;http://dx.doi.org/10.1017/S0033291711001954 &lt;/url&gt;&lt;/related-urls&gt;&lt;/urls&gt;&lt;electronic-resource-num&gt;doi:10.1017/S0033291711001954&lt;/electronic-resource-num&gt;&lt;/record&gt;&lt;/Cite&gt;&lt;/EndNote&gt;</w:instrText>
      </w:r>
      <w:r w:rsidR="00CA2B2A">
        <w:fldChar w:fldCharType="separate"/>
      </w:r>
      <w:r>
        <w:rPr>
          <w:noProof/>
        </w:rPr>
        <w:t>(</w:t>
      </w:r>
      <w:hyperlink w:anchor="_ENREF_11" w:tooltip="Dunn, 2012 #299" w:history="1">
        <w:r w:rsidR="00A237D1">
          <w:rPr>
            <w:noProof/>
          </w:rPr>
          <w:t>11</w:t>
        </w:r>
      </w:hyperlink>
      <w:r>
        <w:rPr>
          <w:noProof/>
        </w:rPr>
        <w:t>)</w:t>
      </w:r>
      <w:r w:rsidR="00CA2B2A">
        <w:fldChar w:fldCharType="end"/>
      </w:r>
      <w:r>
        <w:t>. Within the Early Detection and Intervention Evaluation (EDIE-2)  trial for people at risk of psychosis, we found that t</w:t>
      </w:r>
      <w:r w:rsidRPr="00E610DF">
        <w:t xml:space="preserve">hose allocated to CT received a mean of 9.11 sessions (s.d.=6.69; range 0 to 26), </w:t>
      </w:r>
      <w:r>
        <w:t>and acceptability of</w:t>
      </w:r>
      <w:r w:rsidRPr="00E610DF">
        <w:t xml:space="preserve"> CT was reasonably good, with only 9/144 (6.25%) not attending any sessions, and 108/144 (75%) receiving at least 4 or more sessions</w:t>
      </w:r>
      <w:r>
        <w:t>; however, there was clearly considerable variance in number of sessions received</w:t>
      </w:r>
      <w:r w:rsidR="00CA2B2A">
        <w:fldChar w:fldCharType="begin"/>
      </w:r>
      <w:r>
        <w:instrText xml:space="preserve"> ADDIN EN.CITE &lt;EndNote&gt;&lt;Cite&gt;&lt;Author&gt;Morrison&lt;/Author&gt;&lt;Year&gt;2012&lt;/Year&gt;&lt;RecNum&gt;321&lt;/RecNum&gt;&lt;DisplayText&gt;(9)&lt;/DisplayText&gt;&lt;record&gt;&lt;rec-number&gt;321&lt;/rec-number&gt;&lt;foreign-keys&gt;&lt;key app="EN" db-id="909xzaa9vtswsse2v93x5t2ntvddxav9rtts" timestamp="0"&gt;321&lt;/key&gt;&lt;/foreign-keys&gt;&lt;ref-type name="Journal Article"&gt;17&lt;/ref-type&gt;&lt;contributors&gt;&lt;authors&gt;&lt;author&gt;Morrison, Anthony P.&lt;/author&gt;&lt;author&gt;French, Paul&lt;/author&gt;&lt;author&gt;Stewart, Suzanne L. K.&lt;/author&gt;&lt;author&gt;Birchwood, Max&lt;/author&gt;&lt;author&gt;Fowler, David&lt;/author&gt;&lt;author&gt;Gumley, Andrew I.&lt;/author&gt;&lt;author&gt;Jones, Peter B.&lt;/author&gt;&lt;author&gt;Bentall, Richard P.&lt;/author&gt;&lt;author&gt;Lewis, Shon W.&lt;/author&gt;&lt;author&gt;Murray, Graham K.&lt;/author&gt;&lt;author&gt;Patterson, Paul&lt;/author&gt;&lt;author&gt;Brunet, Kat&lt;/author&gt;&lt;author&gt;Conroy, Jennie&lt;/author&gt;&lt;author&gt;Parker, Sophie&lt;/author&gt;&lt;author&gt;Reilly, Tony&lt;/author&gt;&lt;author&gt;Byrne, Rory&lt;/author&gt;&lt;author&gt;Davies, Linda M.&lt;/author&gt;&lt;author&gt;Dunn, Graham&lt;/author&gt;&lt;/authors&gt;&lt;/contributors&gt;&lt;titles&gt;&lt;title&gt;Early detection and intervention evaluation for people at risk of psychosis: multisite randomised controlled trial&lt;/title&gt;&lt;secondary-title&gt;BMJ&lt;/secondary-title&gt;&lt;/titles&gt;&lt;periodical&gt;&lt;full-title&gt;BMJ&lt;/full-title&gt;&lt;abbr-1&gt;BMJ&lt;/abbr-1&gt;&lt;abbr-2&gt;BMJ&lt;/abbr-2&gt;&lt;/periodical&gt;&lt;volume&gt;344&lt;/volume&gt;&lt;dates&gt;&lt;year&gt;2012&lt;/year&gt;&lt;pub-dates&gt;&lt;date&gt;2012-04-05 23:32:24&lt;/date&gt;&lt;/pub-dates&gt;&lt;/dates&gt;&lt;urls&gt;&lt;pdf-urls&gt;&lt;url&gt;http://www.bmj.com/bmj/344/bmj.e2233.full.pdf &lt;/url&gt;&lt;/pdf-urls&gt;&lt;/urls&gt;&lt;electronic-resource-num&gt;10.1136/bmj.e2233&lt;/electronic-resource-num&gt;&lt;/record&gt;&lt;/Cite&gt;&lt;/EndNote&gt;</w:instrText>
      </w:r>
      <w:r w:rsidR="00CA2B2A">
        <w:fldChar w:fldCharType="separate"/>
      </w:r>
      <w:r>
        <w:rPr>
          <w:noProof/>
        </w:rPr>
        <w:t>(</w:t>
      </w:r>
      <w:hyperlink w:anchor="_ENREF_9" w:tooltip="Morrison, 2012 #321" w:history="1">
        <w:r w:rsidR="00A237D1">
          <w:rPr>
            <w:noProof/>
          </w:rPr>
          <w:t>9</w:t>
        </w:r>
      </w:hyperlink>
      <w:r>
        <w:rPr>
          <w:noProof/>
        </w:rPr>
        <w:t>)</w:t>
      </w:r>
      <w:r w:rsidR="00CA2B2A">
        <w:fldChar w:fldCharType="end"/>
      </w:r>
      <w:r>
        <w:t xml:space="preserve">. </w:t>
      </w:r>
      <w:r w:rsidRPr="00E610DF">
        <w:t xml:space="preserve">In order to examine the contribution of the ‘dose’ of CT, the effects of number of sessions on 12-month outcomes were estimated through instrumental variable regression using ATR (Adjusted Treatment Received) algorithm </w:t>
      </w:r>
      <w:r w:rsidR="00CA2B2A">
        <w:fldChar w:fldCharType="begin"/>
      </w:r>
      <w:r>
        <w:instrText xml:space="preserve"> ADDIN EN.CITE &lt;EndNote&gt;&lt;Cite&gt;&lt;Author&gt;Hausman&lt;/Author&gt;&lt;Year&gt;1978&lt;/Year&gt;&lt;RecNum&gt;7472&lt;/RecNum&gt;&lt;DisplayText&gt;(12, 13)&lt;/DisplayText&gt;&lt;record&gt;&lt;rec-number&gt;7472&lt;/rec-number&gt;&lt;foreign-keys&gt;&lt;key app="EN" db-id="rarexaz5t5x52wewrfpx2xw2d2f5wvw9p5fa"&gt;7472&lt;/key&gt;&lt;/foreign-keys&gt;&lt;ref-type name="Journal Article"&gt;17&lt;/ref-type&gt;&lt;contributors&gt;&lt;authors&gt;&lt;author&gt;Hausman, J.A.&lt;/author&gt;&lt;/authors&gt;&lt;/contributors&gt;&lt;titles&gt;&lt;title&gt;Specification tests in econometrics&lt;/title&gt;&lt;secondary-title&gt;Econometrica&lt;/secondary-title&gt;&lt;/titles&gt;&lt;pages&gt;1251- 1271&lt;/pages&gt;&lt;volume&gt;46&lt;/volume&gt;&lt;dates&gt;&lt;year&gt;1978&lt;/year&gt;&lt;/dates&gt;&lt;urls&gt;&lt;/urls&gt;&lt;/record&gt;&lt;/Cite&gt;&lt;Cite&gt;&lt;Author&gt;Nagelkerke&lt;/Author&gt;&lt;Year&gt;2000&lt;/Year&gt;&lt;RecNum&gt;7473&lt;/RecNum&gt;&lt;record&gt;&lt;rec-number&gt;7473&lt;/rec-number&gt;&lt;foreign-keys&gt;&lt;key app="EN" db-id="rarexaz5t5x52wewrfpx2xw2d2f5wvw9p5fa"&gt;7473&lt;/key&gt;&lt;/foreign-keys&gt;&lt;ref-type name="Journal Article"&gt;17&lt;/ref-type&gt;&lt;contributors&gt;&lt;authors&gt;&lt;author&gt;Nagelkerke, N.&lt;/author&gt;&lt;author&gt;Fidler, V. &lt;/author&gt;&lt;author&gt;Bersen, R.&lt;/author&gt;&lt;author&gt;Borgdorff, M.&lt;/author&gt;&lt;/authors&gt;&lt;/contributors&gt;&lt;titles&gt;&lt;title&gt;Estimating treatment  effects in randomized clinical trials in the presence of non-compliance&lt;/title&gt;&lt;secondary-title&gt;Statistics in Medicine&lt;/secondary-title&gt;&lt;/titles&gt;&lt;pages&gt;1849-&amp;#xD;1864&lt;/pages&gt;&lt;volume&gt;19&lt;/volume&gt;&lt;dates&gt;&lt;year&gt;2000&lt;/year&gt;&lt;/dates&gt;&lt;urls&gt;&lt;/urls&gt;&lt;/record&gt;&lt;/Cite&gt;&lt;/EndNote&gt;</w:instrText>
      </w:r>
      <w:r w:rsidR="00CA2B2A">
        <w:fldChar w:fldCharType="separate"/>
      </w:r>
      <w:r>
        <w:rPr>
          <w:noProof/>
        </w:rPr>
        <w:t>(</w:t>
      </w:r>
      <w:hyperlink w:anchor="_ENREF_12" w:tooltip="Hausman, 1978 #7472" w:history="1">
        <w:r w:rsidR="00A237D1">
          <w:rPr>
            <w:noProof/>
          </w:rPr>
          <w:t>12</w:t>
        </w:r>
      </w:hyperlink>
      <w:r>
        <w:rPr>
          <w:noProof/>
        </w:rPr>
        <w:t xml:space="preserve">, </w:t>
      </w:r>
      <w:hyperlink w:anchor="_ENREF_13" w:tooltip="Nagelkerke, 2000 #7473" w:history="1">
        <w:r w:rsidR="00A237D1">
          <w:rPr>
            <w:noProof/>
          </w:rPr>
          <w:t>13</w:t>
        </w:r>
      </w:hyperlink>
      <w:r>
        <w:rPr>
          <w:noProof/>
        </w:rPr>
        <w:t>)</w:t>
      </w:r>
      <w:r w:rsidR="00CA2B2A">
        <w:fldChar w:fldCharType="end"/>
      </w:r>
      <w:r w:rsidRPr="00E610DF">
        <w:t xml:space="preserve">  </w:t>
      </w:r>
      <w:r>
        <w:t>(</w:t>
      </w:r>
      <w:r w:rsidRPr="00E610DF">
        <w:t>this method is described in detail in the context of dose-response effects in psychotherapy trials</w:t>
      </w:r>
      <w:r w:rsidR="00CA2B2A">
        <w:fldChar w:fldCharType="begin"/>
      </w:r>
      <w:r>
        <w:instrText xml:space="preserve"> ADDIN EN.CITE &lt;EndNote&gt;&lt;Cite&gt;&lt;Author&gt;Maracy&lt;/Author&gt;&lt;Year&gt;2011&lt;/Year&gt;&lt;RecNum&gt;7474&lt;/RecNum&gt;&lt;DisplayText&gt;(14)&lt;/DisplayText&gt;&lt;record&gt;&lt;rec-number&gt;7474&lt;/rec-number&gt;&lt;foreign-keys&gt;&lt;key app="EN" db-id="rarexaz5t5x52wewrfpx2xw2d2f5wvw9p5fa"&gt;7474&lt;/key&gt;&lt;/foreign-keys&gt;&lt;ref-type name="Journal Article"&gt;17&lt;/ref-type&gt;&lt;contributors&gt;&lt;authors&gt;&lt;author&gt;Maracy, M.&lt;/author&gt;&lt;author&gt;Dunn, G.&lt;/author&gt;&lt;/authors&gt;&lt;/contributors&gt;&lt;titles&gt;&lt;title&gt;Estimating dose-response effects in psychological treatment trials: the role of instrumental variables&lt;/title&gt;&lt;secondary-title&gt;Statistical Methods in Medical Research &lt;/secondary-title&gt;&lt;/titles&gt;&lt;pages&gt;191-215&lt;/pages&gt;&lt;volume&gt;20&lt;/volume&gt;&lt;dates&gt;&lt;year&gt;2011&lt;/year&gt;&lt;/dates&gt;&lt;urls&gt;&lt;/urls&gt;&lt;/record&gt;&lt;/Cite&gt;&lt;/EndNote&gt;</w:instrText>
      </w:r>
      <w:r w:rsidR="00CA2B2A">
        <w:fldChar w:fldCharType="separate"/>
      </w:r>
      <w:r>
        <w:rPr>
          <w:noProof/>
        </w:rPr>
        <w:t>(</w:t>
      </w:r>
      <w:hyperlink w:anchor="_ENREF_14" w:tooltip="Maracy, 2011 #7474" w:history="1">
        <w:r w:rsidR="00A237D1">
          <w:rPr>
            <w:noProof/>
          </w:rPr>
          <w:t>14</w:t>
        </w:r>
      </w:hyperlink>
      <w:r>
        <w:rPr>
          <w:noProof/>
        </w:rPr>
        <w:t>)</w:t>
      </w:r>
      <w:r w:rsidR="00CA2B2A">
        <w:fldChar w:fldCharType="end"/>
      </w:r>
      <w:r>
        <w:t xml:space="preserve">); </w:t>
      </w:r>
      <w:r w:rsidRPr="00E610DF">
        <w:t xml:space="preserve"> </w:t>
      </w:r>
      <w:r>
        <w:t>we found a</w:t>
      </w:r>
      <w:r w:rsidRPr="00E610DF">
        <w:t xml:space="preserve"> significant effect of sessions on severity</w:t>
      </w:r>
      <w:r>
        <w:t xml:space="preserve"> of psychotic experiences</w:t>
      </w:r>
      <w:r w:rsidRPr="00E610DF">
        <w:t>.</w:t>
      </w:r>
      <w:r>
        <w:t xml:space="preserve"> However, quality of therapy received is likely to be as important, if not more so, than quantity alone. CT for people at risk of psychosis is a collaborative, problem-orientated approach, which requires the development of a problem list and shared goal </w:t>
      </w:r>
      <w:r w:rsidR="00CA2B2A">
        <w:fldChar w:fldCharType="begin"/>
      </w:r>
      <w:r>
        <w:instrText xml:space="preserve"> ADDIN EN.CITE &lt;EndNote&gt;&lt;Cite&gt;&lt;Author&gt;French&lt;/Author&gt;&lt;Year&gt;2004&lt;/Year&gt;&lt;RecNum&gt;149&lt;/RecNum&gt;&lt;DisplayText&gt;(15)&lt;/DisplayText&gt;&lt;record&gt;&lt;rec-number&gt;149&lt;/rec-number&gt;&lt;foreign-keys&gt;&lt;key app="EN" db-id="909xzaa9vtswsse2v93x5t2ntvddxav9rtts" timestamp="0"&gt;149&lt;/key&gt;&lt;key app="ENWeb" db-id="UTDHngrtqiQAAGXUyrM"&gt;144&lt;/key&gt;&lt;/foreign-keys&gt;&lt;ref-type name="Book"&gt;6&lt;/ref-type&gt;&lt;contributors&gt;&lt;authors&gt;&lt;author&gt;French, P.&lt;/author&gt;&lt;author&gt;Morrison, A. P.&lt;/author&gt;&lt;/authors&gt;&lt;/contributors&gt;&lt;titles&gt;&lt;title&gt;Early Detection and Cognitive Therapy for People at High Risk of Developing Psychosis: A Treatment Approach&lt;/title&gt;&lt;/titles&gt;&lt;dates&gt;&lt;year&gt;2004&lt;/year&gt;&lt;/dates&gt;&lt;publisher&gt;Wiley&lt;/publisher&gt;&lt;isbn&gt;9780470863169&lt;/isbn&gt;&lt;urls&gt;&lt;related-urls&gt;&lt;url&gt;http://books.google.co.uk/books?id=2UetIOeAeAcC &lt;/url&gt;&lt;/related-urls&gt;&lt;/urls&gt;&lt;/record&gt;&lt;/Cite&gt;&lt;/EndNote&gt;</w:instrText>
      </w:r>
      <w:r w:rsidR="00CA2B2A">
        <w:fldChar w:fldCharType="separate"/>
      </w:r>
      <w:r>
        <w:rPr>
          <w:noProof/>
        </w:rPr>
        <w:t>(</w:t>
      </w:r>
      <w:hyperlink w:anchor="_ENREF_15" w:tooltip="French, 2004 #149" w:history="1">
        <w:r w:rsidR="00A237D1">
          <w:rPr>
            <w:noProof/>
          </w:rPr>
          <w:t>15</w:t>
        </w:r>
      </w:hyperlink>
      <w:r>
        <w:rPr>
          <w:noProof/>
        </w:rPr>
        <w:t>)</w:t>
      </w:r>
      <w:r w:rsidR="00CA2B2A">
        <w:fldChar w:fldCharType="end"/>
      </w:r>
      <w:r>
        <w:t xml:space="preserve">. Our treatment manual </w:t>
      </w:r>
      <w:r w:rsidR="00CA2B2A">
        <w:fldChar w:fldCharType="begin"/>
      </w:r>
      <w:r>
        <w:instrText xml:space="preserve"> ADDIN EN.CITE &lt;EndNote&gt;&lt;Cite&gt;&lt;Author&gt;French&lt;/Author&gt;&lt;Year&gt;2004&lt;/Year&gt;&lt;RecNum&gt;149&lt;/RecNum&gt;&lt;DisplayText&gt;(15)&lt;/DisplayText&gt;&lt;record&gt;&lt;rec-number&gt;149&lt;/rec-number&gt;&lt;foreign-keys&gt;&lt;key app="EN" db-id="909xzaa9vtswsse2v93x5t2ntvddxav9rtts" timestamp="0"&gt;149&lt;/key&gt;&lt;key app="ENWeb" db-id="UTDHngrtqiQAAGXUyrM"&gt;144&lt;/key&gt;&lt;/foreign-keys&gt;&lt;ref-type name="Book"&gt;6&lt;/ref-type&gt;&lt;contributors&gt;&lt;authors&gt;&lt;author&gt;French, P.&lt;/author&gt;&lt;author&gt;Morrison, A. P.&lt;/author&gt;&lt;/authors&gt;&lt;/contributors&gt;&lt;titles&gt;&lt;title&gt;Early Detection and Cognitive Therapy for People at High Risk of Developing Psychosis: A Treatment Approach&lt;/title&gt;&lt;/titles&gt;&lt;dates&gt;&lt;year&gt;2004&lt;/year&gt;&lt;/dates&gt;&lt;publisher&gt;Wiley&lt;/publisher&gt;&lt;isbn&gt;9780470863169&lt;/isbn&gt;&lt;urls&gt;&lt;related-urls&gt;&lt;url&gt;http://books.google.co.uk/books?id=2UetIOeAeAcC &lt;/url&gt;&lt;/related-urls&gt;&lt;/urls&gt;&lt;/record&gt;&lt;/Cite&gt;&lt;/EndNote&gt;</w:instrText>
      </w:r>
      <w:r w:rsidR="00CA2B2A">
        <w:fldChar w:fldCharType="separate"/>
      </w:r>
      <w:r>
        <w:rPr>
          <w:noProof/>
        </w:rPr>
        <w:t>(</w:t>
      </w:r>
      <w:hyperlink w:anchor="_ENREF_15" w:tooltip="French, 2004 #149" w:history="1">
        <w:r w:rsidR="00A237D1">
          <w:rPr>
            <w:noProof/>
          </w:rPr>
          <w:t>15</w:t>
        </w:r>
      </w:hyperlink>
      <w:r>
        <w:rPr>
          <w:noProof/>
        </w:rPr>
        <w:t>)</w:t>
      </w:r>
      <w:r w:rsidR="00CA2B2A">
        <w:fldChar w:fldCharType="end"/>
      </w:r>
      <w:r>
        <w:t xml:space="preserve"> also required that an idiosyncratic case formulation based on the cognitive model </w:t>
      </w:r>
      <w:r w:rsidR="00CA2B2A">
        <w:fldChar w:fldCharType="begin"/>
      </w:r>
      <w:r>
        <w:instrText xml:space="preserve"> ADDIN EN.CITE &lt;EndNote&gt;&lt;Cite&gt;&lt;Author&gt;Morrison&lt;/Author&gt;&lt;Year&gt;2001&lt;/Year&gt;&lt;RecNum&gt;2906&lt;/RecNum&gt;&lt;DisplayText&gt;(16)&lt;/DisplayText&gt;&lt;record&gt;&lt;rec-number&gt;2906&lt;/rec-number&gt;&lt;foreign-keys&gt;&lt;key app="EN" db-id="rarexaz5t5x52wewrfpx2xw2d2f5wvw9p5fa"&gt;2906&lt;/key&gt;&lt;/foreign-keys&gt;&lt;ref-type name="Journal Article"&gt;17&lt;/ref-type&gt;&lt;contributors&gt;&lt;authors&gt;&lt;author&gt;Morrison, A.P.&lt;/author&gt;&lt;/authors&gt;&lt;/contributors&gt;&lt;titles&gt;&lt;title&gt;The interpretation of intrusions in psychosis: An integrative cognitive approach to hallucinations and delusions&lt;/title&gt;&lt;secondary-title&gt;Behavioural and Cognitive Psychotherapy&lt;/secondary-title&gt;&lt;/titles&gt;&lt;pages&gt;257-276&lt;/pages&gt;&lt;volume&gt;29&lt;/volume&gt;&lt;dates&gt;&lt;year&gt;2001&lt;/year&gt;&lt;/dates&gt;&lt;urls&gt;&lt;/urls&gt;&lt;/record&gt;&lt;/Cite&gt;&lt;/EndNote&gt;</w:instrText>
      </w:r>
      <w:r w:rsidR="00CA2B2A">
        <w:fldChar w:fldCharType="separate"/>
      </w:r>
      <w:r>
        <w:rPr>
          <w:noProof/>
        </w:rPr>
        <w:t>(</w:t>
      </w:r>
      <w:hyperlink w:anchor="_ENREF_16" w:tooltip="Morrison, 2001 #2906" w:history="1">
        <w:r w:rsidR="00A237D1">
          <w:rPr>
            <w:noProof/>
          </w:rPr>
          <w:t>16</w:t>
        </w:r>
      </w:hyperlink>
      <w:r>
        <w:rPr>
          <w:noProof/>
        </w:rPr>
        <w:t>)</w:t>
      </w:r>
      <w:r w:rsidR="00CA2B2A">
        <w:fldChar w:fldCharType="end"/>
      </w:r>
      <w:r>
        <w:t xml:space="preserve"> be developed, and that the use of active change strategies such as provision of normalising information, evidential analysis and testing beliefs by modification of safety behaviours was present in as many sessions as possible. Similarly, our approach required extensive use of between session tasks to facilitate change (i.e. homework tasks). </w:t>
      </w:r>
    </w:p>
    <w:p w:rsidR="00B345A7" w:rsidRDefault="00B345A7" w:rsidP="00850CBD">
      <w:pPr>
        <w:spacing w:line="360" w:lineRule="auto"/>
        <w:ind w:firstLine="720"/>
      </w:pPr>
      <w:r>
        <w:t>A recent Delphi study of expert opinion regarding the essential components of CT for psychosis produced consensus regarding the importance of such factors</w:t>
      </w:r>
      <w:r w:rsidR="00CA2B2A">
        <w:fldChar w:fldCharType="begin"/>
      </w:r>
      <w:r>
        <w:instrText xml:space="preserve"> ADDIN EN.CITE &lt;EndNote&gt;&lt;Cite&gt;&lt;Author&gt;Morrison&lt;/Author&gt;&lt;Year&gt;2010&lt;/Year&gt;&lt;RecNum&gt;195&lt;/RecNum&gt;&lt;DisplayText&gt;(17)&lt;/DisplayText&gt;&lt;record&gt;&lt;rec-number&gt;195&lt;/rec-number&gt;&lt;foreign-keys&gt;&lt;key app="EN" db-id="909xzaa9vtswsse2v93x5t2ntvddxav9rtts" timestamp="0"&gt;195&lt;/key&gt;&lt;key app="ENWeb" db-id="UTDHngrtqiQAAGXUyrM"&gt;190&lt;/key&gt;&lt;/foreign-keys&gt;&lt;ref-type name="Journal Article"&gt;17&lt;/ref-type&gt;&lt;contributors&gt;&lt;authors&gt;&lt;author&gt;Morrison, Anthony P.&lt;/author&gt;&lt;author&gt;Barratt, Sarah&lt;/author&gt;&lt;/authors&gt;&lt;/contributors&gt;&lt;titles&gt;&lt;title&gt;What Are the Components of CBT for Psychosis? A Delphi Study&lt;/title&gt;&lt;secondary-title&gt;Schizophrenia Bulletin&lt;/secondary-title&gt;&lt;/titles&gt;&lt;periodical&gt;&lt;full-title&gt;Schizophrenia Bulletin&lt;/full-title&gt;&lt;abbr-1&gt;Schizophr. Bull.&lt;/abbr-1&gt;&lt;abbr-2&gt;Schizophr Bull&lt;/abbr-2&gt;&lt;/periodical&gt;&lt;pages&gt;136-142&lt;/pages&gt;&lt;volume&gt;36&lt;/volume&gt;&lt;number&gt;1&lt;/number&gt;&lt;dates&gt;&lt;year&gt;2010&lt;/year&gt;&lt;pub-dates&gt;&lt;date&gt;January 1, 2010&lt;/date&gt;&lt;/pub-dates&gt;&lt;/dates&gt;&lt;urls&gt;&lt;related-urls&gt;&lt;url&gt;http://schizophreniabulletin.oxfordjournals.org/content/36/1/136.abstract &lt;/url&gt;&lt;/related-urls&gt;&lt;/urls&gt;&lt;electronic-resource-num&gt;10.1093/schbul/sbp118&lt;/electronic-resource-num&gt;&lt;/record&gt;&lt;/Cite&gt;&lt;/EndNote&gt;</w:instrText>
      </w:r>
      <w:r w:rsidR="00CA2B2A">
        <w:fldChar w:fldCharType="separate"/>
      </w:r>
      <w:r>
        <w:rPr>
          <w:noProof/>
        </w:rPr>
        <w:t>(</w:t>
      </w:r>
      <w:hyperlink w:anchor="_ENREF_17" w:tooltip="Morrison, 2010 #195" w:history="1">
        <w:r w:rsidR="00A237D1">
          <w:rPr>
            <w:noProof/>
          </w:rPr>
          <w:t>17</w:t>
        </w:r>
      </w:hyperlink>
      <w:r>
        <w:rPr>
          <w:noProof/>
        </w:rPr>
        <w:t>)</w:t>
      </w:r>
      <w:r w:rsidR="00CA2B2A">
        <w:fldChar w:fldCharType="end"/>
      </w:r>
      <w:r>
        <w:t xml:space="preserve">. However, to date, the assumption that such components of CT are associated with outcome is an untested hypothesis. </w:t>
      </w:r>
      <w:r w:rsidRPr="003C6199">
        <w:t>Our study, which is a secondary analysis of the EDIE-2 trial</w:t>
      </w:r>
      <w:r w:rsidR="00CA2B2A">
        <w:fldChar w:fldCharType="begin"/>
      </w:r>
      <w:r>
        <w:instrText xml:space="preserve"> ADDIN EN.CITE &lt;EndNote&gt;&lt;Cite&gt;&lt;Author&gt;Morrison&lt;/Author&gt;&lt;Year&gt;2012&lt;/Year&gt;&lt;RecNum&gt;321&lt;/RecNum&gt;&lt;DisplayText&gt;(9)&lt;/DisplayText&gt;&lt;record&gt;&lt;rec-number&gt;321&lt;/rec-number&gt;&lt;foreign-keys&gt;&lt;key app="EN" db-id="909xzaa9vtswsse2v93x5t2ntvddxav9rtts" timestamp="0"&gt;321&lt;/key&gt;&lt;/foreign-keys&gt;&lt;ref-type name="Journal Article"&gt;17&lt;/ref-type&gt;&lt;contributors&gt;&lt;authors&gt;&lt;author&gt;Morrison, Anthony P.&lt;/author&gt;&lt;author&gt;French, Paul&lt;/author&gt;&lt;author&gt;Stewart, Suzanne L. K.&lt;/author&gt;&lt;author&gt;Birchwood, Max&lt;/author&gt;&lt;author&gt;Fowler, David&lt;/author&gt;&lt;author&gt;Gumley, Andrew I.&lt;/author&gt;&lt;author&gt;Jones, Peter B.&lt;/author&gt;&lt;author&gt;Bentall, Richard P.&lt;/author&gt;&lt;author&gt;Lewis, Shon W.&lt;/author&gt;&lt;author&gt;Murray, Graham K.&lt;/author&gt;&lt;author&gt;Patterson, Paul&lt;/author&gt;&lt;author&gt;Brunet, Kat&lt;/author&gt;&lt;author&gt;Conroy, Jennie&lt;/author&gt;&lt;author&gt;Parker, Sophie&lt;/author&gt;&lt;author&gt;Reilly, Tony&lt;/author&gt;&lt;author&gt;Byrne, Rory&lt;/author&gt;&lt;author&gt;Davies, Linda M.&lt;/author&gt;&lt;author&gt;Dunn, Graham&lt;/author&gt;&lt;/authors&gt;&lt;/contributors&gt;&lt;titles&gt;&lt;title&gt;Early detection and intervention evaluation for people at risk of psychosis: multisite randomised controlled trial&lt;/title&gt;&lt;secondary-title&gt;BMJ&lt;/secondary-title&gt;&lt;/titles&gt;&lt;periodical&gt;&lt;full-title&gt;BMJ&lt;/full-title&gt;&lt;abbr-1&gt;BMJ&lt;/abbr-1&gt;&lt;abbr-2&gt;BMJ&lt;/abbr-2&gt;&lt;/periodical&gt;&lt;volume&gt;344&lt;/volume&gt;&lt;dates&gt;&lt;year&gt;2012&lt;/year&gt;&lt;pub-dates&gt;&lt;date&gt;2012-04-05 23:32:24&lt;/date&gt;&lt;/pub-dates&gt;&lt;/dates&gt;&lt;urls&gt;&lt;pdf-urls&gt;&lt;url&gt;http://www.bmj.com/bmj/344/bmj.e2233.full.pdf &lt;/url&gt;&lt;/pdf-urls&gt;&lt;/urls&gt;&lt;electronic-resource-num&gt;10.1136/bmj.e2233&lt;/electronic-resource-num&gt;&lt;/record&gt;&lt;/Cite&gt;&lt;/EndNote&gt;</w:instrText>
      </w:r>
      <w:r w:rsidR="00CA2B2A">
        <w:fldChar w:fldCharType="separate"/>
      </w:r>
      <w:r>
        <w:rPr>
          <w:noProof/>
        </w:rPr>
        <w:t>(</w:t>
      </w:r>
      <w:hyperlink w:anchor="_ENREF_9" w:tooltip="Morrison, 2012 #321" w:history="1">
        <w:r w:rsidR="00A237D1">
          <w:rPr>
            <w:noProof/>
          </w:rPr>
          <w:t>9</w:t>
        </w:r>
      </w:hyperlink>
      <w:r>
        <w:rPr>
          <w:noProof/>
        </w:rPr>
        <w:t>)</w:t>
      </w:r>
      <w:r w:rsidR="00CA2B2A">
        <w:fldChar w:fldCharType="end"/>
      </w:r>
      <w:r w:rsidRPr="003C6199">
        <w:t>,</w:t>
      </w:r>
      <w:r>
        <w:t xml:space="preserve"> aims to test the specific hypothese</w:t>
      </w:r>
      <w:r w:rsidRPr="003C6199">
        <w:t xml:space="preserve">s that </w:t>
      </w:r>
      <w:r>
        <w:t>the development of a shared problem list, use of a case formulation based on the cognitive model, use of homework tasks between sessions and use of active intervention strategies outlined in the manual will act as process variables, increasing the effect of CT if received.</w:t>
      </w:r>
    </w:p>
    <w:p w:rsidR="00B345A7" w:rsidRDefault="00B345A7" w:rsidP="00867F6B">
      <w:pPr>
        <w:spacing w:line="360" w:lineRule="auto"/>
      </w:pPr>
    </w:p>
    <w:p w:rsidR="00B345A7" w:rsidRPr="00151455" w:rsidRDefault="00B345A7" w:rsidP="00867F6B">
      <w:pPr>
        <w:spacing w:line="360" w:lineRule="auto"/>
        <w:rPr>
          <w:b/>
        </w:rPr>
      </w:pPr>
      <w:r w:rsidRPr="00151455">
        <w:rPr>
          <w:b/>
        </w:rPr>
        <w:lastRenderedPageBreak/>
        <w:t>Methods</w:t>
      </w:r>
    </w:p>
    <w:p w:rsidR="00B345A7" w:rsidRPr="00151455" w:rsidRDefault="00B345A7" w:rsidP="00867F6B">
      <w:pPr>
        <w:spacing w:line="360" w:lineRule="auto"/>
        <w:rPr>
          <w:b/>
          <w:lang w:eastAsia="en-GB"/>
        </w:rPr>
      </w:pPr>
      <w:r w:rsidRPr="00151455">
        <w:rPr>
          <w:b/>
          <w:lang w:eastAsia="en-GB"/>
        </w:rPr>
        <w:t>Trial design</w:t>
      </w:r>
    </w:p>
    <w:p w:rsidR="00B345A7" w:rsidRPr="00DD71AB" w:rsidRDefault="00B345A7" w:rsidP="00401B28">
      <w:pPr>
        <w:spacing w:line="360" w:lineRule="auto"/>
        <w:ind w:firstLine="720"/>
        <w:rPr>
          <w:lang w:eastAsia="en-GB"/>
        </w:rPr>
      </w:pPr>
      <w:r w:rsidRPr="00DD71AB">
        <w:rPr>
          <w:lang w:eastAsia="en-GB"/>
        </w:rPr>
        <w:t>EDIE-</w:t>
      </w:r>
      <w:r>
        <w:rPr>
          <w:lang w:eastAsia="en-GB"/>
        </w:rPr>
        <w:t>2</w:t>
      </w:r>
      <w:r w:rsidRPr="00DD71AB">
        <w:rPr>
          <w:lang w:eastAsia="en-GB"/>
        </w:rPr>
        <w:t xml:space="preserve">, is a multi-centre randomised controlled trial of psychotherapy for the prevention of psychosis in those at high risk. The trial compared cognitive behavioural therapy with mental state monitoring (CBT) versus mental state monitoring alone (TAU). 288 help-seeking participants aged between 14-35 years who did not have a diagnosis of psychosis but satisfied the </w:t>
      </w:r>
      <w:r>
        <w:rPr>
          <w:lang w:eastAsia="en-GB"/>
        </w:rPr>
        <w:t>Comprehensive Assessment for At-Risk Mental State</w:t>
      </w:r>
      <w:r w:rsidR="00CA2B2A">
        <w:rPr>
          <w:lang w:eastAsia="en-GB"/>
        </w:rPr>
        <w:fldChar w:fldCharType="begin"/>
      </w:r>
      <w:r>
        <w:rPr>
          <w:lang w:eastAsia="en-GB"/>
        </w:rPr>
        <w:instrText xml:space="preserve"> ADDIN EN.CITE &lt;EndNote&gt;&lt;Cite&gt;&lt;Author&gt;Yung&lt;/Author&gt;&lt;Year&gt;2005&lt;/Year&gt;&lt;RecNum&gt;45&lt;/RecNum&gt;&lt;DisplayText&gt;(18)&lt;/DisplayText&gt;&lt;record&gt;&lt;rec-number&gt;45&lt;/rec-number&gt;&lt;foreign-keys&gt;&lt;key app="EN" db-id="909xzaa9vtswsse2v93x5t2ntvddxav9rtts" timestamp="0"&gt;45&lt;/key&gt;&lt;key app="ENWeb" db-id="UTDHngrtqiQAAGXUyrM"&gt;47&lt;/key&gt;&lt;/foreign-keys&gt;&lt;ref-type name="Journal Article"&gt;17&lt;/ref-type&gt;&lt;contributors&gt;&lt;authors&gt;&lt;author&gt;Yung, Alison R.&lt;/author&gt;&lt;author&gt;Yuen, Hok Pan&lt;/author&gt;&lt;author&gt;McGorry, Patrick D.&lt;/author&gt;&lt;author&gt;Phillips, Lisa J.&lt;/author&gt;&lt;author&gt;Kelly, Daniel&lt;/author&gt;&lt;author&gt;Dell&amp;apos;Olio, Margaret&lt;/author&gt;&lt;author&gt;Francey, Shona M.&lt;/author&gt;&lt;author&gt;Cosgrave, Elizabeth M.&lt;/author&gt;&lt;author&gt;Killackey, Eoin&lt;/author&gt;&lt;author&gt;Stanford, Carrie&lt;/author&gt;&lt;author&gt;Godfrey, Katherine&lt;/author&gt;&lt;author&gt;Buckby, Joe&lt;/author&gt;&lt;/authors&gt;&lt;/contributors&gt;&lt;titles&gt;&lt;title&gt;Mapping the onset of psychosis: the Comprehensive Assessment of At-Risk Mental States&lt;/title&gt;&lt;secondary-title&gt;Australian and New Zealand Journal of Psychiatry&lt;/secondary-title&gt;&lt;/titles&gt;&lt;periodical&gt;&lt;full-title&gt;Australian and New Zealand Journal of Psychiatry&lt;/full-title&gt;&lt;abbr-1&gt;Aust. N. Z. J. Psychiatry&lt;/abbr-1&gt;&lt;abbr-2&gt;Aust N Z J Psychiatry&lt;/abbr-2&gt;&lt;abbr-3&gt;Australian &amp;amp; New Zealand Journal of Psychiatry&lt;/abbr-3&gt;&lt;/periodical&gt;&lt;pages&gt;964-971&lt;/pages&gt;&lt;volume&gt;39&lt;/volume&gt;&lt;number&gt;11-12&lt;/number&gt;&lt;keywords&gt;&lt;keyword&gt;prodrome&lt;/keyword&gt;&lt;keyword&gt;psychosis&lt;/keyword&gt;&lt;keyword&gt;reliability&lt;/keyword&gt;&lt;keyword&gt;schizophrenia&lt;/keyword&gt;&lt;keyword&gt;validity&lt;/keyword&gt;&lt;/keywords&gt;&lt;dates&gt;&lt;year&gt;2005&lt;/year&gt;&lt;/dates&gt;&lt;publisher&gt;Blackwell Science Pty&lt;/publisher&gt;&lt;urls&gt;&lt;related-urls&gt;&lt;url&gt;http://dx.doi.org/10.1111/j.1440-1614.2005.01714.x &lt;/url&gt;&lt;/related-urls&gt;&lt;/urls&gt;&lt;/record&gt;&lt;/Cite&gt;&lt;/EndNote&gt;</w:instrText>
      </w:r>
      <w:r w:rsidR="00CA2B2A">
        <w:rPr>
          <w:lang w:eastAsia="en-GB"/>
        </w:rPr>
        <w:fldChar w:fldCharType="separate"/>
      </w:r>
      <w:r>
        <w:rPr>
          <w:noProof/>
          <w:lang w:eastAsia="en-GB"/>
        </w:rPr>
        <w:t>(</w:t>
      </w:r>
      <w:hyperlink w:anchor="_ENREF_18" w:tooltip="Yung, 2005 #45" w:history="1">
        <w:r w:rsidR="00A237D1">
          <w:rPr>
            <w:noProof/>
            <w:lang w:eastAsia="en-GB"/>
          </w:rPr>
          <w:t>18</w:t>
        </w:r>
      </w:hyperlink>
      <w:r>
        <w:rPr>
          <w:noProof/>
          <w:lang w:eastAsia="en-GB"/>
        </w:rPr>
        <w:t>)</w:t>
      </w:r>
      <w:r w:rsidR="00CA2B2A">
        <w:rPr>
          <w:lang w:eastAsia="en-GB"/>
        </w:rPr>
        <w:fldChar w:fldCharType="end"/>
      </w:r>
      <w:r>
        <w:rPr>
          <w:lang w:eastAsia="en-GB"/>
        </w:rPr>
        <w:t xml:space="preserve"> (</w:t>
      </w:r>
      <w:r w:rsidRPr="00DD71AB">
        <w:rPr>
          <w:lang w:eastAsia="en-GB"/>
        </w:rPr>
        <w:t>CAARMS</w:t>
      </w:r>
      <w:r>
        <w:rPr>
          <w:lang w:eastAsia="en-GB"/>
        </w:rPr>
        <w:t>)</w:t>
      </w:r>
      <w:r w:rsidRPr="00DD71AB">
        <w:rPr>
          <w:lang w:eastAsia="en-GB"/>
        </w:rPr>
        <w:t xml:space="preserve"> criteria for at-risk mental state, were randomised to CBT or TAU within each of the 5 sites; Manchester, Birmingham/Worcester, Glasgow, Cambridge and Norfolk. Exclusion</w:t>
      </w:r>
      <w:r>
        <w:rPr>
          <w:lang w:eastAsia="en-GB"/>
        </w:rPr>
        <w:t xml:space="preserve"> criteria </w:t>
      </w:r>
      <w:r w:rsidRPr="00DD71AB">
        <w:rPr>
          <w:lang w:eastAsia="en-GB"/>
        </w:rPr>
        <w:t>were previous or current anti-psychotic medication</w:t>
      </w:r>
      <w:r>
        <w:rPr>
          <w:lang w:eastAsia="en-GB"/>
        </w:rPr>
        <w:t xml:space="preserve"> for more than two days</w:t>
      </w:r>
      <w:r w:rsidRPr="00DD71AB">
        <w:rPr>
          <w:lang w:eastAsia="en-GB"/>
        </w:rPr>
        <w:t xml:space="preserve">, moderate to severe learning difficulties and insufficient English. </w:t>
      </w:r>
    </w:p>
    <w:p w:rsidR="00B345A7" w:rsidRDefault="00B345A7" w:rsidP="00401B28">
      <w:pPr>
        <w:spacing w:line="360" w:lineRule="auto"/>
        <w:ind w:firstLine="720"/>
        <w:rPr>
          <w:lang w:eastAsia="en-GB"/>
        </w:rPr>
      </w:pPr>
      <w:r w:rsidRPr="00DD71AB">
        <w:rPr>
          <w:lang w:eastAsia="en-GB"/>
        </w:rPr>
        <w:t xml:space="preserve">Demographic and clinical characteristics of the participants were collected prior to randomisation. Clinical outcomes were collected at monthly intervals for the first 6 months and then every 3 months to a maximum of 24 months or until the end of the trial. </w:t>
      </w:r>
      <w:r>
        <w:rPr>
          <w:lang w:eastAsia="en-GB"/>
        </w:rPr>
        <w:t>The primary outcome is recorded 12 months after randomisation.</w:t>
      </w:r>
    </w:p>
    <w:p w:rsidR="00B345A7" w:rsidRPr="00151455" w:rsidRDefault="00B345A7" w:rsidP="00401B28">
      <w:pPr>
        <w:spacing w:line="360" w:lineRule="auto"/>
        <w:rPr>
          <w:b/>
          <w:lang w:eastAsia="en-GB"/>
        </w:rPr>
      </w:pPr>
      <w:r>
        <w:rPr>
          <w:b/>
          <w:lang w:eastAsia="en-GB"/>
        </w:rPr>
        <w:t>Assessment of putative t</w:t>
      </w:r>
      <w:r w:rsidRPr="00151455">
        <w:rPr>
          <w:b/>
          <w:lang w:eastAsia="en-GB"/>
        </w:rPr>
        <w:t>reatment mechanisms</w:t>
      </w:r>
    </w:p>
    <w:p w:rsidR="00B345A7" w:rsidRDefault="00B345A7" w:rsidP="00401B28">
      <w:pPr>
        <w:spacing w:line="360" w:lineRule="auto"/>
        <w:ind w:firstLine="720"/>
        <w:rPr>
          <w:lang w:eastAsia="en-GB"/>
        </w:rPr>
      </w:pPr>
      <w:r>
        <w:rPr>
          <w:lang w:eastAsia="en-GB"/>
        </w:rPr>
        <w:t xml:space="preserve">Therapist notes of CT sessions carried out as part of the EDIE-2 trial were evaluated for evidence of particular aspects of therapy that should be present. They can broadly be grouped into four components in line with a recent Delphi study </w:t>
      </w:r>
      <w:r w:rsidR="00CA2B2A">
        <w:rPr>
          <w:lang w:eastAsia="en-GB"/>
        </w:rPr>
        <w:fldChar w:fldCharType="begin"/>
      </w:r>
      <w:r>
        <w:rPr>
          <w:lang w:eastAsia="en-GB"/>
        </w:rPr>
        <w:instrText xml:space="preserve"> ADDIN EN.CITE &lt;EndNote&gt;&lt;Cite&gt;&lt;Author&gt;Morrison&lt;/Author&gt;&lt;RecNum&gt;195&lt;/RecNum&gt;&lt;DisplayText&gt;(17)&lt;/DisplayText&gt;&lt;record&gt;&lt;rec-number&gt;195&lt;/rec-number&gt;&lt;foreign-keys&gt;&lt;key app="EN" db-id="909xzaa9vtswsse2v93x5t2ntvddxav9rtts" timestamp="0"&gt;195&lt;/key&gt;&lt;key app="ENWeb" db-id="UTDHngrtqiQAAGXUyrM"&gt;190&lt;/key&gt;&lt;/foreign-keys&gt;&lt;ref-type name="Journal Article"&gt;17&lt;/ref-type&gt;&lt;contributors&gt;&lt;authors&gt;&lt;author&gt;Morrison, Anthony P.&lt;/author&gt;&lt;author&gt;Barratt, Sarah&lt;/author&gt;&lt;/authors&gt;&lt;/contributors&gt;&lt;titles&gt;&lt;title&gt;What Are the Components of CBT for Psychosis? A Delphi Study&lt;/title&gt;&lt;secondary-title&gt;Schizophrenia Bulletin&lt;/secondary-title&gt;&lt;/titles&gt;&lt;periodical&gt;&lt;full-title&gt;Schizophrenia Bulletin&lt;/full-title&gt;&lt;abbr-1&gt;Schizophr. Bull.&lt;/abbr-1&gt;&lt;abbr-2&gt;Schizophr Bull&lt;/abbr-2&gt;&lt;/periodical&gt;&lt;pages&gt;136-142&lt;/pages&gt;&lt;volume&gt;36&lt;/volume&gt;&lt;number&gt;1&lt;/number&gt;&lt;dates&gt;&lt;year&gt;2010&lt;/year&gt;&lt;pub-dates&gt;&lt;date&gt;January 1, 2010&lt;/date&gt;&lt;/pub-dates&gt;&lt;/dates&gt;&lt;urls&gt;&lt;related-urls&gt;&lt;url&gt;http://schizophreniabulletin.oxfordjournals.org/content/36/1/136.abstract &lt;/url&gt;&lt;/related-urls&gt;&lt;/urls&gt;&lt;electronic-resource-num&gt;10.1093/schbul/sbp118&lt;/electronic-resource-num&gt;&lt;/record&gt;&lt;/Cite&gt;&lt;/EndNote&gt;</w:instrText>
      </w:r>
      <w:r w:rsidR="00CA2B2A">
        <w:rPr>
          <w:lang w:eastAsia="en-GB"/>
        </w:rPr>
        <w:fldChar w:fldCharType="separate"/>
      </w:r>
      <w:r>
        <w:rPr>
          <w:noProof/>
          <w:lang w:eastAsia="en-GB"/>
        </w:rPr>
        <w:t>(</w:t>
      </w:r>
      <w:hyperlink w:anchor="_ENREF_17" w:tooltip="Morrison, 2010 #195" w:history="1">
        <w:r w:rsidR="00A237D1">
          <w:rPr>
            <w:noProof/>
            <w:lang w:eastAsia="en-GB"/>
          </w:rPr>
          <w:t>17</w:t>
        </w:r>
      </w:hyperlink>
      <w:r>
        <w:rPr>
          <w:noProof/>
          <w:lang w:eastAsia="en-GB"/>
        </w:rPr>
        <w:t>)</w:t>
      </w:r>
      <w:r w:rsidR="00CA2B2A">
        <w:rPr>
          <w:lang w:eastAsia="en-GB"/>
        </w:rPr>
        <w:fldChar w:fldCharType="end"/>
      </w:r>
      <w:r>
        <w:rPr>
          <w:lang w:eastAsia="en-GB"/>
        </w:rPr>
        <w:t>: having a shared problem list, development of a case formulation based on the cognitive model, use of homework tasks between sessions and use of active change strategies specified in the manual within sessions. The classifications are dependent upon detailed and accurate notes and so provide a conservative estimate of the occurrence of the practices i.e. if there was not clear evidence in the therapy process notes that a particular aspect of therapy was conducted then it was not recorded as present.</w:t>
      </w:r>
    </w:p>
    <w:p w:rsidR="00B345A7" w:rsidRPr="00151455" w:rsidRDefault="00B345A7" w:rsidP="00867F6B">
      <w:pPr>
        <w:spacing w:line="360" w:lineRule="auto"/>
        <w:rPr>
          <w:i/>
          <w:lang w:eastAsia="en-GB"/>
        </w:rPr>
      </w:pPr>
      <w:r w:rsidRPr="00151455">
        <w:rPr>
          <w:i/>
          <w:lang w:eastAsia="en-GB"/>
        </w:rPr>
        <w:t>Assessment of problems and goals</w:t>
      </w:r>
    </w:p>
    <w:p w:rsidR="00B345A7" w:rsidRDefault="00B345A7" w:rsidP="00401B28">
      <w:pPr>
        <w:spacing w:line="360" w:lineRule="auto"/>
        <w:ind w:firstLine="720"/>
        <w:rPr>
          <w:lang w:eastAsia="en-GB"/>
        </w:rPr>
      </w:pPr>
      <w:r>
        <w:rPr>
          <w:lang w:eastAsia="en-GB"/>
        </w:rPr>
        <w:t>Problem assessment is considered present if in any session there was a formal list of the participant’s problems and goals. This is a binary measure as it is not necessarily expected to occur more than once during the course of therapy.</w:t>
      </w:r>
    </w:p>
    <w:p w:rsidR="00B345A7" w:rsidRPr="00151455" w:rsidRDefault="00B345A7" w:rsidP="00867F6B">
      <w:pPr>
        <w:spacing w:line="360" w:lineRule="auto"/>
        <w:rPr>
          <w:i/>
          <w:lang w:eastAsia="en-GB"/>
        </w:rPr>
      </w:pPr>
      <w:r w:rsidRPr="00151455">
        <w:rPr>
          <w:i/>
          <w:lang w:eastAsia="en-GB"/>
        </w:rPr>
        <w:t>Formulation</w:t>
      </w:r>
    </w:p>
    <w:p w:rsidR="00B345A7" w:rsidRDefault="00B345A7" w:rsidP="00401B28">
      <w:pPr>
        <w:spacing w:line="360" w:lineRule="auto"/>
        <w:ind w:firstLine="720"/>
        <w:rPr>
          <w:lang w:eastAsia="en-GB"/>
        </w:rPr>
      </w:pPr>
      <w:r>
        <w:rPr>
          <w:lang w:eastAsia="en-GB"/>
        </w:rPr>
        <w:t>Formulation is a detailed account of the patient’s difficulties, based on the specific cognitive model of psychosis that was utilised within the trial. It is recorded as present if there was clear evidence within the notes (i.e. a copy of the formulation was included). As with problem assessment, it is a binary measure since the requirement to demonstrate fidelity within therapy was to have at least one formulation evident in the notes. However, it is likely that many participants will have had multiple formulations.</w:t>
      </w:r>
    </w:p>
    <w:p w:rsidR="00B345A7" w:rsidRPr="00151455" w:rsidRDefault="00B345A7" w:rsidP="00867F6B">
      <w:pPr>
        <w:spacing w:line="360" w:lineRule="auto"/>
        <w:rPr>
          <w:i/>
          <w:lang w:eastAsia="en-GB"/>
        </w:rPr>
      </w:pPr>
      <w:r w:rsidRPr="00151455">
        <w:rPr>
          <w:i/>
          <w:lang w:eastAsia="en-GB"/>
        </w:rPr>
        <w:lastRenderedPageBreak/>
        <w:t xml:space="preserve">Homework </w:t>
      </w:r>
    </w:p>
    <w:p w:rsidR="00B345A7" w:rsidRDefault="00B345A7" w:rsidP="00BF71D9">
      <w:pPr>
        <w:spacing w:line="360" w:lineRule="auto"/>
        <w:ind w:firstLine="720"/>
        <w:rPr>
          <w:lang w:eastAsia="en-GB"/>
        </w:rPr>
      </w:pPr>
      <w:r>
        <w:rPr>
          <w:lang w:eastAsia="en-GB"/>
        </w:rPr>
        <w:t>Homework was recorded as present at each session if a review of the previous homework task was recorded in the notes. Additional detail on the type of homework given was also recorded under the groupings of behavioural experiment (changing reactive behaviours), monitoring and education. The proportion of sessions in which homework was involved was calculated as a continuous measure and also dichotomised at 50% of sessions to be analysed as a binary measure.</w:t>
      </w:r>
    </w:p>
    <w:p w:rsidR="00B345A7" w:rsidRPr="00151455" w:rsidRDefault="00B345A7" w:rsidP="00867F6B">
      <w:pPr>
        <w:spacing w:line="360" w:lineRule="auto"/>
        <w:rPr>
          <w:i/>
          <w:lang w:eastAsia="en-GB"/>
        </w:rPr>
      </w:pPr>
      <w:r>
        <w:rPr>
          <w:i/>
          <w:lang w:eastAsia="en-GB"/>
        </w:rPr>
        <w:t>Active change strategies</w:t>
      </w:r>
    </w:p>
    <w:p w:rsidR="00B345A7" w:rsidRDefault="00B345A7" w:rsidP="00401B28">
      <w:pPr>
        <w:spacing w:line="360" w:lineRule="auto"/>
        <w:ind w:firstLine="720"/>
        <w:rPr>
          <w:lang w:eastAsia="en-GB"/>
        </w:rPr>
      </w:pPr>
      <w:r>
        <w:rPr>
          <w:lang w:eastAsia="en-GB"/>
        </w:rPr>
        <w:t>The involvement of active change strategies was recorded for each session if any of the following intervention strategies were evident in the notes: provision of normalising information, generating alternative explanations for problematic appraisals, manipulation of safety behaviours, evaluation of metacognitive beliefs or responses, evaluation of beliefs about self and others, efforts to reduce social isolation and attempts to promote relapse prevention. As with homework, the proportion of sessions involving any one of these other interventions as well as a dichotomised version (using 50%) of this variable was created.</w:t>
      </w:r>
    </w:p>
    <w:p w:rsidR="00B345A7" w:rsidRDefault="00B345A7" w:rsidP="00401B28">
      <w:pPr>
        <w:spacing w:line="360" w:lineRule="auto"/>
        <w:ind w:firstLine="720"/>
        <w:rPr>
          <w:lang w:eastAsia="en-GB"/>
        </w:rPr>
      </w:pPr>
      <w:r>
        <w:rPr>
          <w:lang w:eastAsia="en-GB"/>
        </w:rPr>
        <w:t>Additionally we created a binary variable indicating participants who received all of these components of therapy versus some or none of them and a three-category variable indicating all, some and none. For all of these process variables, the processes were coded as being absent (i.e. equal to 0) for the participants in the control (TAU) group.</w:t>
      </w:r>
    </w:p>
    <w:p w:rsidR="00B345A7" w:rsidRPr="00050C6F" w:rsidRDefault="00B345A7" w:rsidP="00867F6B">
      <w:pPr>
        <w:spacing w:line="360" w:lineRule="auto"/>
        <w:rPr>
          <w:i/>
        </w:rPr>
      </w:pPr>
      <w:r w:rsidRPr="00050C6F">
        <w:rPr>
          <w:i/>
        </w:rPr>
        <w:t>Outcome</w:t>
      </w:r>
    </w:p>
    <w:p w:rsidR="00B345A7" w:rsidRDefault="00B345A7" w:rsidP="00401B28">
      <w:pPr>
        <w:spacing w:line="360" w:lineRule="auto"/>
        <w:ind w:firstLine="720"/>
      </w:pPr>
      <w:r>
        <w:t>We use the CAARMS to measure symptom severity, th</w:t>
      </w:r>
      <w:r>
        <w:rPr>
          <w:lang w:eastAsia="en-GB"/>
        </w:rPr>
        <w:t xml:space="preserve">is a semi-structured interview to discuss recent experiences followed by a clinician rated scale of symptoms, frequency and distress under the following subheadings: disorders of thought content, perceptual abnormalities, conceptual disorganisation, motor changes, concentration and attention, emotion and affect, subjectively impaired energy and impaired tolerance to normal stress. </w:t>
      </w:r>
      <w:r>
        <w:t>This measure accounts separately for the frequency and severity of symptoms and combines to form a product of the two so can be sensitive to small changes in experiences.</w:t>
      </w:r>
      <w:r>
        <w:rPr>
          <w:lang w:eastAsia="en-GB"/>
        </w:rPr>
        <w:t xml:space="preserve"> Yung et al</w:t>
      </w:r>
      <w:r w:rsidR="00CA2B2A">
        <w:rPr>
          <w:lang w:eastAsia="en-GB"/>
        </w:rPr>
        <w:fldChar w:fldCharType="begin"/>
      </w:r>
      <w:r>
        <w:rPr>
          <w:lang w:eastAsia="en-GB"/>
        </w:rPr>
        <w:instrText xml:space="preserve"> ADDIN EN.CITE &lt;EndNote&gt;&lt;Cite&gt;&lt;Author&gt;Yung&lt;/Author&gt;&lt;Year&gt;2005&lt;/Year&gt;&lt;RecNum&gt;45&lt;/RecNum&gt;&lt;DisplayText&gt;(18)&lt;/DisplayText&gt;&lt;record&gt;&lt;rec-number&gt;45&lt;/rec-number&gt;&lt;foreign-keys&gt;&lt;key app="EN" db-id="909xzaa9vtswsse2v93x5t2ntvddxav9rtts" timestamp="0"&gt;45&lt;/key&gt;&lt;key app="ENWeb" db-id="UTDHngrtqiQAAGXUyrM"&gt;47&lt;/key&gt;&lt;/foreign-keys&gt;&lt;ref-type name="Journal Article"&gt;17&lt;/ref-type&gt;&lt;contributors&gt;&lt;authors&gt;&lt;author&gt;Yung, Alison R.&lt;/author&gt;&lt;author&gt;Yuen, Hok Pan&lt;/author&gt;&lt;author&gt;McGorry, Patrick D.&lt;/author&gt;&lt;author&gt;Phillips, Lisa J.&lt;/author&gt;&lt;author&gt;Kelly, Daniel&lt;/author&gt;&lt;author&gt;Dell&amp;apos;Olio, Margaret&lt;/author&gt;&lt;author&gt;Francey, Shona M.&lt;/author&gt;&lt;author&gt;Cosgrave, Elizabeth M.&lt;/author&gt;&lt;author&gt;Killackey, Eoin&lt;/author&gt;&lt;author&gt;Stanford, Carrie&lt;/author&gt;&lt;author&gt;Godfrey, Katherine&lt;/author&gt;&lt;author&gt;Buckby, Joe&lt;/author&gt;&lt;/authors&gt;&lt;/contributors&gt;&lt;titles&gt;&lt;title&gt;Mapping the onset of psychosis: the Comprehensive Assessment of At-Risk Mental States&lt;/title&gt;&lt;secondary-title&gt;Australian and New Zealand Journal of Psychiatry&lt;/secondary-title&gt;&lt;/titles&gt;&lt;periodical&gt;&lt;full-title&gt;Australian and New Zealand Journal of Psychiatry&lt;/full-title&gt;&lt;abbr-1&gt;Aust. N. Z. J. Psychiatry&lt;/abbr-1&gt;&lt;abbr-2&gt;Aust N Z J Psychiatry&lt;/abbr-2&gt;&lt;abbr-3&gt;Australian &amp;amp; New Zealand Journal of Psychiatry&lt;/abbr-3&gt;&lt;/periodical&gt;&lt;pages&gt;964-971&lt;/pages&gt;&lt;volume&gt;39&lt;/volume&gt;&lt;number&gt;11-12&lt;/number&gt;&lt;keywords&gt;&lt;keyword&gt;prodrome&lt;/keyword&gt;&lt;keyword&gt;psychosis&lt;/keyword&gt;&lt;keyword&gt;reliability&lt;/keyword&gt;&lt;keyword&gt;schizophrenia&lt;/keyword&gt;&lt;keyword&gt;validity&lt;/keyword&gt;&lt;/keywords&gt;&lt;dates&gt;&lt;year&gt;2005&lt;/year&gt;&lt;/dates&gt;&lt;publisher&gt;Blackwell Science Pty&lt;/publisher&gt;&lt;urls&gt;&lt;related-urls&gt;&lt;url&gt;http://dx.doi.org/10.1111/j.1440-1614.2005.01714.x &lt;/url&gt;&lt;/related-urls&gt;&lt;/urls&gt;&lt;/record&gt;&lt;/Cite&gt;&lt;/EndNote&gt;</w:instrText>
      </w:r>
      <w:r w:rsidR="00CA2B2A">
        <w:rPr>
          <w:lang w:eastAsia="en-GB"/>
        </w:rPr>
        <w:fldChar w:fldCharType="separate"/>
      </w:r>
      <w:r>
        <w:rPr>
          <w:noProof/>
          <w:lang w:eastAsia="en-GB"/>
        </w:rPr>
        <w:t>(</w:t>
      </w:r>
      <w:hyperlink w:anchor="_ENREF_18" w:tooltip="Yung, 2005 #45" w:history="1">
        <w:r w:rsidR="00A237D1">
          <w:rPr>
            <w:noProof/>
            <w:lang w:eastAsia="en-GB"/>
          </w:rPr>
          <w:t>18</w:t>
        </w:r>
      </w:hyperlink>
      <w:r>
        <w:rPr>
          <w:noProof/>
          <w:lang w:eastAsia="en-GB"/>
        </w:rPr>
        <w:t>)</w:t>
      </w:r>
      <w:r w:rsidR="00CA2B2A">
        <w:rPr>
          <w:lang w:eastAsia="en-GB"/>
        </w:rPr>
        <w:fldChar w:fldCharType="end"/>
      </w:r>
      <w:r>
        <w:rPr>
          <w:lang w:eastAsia="en-GB"/>
        </w:rPr>
        <w:t xml:space="preserve"> showed the measure to have good inter-rater reliability with an ICC of at least 0.62 on each subscale and an overall ICC of 0.85. In this study we use a shortened version consisting of only the unusual thought content, non-bizarre ideas, perceptual abnormalities and disorganised speech subscales. Inter-rater reliability of the CAARMS was assessed on eight occasions over the course of the EDIE-2 trial and reported in the baseline paper, the mean intra-class correlation was 0.90 (sd=0.03)</w:t>
      </w:r>
      <w:r w:rsidR="00CA2B2A">
        <w:rPr>
          <w:lang w:eastAsia="en-GB"/>
        </w:rPr>
        <w:fldChar w:fldCharType="begin"/>
      </w:r>
      <w:r>
        <w:rPr>
          <w:lang w:eastAsia="en-GB"/>
        </w:rPr>
        <w:instrText xml:space="preserve"> ADDIN EN.CITE &lt;EndNote&gt;&lt;Cite&gt;&lt;Author&gt;Morrison&lt;/Author&gt;&lt;Year&gt;2012&lt;/Year&gt;&lt;RecNum&gt;321&lt;/RecNum&gt;&lt;DisplayText&gt;(9)&lt;/DisplayText&gt;&lt;record&gt;&lt;rec-number&gt;321&lt;/rec-number&gt;&lt;foreign-keys&gt;&lt;key app="EN" db-id="909xzaa9vtswsse2v93x5t2ntvddxav9rtts" timestamp="0"&gt;321&lt;/key&gt;&lt;/foreign-keys&gt;&lt;ref-type name="Journal Article"&gt;17&lt;/ref-type&gt;&lt;contributors&gt;&lt;authors&gt;&lt;author&gt;Morrison, Anthony P.&lt;/author&gt;&lt;author&gt;French, Paul&lt;/author&gt;&lt;author&gt;Stewart, Suzanne L. K.&lt;/author&gt;&lt;author&gt;Birchwood, Max&lt;/author&gt;&lt;author&gt;Fowler, David&lt;/author&gt;&lt;author&gt;Gumley, Andrew I.&lt;/author&gt;&lt;author&gt;Jones, Peter B.&lt;/author&gt;&lt;author&gt;Bentall, Richard P.&lt;/author&gt;&lt;author&gt;Lewis, Shon W.&lt;/author&gt;&lt;author&gt;Murray, Graham K.&lt;/author&gt;&lt;author&gt;Patterson, Paul&lt;/author&gt;&lt;author&gt;Brunet, Kat&lt;/author&gt;&lt;author&gt;Conroy, Jennie&lt;/author&gt;&lt;author&gt;Parker, Sophie&lt;/author&gt;&lt;author&gt;Reilly, Tony&lt;/author&gt;&lt;author&gt;Byrne, Rory&lt;/author&gt;&lt;author&gt;Davies, Linda M.&lt;/author&gt;&lt;author&gt;Dunn, Graham&lt;/author&gt;&lt;/authors&gt;&lt;/contributors&gt;&lt;titles&gt;&lt;title&gt;Early detection and intervention evaluation for people at risk of psychosis: multisite randomised controlled trial&lt;/title&gt;&lt;secondary-title&gt;BMJ&lt;/secondary-title&gt;&lt;/titles&gt;&lt;periodical&gt;&lt;full-title&gt;BMJ&lt;/full-title&gt;&lt;abbr-1&gt;BMJ&lt;/abbr-1&gt;&lt;abbr-2&gt;BMJ&lt;/abbr-2&gt;&lt;/periodical&gt;&lt;volume&gt;344&lt;/volume&gt;&lt;dates&gt;&lt;year&gt;2012&lt;/year&gt;&lt;pub-dates&gt;&lt;date&gt;2012-04-05 23:32:24&lt;/date&gt;&lt;/pub-dates&gt;&lt;/dates&gt;&lt;urls&gt;&lt;pdf-urls&gt;&lt;url&gt;http://www.bmj.com/bmj/344/bmj.e2233.full.pdf &lt;/url&gt;&lt;/pdf-urls&gt;&lt;/urls&gt;&lt;electronic-resource-num&gt;10.1136/bmj.e2233&lt;/electronic-resource-num&gt;&lt;/record&gt;&lt;/Cite&gt;&lt;/EndNote&gt;</w:instrText>
      </w:r>
      <w:r w:rsidR="00CA2B2A">
        <w:rPr>
          <w:lang w:eastAsia="en-GB"/>
        </w:rPr>
        <w:fldChar w:fldCharType="separate"/>
      </w:r>
      <w:r>
        <w:rPr>
          <w:noProof/>
          <w:lang w:eastAsia="en-GB"/>
        </w:rPr>
        <w:t>(</w:t>
      </w:r>
      <w:hyperlink w:anchor="_ENREF_9" w:tooltip="Morrison, 2012 #321" w:history="1">
        <w:r w:rsidR="00A237D1">
          <w:rPr>
            <w:noProof/>
            <w:lang w:eastAsia="en-GB"/>
          </w:rPr>
          <w:t>9</w:t>
        </w:r>
      </w:hyperlink>
      <w:r>
        <w:rPr>
          <w:noProof/>
          <w:lang w:eastAsia="en-GB"/>
        </w:rPr>
        <w:t>)</w:t>
      </w:r>
      <w:r w:rsidR="00CA2B2A">
        <w:rPr>
          <w:lang w:eastAsia="en-GB"/>
        </w:rPr>
        <w:fldChar w:fldCharType="end"/>
      </w:r>
      <w:r>
        <w:rPr>
          <w:lang w:eastAsia="en-GB"/>
        </w:rPr>
        <w:t xml:space="preserve">. </w:t>
      </w:r>
    </w:p>
    <w:p w:rsidR="00B345A7" w:rsidRPr="00050C6F" w:rsidRDefault="00B345A7" w:rsidP="00867F6B">
      <w:pPr>
        <w:spacing w:line="360" w:lineRule="auto"/>
        <w:rPr>
          <w:i/>
        </w:rPr>
      </w:pPr>
      <w:r w:rsidRPr="00050C6F">
        <w:rPr>
          <w:i/>
        </w:rPr>
        <w:t>Covariates</w:t>
      </w:r>
    </w:p>
    <w:p w:rsidR="00B345A7" w:rsidRPr="00F3374B" w:rsidRDefault="00B345A7" w:rsidP="00401B28">
      <w:pPr>
        <w:spacing w:line="360" w:lineRule="auto"/>
        <w:ind w:firstLine="720"/>
      </w:pPr>
      <w:r>
        <w:t>Socio-demographic (age, sex, education, occupation) and health measures (anxiety: Social Interactions and Anxiety Scale (SIAS)</w:t>
      </w:r>
      <w:r w:rsidR="00CA2B2A">
        <w:fldChar w:fldCharType="begin"/>
      </w:r>
      <w:r>
        <w:instrText xml:space="preserve"> ADDIN EN.CITE &lt;EndNote&gt;&lt;Cite&gt;&lt;Author&gt;Mattick&lt;/Author&gt;&lt;Year&gt;1998&lt;/Year&gt;&lt;RecNum&gt;325&lt;/RecNum&gt;&lt;DisplayText&gt;(19)&lt;/DisplayText&gt;&lt;record&gt;&lt;rec-number&gt;325&lt;/rec-number&gt;&lt;foreign-keys&gt;&lt;key app="EN" db-id="909xzaa9vtswsse2v93x5t2ntvddxav9rtts" timestamp="0"&gt;325&lt;/key&gt;&lt;/foreign-keys&gt;&lt;ref-type name="Journal Article"&gt;17&lt;/ref-type&gt;&lt;contributors&gt;&lt;authors&gt;&lt;author&gt;Mattick, R. P.&lt;/author&gt;&lt;author&gt;Clarke, J. C.&lt;/author&gt;&lt;/authors&gt;&lt;/contributors&gt;&lt;auth-address&gt;Univ New S Wales, Natl Drug &amp;amp; Alcohol Res Ctr, Sydney, NSW 2052, Australia. St Vincents Hosp, Clin Res Unit Anxiety Disorders, Sydney, NSW 2010, Australia.&amp;#xD;Mattick, RP (reprint author), Univ New S Wales, Natl Drug &amp;amp; Alcohol Res Ctr, Sydney, NSW 2052, Australia.&lt;/auth-address&gt;&lt;titles&gt;&lt;title&gt;Development and validation of measures of social phobia scrutiny fear and social interaction anxiety&lt;/title&gt;&lt;secondary-title&gt;Behaviour Research and Therapy&lt;/secondary-title&gt;&lt;alt-title&gt;Behav. Res. Ther.&lt;/alt-title&gt;&lt;/titles&gt;&lt;periodical&gt;&lt;full-title&gt;Behaviour Research and Therapy&lt;/full-title&gt;&lt;abbr-1&gt;Behav. Res. Ther.&lt;/abbr-1&gt;&lt;abbr-2&gt;Behav Res Ther&lt;/abbr-2&gt;&lt;abbr-3&gt;Behaviour Research &amp;amp; Therapy&lt;/abbr-3&gt;&lt;/periodical&gt;&lt;alt-periodical&gt;&lt;full-title&gt;Behaviour Research and Therapy&lt;/full-title&gt;&lt;abbr-1&gt;Behav. Res. Ther.&lt;/abbr-1&gt;&lt;abbr-2&gt;Behav Res Ther&lt;/abbr-2&gt;&lt;abbr-3&gt;Behaviour Research &amp;amp; Therapy&lt;/abbr-3&gt;&lt;/alt-periodical&gt;&lt;pages&gt;455-470&lt;/pages&gt;&lt;volume&gt;36&lt;/volume&gt;&lt;number&gt;4&lt;/number&gt;&lt;keywords&gt;&lt;keyword&gt;EXPOSURE&lt;/keyword&gt;&lt;keyword&gt;DISORDERS&lt;/keyword&gt;&lt;keyword&gt;LOCUS&lt;/keyword&gt;&lt;/keywords&gt;&lt;dates&gt;&lt;year&gt;1998&lt;/year&gt;&lt;pub-dates&gt;&lt;date&gt;Apr&lt;/date&gt;&lt;/pub-dates&gt;&lt;/dates&gt;&lt;isbn&gt;0005-7967&lt;/isbn&gt;&lt;accession-num&gt;WOS:000074187600007&lt;/accession-num&gt;&lt;work-type&gt;Article&lt;/work-type&gt;&lt;urls&gt;&lt;related-urls&gt;&lt;url&gt;&amp;lt;Go to ISI&amp;gt;://WOS:000074187600007 &lt;/url&gt;&lt;/related-urls&gt;&lt;/urls&gt;&lt;electronic-resource-num&gt;10.1016/s0005-7967(97)10031-6&lt;/electronic-resource-num&gt;&lt;language&gt;English&lt;/language&gt;&lt;/record&gt;&lt;/Cite&gt;&lt;/EndNote&gt;</w:instrText>
      </w:r>
      <w:r w:rsidR="00CA2B2A">
        <w:fldChar w:fldCharType="separate"/>
      </w:r>
      <w:r>
        <w:rPr>
          <w:noProof/>
        </w:rPr>
        <w:t>(</w:t>
      </w:r>
      <w:hyperlink w:anchor="_ENREF_19" w:tooltip="Mattick, 1998 #325" w:history="1">
        <w:r w:rsidR="00A237D1">
          <w:rPr>
            <w:noProof/>
          </w:rPr>
          <w:t>19</w:t>
        </w:r>
      </w:hyperlink>
      <w:r>
        <w:rPr>
          <w:noProof/>
        </w:rPr>
        <w:t>)</w:t>
      </w:r>
      <w:r w:rsidR="00CA2B2A">
        <w:fldChar w:fldCharType="end"/>
      </w:r>
      <w:r>
        <w:t>, depression: Beck’s Depression Inventory (BDI)</w:t>
      </w:r>
      <w:r w:rsidR="00CA2B2A">
        <w:fldChar w:fldCharType="begin"/>
      </w:r>
      <w:r>
        <w:instrText xml:space="preserve"> ADDIN EN.CITE &lt;EndNote&gt;&lt;Cite&gt;&lt;Author&gt;Beck&lt;/Author&gt;&lt;Year&gt;1997&lt;/Year&gt;&lt;RecNum&gt;322&lt;/RecNum&gt;&lt;DisplayText&gt;(20)&lt;/DisplayText&gt;&lt;record&gt;&lt;rec-number&gt;322&lt;/rec-number&gt;&lt;foreign-keys&gt;&lt;key app="EN" db-id="909xzaa9vtswsse2v93x5t2ntvddxav9rtts" timestamp="0"&gt;322&lt;/key&gt;&lt;/foreign-keys&gt;&lt;ref-type name="Journal Article"&gt;17&lt;/ref-type&gt;&lt;contributors&gt;&lt;authors&gt;&lt;author&gt;Beck, A. T.&lt;/author&gt;&lt;author&gt;Guth, D.&lt;/author&gt;&lt;author&gt;Steer, R. A.&lt;/author&gt;&lt;author&gt;Ball, R.&lt;/author&gt;&lt;/authors&gt;&lt;/contributors&gt;&lt;auth-address&gt;UNIV MED &amp;amp; DENT NEW JERSEY,SCH OSTEOPATH MED,STRATFORD,NJ 08084. BECK INST COGNIT THERAPY &amp;amp; RES,BALA CYNWYD,PA.&lt;/auth-address&gt;&lt;titles&gt;&lt;title&gt;Screening for major depression disorders in medical inpatients with the Beck Depression Inventory for Primary Care&lt;/title&gt;&lt;secondary-title&gt;Behaviour Research and Therapy&lt;/secondary-title&gt;&lt;alt-title&gt;Behav. Res. Ther.&lt;/alt-title&gt;&lt;/titles&gt;&lt;periodical&gt;&lt;full-title&gt;Behaviour Research and Therapy&lt;/full-title&gt;&lt;abbr-1&gt;Behav. Res. Ther.&lt;/abbr-1&gt;&lt;abbr-2&gt;Behav Res Ther&lt;/abbr-2&gt;&lt;abbr-3&gt;Behaviour Research &amp;amp; Therapy&lt;/abbr-3&gt;&lt;/periodical&gt;&lt;alt-periodical&gt;&lt;full-title&gt;Behaviour Research and Therapy&lt;/full-title&gt;&lt;abbr-1&gt;Behav. Res. Ther.&lt;/abbr-1&gt;&lt;abbr-2&gt;Behav Res Ther&lt;/abbr-2&gt;&lt;abbr-3&gt;Behaviour Research &amp;amp; Therapy&lt;/abbr-3&gt;&lt;/alt-periodical&gt;&lt;pages&gt;785-791&lt;/pages&gt;&lt;volume&gt;35&lt;/volume&gt;&lt;number&gt;8&lt;/number&gt;&lt;keywords&gt;&lt;keyword&gt;screening&lt;/keyword&gt;&lt;keyword&gt;depression&lt;/keyword&gt;&lt;keyword&gt;medical&lt;/keyword&gt;&lt;keyword&gt;inpatients&lt;/keyword&gt;&lt;keyword&gt;BDI-PC&lt;/keyword&gt;&lt;/keywords&gt;&lt;dates&gt;&lt;year&gt;1997&lt;/year&gt;&lt;pub-dates&gt;&lt;date&gt;Aug&lt;/date&gt;&lt;/pub-dates&gt;&lt;/dates&gt;&lt;isbn&gt;0005-7967&lt;/isbn&gt;&lt;accession-num&gt;WOS:A1997XM66100010&lt;/accession-num&gt;&lt;work-type&gt;Article&lt;/work-type&gt;&lt;urls&gt;&lt;related-urls&gt;&lt;url&gt;&amp;lt;Go to ISI&amp;gt;://WOS:A1997XM66100010 &lt;/url&gt;&lt;/related-urls&gt;&lt;/urls&gt;&lt;electronic-resource-num&gt;10.1016/s0005-7967(97)00025-9&lt;/electronic-resource-num&gt;&lt;language&gt;English&lt;/language&gt;&lt;/record&gt;&lt;/Cite&gt;&lt;/EndNote&gt;</w:instrText>
      </w:r>
      <w:r w:rsidR="00CA2B2A">
        <w:fldChar w:fldCharType="separate"/>
      </w:r>
      <w:r>
        <w:rPr>
          <w:noProof/>
        </w:rPr>
        <w:t>(</w:t>
      </w:r>
      <w:hyperlink w:anchor="_ENREF_20" w:tooltip="Beck, 1997 #322" w:history="1">
        <w:r w:rsidR="00A237D1">
          <w:rPr>
            <w:noProof/>
          </w:rPr>
          <w:t>20</w:t>
        </w:r>
      </w:hyperlink>
      <w:r>
        <w:rPr>
          <w:noProof/>
        </w:rPr>
        <w:t>)</w:t>
      </w:r>
      <w:r w:rsidR="00CA2B2A">
        <w:fldChar w:fldCharType="end"/>
      </w:r>
      <w:r>
        <w:t xml:space="preserve">, </w:t>
      </w:r>
      <w:r>
        <w:lastRenderedPageBreak/>
        <w:t>functioning: Global Assessment of Functioning (GAF)</w:t>
      </w:r>
      <w:r w:rsidR="00CA2B2A">
        <w:fldChar w:fldCharType="begin"/>
      </w:r>
      <w:r>
        <w:instrText xml:space="preserve"> ADDIN EN.CITE &lt;EndNote&gt;&lt;Cite&gt;&lt;Author&gt;American Psychiatric&lt;/Author&gt;&lt;Year&gt;2000&lt;/Year&gt;&lt;RecNum&gt;326&lt;/RecNum&gt;&lt;DisplayText&gt;(21)&lt;/DisplayText&gt;&lt;record&gt;&lt;rec-number&gt;326&lt;/rec-number&gt;&lt;foreign-keys&gt;&lt;key app="EN" db-id="909xzaa9vtswsse2v93x5t2ntvddxav9rtts" timestamp="0"&gt;326&lt;/key&gt;&lt;/foreign-keys&gt;&lt;ref-type name="Book Section"&gt;5&lt;/ref-type&gt;&lt;contributors&gt;&lt;authors&gt;&lt;author&gt;American Psychiatric, Association&lt;/author&gt;&lt;/authors&gt;&lt;/contributors&gt;&lt;titles&gt;&lt;title&gt;Diagnostic and statistical manual of mental disorders: DSM-IV-TR®&lt;/title&gt;&lt;/titles&gt;&lt;pages&gt;34&lt;/pages&gt;&lt;dates&gt;&lt;year&gt;2000&lt;/year&gt;&lt;/dates&gt;&lt;publisher&gt;American Psychiatric Pub&lt;/publisher&gt;&lt;isbn&gt;0890420254&lt;/isbn&gt;&lt;urls&gt;&lt;/urls&gt;&lt;/record&gt;&lt;/Cite&gt;&lt;/EndNote&gt;</w:instrText>
      </w:r>
      <w:r w:rsidR="00CA2B2A">
        <w:fldChar w:fldCharType="separate"/>
      </w:r>
      <w:r>
        <w:rPr>
          <w:noProof/>
        </w:rPr>
        <w:t>(</w:t>
      </w:r>
      <w:hyperlink w:anchor="_ENREF_21" w:tooltip="American Psychiatric, 2000 #326" w:history="1">
        <w:r w:rsidR="00A237D1">
          <w:rPr>
            <w:noProof/>
          </w:rPr>
          <w:t>21</w:t>
        </w:r>
      </w:hyperlink>
      <w:r>
        <w:rPr>
          <w:noProof/>
        </w:rPr>
        <w:t>)</w:t>
      </w:r>
      <w:r w:rsidR="00CA2B2A">
        <w:fldChar w:fldCharType="end"/>
      </w:r>
      <w:r>
        <w:t xml:space="preserve"> and quality of life: EQ5D and Manchester Short Assessment of Quality of Life (MANSA)</w:t>
      </w:r>
      <w:r w:rsidR="00CA2B2A">
        <w:fldChar w:fldCharType="begin"/>
      </w:r>
      <w:r>
        <w:instrText xml:space="preserve"> ADDIN EN.CITE &lt;EndNote&gt;&lt;Cite&gt;&lt;Author&gt;Priebe&lt;/Author&gt;&lt;Year&gt;1999&lt;/Year&gt;&lt;RecNum&gt;323&lt;/RecNum&gt;&lt;DisplayText&gt;(22)&lt;/DisplayText&gt;&lt;record&gt;&lt;rec-number&gt;323&lt;/rec-number&gt;&lt;foreign-keys&gt;&lt;key app="EN" db-id="909xzaa9vtswsse2v93x5t2ntvddxav9rtts" timestamp="0"&gt;323&lt;/key&gt;&lt;/foreign-keys&gt;&lt;ref-type name="Journal Article"&gt;17&lt;/ref-type&gt;&lt;contributors&gt;&lt;authors&gt;&lt;author&gt;Priebe, S.&lt;/author&gt;&lt;author&gt;Huxley, P.&lt;/author&gt;&lt;author&gt;Knight, S.&lt;/author&gt;&lt;author&gt;Evans, S.&lt;/author&gt;&lt;/authors&gt;&lt;/contributors&gt;&lt;titles&gt;&lt;title&gt;Application and Results of the Manchester Short Assessment of Quality of Life (Mansa)&lt;/title&gt;&lt;secondary-title&gt;International Journal of Social Psychiatry&lt;/secondary-title&gt;&lt;/titles&gt;&lt;periodical&gt;&lt;full-title&gt;International Journal of Social Psychiatry&lt;/full-title&gt;&lt;abbr-1&gt;Int. J. Soc. Psychiatry&lt;/abbr-1&gt;&lt;abbr-2&gt;Int J Soc Psychiatry&lt;/abbr-2&gt;&lt;/periodical&gt;&lt;pages&gt;7-12&lt;/pages&gt;&lt;volume&gt;45&lt;/volume&gt;&lt;number&gt;1&lt;/number&gt;&lt;dates&gt;&lt;year&gt;1999&lt;/year&gt;&lt;pub-dates&gt;&lt;date&gt;March 1, 1999&lt;/date&gt;&lt;/pub-dates&gt;&lt;/dates&gt;&lt;urls&gt;&lt;related-urls&gt;&lt;url&gt;http://isp.sagepub.com/content/45/1/7.abstract &lt;/url&gt;&lt;/related-urls&gt;&lt;/urls&gt;&lt;electronic-resource-num&gt;10.1177/002076409904500102&lt;/electronic-resource-num&gt;&lt;/record&gt;&lt;/Cite&gt;&lt;/EndNote&gt;</w:instrText>
      </w:r>
      <w:r w:rsidR="00CA2B2A">
        <w:fldChar w:fldCharType="separate"/>
      </w:r>
      <w:r>
        <w:rPr>
          <w:noProof/>
        </w:rPr>
        <w:t>(</w:t>
      </w:r>
      <w:hyperlink w:anchor="_ENREF_22" w:tooltip="Priebe, 1999 #323" w:history="1">
        <w:r w:rsidR="00A237D1">
          <w:rPr>
            <w:noProof/>
          </w:rPr>
          <w:t>22</w:t>
        </w:r>
      </w:hyperlink>
      <w:r>
        <w:rPr>
          <w:noProof/>
        </w:rPr>
        <w:t>)</w:t>
      </w:r>
      <w:r w:rsidR="00CA2B2A">
        <w:fldChar w:fldCharType="end"/>
      </w:r>
      <w:r>
        <w:t xml:space="preserve">) as well as the CAARMS severity and distress from symptoms were recorded prior to randomisation.  </w:t>
      </w:r>
    </w:p>
    <w:p w:rsidR="00B345A7" w:rsidRPr="00050C6F" w:rsidRDefault="00B345A7" w:rsidP="00867F6B">
      <w:pPr>
        <w:spacing w:line="360" w:lineRule="auto"/>
        <w:rPr>
          <w:i/>
        </w:rPr>
      </w:pPr>
      <w:r w:rsidRPr="00050C6F">
        <w:rPr>
          <w:i/>
        </w:rPr>
        <w:t>Statistical Analysis</w:t>
      </w:r>
    </w:p>
    <w:p w:rsidR="00B345A7" w:rsidRDefault="00B345A7" w:rsidP="00401B28">
      <w:pPr>
        <w:spacing w:line="360" w:lineRule="auto"/>
        <w:ind w:firstLine="720"/>
      </w:pPr>
      <w:r>
        <w:t>A descriptive account of the associations between baseline characteristics and content of therapy received in the intervention arm only are described using chi-squared and t-tests.</w:t>
      </w:r>
    </w:p>
    <w:p w:rsidR="00B345A7" w:rsidRDefault="00B345A7" w:rsidP="00401B28">
      <w:pPr>
        <w:spacing w:line="360" w:lineRule="auto"/>
        <w:ind w:firstLine="720"/>
      </w:pPr>
      <w:r>
        <w:t>To determine the effect of receiving a specific aspect of therapy it is assumed that there is an effect of being randomised to therapy even if this specific part of therapy is not given (through other mechanisms) and an additional effect of receiving the specific aspect of therapy in question. This can be considered similar to a mediation analysis. Since the content of therapy is not randomised there will be confounding present: there will be factors that influence whether a patient has a problem assessment/formulation/homework/active change strategy that will also influence their treatment outcome, for example, age or education. In order to remove confounding from factors that have not or cannot be measured we apply an instrumental variable analysis</w:t>
      </w:r>
      <w:r w:rsidR="00CA2B2A">
        <w:fldChar w:fldCharType="begin"/>
      </w:r>
      <w:r>
        <w:instrText xml:space="preserve"> ADDIN EN.CITE &lt;EndNote&gt;&lt;Cite&gt;&lt;Author&gt;Angrist&lt;/Author&gt;&lt;Year&gt;2001&lt;/Year&gt;&lt;RecNum&gt;95&lt;/RecNum&gt;&lt;DisplayText&gt;(23)&lt;/DisplayText&gt;&lt;record&gt;&lt;rec-number&gt;95&lt;/rec-number&gt;&lt;foreign-keys&gt;&lt;key app="EN" db-id="909xzaa9vtswsse2v93x5t2ntvddxav9rtts" timestamp="0"&gt;95&lt;/key&gt;&lt;key app="ENWeb" db-id="UTDHngrtqiQAAGXUyrM"&gt;92&lt;/key&gt;&lt;/foreign-keys&gt;&lt;ref-type name="Journal Article"&gt;17&lt;/ref-type&gt;&lt;contributors&gt;&lt;authors&gt;&lt;author&gt;Angrist, Joshua D.&lt;/author&gt;&lt;author&gt;Krueger, Alan B.&lt;/author&gt;&lt;/authors&gt;&lt;/contributors&gt;&lt;titles&gt;&lt;title&gt;Instrumental Variables and the Search for Identification: From Supply and Demand to Natural Experiments&lt;/title&gt;&lt;secondary-title&gt;The Journal of Economic Perspectives&lt;/secondary-title&gt;&lt;/titles&gt;&lt;pages&gt;69-85&lt;/pages&gt;&lt;volume&gt;15&lt;/volume&gt;&lt;number&gt;4&lt;/number&gt;&lt;dates&gt;&lt;year&gt;2001&lt;/year&gt;&lt;pub-dates&gt;&lt;date&gt;10/01&lt;/date&gt;&lt;/pub-dates&gt;&lt;/dates&gt;&lt;publisher&gt;American Economic Association&lt;/publisher&gt;&lt;urls&gt;&lt;related-urls&gt;&lt;url&gt;http://www.jstor.org/stable/2696517 &lt;/url&gt;&lt;/related-urls&gt;&lt;/urls&gt;&lt;/record&gt;&lt;/Cite&gt;&lt;/EndNote&gt;</w:instrText>
      </w:r>
      <w:r w:rsidR="00CA2B2A">
        <w:fldChar w:fldCharType="separate"/>
      </w:r>
      <w:r>
        <w:rPr>
          <w:noProof/>
        </w:rPr>
        <w:t>(</w:t>
      </w:r>
      <w:hyperlink w:anchor="_ENREF_23" w:tooltip="Angrist, 2001 #95" w:history="1">
        <w:r w:rsidR="00A237D1">
          <w:rPr>
            <w:noProof/>
          </w:rPr>
          <w:t>23</w:t>
        </w:r>
      </w:hyperlink>
      <w:r>
        <w:rPr>
          <w:noProof/>
        </w:rPr>
        <w:t>)</w:t>
      </w:r>
      <w:r w:rsidR="00CA2B2A">
        <w:fldChar w:fldCharType="end"/>
      </w:r>
      <w:r>
        <w:t xml:space="preserve"> using two-stage least squares estimation</w:t>
      </w:r>
      <w:r w:rsidR="00CA2B2A">
        <w:fldChar w:fldCharType="begin">
          <w:fldData xml:space="preserve">PEVuZE5vdGU+PENpdGU+PEF1dGhvcj5EdW5uPC9BdXRob3I+PFllYXI+MjAwNTwvWWVhcj48UmVj
TnVtPjY5PC9SZWNOdW0+PERpc3BsYXlUZXh0PigyNC0yNik8L0Rpc3BsYXlUZXh0PjxyZWNvcmQ+
PHJlYy1udW1iZXI+Njk8L3JlYy1udW1iZXI+PGZvcmVpZ24ta2V5cz48a2V5IGFwcD0iRU4iIGRi
LWlkPSI5MDl4emFhOXZ0c3dzc2UydjkzeDV0Mm50dmRkeGF2OXJ0dHMiIHRpbWVzdGFtcD0iMCI+
Njk8L2tleT48a2V5IGFwcD0iRU5XZWIiIGRiLWlkPSJVVERIbmdydHFpUUFBR1hVeXJNIj42Nzwv
a2V5PjwvZm9yZWlnbi1rZXlzPjxyZWYtdHlwZSBuYW1lPSJKb3VybmFsIEFydGljbGUiPjE3PC9y
ZWYtdHlwZT48Y29udHJpYnV0b3JzPjxhdXRob3JzPjxhdXRob3I+RHVubiwgR3JhaGFtPC9hdXRo
b3I+PGF1dGhvcj5NYXJhY3ksIE1vaGFtbWFkPC9hdXRob3I+PGF1dGhvcj5Ub21lbnNvbiwgQmFy
YmFyYTwvYXV0aG9yPjwvYXV0aG9ycz48L2NvbnRyaWJ1dG9ycz48dGl0bGVzPjx0aXRsZT5Fc3Rp
bWF0aW5nIHRyZWF0bWVudCBlZmZlY3RzIGZyb20gcmFuZG9taXplZCBjbGluaWNhbCB0cmlhbHMg
d2l0aCBub25jb21wbGlhbmNlIGFuZCBsb3NzIHRvIGZvbGxvdy11cDogdGhlIHJvbGUgb2YgaW5z
dHJ1bWVudGFsIHZhcmlhYmxlIG1ldGhvZHM8L3RpdGxlPjxzZWNvbmRhcnktdGl0bGU+U3RhdGlz
dGljYWwgTWV0aG9kcyBpbiBNZWRpY2FsIFJlc2VhcmNoPC9zZWNvbmRhcnktdGl0bGU+PC90aXRs
ZXM+PHBlcmlvZGljYWw+PGZ1bGwtdGl0bGU+U3RhdGlzdGljYWwgTWV0aG9kcyBpbiBNZWRpY2Fs
IFJlc2VhcmNoPC9mdWxsLXRpdGxlPjxhYmJyLTE+U3RhdC4gTWV0aG9kcyBNZWQuIFJlcy48L2Fi
YnItMT48YWJici0yPlN0YXQgTWV0aG9kcyBNZWQgUmVzPC9hYmJyLTI+PC9wZXJpb2RpY2FsPjxw
YWdlcz4zNjktMzk1PC9wYWdlcz48dm9sdW1lPjE0PC92b2x1bWU+PG51bWJlcj40PC9udW1iZXI+
PGRhdGVzPjx5ZWFyPjIwMDU8L3llYXI+PHB1Yi1kYXRlcz48ZGF0ZT5BdWd1c3QgMSwgMjAwNTwv
ZGF0ZT48L3B1Yi1kYXRlcz48L2RhdGVzPjx1cmxzPjxyZWxhdGVkLXVybHM+PHVybD5odHRwOi8v
c21tLnNhZ2VwdWIuY29tL2NvbnRlbnQvMTQvNC8zNjkuYWJzdHJhY3QgPC91cmw+PC9yZWxhdGVk
LXVybHM+PC91cmxzPjxlbGVjdHJvbmljLXJlc291cmNlLW51bT4xMC4xMTkxLzA5NjIyODAyMDVz
bTQwM29hPC9lbGVjdHJvbmljLXJlc291cmNlLW51bT48L3JlY29yZD48L0NpdGU+PENpdGU+PEF1
dGhvcj5NYXJhY3k8L0F1dGhvcj48UmVjTnVtPjk4PC9SZWNOdW0+PHJlY29yZD48cmVjLW51bWJl
cj45ODwvcmVjLW51bWJlcj48Zm9yZWlnbi1rZXlzPjxrZXkgYXBwPSJFTiIgZGItaWQ9IjkwOXh6
YWE5dnRzd3NzZTJ2OTN4NXQybnR2ZGR4YXY5cnR0cyIgdGltZXN0YW1wPSIwIj45ODwva2V5Pjxr
ZXkgYXBwPSJFTldlYiIgZGItaWQ9IlVUREhuZ3J0cWlRQUFHWFV5ck0iPjk1PC9rZXk+PC9mb3Jl
aWduLWtleXM+PHJlZi10eXBlIG5hbWU9IkpvdXJuYWwgQXJ0aWNsZSI+MTc8L3JlZi10eXBlPjxj
b250cmlidXRvcnM+PGF1dGhvcnM+PGF1dGhvcj5NYXJhY3ksIE1vaGFtbWFkPC9hdXRob3I+PGF1
dGhvcj5EdW5uLCBHcmFoYW08L2F1dGhvcj48L2F1dGhvcnM+PC9jb250cmlidXRvcnM+PHRpdGxl
cz48dGl0bGU+RXN0aW1hdGluZyBkb3NlLXJlc3BvbnNlIGVmZmVjdHMgaW4gcHN5Y2hvbG9naWNh
bCB0cmVhdG1lbnQgdHJpYWxzOiB0aGUgcm9sZSBvZiBpbnN0cnVtZW50YWwgdmFyaWFibGVzPC90
aXRsZT48c2Vjb25kYXJ5LXRpdGxlPlN0YXRpc3RpY2FsIE1ldGhvZHMgaW4gTWVkaWNhbCBSZXNl
YXJjaDwvc2Vjb25kYXJ5LXRpdGxlPjwvdGl0bGVzPjxwZXJpb2RpY2FsPjxmdWxsLXRpdGxlPlN0
YXRpc3RpY2FsIE1ldGhvZHMgaW4gTWVkaWNhbCBSZXNlYXJjaDwvZnVsbC10aXRsZT48YWJici0x
PlN0YXQuIE1ldGhvZHMgTWVkLiBSZXMuPC9hYmJyLTE+PGFiYnItMj5TdGF0IE1ldGhvZHMgTWVk
IFJlczwvYWJici0yPjwvcGVyaW9kaWNhbD48ZGF0ZXM+PHllYXI+MjAwODwveWVhcj48L2RhdGVz
Pjx1cmxzPjxyZWxhdGVkLXVybHM+PHVybD5odHRwOi8vc21tLnNhZ2VwdWIuY29tL2NvbnRlbnQv
ZWFybHkvMjAwOC8xMS8yNi8wOTYyMjgwMjA4MDk3MjQzLmFic3RyYWN0IDwvdXJsPjwvcmVsYXRl
ZC11cmxzPjwvdXJscz48ZWxlY3Ryb25pYy1yZXNvdXJjZS1udW0+MTAuMTE3Ny8wOTYyMjgwMjA4
MDk3MjQzPC9lbGVjdHJvbmljLXJlc291cmNlLW51bT48L3JlY29yZD48L0NpdGU+PENpdGU+PEF1
dGhvcj5EdW5uPC9BdXRob3I+PFllYXI+MjAwNzwvWWVhcj48UmVjTnVtPjIyOTwvUmVjTnVtPjxy
ZWNvcmQ+PHJlYy1udW1iZXI+MjI5PC9yZWMtbnVtYmVyPjxmb3JlaWduLWtleXM+PGtleSBhcHA9
IkVOIiBkYi1pZD0iOTA5eHphYTl2dHN3c3NlMnY5M3g1dDJudHZkZHhhdjlydHRzIiB0aW1lc3Rh
bXA9IjAiPjIyOTwva2V5PjxrZXkgYXBwPSJFTldlYiIgZGItaWQ9IlVUREhuZ3J0cWlRQUFHWFV5
ck0iPjIyMjwva2V5PjwvZm9yZWlnbi1rZXlzPjxyZWYtdHlwZSBuYW1lPSJKb3VybmFsIEFydGlj
bGUiPjE3PC9yZWYtdHlwZT48Y29udHJpYnV0b3JzPjxhdXRob3JzPjxhdXRob3I+RHVubiwgRy48
L2F1dGhvcj48YXV0aG9yPkJlbnRhbGwsIFIuPC9hdXRob3I+PC9hdXRob3JzPjwvY29udHJpYnV0
b3JzPjx0aXRsZXM+PHRpdGxlPk1vZGVsbGluZyB0cmVhdG1lbnQtZWZmZWN0IGhldGVyb2dlbmVp
dHkgaW4gcmFuZG9taXplZCBjb250cm9sbGVkIHRyaWFscyBvZiBjb21wbGV4IGludGVydmVudGlv
bnMgKHBzeWNob2xvZ2ljYWwgdHJlYXRtZW50cyk8L3RpdGxlPjxzZWNvbmRhcnktdGl0bGU+U3Rh
dGlzdGljcyBpbiBNZWRpY2luZTwvc2Vjb25kYXJ5LXRpdGxlPjwvdGl0bGVzPjxwZXJpb2RpY2Fs
PjxmdWxsLXRpdGxlPlN0YXRpc3RpY3MgaW4gTWVkaWNpbmU8L2Z1bGwtdGl0bGU+PGFiYnItMT5T
dGF0LiBNZWQuPC9hYmJyLTE+PGFiYnItMj5TdGF0IE1lZDwvYWJici0yPjwvcGVyaW9kaWNhbD48
cGFnZXM+NDcxOS00NzQ1PC9wYWdlcz48dm9sdW1lPjI2PC92b2x1bWU+PG51bWJlcj4yNjwvbnVt
YmVyPjxkYXRlcz48eWVhcj4yMDA3PC95ZWFyPjwvZGF0ZXM+PGlzYm4+MTA5Ny0wMjU4PC9pc2Ju
Pjx1cmxzPjwvdXJscz48L3JlY29yZD48L0NpdGU+PC9FbmROb3RlPgAAAA==
</w:fldData>
        </w:fldChar>
      </w:r>
      <w:r>
        <w:instrText xml:space="preserve"> ADDIN EN.CITE </w:instrText>
      </w:r>
      <w:r w:rsidR="00CA2B2A">
        <w:fldChar w:fldCharType="begin">
          <w:fldData xml:space="preserve">PEVuZE5vdGU+PENpdGU+PEF1dGhvcj5EdW5uPC9BdXRob3I+PFllYXI+MjAwNTwvWWVhcj48UmVj
TnVtPjY5PC9SZWNOdW0+PERpc3BsYXlUZXh0PigyNC0yNik8L0Rpc3BsYXlUZXh0PjxyZWNvcmQ+
PHJlYy1udW1iZXI+Njk8L3JlYy1udW1iZXI+PGZvcmVpZ24ta2V5cz48a2V5IGFwcD0iRU4iIGRi
LWlkPSI5MDl4emFhOXZ0c3dzc2UydjkzeDV0Mm50dmRkeGF2OXJ0dHMiIHRpbWVzdGFtcD0iMCI+
Njk8L2tleT48a2V5IGFwcD0iRU5XZWIiIGRiLWlkPSJVVERIbmdydHFpUUFBR1hVeXJNIj42Nzwv
a2V5PjwvZm9yZWlnbi1rZXlzPjxyZWYtdHlwZSBuYW1lPSJKb3VybmFsIEFydGljbGUiPjE3PC9y
ZWYtdHlwZT48Y29udHJpYnV0b3JzPjxhdXRob3JzPjxhdXRob3I+RHVubiwgR3JhaGFtPC9hdXRo
b3I+PGF1dGhvcj5NYXJhY3ksIE1vaGFtbWFkPC9hdXRob3I+PGF1dGhvcj5Ub21lbnNvbiwgQmFy
YmFyYTwvYXV0aG9yPjwvYXV0aG9ycz48L2NvbnRyaWJ1dG9ycz48dGl0bGVzPjx0aXRsZT5Fc3Rp
bWF0aW5nIHRyZWF0bWVudCBlZmZlY3RzIGZyb20gcmFuZG9taXplZCBjbGluaWNhbCB0cmlhbHMg
d2l0aCBub25jb21wbGlhbmNlIGFuZCBsb3NzIHRvIGZvbGxvdy11cDogdGhlIHJvbGUgb2YgaW5z
dHJ1bWVudGFsIHZhcmlhYmxlIG1ldGhvZHM8L3RpdGxlPjxzZWNvbmRhcnktdGl0bGU+U3RhdGlz
dGljYWwgTWV0aG9kcyBpbiBNZWRpY2FsIFJlc2VhcmNoPC9zZWNvbmRhcnktdGl0bGU+PC90aXRs
ZXM+PHBlcmlvZGljYWw+PGZ1bGwtdGl0bGU+U3RhdGlzdGljYWwgTWV0aG9kcyBpbiBNZWRpY2Fs
IFJlc2VhcmNoPC9mdWxsLXRpdGxlPjxhYmJyLTE+U3RhdC4gTWV0aG9kcyBNZWQuIFJlcy48L2Fi
YnItMT48YWJici0yPlN0YXQgTWV0aG9kcyBNZWQgUmVzPC9hYmJyLTI+PC9wZXJpb2RpY2FsPjxw
YWdlcz4zNjktMzk1PC9wYWdlcz48dm9sdW1lPjE0PC92b2x1bWU+PG51bWJlcj40PC9udW1iZXI+
PGRhdGVzPjx5ZWFyPjIwMDU8L3llYXI+PHB1Yi1kYXRlcz48ZGF0ZT5BdWd1c3QgMSwgMjAwNTwv
ZGF0ZT48L3B1Yi1kYXRlcz48L2RhdGVzPjx1cmxzPjxyZWxhdGVkLXVybHM+PHVybD5odHRwOi8v
c21tLnNhZ2VwdWIuY29tL2NvbnRlbnQvMTQvNC8zNjkuYWJzdHJhY3QgPC91cmw+PC9yZWxhdGVk
LXVybHM+PC91cmxzPjxlbGVjdHJvbmljLXJlc291cmNlLW51bT4xMC4xMTkxLzA5NjIyODAyMDVz
bTQwM29hPC9lbGVjdHJvbmljLXJlc291cmNlLW51bT48L3JlY29yZD48L0NpdGU+PENpdGU+PEF1
dGhvcj5NYXJhY3k8L0F1dGhvcj48UmVjTnVtPjk4PC9SZWNOdW0+PHJlY29yZD48cmVjLW51bWJl
cj45ODwvcmVjLW51bWJlcj48Zm9yZWlnbi1rZXlzPjxrZXkgYXBwPSJFTiIgZGItaWQ9IjkwOXh6
YWE5dnRzd3NzZTJ2OTN4NXQybnR2ZGR4YXY5cnR0cyIgdGltZXN0YW1wPSIwIj45ODwva2V5Pjxr
ZXkgYXBwPSJFTldlYiIgZGItaWQ9IlVUREhuZ3J0cWlRQUFHWFV5ck0iPjk1PC9rZXk+PC9mb3Jl
aWduLWtleXM+PHJlZi10eXBlIG5hbWU9IkpvdXJuYWwgQXJ0aWNsZSI+MTc8L3JlZi10eXBlPjxj
b250cmlidXRvcnM+PGF1dGhvcnM+PGF1dGhvcj5NYXJhY3ksIE1vaGFtbWFkPC9hdXRob3I+PGF1
dGhvcj5EdW5uLCBHcmFoYW08L2F1dGhvcj48L2F1dGhvcnM+PC9jb250cmlidXRvcnM+PHRpdGxl
cz48dGl0bGU+RXN0aW1hdGluZyBkb3NlLXJlc3BvbnNlIGVmZmVjdHMgaW4gcHN5Y2hvbG9naWNh
bCB0cmVhdG1lbnQgdHJpYWxzOiB0aGUgcm9sZSBvZiBpbnN0cnVtZW50YWwgdmFyaWFibGVzPC90
aXRsZT48c2Vjb25kYXJ5LXRpdGxlPlN0YXRpc3RpY2FsIE1ldGhvZHMgaW4gTWVkaWNhbCBSZXNl
YXJjaDwvc2Vjb25kYXJ5LXRpdGxlPjwvdGl0bGVzPjxwZXJpb2RpY2FsPjxmdWxsLXRpdGxlPlN0
YXRpc3RpY2FsIE1ldGhvZHMgaW4gTWVkaWNhbCBSZXNlYXJjaDwvZnVsbC10aXRsZT48YWJici0x
PlN0YXQuIE1ldGhvZHMgTWVkLiBSZXMuPC9hYmJyLTE+PGFiYnItMj5TdGF0IE1ldGhvZHMgTWVk
IFJlczwvYWJici0yPjwvcGVyaW9kaWNhbD48ZGF0ZXM+PHllYXI+MjAwODwveWVhcj48L2RhdGVz
Pjx1cmxzPjxyZWxhdGVkLXVybHM+PHVybD5odHRwOi8vc21tLnNhZ2VwdWIuY29tL2NvbnRlbnQv
ZWFybHkvMjAwOC8xMS8yNi8wOTYyMjgwMjA4MDk3MjQzLmFic3RyYWN0IDwvdXJsPjwvcmVsYXRl
ZC11cmxzPjwvdXJscz48ZWxlY3Ryb25pYy1yZXNvdXJjZS1udW0+MTAuMTE3Ny8wOTYyMjgwMjA4
MDk3MjQzPC9lbGVjdHJvbmljLXJlc291cmNlLW51bT48L3JlY29yZD48L0NpdGU+PENpdGU+PEF1
dGhvcj5EdW5uPC9BdXRob3I+PFllYXI+MjAwNzwvWWVhcj48UmVjTnVtPjIyOTwvUmVjTnVtPjxy
ZWNvcmQ+PHJlYy1udW1iZXI+MjI5PC9yZWMtbnVtYmVyPjxmb3JlaWduLWtleXM+PGtleSBhcHA9
IkVOIiBkYi1pZD0iOTA5eHphYTl2dHN3c3NlMnY5M3g1dDJudHZkZHhhdjlydHRzIiB0aW1lc3Rh
bXA9IjAiPjIyOTwva2V5PjxrZXkgYXBwPSJFTldlYiIgZGItaWQ9IlVUREhuZ3J0cWlRQUFHWFV5
ck0iPjIyMjwva2V5PjwvZm9yZWlnbi1rZXlzPjxyZWYtdHlwZSBuYW1lPSJKb3VybmFsIEFydGlj
bGUiPjE3PC9yZWYtdHlwZT48Y29udHJpYnV0b3JzPjxhdXRob3JzPjxhdXRob3I+RHVubiwgRy48
L2F1dGhvcj48YXV0aG9yPkJlbnRhbGwsIFIuPC9hdXRob3I+PC9hdXRob3JzPjwvY29udHJpYnV0
b3JzPjx0aXRsZXM+PHRpdGxlPk1vZGVsbGluZyB0cmVhdG1lbnQtZWZmZWN0IGhldGVyb2dlbmVp
dHkgaW4gcmFuZG9taXplZCBjb250cm9sbGVkIHRyaWFscyBvZiBjb21wbGV4IGludGVydmVudGlv
bnMgKHBzeWNob2xvZ2ljYWwgdHJlYXRtZW50cyk8L3RpdGxlPjxzZWNvbmRhcnktdGl0bGU+U3Rh
dGlzdGljcyBpbiBNZWRpY2luZTwvc2Vjb25kYXJ5LXRpdGxlPjwvdGl0bGVzPjxwZXJpb2RpY2Fs
PjxmdWxsLXRpdGxlPlN0YXRpc3RpY3MgaW4gTWVkaWNpbmU8L2Z1bGwtdGl0bGU+PGFiYnItMT5T
dGF0LiBNZWQuPC9hYmJyLTE+PGFiYnItMj5TdGF0IE1lZDwvYWJici0yPjwvcGVyaW9kaWNhbD48
cGFnZXM+NDcxOS00NzQ1PC9wYWdlcz48dm9sdW1lPjI2PC92b2x1bWU+PG51bWJlcj4yNjwvbnVt
YmVyPjxkYXRlcz48eWVhcj4yMDA3PC95ZWFyPjwvZGF0ZXM+PGlzYm4+MTA5Ny0wMjU4PC9pc2Ju
Pjx1cmxzPjwvdXJscz48L3JlY29yZD48L0NpdGU+PC9FbmROb3RlPgAAAA==
</w:fldData>
        </w:fldChar>
      </w:r>
      <w:r>
        <w:instrText xml:space="preserve"> ADDIN EN.CITE.DATA </w:instrText>
      </w:r>
      <w:r w:rsidR="00CA2B2A">
        <w:fldChar w:fldCharType="end"/>
      </w:r>
      <w:r w:rsidR="00CA2B2A">
        <w:fldChar w:fldCharType="separate"/>
      </w:r>
      <w:r>
        <w:rPr>
          <w:noProof/>
        </w:rPr>
        <w:t>(</w:t>
      </w:r>
      <w:hyperlink w:anchor="_ENREF_24" w:tooltip="Dunn, 2005 #69" w:history="1">
        <w:r w:rsidR="00A237D1">
          <w:rPr>
            <w:noProof/>
          </w:rPr>
          <w:t>24-26</w:t>
        </w:r>
      </w:hyperlink>
      <w:r>
        <w:rPr>
          <w:noProof/>
        </w:rPr>
        <w:t>)</w:t>
      </w:r>
      <w:r w:rsidR="00CA2B2A">
        <w:fldChar w:fldCharType="end"/>
      </w:r>
      <w:r>
        <w:t xml:space="preserve">. </w:t>
      </w:r>
    </w:p>
    <w:p w:rsidR="00B345A7" w:rsidRDefault="00B345A7" w:rsidP="00401B28">
      <w:pPr>
        <w:spacing w:line="360" w:lineRule="auto"/>
        <w:ind w:firstLine="720"/>
      </w:pPr>
      <w:r>
        <w:t xml:space="preserve">The causal effect of each aspect of therapy on outcome at 12 month follow-up is investigated individually. Baseline covariates by randomisation group interactions are considered as instruments. To select the most effective instruments the backward stepwise model selection </w:t>
      </w:r>
      <w:r>
        <w:rPr>
          <w:rFonts w:cs="Tahoma"/>
          <w:szCs w:val="20"/>
        </w:rPr>
        <w:t>method is used since no instrument has been set prior to the analysis</w:t>
      </w:r>
      <w:r>
        <w:t>. The selection is carried out to determine baseline variables associated with the process within the CBT arm only and these are used as instruments when interacted with randomisation group. The analyses allow for a direct effect of randomisation to CBT even if the particular aspect of therapy in question was not received. All analyses are adjusted for the baseline measure of symptom severity and bootstrapped with 1000 replications.</w:t>
      </w:r>
    </w:p>
    <w:p w:rsidR="00B345A7" w:rsidRDefault="00B345A7" w:rsidP="00401B28">
      <w:pPr>
        <w:spacing w:line="360" w:lineRule="auto"/>
        <w:ind w:firstLine="720"/>
      </w:pPr>
      <w:r>
        <w:t>The data were initially analysed using complete cases only and results reported. Missing covariates are judged to be likely to be missing at random, meaning that the probability of missing data can be modelled by the observed data. To improve efficiency, missing covariate values are imputed using chained equations with the ‘</w:t>
      </w:r>
      <w:r>
        <w:rPr>
          <w:rStyle w:val="Emphasis"/>
        </w:rPr>
        <w:t>ice</w:t>
      </w:r>
      <w:r>
        <w:t xml:space="preserve">’ command in Stata </w:t>
      </w:r>
      <w:r w:rsidR="00CA2B2A">
        <w:rPr>
          <w:rStyle w:val="Emphasis"/>
          <w:i w:val="0"/>
        </w:rPr>
        <w:fldChar w:fldCharType="begin"/>
      </w:r>
      <w:r w:rsidR="00A237D1">
        <w:rPr>
          <w:rStyle w:val="Emphasis"/>
          <w:i w:val="0"/>
        </w:rPr>
        <w:instrText xml:space="preserve"> ADDIN EN.CITE &lt;EndNote&gt;&lt;Cite&gt;&lt;Author&gt;Patrick&lt;/Author&gt;&lt;RecNum&gt;125&lt;/RecNum&gt;&lt;DisplayText&gt;(27)&lt;/DisplayText&gt;&lt;record&gt;&lt;rec-number&gt;125&lt;/rec-number&gt;&lt;foreign-keys&gt;&lt;key app="EN" db-id="909xzaa9vtswsse2v93x5t2ntvddxav9rtts" timestamp="0"&gt;125&lt;/key&gt;&lt;key app="ENWeb" db-id="UTDHngrtqiQAAGXUyrM"&gt;121&lt;/key&gt;&lt;/foreign-keys&gt;&lt;ref-type name="Journal Article"&gt;17&lt;/ref-type&gt;&lt;contributors&gt;&lt;authors&gt;&lt;author&gt;Royston, Patrick&lt;/author&gt;&lt;/authors&gt;&lt;/contributors&gt;&lt;titles&gt;&lt;title&gt;Multiple imputation of missing values: update&lt;/title&gt;&lt;secondary-title&gt;The Stata Journal&lt;/secondary-title&gt;&lt;/titles&gt;&lt;pages&gt;188-201&lt;/pages&gt;&lt;volume&gt;5&lt;/volume&gt;&lt;number&gt;2&lt;/number&gt;&lt;dates&gt;&lt;year&gt;2005&lt;/year&gt;&lt;/dates&gt;&lt;accession-num&gt;http://www.scientificcommons.org/34312151&lt;/accession-num&gt;&lt;urls&gt;&lt;related-urls&gt;&lt;url&gt;http://www.stata-journal.com/article.html?article=st0067_1 &lt;/url&gt;&lt;/related-urls&gt;&lt;/urls&gt;&lt;/record&gt;&lt;/Cite&gt;&lt;/EndNote&gt;</w:instrText>
      </w:r>
      <w:r w:rsidR="00CA2B2A">
        <w:rPr>
          <w:rStyle w:val="Emphasis"/>
          <w:i w:val="0"/>
        </w:rPr>
        <w:fldChar w:fldCharType="separate"/>
      </w:r>
      <w:r>
        <w:rPr>
          <w:rStyle w:val="Emphasis"/>
          <w:i w:val="0"/>
          <w:noProof/>
        </w:rPr>
        <w:t>(</w:t>
      </w:r>
      <w:hyperlink w:anchor="_ENREF_27" w:tooltip="Royston, 2005 #125" w:history="1">
        <w:r w:rsidR="00A237D1">
          <w:rPr>
            <w:rStyle w:val="Emphasis"/>
            <w:i w:val="0"/>
            <w:noProof/>
          </w:rPr>
          <w:t>27</w:t>
        </w:r>
      </w:hyperlink>
      <w:r>
        <w:rPr>
          <w:rStyle w:val="Emphasis"/>
          <w:i w:val="0"/>
          <w:noProof/>
        </w:rPr>
        <w:t>)</w:t>
      </w:r>
      <w:r w:rsidR="00CA2B2A">
        <w:rPr>
          <w:rStyle w:val="Emphasis"/>
          <w:i w:val="0"/>
        </w:rPr>
        <w:fldChar w:fldCharType="end"/>
      </w:r>
      <w:r>
        <w:t xml:space="preserve">. This is carried out on the full dataset, including all variables used in this analysis as well as follow-up data from all time points and variables thought to be related to non-response. Five imputations were created using all variables. Variables were imputed using the appropriate model: linear, logistic or multinomial logistic. The matching method was used for variables with skewed distributions to maintain the shape and range of the distributions. The matching method predicts the missing value and then allocates the closest non-missing prediction as the imputed value. Missing values of the outcome variables are imputed </w:t>
      </w:r>
      <w:r>
        <w:lastRenderedPageBreak/>
        <w:t>together with the covariates; however, analyses only use imputed information for baseline covariates and do not include respondents without an outcome reported. Analyses are run on the imputed datasets separately and pooled using Rubin’s rules in excel to give estimates and their variances.</w:t>
      </w:r>
    </w:p>
    <w:p w:rsidR="00B345A7" w:rsidRPr="001E50B5" w:rsidRDefault="00B345A7" w:rsidP="00867F6B">
      <w:pPr>
        <w:spacing w:line="360" w:lineRule="auto"/>
        <w:rPr>
          <w:b/>
        </w:rPr>
      </w:pPr>
      <w:r w:rsidRPr="001E50B5">
        <w:rPr>
          <w:b/>
        </w:rPr>
        <w:t>Results</w:t>
      </w:r>
    </w:p>
    <w:p w:rsidR="00B345A7" w:rsidRDefault="00B345A7" w:rsidP="00401B28">
      <w:pPr>
        <w:spacing w:line="360" w:lineRule="auto"/>
        <w:ind w:firstLine="720"/>
      </w:pPr>
      <w:r>
        <w:rPr>
          <w:rFonts w:cs="Tahoma"/>
          <w:szCs w:val="20"/>
        </w:rPr>
        <w:t>The EDIE-2 trial recruited 288 participants at high risk of psychosis who were randomised to mental state monitoring only (TAU=144) or CBT plus mental state monitoring (CBT=144). The average age of participants was 21 years (sd=4.2), they were predominantly white (n=252, 90%) and male (n=180, 63%), full characteristics by treatment allocation are</w:t>
      </w:r>
      <w:r>
        <w:t xml:space="preserve"> described in detail in the preliminary EDIE-2 trial paper</w:t>
      </w:r>
      <w:r w:rsidR="00CA2B2A">
        <w:fldChar w:fldCharType="begin"/>
      </w:r>
      <w:r>
        <w:instrText xml:space="preserve"> ADDIN EN.CITE &lt;EndNote&gt;&lt;Cite&gt;&lt;Author&gt;Morrison&lt;/Author&gt;&lt;Year&gt;2012&lt;/Year&gt;&lt;RecNum&gt;321&lt;/RecNum&gt;&lt;DisplayText&gt;(9)&lt;/DisplayText&gt;&lt;record&gt;&lt;rec-number&gt;321&lt;/rec-number&gt;&lt;foreign-keys&gt;&lt;key app="EN" db-id="909xzaa9vtswsse2v93x5t2ntvddxav9rtts" timestamp="0"&gt;321&lt;/key&gt;&lt;/foreign-keys&gt;&lt;ref-type name="Journal Article"&gt;17&lt;/ref-type&gt;&lt;contributors&gt;&lt;authors&gt;&lt;author&gt;Morrison, Anthony P.&lt;/author&gt;&lt;author&gt;French, Paul&lt;/author&gt;&lt;author&gt;Stewart, Suzanne L. K.&lt;/author&gt;&lt;author&gt;Birchwood, Max&lt;/author&gt;&lt;author&gt;Fowler, David&lt;/author&gt;&lt;author&gt;Gumley, Andrew I.&lt;/author&gt;&lt;author&gt;Jones, Peter B.&lt;/author&gt;&lt;author&gt;Bentall, Richard P.&lt;/author&gt;&lt;author&gt;Lewis, Shon W.&lt;/author&gt;&lt;author&gt;Murray, Graham K.&lt;/author&gt;&lt;author&gt;Patterson, Paul&lt;/author&gt;&lt;author&gt;Brunet, Kat&lt;/author&gt;&lt;author&gt;Conroy, Jennie&lt;/author&gt;&lt;author&gt;Parker, Sophie&lt;/author&gt;&lt;author&gt;Reilly, Tony&lt;/author&gt;&lt;author&gt;Byrne, Rory&lt;/author&gt;&lt;author&gt;Davies, Linda M.&lt;/author&gt;&lt;author&gt;Dunn, Graham&lt;/author&gt;&lt;/authors&gt;&lt;/contributors&gt;&lt;titles&gt;&lt;title&gt;Early detection and intervention evaluation for people at risk of psychosis: multisite randomised controlled trial&lt;/title&gt;&lt;secondary-title&gt;BMJ&lt;/secondary-title&gt;&lt;/titles&gt;&lt;periodical&gt;&lt;full-title&gt;BMJ&lt;/full-title&gt;&lt;abbr-1&gt;BMJ&lt;/abbr-1&gt;&lt;abbr-2&gt;BMJ&lt;/abbr-2&gt;&lt;/periodical&gt;&lt;volume&gt;344&lt;/volume&gt;&lt;dates&gt;&lt;year&gt;2012&lt;/year&gt;&lt;pub-dates&gt;&lt;date&gt;2012-04-05 23:32:24&lt;/date&gt;&lt;/pub-dates&gt;&lt;/dates&gt;&lt;urls&gt;&lt;pdf-urls&gt;&lt;url&gt;http://www.bmj.com/bmj/344/bmj.e2233.full.pdf &lt;/url&gt;&lt;/pdf-urls&gt;&lt;/urls&gt;&lt;electronic-resource-num&gt;10.1136/bmj.e2233&lt;/electronic-resource-num&gt;&lt;/record&gt;&lt;/Cite&gt;&lt;/EndNote&gt;</w:instrText>
      </w:r>
      <w:r w:rsidR="00CA2B2A">
        <w:fldChar w:fldCharType="separate"/>
      </w:r>
      <w:r>
        <w:rPr>
          <w:noProof/>
        </w:rPr>
        <w:t>(</w:t>
      </w:r>
      <w:hyperlink w:anchor="_ENREF_9" w:tooltip="Morrison, 2012 #321" w:history="1">
        <w:r w:rsidR="00A237D1">
          <w:rPr>
            <w:noProof/>
          </w:rPr>
          <w:t>9</w:t>
        </w:r>
      </w:hyperlink>
      <w:r>
        <w:rPr>
          <w:noProof/>
        </w:rPr>
        <w:t>)</w:t>
      </w:r>
      <w:r w:rsidR="00CA2B2A">
        <w:fldChar w:fldCharType="end"/>
      </w:r>
      <w:r>
        <w:t>.</w:t>
      </w:r>
    </w:p>
    <w:p w:rsidR="00B345A7" w:rsidRDefault="00B345A7" w:rsidP="00DB5ED7">
      <w:pPr>
        <w:spacing w:line="360" w:lineRule="auto"/>
        <w:ind w:firstLine="720"/>
      </w:pPr>
      <w:r>
        <w:t xml:space="preserve">Heterogeneity was present in the treatment actually received by participants in the CBT arm. Our conservative analysis of the therapy notes indicated that the following numbers of participants clearly received these elements of therapy: 100 (69%) had an assessment of problems and goals, 79 (55%) had received formulation at some point in their therapy. On average 39% (sd=32) of sessions involved homework and 43% (sd=34) involved other interventions. The notes clearly indicated that 36 (25%) participants received all four components of therapy, while the notes did not record any element for 28 (19%). Individual associations between the characteristics of patients within the intervention arm and the treatment received are detailed in Table 1 and </w:t>
      </w:r>
      <w:fldSimple w:instr=" REF _Ref346983566 \h  \* MERGEFORMAT ">
        <w:r>
          <w:t>Table 2</w:t>
        </w:r>
      </w:fldSimple>
      <w:r>
        <w:t xml:space="preserve">, the tables show observed values with significant associations indicated for observed and imputed data. Greater anxiety (SIAS) was associated with receiving each aspect of therapy. Treatment centre was associated with receiving a problem assessment, formulation and other interventions but not homework. Lower functioning (GAF) was associated with having a problem assessment and other interventions. Receiving a problem assessment was also more likely in female participants. The components of intervention are correlated with each other and with the number of therapy sessions attended; the associations are detailed in </w:t>
      </w:r>
      <w:r w:rsidR="00CA2B2A">
        <w:fldChar w:fldCharType="begin"/>
      </w:r>
      <w:r>
        <w:instrText xml:space="preserve"> REF _Ref346985955 \h </w:instrText>
      </w:r>
      <w:r w:rsidR="00CA2B2A">
        <w:fldChar w:fldCharType="separate"/>
      </w:r>
      <w:r>
        <w:t xml:space="preserve">Table </w:t>
      </w:r>
      <w:r>
        <w:rPr>
          <w:noProof/>
        </w:rPr>
        <w:t>3</w:t>
      </w:r>
      <w:r w:rsidR="00CA2B2A">
        <w:fldChar w:fldCharType="end"/>
      </w:r>
      <w:r>
        <w:t>.</w:t>
      </w:r>
    </w:p>
    <w:p w:rsidR="00B345A7" w:rsidRDefault="00B345A7" w:rsidP="00401B28">
      <w:pPr>
        <w:spacing w:line="360" w:lineRule="auto"/>
        <w:ind w:firstLine="720"/>
      </w:pPr>
      <w:r>
        <w:t xml:space="preserve">The primary analysis of the EDIE data indicated a significant improvement in severity of symptoms for those randomised to receive CBT </w:t>
      </w:r>
      <w:r w:rsidRPr="00852F54">
        <w:rPr>
          <w:rFonts w:cs="Tahoma"/>
          <w:szCs w:val="20"/>
        </w:rPr>
        <w:t>(c</w:t>
      </w:r>
      <w:r>
        <w:rPr>
          <w:rFonts w:cs="Tahoma"/>
          <w:szCs w:val="20"/>
        </w:rPr>
        <w:t>oefficient=-5.12, 95% CI -8.60 to</w:t>
      </w:r>
      <w:r w:rsidRPr="00852F54">
        <w:rPr>
          <w:rFonts w:cs="Tahoma"/>
          <w:szCs w:val="20"/>
        </w:rPr>
        <w:t xml:space="preserve"> -1.64, p=0.004)</w:t>
      </w:r>
      <w:r w:rsidR="00CA2B2A">
        <w:rPr>
          <w:rFonts w:cs="Tahoma"/>
          <w:szCs w:val="20"/>
        </w:rPr>
        <w:fldChar w:fldCharType="begin"/>
      </w:r>
      <w:r>
        <w:rPr>
          <w:rFonts w:cs="Tahoma"/>
          <w:szCs w:val="20"/>
        </w:rPr>
        <w:instrText xml:space="preserve"> ADDIN EN.CITE &lt;EndNote&gt;&lt;Cite&gt;&lt;Author&gt;Morrison&lt;/Author&gt;&lt;Year&gt;2012&lt;/Year&gt;&lt;RecNum&gt;321&lt;/RecNum&gt;&lt;DisplayText&gt;(9)&lt;/DisplayText&gt;&lt;record&gt;&lt;rec-number&gt;321&lt;/rec-number&gt;&lt;foreign-keys&gt;&lt;key app="EN" db-id="909xzaa9vtswsse2v93x5t2ntvddxav9rtts" timestamp="0"&gt;321&lt;/key&gt;&lt;/foreign-keys&gt;&lt;ref-type name="Journal Article"&gt;17&lt;/ref-type&gt;&lt;contributors&gt;&lt;authors&gt;&lt;author&gt;Morrison, Anthony P.&lt;/author&gt;&lt;author&gt;French, Paul&lt;/author&gt;&lt;author&gt;Stewart, Suzanne L. K.&lt;/author&gt;&lt;author&gt;Birchwood, Max&lt;/author&gt;&lt;author&gt;Fowler, David&lt;/author&gt;&lt;author&gt;Gumley, Andrew I.&lt;/author&gt;&lt;author&gt;Jones, Peter B.&lt;/author&gt;&lt;author&gt;Bentall, Richard P.&lt;/author&gt;&lt;author&gt;Lewis, Shon W.&lt;/author&gt;&lt;author&gt;Murray, Graham K.&lt;/author&gt;&lt;author&gt;Patterson, Paul&lt;/author&gt;&lt;author&gt;Brunet, Kat&lt;/author&gt;&lt;author&gt;Conroy, Jennie&lt;/author&gt;&lt;author&gt;Parker, Sophie&lt;/author&gt;&lt;author&gt;Reilly, Tony&lt;/author&gt;&lt;author&gt;Byrne, Rory&lt;/author&gt;&lt;author&gt;Davies, Linda M.&lt;/author&gt;&lt;author&gt;Dunn, Graham&lt;/author&gt;&lt;/authors&gt;&lt;/contributors&gt;&lt;titles&gt;&lt;title&gt;Early detection and intervention evaluation for people at risk of psychosis: multisite randomised controlled trial&lt;/title&gt;&lt;secondary-title&gt;BMJ&lt;/secondary-title&gt;&lt;/titles&gt;&lt;periodical&gt;&lt;full-title&gt;BMJ&lt;/full-title&gt;&lt;abbr-1&gt;BMJ&lt;/abbr-1&gt;&lt;abbr-2&gt;BMJ&lt;/abbr-2&gt;&lt;/periodical&gt;&lt;volume&gt;344&lt;/volume&gt;&lt;dates&gt;&lt;year&gt;2012&lt;/year&gt;&lt;pub-dates&gt;&lt;date&gt;2012-04-05 23:32:24&lt;/date&gt;&lt;/pub-dates&gt;&lt;/dates&gt;&lt;urls&gt;&lt;pdf-urls&gt;&lt;url&gt;http://www.bmj.com/bmj/344/bmj.e2233.full.pdf &lt;/url&gt;&lt;/pdf-urls&gt;&lt;/urls&gt;&lt;electronic-resource-num&gt;10.1136/bmj.e2233&lt;/electronic-resource-num&gt;&lt;/record&gt;&lt;/Cite&gt;&lt;/EndNote&gt;</w:instrText>
      </w:r>
      <w:r w:rsidR="00CA2B2A">
        <w:rPr>
          <w:rFonts w:cs="Tahoma"/>
          <w:szCs w:val="20"/>
        </w:rPr>
        <w:fldChar w:fldCharType="separate"/>
      </w:r>
      <w:r>
        <w:rPr>
          <w:rFonts w:cs="Tahoma"/>
          <w:noProof/>
          <w:szCs w:val="20"/>
        </w:rPr>
        <w:t>(</w:t>
      </w:r>
      <w:hyperlink w:anchor="_ENREF_9" w:tooltip="Morrison, 2012 #321" w:history="1">
        <w:r w:rsidR="00A237D1">
          <w:rPr>
            <w:rFonts w:cs="Tahoma"/>
            <w:noProof/>
            <w:szCs w:val="20"/>
          </w:rPr>
          <w:t>9</w:t>
        </w:r>
      </w:hyperlink>
      <w:r>
        <w:rPr>
          <w:rFonts w:cs="Tahoma"/>
          <w:noProof/>
          <w:szCs w:val="20"/>
        </w:rPr>
        <w:t>)</w:t>
      </w:r>
      <w:r w:rsidR="00CA2B2A">
        <w:rPr>
          <w:rFonts w:cs="Tahoma"/>
          <w:szCs w:val="20"/>
        </w:rPr>
        <w:fldChar w:fldCharType="end"/>
      </w:r>
      <w:r>
        <w:rPr>
          <w:rFonts w:cs="Tahoma"/>
          <w:szCs w:val="20"/>
        </w:rPr>
        <w:t>. When each aspect of therapy is considered separately as a mechanism of CBT there is no longer a significant direct effect of randomisation on severity of symptoms (</w:t>
      </w:r>
      <w:r w:rsidR="00CA2B2A">
        <w:rPr>
          <w:rFonts w:cs="Tahoma"/>
          <w:szCs w:val="20"/>
        </w:rPr>
        <w:fldChar w:fldCharType="begin"/>
      </w:r>
      <w:r>
        <w:rPr>
          <w:rFonts w:cs="Tahoma"/>
          <w:szCs w:val="20"/>
        </w:rPr>
        <w:instrText xml:space="preserve"> REF _Ref367468128 \h </w:instrText>
      </w:r>
      <w:r w:rsidR="00CA2B2A">
        <w:rPr>
          <w:rFonts w:cs="Tahoma"/>
          <w:szCs w:val="20"/>
        </w:rPr>
      </w:r>
      <w:r w:rsidR="00CA2B2A">
        <w:rPr>
          <w:rFonts w:cs="Tahoma"/>
          <w:szCs w:val="20"/>
        </w:rPr>
        <w:fldChar w:fldCharType="separate"/>
      </w:r>
      <w:r>
        <w:t xml:space="preserve">Table </w:t>
      </w:r>
      <w:r>
        <w:rPr>
          <w:noProof/>
        </w:rPr>
        <w:t>4</w:t>
      </w:r>
      <w:r w:rsidR="00CA2B2A">
        <w:rPr>
          <w:rFonts w:cs="Tahoma"/>
          <w:szCs w:val="20"/>
        </w:rPr>
        <w:fldChar w:fldCharType="end"/>
      </w:r>
      <w:r>
        <w:rPr>
          <w:rFonts w:cs="Tahoma"/>
          <w:szCs w:val="20"/>
        </w:rPr>
        <w:t xml:space="preserve">). The results are very similar between the complete case analysis and the imputed datasets. The instrumental variables analysis indicates that there is no significant additional treatment effect through problem assessment (imputed coefficient=-10.9 (-29 to 7.4), p=0.243). There is a significant additional decrease in symptom score estimated for case formulation (estimated 23 point decrease, 95% CI -44 to -1.7, p=0.036) and the proportion of sessions involving homework (estimated 0.26 point decrease </w:t>
      </w:r>
      <w:r>
        <w:rPr>
          <w:rFonts w:cs="Tahoma"/>
          <w:szCs w:val="20"/>
        </w:rPr>
        <w:lastRenderedPageBreak/>
        <w:t>95% CI -0.51 to -0.001, p=0.049). The results suggest that including active change strategies in therapy improves outcomes though the estimate is of borderline significance when assessed at the 5% level (estimated 0.23 point decrease, 95% CI -0.47 to 0.005, p=0.056).</w:t>
      </w:r>
    </w:p>
    <w:p w:rsidR="00B345A7" w:rsidRPr="00DB5ED7" w:rsidRDefault="00B345A7" w:rsidP="00DB5ED7">
      <w:pPr>
        <w:spacing w:line="360" w:lineRule="auto"/>
        <w:ind w:firstLine="720"/>
      </w:pPr>
      <w:r>
        <w:rPr>
          <w:rFonts w:cs="Tahoma"/>
          <w:szCs w:val="20"/>
        </w:rPr>
        <w:t>Receiving all aspects of therapy is expected to reduce symptom severity by 20 points (95% CI -40 to 0.22, p=0.053) compared to those who receive only some or none of the components, this is again of borderline significance. When it is assumed that participants who do not receive any of the four components of therapy have no treatment effect there is no significant improvement in symptoms from receiving some aspects of therapy but a significant improvement is seen when all four components are applied.</w:t>
      </w:r>
    </w:p>
    <w:p w:rsidR="00B345A7" w:rsidRDefault="00B345A7" w:rsidP="00867F6B">
      <w:pPr>
        <w:spacing w:line="360" w:lineRule="auto"/>
      </w:pPr>
    </w:p>
    <w:p w:rsidR="00B345A7" w:rsidRPr="0060154F" w:rsidRDefault="00B345A7" w:rsidP="00867F6B">
      <w:pPr>
        <w:spacing w:line="360" w:lineRule="auto"/>
        <w:rPr>
          <w:b/>
        </w:rPr>
      </w:pPr>
      <w:r>
        <w:rPr>
          <w:b/>
        </w:rPr>
        <w:t>Discussion</w:t>
      </w:r>
    </w:p>
    <w:p w:rsidR="00A237D1" w:rsidRDefault="004903BE">
      <w:pPr>
        <w:spacing w:line="360" w:lineRule="auto"/>
        <w:rPr>
          <w:i/>
        </w:rPr>
      </w:pPr>
      <w:r w:rsidRPr="004903BE">
        <w:rPr>
          <w:i/>
        </w:rPr>
        <w:t>Summary of findings</w:t>
      </w:r>
    </w:p>
    <w:p w:rsidR="00B345A7" w:rsidRDefault="00B345A7" w:rsidP="00867F6B">
      <w:pPr>
        <w:spacing w:line="360" w:lineRule="auto"/>
        <w:ind w:firstLine="720"/>
      </w:pPr>
      <w:r>
        <w:t xml:space="preserve">This analysis of components of therapy as possible mechanisms of change within CT for people at risk of developing FEP accounts for potential unmeasured confounding between the mechanism and outcome, which is an important advance on previous research.  We found that there was a greater effect of treatment if formulation and homework are involved in therapy and a suggestion that active change strategies also improve symptoms, which confirms the consensus of therapist opinion and the approach recommended in our treatment manual. When examining the effects on outcomes, there was no direct effect of randomisation, suggesting that allocation to therapy per se is not sufficient to produce change; rather, it is the quality of the therapy provided that results in change in clinical outcomes. </w:t>
      </w:r>
    </w:p>
    <w:p w:rsidR="00B345A7" w:rsidRDefault="00B345A7" w:rsidP="00867F6B">
      <w:pPr>
        <w:spacing w:line="360" w:lineRule="auto"/>
        <w:ind w:firstLine="720"/>
      </w:pPr>
      <w:r>
        <w:t xml:space="preserve">The importance of a case formulation in CT for psychosis has been discussed, but previous studies have failed to show a relationship between formulation and treatment outcomes in people with psychosis </w:t>
      </w:r>
      <w:r w:rsidR="00CA2B2A">
        <w:fldChar w:fldCharType="begin"/>
      </w:r>
      <w:r>
        <w:instrText xml:space="preserve"> ADDIN EN.CITE &lt;EndNote&gt;&lt;Cite&gt;&lt;Author&gt;Chadwick&lt;/Author&gt;&lt;Year&gt;2003&lt;/Year&gt;&lt;RecNum&gt;298&lt;/RecNum&gt;&lt;DisplayText&gt;(28)&lt;/DisplayText&gt;&lt;record&gt;&lt;rec-number&gt;298&lt;/rec-number&gt;&lt;foreign-keys&gt;&lt;key app="EN" db-id="909xzaa9vtswsse2v93x5t2ntvddxav9rtts" timestamp="0"&gt;298&lt;/key&gt;&lt;/foreign-keys&gt;&lt;ref-type name="Journal Article"&gt;17&lt;/ref-type&gt;&lt;contributors&gt;&lt;authors&gt;&lt;author&gt;Chadwick, Paul&lt;/author&gt;&lt;author&gt;Williams, Clare&lt;/author&gt;&lt;author&gt;Mackenzie, Joanna&lt;/author&gt;&lt;/authors&gt;&lt;/contributors&gt;&lt;titles&gt;&lt;title&gt;Impact of case formulation in cognitive behaviour therapy for psychosis&lt;/title&gt;&lt;secondary-title&gt;Behaviour Research and Therapy&lt;/secondary-title&gt;&lt;/titles&gt;&lt;periodical&gt;&lt;full-title&gt;Behaviour Research and Therapy&lt;/full-title&gt;&lt;abbr-1&gt;Behav. Res. Ther.&lt;/abbr-1&gt;&lt;abbr-2&gt;Behav Res Ther&lt;/abbr-2&gt;&lt;abbr-3&gt;Behaviour Research &amp;amp; Therapy&lt;/abbr-3&gt;&lt;/periodical&gt;&lt;pages&gt;671-680&lt;/pages&gt;&lt;volume&gt;41&lt;/volume&gt;&lt;number&gt;6&lt;/number&gt;&lt;dates&gt;&lt;year&gt;2003&lt;/year&gt;&lt;/dates&gt;&lt;urls&gt;&lt;related-urls&gt;&lt;url&gt;http://www.sciencedirect.com/science/article/pii/S0005796702000335 &lt;/url&gt;&lt;/related-urls&gt;&lt;/urls&gt;&lt;/record&gt;&lt;/Cite&gt;&lt;/EndNote&gt;</w:instrText>
      </w:r>
      <w:r w:rsidR="00CA2B2A">
        <w:fldChar w:fldCharType="separate"/>
      </w:r>
      <w:r>
        <w:rPr>
          <w:noProof/>
        </w:rPr>
        <w:t>(</w:t>
      </w:r>
      <w:hyperlink w:anchor="_ENREF_28" w:tooltip="Chadwick, 2003 #298" w:history="1">
        <w:r w:rsidR="00A237D1">
          <w:rPr>
            <w:noProof/>
          </w:rPr>
          <w:t>28</w:t>
        </w:r>
      </w:hyperlink>
      <w:r>
        <w:rPr>
          <w:noProof/>
        </w:rPr>
        <w:t>)</w:t>
      </w:r>
      <w:r w:rsidR="00CA2B2A">
        <w:fldChar w:fldCharType="end"/>
      </w:r>
      <w:r>
        <w:t xml:space="preserve">; this is the first study to demonstrate empirically an effect of formulation on outcome in CT for people at risk of psychosis. Similarly, attempts to demonstrate the effects of homework tasks on outcome have previously been unsuccessful </w:t>
      </w:r>
      <w:r w:rsidR="00CA2B2A">
        <w:fldChar w:fldCharType="begin"/>
      </w:r>
      <w:r>
        <w:instrText xml:space="preserve"> ADDIN EN.CITE &lt;EndNote&gt;&lt;Cite&gt;&lt;Author&gt;Dunn&lt;/Author&gt;&lt;Year&gt;2006&lt;/Year&gt;&lt;RecNum&gt;7172&lt;/RecNum&gt;&lt;DisplayText&gt;(29)&lt;/DisplayText&gt;&lt;record&gt;&lt;rec-number&gt;7172&lt;/rec-number&gt;&lt;foreign-keys&gt;&lt;key app="EN" db-id="rarexaz5t5x52wewrfpx2xw2d2f5wvw9p5fa"&gt;7172&lt;/key&gt;&lt;/foreign-keys&gt;&lt;ref-type name="Journal Article"&gt;17&lt;/ref-type&gt;&lt;contributors&gt;&lt;authors&gt;&lt;author&gt;Dunn, H.&lt;/author&gt;&lt;author&gt;Morrison, A.P.&lt;/author&gt;&lt;author&gt;Bentall, R.P.&lt;/author&gt;&lt;/authors&gt;&lt;/contributors&gt;&lt;titles&gt;&lt;title&gt;The Relationship between Patient Suitability, Therapeutic Alliance, Homework Compliance and Outcome in Cognitive Therapy for Psychosis&lt;/title&gt;&lt;secondary-title&gt;Clinical Psychology and Psychotherapy&lt;/secondary-title&gt;&lt;/titles&gt;&lt;pages&gt;145-152&lt;/pages&gt;&lt;volume&gt;13&lt;/volume&gt;&lt;dates&gt;&lt;year&gt;2006&lt;/year&gt;&lt;/dates&gt;&lt;urls&gt;&lt;/urls&gt;&lt;/record&gt;&lt;/Cite&gt;&lt;/EndNote&gt;</w:instrText>
      </w:r>
      <w:r w:rsidR="00CA2B2A">
        <w:fldChar w:fldCharType="separate"/>
      </w:r>
      <w:r>
        <w:rPr>
          <w:noProof/>
        </w:rPr>
        <w:t>(</w:t>
      </w:r>
      <w:hyperlink w:anchor="_ENREF_29" w:tooltip="Dunn, 2006 #7172" w:history="1">
        <w:r w:rsidR="00A237D1">
          <w:rPr>
            <w:noProof/>
          </w:rPr>
          <w:t>29</w:t>
        </w:r>
      </w:hyperlink>
      <w:r>
        <w:rPr>
          <w:noProof/>
        </w:rPr>
        <w:t>)</w:t>
      </w:r>
      <w:r w:rsidR="00CA2B2A">
        <w:fldChar w:fldCharType="end"/>
      </w:r>
      <w:r>
        <w:t xml:space="preserve">; it is likely that this is due to the limited statistical power resulting from small sample sizes in the studies to date. The effects of active change strategies have been shown to be related to clinical response to CT in people with psychosis </w:t>
      </w:r>
      <w:r w:rsidR="00CA2B2A">
        <w:fldChar w:fldCharType="begin"/>
      </w:r>
      <w:r>
        <w:instrText xml:space="preserve"> ADDIN EN.CITE &lt;EndNote&gt;&lt;Cite&gt;&lt;Author&gt;Dunn&lt;/Author&gt;&lt;Year&gt;2012&lt;/Year&gt;&lt;RecNum&gt;299&lt;/RecNum&gt;&lt;DisplayText&gt;(11)&lt;/DisplayText&gt;&lt;record&gt;&lt;rec-number&gt;299&lt;/rec-number&gt;&lt;foreign-keys&gt;&lt;key app="EN" db-id="909xzaa9vtswsse2v93x5t2ntvddxav9rtts" timestamp="0"&gt;299&lt;/key&gt;&lt;/foreign-keys&gt;&lt;ref-type name="Journal Article"&gt;17&lt;/ref-type&gt;&lt;contributors&gt;&lt;authors&gt;&lt;author&gt;Dunn, G.&lt;/author&gt;&lt;author&gt;Fowler, D.&lt;/author&gt;&lt;author&gt;Rollinson, R.&lt;/author&gt;&lt;author&gt;Freeman, D.&lt;/author&gt;&lt;author&gt;Kuipers, E.&lt;/author&gt;&lt;author&gt;Smith, B.&lt;/author&gt;&lt;author&gt;Steel, C.&lt;/author&gt;&lt;author&gt;Onwumere, J.&lt;/author&gt;&lt;author&gt;Jolley, S.&lt;/author&gt;&lt;author&gt;Garety, P.&lt;/author&gt;&lt;author&gt;Bebbington, P.&lt;/author&gt;&lt;/authors&gt;&lt;/contributors&gt;&lt;titles&gt;&lt;title&gt;Effective elements of cognitive behaviour therapy for psychosis: results of a novel type of subgroup analysis based on principal stratification&lt;/title&gt;&lt;secondary-title&gt;Psychological Medicine&lt;/secondary-title&gt;&lt;/titles&gt;&lt;periodical&gt;&lt;full-title&gt;Psychological Medicine&lt;/full-title&gt;&lt;abbr-1&gt;Psychol. Med.&lt;/abbr-1&gt;&lt;abbr-2&gt;Psychol Med&lt;/abbr-2&gt;&lt;/periodical&gt;&lt;pages&gt;1057-1068&lt;/pages&gt;&lt;volume&gt;42&lt;/volume&gt;&lt;number&gt;05&lt;/number&gt;&lt;keywords&gt;&lt;keyword&gt;Cognitive behavioural therapy, principal stratification, psychosis, subgroup analysis, treatment-effect heterogeneity&lt;/keyword&gt;&lt;/keywords&gt;&lt;dates&gt;&lt;year&gt;2012&lt;/year&gt;&lt;/dates&gt;&lt;isbn&gt;1469-8978 %[ 2012&lt;/isbn&gt;&lt;urls&gt;&lt;related-urls&gt;&lt;url&gt;http://dx.doi.org/10.1017/S0033291711001954 &lt;/url&gt;&lt;/related-urls&gt;&lt;/urls&gt;&lt;electronic-resource-num&gt;doi:10.1017/S0033291711001954&lt;/electronic-resource-num&gt;&lt;/record&gt;&lt;/Cite&gt;&lt;/EndNote&gt;</w:instrText>
      </w:r>
      <w:r w:rsidR="00CA2B2A">
        <w:fldChar w:fldCharType="separate"/>
      </w:r>
      <w:r>
        <w:rPr>
          <w:noProof/>
        </w:rPr>
        <w:t>(</w:t>
      </w:r>
      <w:hyperlink w:anchor="_ENREF_11" w:tooltip="Dunn, 2012 #299" w:history="1">
        <w:r w:rsidR="00A237D1">
          <w:rPr>
            <w:noProof/>
          </w:rPr>
          <w:t>11</w:t>
        </w:r>
      </w:hyperlink>
      <w:r>
        <w:rPr>
          <w:noProof/>
        </w:rPr>
        <w:t>)</w:t>
      </w:r>
      <w:r w:rsidR="00CA2B2A">
        <w:fldChar w:fldCharType="end"/>
      </w:r>
      <w:r>
        <w:t xml:space="preserve">; we have replicated this finding in people at risk of psychosis. The lack of an effect of having a problem list is interesting; it may be that this is a necessary, but not sufficient, condition for achievement of clinical improvement. Given that CT is a collaborative and problem-orientated approach, it is likely to be very difficult to develop a formulation, collaboratively set homework tasks and utilise active change strategies in the absence of a shared list of problems and goals. The high correlation between the components of therapy and with the number of therapy sessions attended </w:t>
      </w:r>
      <w:r>
        <w:lastRenderedPageBreak/>
        <w:t xml:space="preserve">means that we cannot attribute the treatment effect seen for one component apart from another. This is reflected in the similar magnitudes of estimated treatment effects and it is likely that they are all indicating the general effect of fidelity to treatment. The strong effect of having any versus none of these is consistent with such a suggestion. </w:t>
      </w:r>
    </w:p>
    <w:p w:rsidR="00A237D1" w:rsidRDefault="004903BE">
      <w:pPr>
        <w:spacing w:line="360" w:lineRule="auto"/>
        <w:rPr>
          <w:i/>
        </w:rPr>
      </w:pPr>
      <w:r w:rsidRPr="004903BE">
        <w:rPr>
          <w:i/>
        </w:rPr>
        <w:t>Methodological limitations and recommendations for future research</w:t>
      </w:r>
    </w:p>
    <w:p w:rsidR="00B345A7" w:rsidRDefault="00B345A7" w:rsidP="00DB5ED7">
      <w:pPr>
        <w:spacing w:line="360" w:lineRule="auto"/>
        <w:ind w:firstLine="720"/>
      </w:pPr>
      <w:r>
        <w:t xml:space="preserve">The presence of treatment components was determined by inspection of the therapy process notes, and assumed to be not present if not explicitly evident; this may have lead to components of therapy being under-reported (which at least provides a conservative test of the hypotheses), and may be confounded by therapists administrative abilities. Also, we did not specify at the start of the trial that the process notes would be utilised for this purpose; this may have </w:t>
      </w:r>
      <w:r w:rsidRPr="00746258">
        <w:t>resulted in greater variability in the recording of such information than if it had been explicitly stated from the outset but would additionally not be influenced by the knowledge that the data are being monitored. Females were found to be more likely to receive an assessment of problems and goals. Given that no gender difference is found for the other components, it may be a chance finding due to multiple testing when looking at individual associations, but it is also possible that the ability to engage in a therapeutic relationship and develop collaborative goals may be greater in females, which could help to explain the widely accepted finding that women with psychosis have better outcomes than men</w:t>
      </w:r>
      <w:r w:rsidR="00CA2B2A" w:rsidRPr="00746258">
        <w:fldChar w:fldCharType="begin"/>
      </w:r>
      <w:r w:rsidR="00A237D1" w:rsidRPr="00746258">
        <w:instrText xml:space="preserve"> ADDIN EN.CITE &lt;EndNote&gt;&lt;Cite&gt;&lt;Author&gt;Grossman&lt;/Author&gt;&lt;Year&gt;2008&lt;/Year&gt;&lt;RecNum&gt;361&lt;/RecNum&gt;&lt;DisplayText&gt;(30)&lt;/DisplayText&gt;&lt;record&gt;&lt;rec-number&gt;361&lt;/rec-number&gt;&lt;foreign-keys&gt;&lt;key app="EN" db-id="909xzaa9vtswsse2v93x5t2ntvddxav9rtts" timestamp="1412782142"&gt;361&lt;/key&gt;&lt;/foreign-keys&gt;&lt;ref-type name="Journal Article"&gt;17&lt;/ref-type&gt;&lt;contributors&gt;&lt;authors&gt;&lt;author&gt;Grossman, Linda S.&lt;/author&gt;&lt;author&gt;Harrow, Martin&lt;/author&gt;&lt;author&gt;Rosen, Cherise&lt;/author&gt;&lt;author&gt;Faull, Robert&lt;/author&gt;&lt;author&gt;Strauss, Gregory P.&lt;/author&gt;&lt;/authors&gt;&lt;/contributors&gt;&lt;titles&gt;&lt;title&gt;Sex differences in schizophrenia and other psychotic disorders: a 20-year longitudinal study of psychosis and recovery&lt;/title&gt;&lt;secondary-title&gt;Comprehensive Psychiatry&lt;/secondary-title&gt;&lt;/titles&gt;&lt;periodical&gt;&lt;full-title&gt;Comprehensive Psychiatry&lt;/full-title&gt;&lt;abbr-1&gt;Compr. Psychiatry&lt;/abbr-1&gt;&lt;abbr-2&gt;Compr Psychiatry&lt;/abbr-2&gt;&lt;/periodical&gt;&lt;pages&gt;523-529&lt;/pages&gt;&lt;volume&gt;49&lt;/volume&gt;&lt;number&gt;6&lt;/number&gt;&lt;dates&gt;&lt;year&gt;2008&lt;/year&gt;&lt;pub-dates&gt;&lt;date&gt;11//&lt;/date&gt;&lt;/pub-dates&gt;&lt;/dates&gt;&lt;isbn&gt;0010-440X&lt;/isbn&gt;&lt;urls&gt;&lt;related-urls&gt;&lt;url&gt;http://www.sciencedirect.com/science/article/pii/S0010440X08000539&lt;/url&gt;&lt;/related-urls&gt;&lt;/urls&gt;&lt;electronic-resource-num&gt;http://dx.doi.org/10.1016/j.comppsych.2008.03.004&lt;/electronic-resource-num&gt;&lt;access-date&gt;2008/12//&lt;/access-date&gt;&lt;/record&gt;&lt;/Cite&gt;&lt;/EndNote&gt;</w:instrText>
      </w:r>
      <w:r w:rsidR="00CA2B2A" w:rsidRPr="00746258">
        <w:fldChar w:fldCharType="separate"/>
      </w:r>
      <w:r w:rsidR="00A237D1" w:rsidRPr="00746258">
        <w:rPr>
          <w:noProof/>
        </w:rPr>
        <w:t>(</w:t>
      </w:r>
      <w:hyperlink w:anchor="_ENREF_30" w:tooltip="Grossman, 2008 #361" w:history="1">
        <w:r w:rsidR="00A237D1" w:rsidRPr="00746258">
          <w:rPr>
            <w:noProof/>
          </w:rPr>
          <w:t>30</w:t>
        </w:r>
      </w:hyperlink>
      <w:r w:rsidR="00A237D1" w:rsidRPr="00746258">
        <w:rPr>
          <w:noProof/>
        </w:rPr>
        <w:t>)</w:t>
      </w:r>
      <w:r w:rsidR="00CA2B2A" w:rsidRPr="00746258">
        <w:fldChar w:fldCharType="end"/>
      </w:r>
      <w:r w:rsidR="00A237D1" w:rsidRPr="00746258">
        <w:t xml:space="preserve">. </w:t>
      </w:r>
      <w:r w:rsidRPr="00746258">
        <w:t>Trial site, however, was individually associated with each component of therapy apart from homework. Though regular homework use is not statistically associated with trial site the pattern of use among the sites is similar to the other components. Differences may be due to variations in application of the therapy, characteristics of patients or completion of notes but highlights the importance of consistency in application of the therapeutic model.</w:t>
      </w:r>
    </w:p>
    <w:p w:rsidR="00B345A7" w:rsidRDefault="00B345A7" w:rsidP="008173A5">
      <w:pPr>
        <w:spacing w:line="360" w:lineRule="auto"/>
        <w:ind w:firstLine="720"/>
      </w:pPr>
      <w:r>
        <w:rPr>
          <w:rFonts w:cs="Tahoma"/>
          <w:szCs w:val="20"/>
        </w:rPr>
        <w:t>In order to test the hypotheses, we would i</w:t>
      </w:r>
      <w:r>
        <w:t xml:space="preserve">deally have randomised participants to receive specific aspects of therapy, but this approach is not feasible within a definitive trial of a complex intervention such as CT; however, the instrumental variable approach tries to account for the problems of confounding associated with not being randomised. </w:t>
      </w:r>
      <w:r>
        <w:rPr>
          <w:rFonts w:cs="Tahoma"/>
          <w:szCs w:val="20"/>
        </w:rPr>
        <w:t xml:space="preserve">While this approach to mediation analysis represents a significant advance over traditional methods that do not account for unmeasured confounding, there are several issues that need to be considered. </w:t>
      </w:r>
      <w:r>
        <w:t xml:space="preserve">Two assumptions are made about the instruments, the first is that they are associated with the component of therapy in question and the second is that they only influence severity of symptoms at follow-up through their effects on receipt of the therapy component. The instruments used are interactions of baseline covariates with randomisation arm. The first assumption is therefore valid since the covariates selected for the interactions are specifically chosen as the variables most associated with receipt of the component of therapy in the CBT arm of the trial. The second assumption cannot be tested; we </w:t>
      </w:r>
      <w:r>
        <w:lastRenderedPageBreak/>
        <w:t>assume that the benefits of randomisation hold and there is no reason to expect a difference in the association between covariates and outcome in the two treatment arms other than through the baseline characteristics affecting the components of therapy received. However, since the variables associated with one component may be associated with others the instruments could affect the outcome through these other pathways invalidating the assumption. If it is the case that the components are in fact measuring a more general fidelity to treatment this may not be a concern.</w:t>
      </w:r>
      <w:r w:rsidRPr="007E1FDE">
        <w:rPr>
          <w:rFonts w:cs="Tahoma"/>
          <w:szCs w:val="20"/>
        </w:rPr>
        <w:t xml:space="preserve"> </w:t>
      </w:r>
    </w:p>
    <w:p w:rsidR="00B345A7" w:rsidRDefault="00B345A7" w:rsidP="00DB5ED7">
      <w:pPr>
        <w:spacing w:line="360" w:lineRule="auto"/>
        <w:ind w:firstLine="720"/>
      </w:pPr>
      <w:r>
        <w:rPr>
          <w:rFonts w:cs="Tahoma"/>
          <w:szCs w:val="20"/>
        </w:rPr>
        <w:t xml:space="preserve">The confidence intervals for the estimates are very wide, indicating a degree of uncertainty in the magnitude of the effects. </w:t>
      </w:r>
      <w:r>
        <w:t xml:space="preserve">Instruments must be selected that explain a large proportion of the heterogeneity in the treatment received. To ensure that the most effective instruments are selected we have used the data reduction technique, backward stepwise selection. There may be some impact on the results over the choice of instrument, however a sensitivity analysis using all covariate by randomisation arm interactions and selection using a shrinkage approach, the LASSO (Least Absolute Shrinkage and Selection Operator) produce similar results giving confidence in our analysis. </w:t>
      </w:r>
    </w:p>
    <w:p w:rsidR="00B345A7" w:rsidRPr="00B345A7" w:rsidRDefault="004903BE" w:rsidP="008173A5">
      <w:pPr>
        <w:spacing w:line="360" w:lineRule="auto"/>
        <w:rPr>
          <w:rFonts w:cs="Tahoma"/>
          <w:i/>
          <w:szCs w:val="20"/>
        </w:rPr>
      </w:pPr>
      <w:r w:rsidRPr="004903BE">
        <w:rPr>
          <w:rFonts w:cs="Tahoma"/>
          <w:i/>
          <w:szCs w:val="20"/>
        </w:rPr>
        <w:t>Implications</w:t>
      </w:r>
      <w:r>
        <w:rPr>
          <w:rFonts w:cs="Tahoma"/>
          <w:i/>
          <w:szCs w:val="20"/>
        </w:rPr>
        <w:tab/>
      </w:r>
    </w:p>
    <w:p w:rsidR="00B345A7" w:rsidRDefault="00B345A7" w:rsidP="008173A5">
      <w:pPr>
        <w:spacing w:line="360" w:lineRule="auto"/>
        <w:ind w:firstLine="720"/>
      </w:pPr>
      <w:r>
        <w:t xml:space="preserve">There are several clinical implications of this study. It is important to emphasise the development of a case formulation, the use of homework tasks between sessions and the incorporation of active change strategies within sessions in both training of therapists and delivery of therapy. Early development of a shared formulation would be desirable e.g. an analysis of a recent incident in terms of events, appraisal of events, associated physical and emotional feelings and the cognitive and behavioural responses. It is likely that a more comprehensive formulation that incorporates information regarding life experience and beliefs will occur later in the therapy process. The use of homework tasks is clearly important in determining outcome; thus, ensuring that previous tasks are reviewed and new tasks set will be important. It is likely that collaborative development of such tasks, allocation of sufficient time to developing such tasks and planning for obstacles to implementation are likely to promote successful completion; however, such hypotheses could be tested in future research. The use of active change strategies is likely to be facilitated by use of therapist reminders or prompts and routine monitoring of the implementation of such intervention strategies. Sharing the findings of this research with service users is also likely to be beneficial; thus, ensuring service users are aware that a shared formulation, conducting tasks between sessions and an active stance within sessions are all associated with good clinical outcomes is likely to facilitate the implementation of such components.   </w:t>
      </w:r>
    </w:p>
    <w:p w:rsidR="00B345A7" w:rsidRPr="00746258" w:rsidRDefault="00B345A7" w:rsidP="008173A5">
      <w:pPr>
        <w:spacing w:line="360" w:lineRule="auto"/>
        <w:ind w:firstLine="720"/>
      </w:pPr>
      <w:r w:rsidRPr="00746258">
        <w:rPr>
          <w:rFonts w:cs="Tahoma"/>
          <w:szCs w:val="20"/>
        </w:rPr>
        <w:t>In conclusion, we have found that t</w:t>
      </w:r>
      <w:r w:rsidRPr="00746258">
        <w:t xml:space="preserve">here is a greater treatment effect if formulation and homework are involved in therapy; however, given the high correlations between such components, </w:t>
      </w:r>
      <w:r w:rsidRPr="00746258">
        <w:lastRenderedPageBreak/>
        <w:t xml:space="preserve">it is possible that these may be indicators of overall treatment fidelity and it may be that the other aspects of adherence to the therapy protocol may also be important. </w:t>
      </w:r>
    </w:p>
    <w:p w:rsidR="00B345A7" w:rsidRDefault="00B345A7" w:rsidP="008173A5">
      <w:pPr>
        <w:spacing w:line="360" w:lineRule="auto"/>
        <w:ind w:firstLine="720"/>
      </w:pPr>
    </w:p>
    <w:p w:rsidR="00B345A7" w:rsidRDefault="00B345A7" w:rsidP="00867F6B">
      <w:pPr>
        <w:spacing w:line="360" w:lineRule="auto"/>
      </w:pPr>
    </w:p>
    <w:p w:rsidR="00B345A7" w:rsidRPr="006168CF" w:rsidRDefault="00B345A7" w:rsidP="00867F6B">
      <w:pPr>
        <w:spacing w:line="360" w:lineRule="auto"/>
        <w:rPr>
          <w:b/>
        </w:rPr>
      </w:pPr>
      <w:r w:rsidRPr="006168CF">
        <w:rPr>
          <w:b/>
        </w:rPr>
        <w:t>Acknowledgements</w:t>
      </w:r>
    </w:p>
    <w:p w:rsidR="00B345A7" w:rsidRDefault="00B345A7" w:rsidP="00867F6B">
      <w:pPr>
        <w:spacing w:line="360" w:lineRule="auto"/>
      </w:pPr>
      <w:r w:rsidRPr="006168CF">
        <w:t xml:space="preserve">We thank the Mental Health Research Network, the Scottish Mental Health Research Network, and the </w:t>
      </w:r>
      <w:r>
        <w:t>OpenCDMS</w:t>
      </w:r>
      <w:r w:rsidRPr="006168CF">
        <w:t xml:space="preserve"> team for their support and assistance. We also wish to thank the other EDIE-2 investigators and our trial therapists for their involvement in the trial and the EDIE-2 research assistants for their data collection work.</w:t>
      </w:r>
      <w:r w:rsidR="00E4052B">
        <w:t xml:space="preserve"> MB is part-funded by the National Institute for Health Research (NIHR) Collaboration for Leadership in Applied Health Research and Care West Midlands. The views expressed are those of the author(s) and not necessarily those of the NHS, the NIHR or the Department of Health.</w:t>
      </w:r>
    </w:p>
    <w:p w:rsidR="00B345A7" w:rsidRPr="00B000F9" w:rsidRDefault="00B345A7" w:rsidP="00867F6B">
      <w:pPr>
        <w:spacing w:line="360" w:lineRule="auto"/>
        <w:rPr>
          <w:b/>
        </w:rPr>
      </w:pPr>
      <w:r w:rsidRPr="00B000F9">
        <w:rPr>
          <w:b/>
        </w:rPr>
        <w:t>Financial support</w:t>
      </w:r>
    </w:p>
    <w:p w:rsidR="00B345A7" w:rsidRPr="006168CF" w:rsidRDefault="00B345A7" w:rsidP="00867F6B">
      <w:pPr>
        <w:spacing w:line="360" w:lineRule="auto"/>
      </w:pPr>
      <w:r w:rsidRPr="006168CF">
        <w:t xml:space="preserve">This </w:t>
      </w:r>
      <w:r>
        <w:t>work</w:t>
      </w:r>
      <w:r w:rsidRPr="006168CF">
        <w:t xml:space="preserve"> was supported by funding from the Medical Research Council (G0500264) and the Department of Health.</w:t>
      </w:r>
      <w:r>
        <w:t xml:space="preserve"> C.F. is supported by an MRC-ESRC Interdisciplinary Research Studentship.</w:t>
      </w:r>
      <w:r w:rsidRPr="006168CF">
        <w:t xml:space="preserve"> </w:t>
      </w:r>
      <w:r w:rsidR="00BB418E">
        <w:t>MB is part-funded by the National Institute for Health Research (NIHR) Collaboration for Leadership in Applied Health Research and Care West Midlands.</w:t>
      </w:r>
    </w:p>
    <w:p w:rsidR="00B345A7" w:rsidRPr="00B000F9" w:rsidRDefault="00B345A7" w:rsidP="00867F6B">
      <w:pPr>
        <w:spacing w:line="360" w:lineRule="auto"/>
        <w:rPr>
          <w:b/>
        </w:rPr>
      </w:pPr>
      <w:r>
        <w:rPr>
          <w:b/>
        </w:rPr>
        <w:t>Declaration</w:t>
      </w:r>
      <w:r w:rsidRPr="00B000F9">
        <w:rPr>
          <w:b/>
        </w:rPr>
        <w:t xml:space="preserve"> of interest</w:t>
      </w:r>
    </w:p>
    <w:p w:rsidR="00B345A7" w:rsidRDefault="00B345A7" w:rsidP="00867F6B">
      <w:pPr>
        <w:spacing w:line="360" w:lineRule="auto"/>
      </w:pPr>
      <w:r>
        <w:t>None</w:t>
      </w:r>
    </w:p>
    <w:p w:rsidR="00B345A7" w:rsidRDefault="00B345A7" w:rsidP="00867F6B">
      <w:pPr>
        <w:spacing w:line="360" w:lineRule="auto"/>
        <w:rPr>
          <w:b/>
        </w:rPr>
      </w:pPr>
      <w:r w:rsidRPr="00B000F9">
        <w:rPr>
          <w:b/>
        </w:rPr>
        <w:t>Ethical standards</w:t>
      </w:r>
    </w:p>
    <w:p w:rsidR="00B345A7" w:rsidRDefault="00B345A7" w:rsidP="00B000F9">
      <w:pPr>
        <w:spacing w:line="360" w:lineRule="auto"/>
      </w:pPr>
      <w:r w:rsidRPr="00B000F9">
        <w:t>The authors assert that all procedures contributing to this work comply with the ethical standards of the relevant national and institutional committees on human experimentation and with the Helsinki Declarati</w:t>
      </w:r>
      <w:r>
        <w:t>on of 1975, as revised in 2008.</w:t>
      </w:r>
    </w:p>
    <w:p w:rsidR="00B345A7" w:rsidRPr="00B000F9" w:rsidRDefault="00B345A7" w:rsidP="00B000F9">
      <w:pPr>
        <w:spacing w:line="360" w:lineRule="auto"/>
      </w:pPr>
    </w:p>
    <w:p w:rsidR="00B345A7" w:rsidRPr="006168CF" w:rsidRDefault="00B345A7" w:rsidP="00867F6B">
      <w:pPr>
        <w:spacing w:line="360" w:lineRule="auto"/>
        <w:rPr>
          <w:b/>
        </w:rPr>
      </w:pPr>
      <w:r w:rsidRPr="006168CF">
        <w:rPr>
          <w:b/>
        </w:rPr>
        <w:t>References</w:t>
      </w:r>
    </w:p>
    <w:p w:rsidR="00A237D1" w:rsidRPr="00A237D1" w:rsidRDefault="00CA2B2A" w:rsidP="00A237D1">
      <w:pPr>
        <w:pStyle w:val="EndNoteBibliography"/>
      </w:pPr>
      <w:r w:rsidRPr="00CA2B2A">
        <w:fldChar w:fldCharType="begin"/>
      </w:r>
      <w:r w:rsidR="00B345A7">
        <w:instrText xml:space="preserve"> ADDIN EN.REFLIST </w:instrText>
      </w:r>
      <w:r w:rsidRPr="00CA2B2A">
        <w:fldChar w:fldCharType="separate"/>
      </w:r>
      <w:bookmarkStart w:id="1" w:name="_ENREF_1"/>
      <w:r w:rsidR="00A237D1" w:rsidRPr="00A237D1">
        <w:t>1.</w:t>
      </w:r>
      <w:r w:rsidR="00A237D1" w:rsidRPr="00A237D1">
        <w:tab/>
        <w:t>Yung AR, McGorry PD, McFarlane C, Jackson HJ, Patton GC, Rakkar A. Monitoring and care of young people at incipient risk of psychosis.</w:t>
      </w:r>
      <w:r w:rsidR="00A237D1" w:rsidRPr="00A237D1">
        <w:rPr>
          <w:i/>
        </w:rPr>
        <w:t xml:space="preserve"> Schizophrenia Bulletin</w:t>
      </w:r>
      <w:r w:rsidR="00A237D1" w:rsidRPr="00A237D1">
        <w:t>. 1996;22(2):283-303.</w:t>
      </w:r>
      <w:bookmarkEnd w:id="1"/>
    </w:p>
    <w:p w:rsidR="00A237D1" w:rsidRPr="00A237D1" w:rsidRDefault="00A237D1" w:rsidP="00A237D1">
      <w:pPr>
        <w:pStyle w:val="EndNoteBibliography"/>
      </w:pPr>
      <w:bookmarkStart w:id="2" w:name="_ENREF_2"/>
      <w:r w:rsidRPr="00A237D1">
        <w:t>2.</w:t>
      </w:r>
      <w:r w:rsidRPr="00A237D1">
        <w:tab/>
        <w:t>Addington J, Epstein I, Liu L, French P, Boydell KM, Zipursky RB. A randomized controlled trial of cognitive behavioral therapy for individuals at clinical high risk of psychosis.</w:t>
      </w:r>
      <w:r w:rsidRPr="00A237D1">
        <w:rPr>
          <w:i/>
        </w:rPr>
        <w:t xml:space="preserve"> Schizophr Res</w:t>
      </w:r>
      <w:r w:rsidRPr="00A237D1">
        <w:t>. 2011;125(1):54-61.</w:t>
      </w:r>
      <w:bookmarkEnd w:id="2"/>
    </w:p>
    <w:p w:rsidR="00A237D1" w:rsidRPr="00A237D1" w:rsidRDefault="00A237D1" w:rsidP="00A237D1">
      <w:pPr>
        <w:pStyle w:val="EndNoteBibliography"/>
      </w:pPr>
      <w:bookmarkStart w:id="3" w:name="_ENREF_3"/>
      <w:r w:rsidRPr="00A237D1">
        <w:t>3.</w:t>
      </w:r>
      <w:r w:rsidRPr="00A237D1">
        <w:tab/>
        <w:t>McGlashan TH, Zipursky RB, Perkins D, Addington J, Miller T, Woods SW, et al. Randomized, Double-Blind Trial of Olanzapine Versus Placebo in Patients Prodromally Symptomatic for Psychosis.</w:t>
      </w:r>
      <w:r w:rsidRPr="00A237D1">
        <w:rPr>
          <w:i/>
        </w:rPr>
        <w:t xml:space="preserve"> American Journal of Psychiatry</w:t>
      </w:r>
      <w:r w:rsidRPr="00A237D1">
        <w:t>. 2006;163(5):790-9.</w:t>
      </w:r>
      <w:bookmarkEnd w:id="3"/>
    </w:p>
    <w:p w:rsidR="00A237D1" w:rsidRPr="00A237D1" w:rsidRDefault="00A237D1" w:rsidP="00A237D1">
      <w:pPr>
        <w:pStyle w:val="EndNoteBibliography"/>
      </w:pPr>
      <w:bookmarkStart w:id="4" w:name="_ENREF_4"/>
      <w:r w:rsidRPr="00A237D1">
        <w:t>4.</w:t>
      </w:r>
      <w:r w:rsidRPr="00A237D1">
        <w:tab/>
        <w:t>McGorry PD, Yung AR, Phillips LJ, Yuen HP, Francey S, Cosgrave EM, et al. Randomized controlled trial of interventions designed to reduce the risk of progression to first-episode psychosis in a clinical sample with subthreshold symptoms.</w:t>
      </w:r>
      <w:r w:rsidRPr="00A237D1">
        <w:rPr>
          <w:i/>
        </w:rPr>
        <w:t xml:space="preserve"> Archives of General Psychiatry</w:t>
      </w:r>
      <w:r w:rsidRPr="00A237D1">
        <w:t>. 2002;59:921-8.</w:t>
      </w:r>
      <w:bookmarkEnd w:id="4"/>
    </w:p>
    <w:p w:rsidR="00A237D1" w:rsidRPr="00A237D1" w:rsidRDefault="00A237D1" w:rsidP="00A237D1">
      <w:pPr>
        <w:pStyle w:val="EndNoteBibliography"/>
      </w:pPr>
      <w:bookmarkStart w:id="5" w:name="_ENREF_5"/>
      <w:r w:rsidRPr="00A237D1">
        <w:t>5.</w:t>
      </w:r>
      <w:r w:rsidRPr="00A237D1">
        <w:tab/>
        <w:t>Morrison AP, French P, Walford L, Lewis SW, Kilcommons A, Green J, et al. Cognitive therapy for the prevention of psychosis in people at ultra-high risk: Randomised controlled trial.</w:t>
      </w:r>
      <w:r w:rsidRPr="00A237D1">
        <w:rPr>
          <w:i/>
        </w:rPr>
        <w:t xml:space="preserve"> British Journal of Psychiatry</w:t>
      </w:r>
      <w:r w:rsidRPr="00A237D1">
        <w:t>. 2004;185(4):291-7.</w:t>
      </w:r>
      <w:bookmarkEnd w:id="5"/>
    </w:p>
    <w:p w:rsidR="00A237D1" w:rsidRPr="00A237D1" w:rsidRDefault="00A237D1" w:rsidP="00A237D1">
      <w:pPr>
        <w:pStyle w:val="EndNoteBibliography"/>
      </w:pPr>
      <w:bookmarkStart w:id="6" w:name="_ENREF_6"/>
      <w:r w:rsidRPr="00A237D1">
        <w:lastRenderedPageBreak/>
        <w:t>6.</w:t>
      </w:r>
      <w:r w:rsidRPr="00A237D1">
        <w:tab/>
        <w:t>Amminger GP, Schafer MR, Papageorgiou K, Klier CM, Cotton SM, Harrigan SM, et al. Long-Chain omega-3 Fatty Acids for Indicated Prevention of Psychotic Disorders: A Randomized, Placebo-Controlled Trial.</w:t>
      </w:r>
      <w:r w:rsidRPr="00A237D1">
        <w:rPr>
          <w:i/>
        </w:rPr>
        <w:t xml:space="preserve"> Arch Gen Psychiatry</w:t>
      </w:r>
      <w:r w:rsidRPr="00A237D1">
        <w:t>. 2010;67(2):146-54.</w:t>
      </w:r>
      <w:bookmarkEnd w:id="6"/>
    </w:p>
    <w:p w:rsidR="00A237D1" w:rsidRPr="00A237D1" w:rsidRDefault="00A237D1" w:rsidP="00A237D1">
      <w:pPr>
        <w:pStyle w:val="EndNoteBibliography"/>
      </w:pPr>
      <w:bookmarkStart w:id="7" w:name="_ENREF_7"/>
      <w:r w:rsidRPr="00A237D1">
        <w:t>7.</w:t>
      </w:r>
      <w:r w:rsidRPr="00A237D1">
        <w:tab/>
        <w:t>Bechdolf A, Wagner M, Ruhrmann S. Preventing progression to first-episode psychosis in early initial prodromal states.</w:t>
      </w:r>
      <w:r w:rsidRPr="00A237D1">
        <w:rPr>
          <w:i/>
        </w:rPr>
        <w:t xml:space="preserve"> British Journal of Psychiatry</w:t>
      </w:r>
      <w:r w:rsidRPr="00A237D1">
        <w:t>. 2011;in press.</w:t>
      </w:r>
      <w:bookmarkEnd w:id="7"/>
    </w:p>
    <w:p w:rsidR="00A237D1" w:rsidRPr="00A237D1" w:rsidRDefault="00A237D1" w:rsidP="00A237D1">
      <w:pPr>
        <w:pStyle w:val="EndNoteBibliography"/>
      </w:pPr>
      <w:bookmarkStart w:id="8" w:name="_ENREF_8"/>
      <w:r w:rsidRPr="00A237D1">
        <w:t>8.</w:t>
      </w:r>
      <w:r w:rsidRPr="00A237D1">
        <w:tab/>
        <w:t>Yung AR, Phillips LJ, Nelson B, Francey SM, PanYuen H, Simmons MB, et al. Randomized controlled trial of interventions for young people at ultra high risk for psychosis: 6-month analysis.</w:t>
      </w:r>
      <w:r w:rsidRPr="00A237D1">
        <w:rPr>
          <w:i/>
        </w:rPr>
        <w:t xml:space="preserve"> Journal of Clinical Psychiatry</w:t>
      </w:r>
      <w:r w:rsidRPr="00A237D1">
        <w:t>. 2011;72:430-40.</w:t>
      </w:r>
      <w:bookmarkEnd w:id="8"/>
    </w:p>
    <w:p w:rsidR="00A237D1" w:rsidRPr="00A237D1" w:rsidRDefault="00A237D1" w:rsidP="00A237D1">
      <w:pPr>
        <w:pStyle w:val="EndNoteBibliography"/>
      </w:pPr>
      <w:bookmarkStart w:id="9" w:name="_ENREF_9"/>
      <w:r w:rsidRPr="00A237D1">
        <w:t>9.</w:t>
      </w:r>
      <w:r w:rsidRPr="00A237D1">
        <w:tab/>
        <w:t>Morrison AP, French P, Stewart SLK, Birchwood M, Fowler D, Gumley AI, et al. Early detection and intervention evaluation for people at risk of psychosis: multisite randomised controlled trial.</w:t>
      </w:r>
      <w:r w:rsidRPr="00A237D1">
        <w:rPr>
          <w:i/>
        </w:rPr>
        <w:t xml:space="preserve"> BMJ</w:t>
      </w:r>
      <w:r w:rsidRPr="00A237D1">
        <w:t>. 2012;344.</w:t>
      </w:r>
      <w:bookmarkEnd w:id="9"/>
    </w:p>
    <w:p w:rsidR="00A237D1" w:rsidRPr="00A237D1" w:rsidRDefault="00A237D1" w:rsidP="00A237D1">
      <w:pPr>
        <w:pStyle w:val="EndNoteBibliography"/>
      </w:pPr>
      <w:bookmarkStart w:id="10" w:name="_ENREF_10"/>
      <w:r w:rsidRPr="00A237D1">
        <w:t>10.</w:t>
      </w:r>
      <w:r w:rsidRPr="00A237D1">
        <w:tab/>
        <w:t>Stafford MR, Jackson H, Mayo-Wilson E, Morrison AP, Kendall T. Early interventions to prevent psychosis: systematic review and meta-analysis.</w:t>
      </w:r>
      <w:r w:rsidRPr="00A237D1">
        <w:rPr>
          <w:i/>
        </w:rPr>
        <w:t xml:space="preserve"> BMJ</w:t>
      </w:r>
      <w:r w:rsidRPr="00A237D1">
        <w:t>. 2013;346.</w:t>
      </w:r>
      <w:bookmarkEnd w:id="10"/>
    </w:p>
    <w:p w:rsidR="00A237D1" w:rsidRPr="00A237D1" w:rsidRDefault="00A237D1" w:rsidP="00A237D1">
      <w:pPr>
        <w:pStyle w:val="EndNoteBibliography"/>
      </w:pPr>
      <w:bookmarkStart w:id="11" w:name="_ENREF_11"/>
      <w:r w:rsidRPr="00A237D1">
        <w:t>11.</w:t>
      </w:r>
      <w:r w:rsidRPr="00A237D1">
        <w:tab/>
        <w:t>Dunn G, Fowler D, Rollinson R, Freeman D, Kuipers E, Smith B, et al. Effective elements of cognitive behaviour therapy for psychosis: results of a novel type of subgroup analysis based on principal stratification.</w:t>
      </w:r>
      <w:r w:rsidRPr="00A237D1">
        <w:rPr>
          <w:i/>
        </w:rPr>
        <w:t xml:space="preserve"> Psychol Med</w:t>
      </w:r>
      <w:r w:rsidRPr="00A237D1">
        <w:t>. 2012;42(05):1057-68.</w:t>
      </w:r>
      <w:bookmarkEnd w:id="11"/>
    </w:p>
    <w:p w:rsidR="00A237D1" w:rsidRPr="00A237D1" w:rsidRDefault="00A237D1" w:rsidP="00A237D1">
      <w:pPr>
        <w:pStyle w:val="EndNoteBibliography"/>
      </w:pPr>
      <w:bookmarkStart w:id="12" w:name="_ENREF_12"/>
      <w:r w:rsidRPr="00A237D1">
        <w:t>12.</w:t>
      </w:r>
      <w:r w:rsidRPr="00A237D1">
        <w:tab/>
        <w:t>Hausman JA. Specification tests in econometrics.</w:t>
      </w:r>
      <w:r w:rsidRPr="00A237D1">
        <w:rPr>
          <w:i/>
        </w:rPr>
        <w:t xml:space="preserve"> Econometrica</w:t>
      </w:r>
      <w:r w:rsidRPr="00A237D1">
        <w:t>. 1978;46:1251- 71.</w:t>
      </w:r>
      <w:bookmarkEnd w:id="12"/>
    </w:p>
    <w:p w:rsidR="00A237D1" w:rsidRPr="00A237D1" w:rsidRDefault="00A237D1" w:rsidP="00A237D1">
      <w:pPr>
        <w:pStyle w:val="EndNoteBibliography"/>
      </w:pPr>
      <w:bookmarkStart w:id="13" w:name="_ENREF_13"/>
      <w:r w:rsidRPr="00A237D1">
        <w:t>13.</w:t>
      </w:r>
      <w:r w:rsidRPr="00A237D1">
        <w:tab/>
        <w:t>Nagelkerke N, Fidler V, Bersen R, Borgdorff M. Estimating treatment  effects in randomized clinical trials in the presence of non-compliance.</w:t>
      </w:r>
      <w:r w:rsidRPr="00A237D1">
        <w:rPr>
          <w:i/>
        </w:rPr>
        <w:t xml:space="preserve"> Statistics in Medicine</w:t>
      </w:r>
      <w:r w:rsidRPr="00A237D1">
        <w:t>. 2000;19:1849-</w:t>
      </w:r>
    </w:p>
    <w:p w:rsidR="00A237D1" w:rsidRPr="00A237D1" w:rsidRDefault="00A237D1" w:rsidP="00A237D1">
      <w:pPr>
        <w:pStyle w:val="EndNoteBibliography"/>
      </w:pPr>
      <w:r w:rsidRPr="00A237D1">
        <w:t>64.</w:t>
      </w:r>
      <w:bookmarkEnd w:id="13"/>
    </w:p>
    <w:p w:rsidR="00A237D1" w:rsidRPr="00A237D1" w:rsidRDefault="00A237D1" w:rsidP="00A237D1">
      <w:pPr>
        <w:pStyle w:val="EndNoteBibliography"/>
      </w:pPr>
      <w:bookmarkStart w:id="14" w:name="_ENREF_14"/>
      <w:r w:rsidRPr="00A237D1">
        <w:t>14.</w:t>
      </w:r>
      <w:r w:rsidRPr="00A237D1">
        <w:tab/>
        <w:t>Maracy M, Dunn G. Estimating dose-response effects in psychological treatment trials: the role of instrumental variables.</w:t>
      </w:r>
      <w:r w:rsidRPr="00A237D1">
        <w:rPr>
          <w:i/>
        </w:rPr>
        <w:t xml:space="preserve"> Statistical Methods in Medical Research </w:t>
      </w:r>
      <w:r w:rsidRPr="00A237D1">
        <w:t>2011;20:191-215.</w:t>
      </w:r>
      <w:bookmarkEnd w:id="14"/>
    </w:p>
    <w:p w:rsidR="00A237D1" w:rsidRPr="00A237D1" w:rsidRDefault="00A237D1" w:rsidP="00A237D1">
      <w:pPr>
        <w:pStyle w:val="EndNoteBibliography"/>
      </w:pPr>
      <w:bookmarkStart w:id="15" w:name="_ENREF_15"/>
      <w:r w:rsidRPr="00A237D1">
        <w:t>15.</w:t>
      </w:r>
      <w:r w:rsidRPr="00A237D1">
        <w:tab/>
        <w:t>French P, Morrison AP. Early Detection and Cognitive Therapy for People at High Risk of Developing Psychosis: A Treatment Approach: Wiley; 2004.</w:t>
      </w:r>
      <w:bookmarkEnd w:id="15"/>
    </w:p>
    <w:p w:rsidR="00A237D1" w:rsidRPr="00A237D1" w:rsidRDefault="00A237D1" w:rsidP="00A237D1">
      <w:pPr>
        <w:pStyle w:val="EndNoteBibliography"/>
      </w:pPr>
      <w:bookmarkStart w:id="16" w:name="_ENREF_16"/>
      <w:r w:rsidRPr="00A237D1">
        <w:t>16.</w:t>
      </w:r>
      <w:r w:rsidRPr="00A237D1">
        <w:tab/>
        <w:t>Morrison AP. The interpretation of intrusions in psychosis: An integrative cognitive approach to hallucinations and delusions.</w:t>
      </w:r>
      <w:r w:rsidRPr="00A237D1">
        <w:rPr>
          <w:i/>
        </w:rPr>
        <w:t xml:space="preserve"> Behavioural and Cognitive Psychotherapy</w:t>
      </w:r>
      <w:r w:rsidRPr="00A237D1">
        <w:t>. 2001;29:257-76.</w:t>
      </w:r>
      <w:bookmarkEnd w:id="16"/>
    </w:p>
    <w:p w:rsidR="00A237D1" w:rsidRPr="00A237D1" w:rsidRDefault="00A237D1" w:rsidP="00A237D1">
      <w:pPr>
        <w:pStyle w:val="EndNoteBibliography"/>
      </w:pPr>
      <w:bookmarkStart w:id="17" w:name="_ENREF_17"/>
      <w:r w:rsidRPr="00A237D1">
        <w:t>17.</w:t>
      </w:r>
      <w:r w:rsidRPr="00A237D1">
        <w:tab/>
        <w:t>Morrison AP, Barratt S. What Are the Components of CBT for Psychosis? A Delphi Study.</w:t>
      </w:r>
      <w:r w:rsidRPr="00A237D1">
        <w:rPr>
          <w:i/>
        </w:rPr>
        <w:t xml:space="preserve"> Schizophr Bull</w:t>
      </w:r>
      <w:r w:rsidRPr="00A237D1">
        <w:t>. 2010;36(1):136-42.</w:t>
      </w:r>
      <w:bookmarkEnd w:id="17"/>
    </w:p>
    <w:p w:rsidR="00A237D1" w:rsidRPr="00A237D1" w:rsidRDefault="00A237D1" w:rsidP="00A237D1">
      <w:pPr>
        <w:pStyle w:val="EndNoteBibliography"/>
      </w:pPr>
      <w:bookmarkStart w:id="18" w:name="_ENREF_18"/>
      <w:r w:rsidRPr="00A237D1">
        <w:t>18.</w:t>
      </w:r>
      <w:r w:rsidRPr="00A237D1">
        <w:tab/>
        <w:t>Yung AR, Yuen HP, McGorry PD, Phillips LJ, Kelly D, Dell'Olio M, et al. Mapping the onset of psychosis: the Comprehensive Assessment of At-Risk Mental States.</w:t>
      </w:r>
      <w:r w:rsidRPr="00A237D1">
        <w:rPr>
          <w:i/>
        </w:rPr>
        <w:t xml:space="preserve"> Aust N Z J Psychiatry</w:t>
      </w:r>
      <w:r w:rsidRPr="00A237D1">
        <w:t>. 2005;39(11-12):964-71.</w:t>
      </w:r>
      <w:bookmarkEnd w:id="18"/>
    </w:p>
    <w:p w:rsidR="00A237D1" w:rsidRPr="00A237D1" w:rsidRDefault="00A237D1" w:rsidP="00A237D1">
      <w:pPr>
        <w:pStyle w:val="EndNoteBibliography"/>
      </w:pPr>
      <w:bookmarkStart w:id="19" w:name="_ENREF_19"/>
      <w:r w:rsidRPr="00A237D1">
        <w:t>19.</w:t>
      </w:r>
      <w:r w:rsidRPr="00A237D1">
        <w:tab/>
        <w:t>Mattick RP, Clarke JC. Development and validation of measures of social phobia scrutiny fear and social interaction anxiety.</w:t>
      </w:r>
      <w:r w:rsidRPr="00A237D1">
        <w:rPr>
          <w:i/>
        </w:rPr>
        <w:t xml:space="preserve"> Behav Res Ther</w:t>
      </w:r>
      <w:r w:rsidRPr="00A237D1">
        <w:t>. 1998;36(4):455-70.</w:t>
      </w:r>
      <w:bookmarkEnd w:id="19"/>
    </w:p>
    <w:p w:rsidR="00A237D1" w:rsidRPr="00A237D1" w:rsidRDefault="00A237D1" w:rsidP="00A237D1">
      <w:pPr>
        <w:pStyle w:val="EndNoteBibliography"/>
      </w:pPr>
      <w:bookmarkStart w:id="20" w:name="_ENREF_20"/>
      <w:r w:rsidRPr="00A237D1">
        <w:t>20.</w:t>
      </w:r>
      <w:r w:rsidRPr="00A237D1">
        <w:tab/>
        <w:t>Beck AT, Guth D, Steer RA, Ball R. Screening for major depression disorders in medical inpatients with the Beck Depression Inventory for Primary Care.</w:t>
      </w:r>
      <w:r w:rsidRPr="00A237D1">
        <w:rPr>
          <w:i/>
        </w:rPr>
        <w:t xml:space="preserve"> Behav Res Ther</w:t>
      </w:r>
      <w:r w:rsidRPr="00A237D1">
        <w:t>. 1997;35(8):785-91.</w:t>
      </w:r>
      <w:bookmarkEnd w:id="20"/>
    </w:p>
    <w:p w:rsidR="00A237D1" w:rsidRPr="00A237D1" w:rsidRDefault="00A237D1" w:rsidP="00A237D1">
      <w:pPr>
        <w:pStyle w:val="EndNoteBibliography"/>
      </w:pPr>
      <w:bookmarkStart w:id="21" w:name="_ENREF_21"/>
      <w:r w:rsidRPr="00A237D1">
        <w:t>21.</w:t>
      </w:r>
      <w:r w:rsidRPr="00A237D1">
        <w:tab/>
        <w:t>American Psychiatric A. Diagnostic and statistical manual of mental disorders: DSM-IV-TR®. American Psychiatric Pub; 2000. p. 34.</w:t>
      </w:r>
      <w:bookmarkEnd w:id="21"/>
    </w:p>
    <w:p w:rsidR="00A237D1" w:rsidRPr="00A237D1" w:rsidRDefault="00A237D1" w:rsidP="00A237D1">
      <w:pPr>
        <w:pStyle w:val="EndNoteBibliography"/>
      </w:pPr>
      <w:bookmarkStart w:id="22" w:name="_ENREF_22"/>
      <w:r w:rsidRPr="00A237D1">
        <w:t>22.</w:t>
      </w:r>
      <w:r w:rsidRPr="00A237D1">
        <w:tab/>
        <w:t>Priebe S, Huxley P, Knight S, Evans S. Application and Results of the Manchester Short Assessment of Quality of Life (Mansa).</w:t>
      </w:r>
      <w:r w:rsidRPr="00A237D1">
        <w:rPr>
          <w:i/>
        </w:rPr>
        <w:t xml:space="preserve"> Int J Soc Psychiatry</w:t>
      </w:r>
      <w:r w:rsidRPr="00A237D1">
        <w:t>. 1999;45(1):7-12.</w:t>
      </w:r>
      <w:bookmarkEnd w:id="22"/>
    </w:p>
    <w:p w:rsidR="00A237D1" w:rsidRPr="00A237D1" w:rsidRDefault="00A237D1" w:rsidP="00A237D1">
      <w:pPr>
        <w:pStyle w:val="EndNoteBibliography"/>
      </w:pPr>
      <w:bookmarkStart w:id="23" w:name="_ENREF_23"/>
      <w:r w:rsidRPr="00A237D1">
        <w:t>23.</w:t>
      </w:r>
      <w:r w:rsidRPr="00A237D1">
        <w:tab/>
        <w:t>Angrist JD, Krueger AB. Instrumental Variables and the Search for Identification: From Supply and Demand to Natural Experiments.</w:t>
      </w:r>
      <w:r w:rsidRPr="00A237D1">
        <w:rPr>
          <w:i/>
        </w:rPr>
        <w:t xml:space="preserve"> The Journal of Economic Perspectives</w:t>
      </w:r>
      <w:r w:rsidRPr="00A237D1">
        <w:t>. 2001;15(4):69-85.</w:t>
      </w:r>
      <w:bookmarkEnd w:id="23"/>
    </w:p>
    <w:p w:rsidR="00A237D1" w:rsidRPr="00A237D1" w:rsidRDefault="00A237D1" w:rsidP="00A237D1">
      <w:pPr>
        <w:pStyle w:val="EndNoteBibliography"/>
      </w:pPr>
      <w:bookmarkStart w:id="24" w:name="_ENREF_24"/>
      <w:r w:rsidRPr="00A237D1">
        <w:t>24.</w:t>
      </w:r>
      <w:r w:rsidRPr="00A237D1">
        <w:tab/>
        <w:t>Dunn G, Maracy M, Tomenson B. Estimating treatment effects from randomized clinical trials with noncompliance and loss to follow-up: the role of instrumental variable methods.</w:t>
      </w:r>
      <w:r w:rsidRPr="00A237D1">
        <w:rPr>
          <w:i/>
        </w:rPr>
        <w:t xml:space="preserve"> Stat Methods Med Res</w:t>
      </w:r>
      <w:r w:rsidRPr="00A237D1">
        <w:t>. 2005;14(4):369-95.</w:t>
      </w:r>
      <w:bookmarkEnd w:id="24"/>
    </w:p>
    <w:p w:rsidR="00A237D1" w:rsidRPr="00A237D1" w:rsidRDefault="00A237D1" w:rsidP="00A237D1">
      <w:pPr>
        <w:pStyle w:val="EndNoteBibliography"/>
      </w:pPr>
      <w:bookmarkStart w:id="25" w:name="_ENREF_25"/>
      <w:r w:rsidRPr="00A237D1">
        <w:t>25.</w:t>
      </w:r>
      <w:r w:rsidRPr="00A237D1">
        <w:tab/>
        <w:t>Maracy M, Dunn G. Estimating dose-response effects in psychological treatment trials: the role of instrumental variables.</w:t>
      </w:r>
      <w:r w:rsidRPr="00A237D1">
        <w:rPr>
          <w:i/>
        </w:rPr>
        <w:t xml:space="preserve"> Stat Methods Med Res</w:t>
      </w:r>
      <w:r w:rsidRPr="00A237D1">
        <w:t>. 2008.</w:t>
      </w:r>
      <w:bookmarkEnd w:id="25"/>
    </w:p>
    <w:p w:rsidR="00A237D1" w:rsidRPr="00A237D1" w:rsidRDefault="00A237D1" w:rsidP="00A237D1">
      <w:pPr>
        <w:pStyle w:val="EndNoteBibliography"/>
      </w:pPr>
      <w:bookmarkStart w:id="26" w:name="_ENREF_26"/>
      <w:r w:rsidRPr="00A237D1">
        <w:t>26.</w:t>
      </w:r>
      <w:r w:rsidRPr="00A237D1">
        <w:tab/>
        <w:t>Dunn G, Bentall R. Modelling treatment-effect heterogeneity in randomized controlled trials of complex interventions (psychological treatments).</w:t>
      </w:r>
      <w:r w:rsidRPr="00A237D1">
        <w:rPr>
          <w:i/>
        </w:rPr>
        <w:t xml:space="preserve"> Stat Med</w:t>
      </w:r>
      <w:r w:rsidRPr="00A237D1">
        <w:t>. 2007;26(26):4719-45.</w:t>
      </w:r>
      <w:bookmarkEnd w:id="26"/>
    </w:p>
    <w:p w:rsidR="00A237D1" w:rsidRPr="00A237D1" w:rsidRDefault="00A237D1" w:rsidP="00A237D1">
      <w:pPr>
        <w:pStyle w:val="EndNoteBibliography"/>
      </w:pPr>
      <w:bookmarkStart w:id="27" w:name="_ENREF_27"/>
      <w:r w:rsidRPr="00A237D1">
        <w:t>27.</w:t>
      </w:r>
      <w:r w:rsidRPr="00A237D1">
        <w:tab/>
        <w:t>Royston P. Multiple imputation of missing values: update.</w:t>
      </w:r>
      <w:r w:rsidRPr="00A237D1">
        <w:rPr>
          <w:i/>
        </w:rPr>
        <w:t xml:space="preserve"> The Stata Journal</w:t>
      </w:r>
      <w:r w:rsidRPr="00A237D1">
        <w:t>. 2005;5(2):188-201.</w:t>
      </w:r>
      <w:bookmarkEnd w:id="27"/>
    </w:p>
    <w:p w:rsidR="00A237D1" w:rsidRPr="00A237D1" w:rsidRDefault="00A237D1" w:rsidP="00A237D1">
      <w:pPr>
        <w:pStyle w:val="EndNoteBibliography"/>
      </w:pPr>
      <w:bookmarkStart w:id="28" w:name="_ENREF_28"/>
      <w:r w:rsidRPr="00A237D1">
        <w:lastRenderedPageBreak/>
        <w:t>28.</w:t>
      </w:r>
      <w:r w:rsidRPr="00A237D1">
        <w:tab/>
        <w:t>Chadwick P, Williams C, Mackenzie J. Impact of case formulation in cognitive behaviour therapy for psychosis.</w:t>
      </w:r>
      <w:r w:rsidRPr="00A237D1">
        <w:rPr>
          <w:i/>
        </w:rPr>
        <w:t xml:space="preserve"> Behav Res Ther</w:t>
      </w:r>
      <w:r w:rsidRPr="00A237D1">
        <w:t>. 2003;41(6):671-80.</w:t>
      </w:r>
      <w:bookmarkEnd w:id="28"/>
    </w:p>
    <w:p w:rsidR="00A237D1" w:rsidRPr="00A237D1" w:rsidRDefault="00A237D1" w:rsidP="00A237D1">
      <w:pPr>
        <w:pStyle w:val="EndNoteBibliography"/>
      </w:pPr>
      <w:bookmarkStart w:id="29" w:name="_ENREF_29"/>
      <w:r w:rsidRPr="00A237D1">
        <w:t>29.</w:t>
      </w:r>
      <w:r w:rsidRPr="00A237D1">
        <w:tab/>
        <w:t>Dunn H, Morrison AP, Bentall RP. The Relationship between Patient Suitability, Therapeutic Alliance, Homework Compliance and Outcome in Cognitive Therapy for Psychosis.</w:t>
      </w:r>
      <w:r w:rsidRPr="00A237D1">
        <w:rPr>
          <w:i/>
        </w:rPr>
        <w:t xml:space="preserve"> Clinical Psychology and Psychotherapy</w:t>
      </w:r>
      <w:r w:rsidRPr="00A237D1">
        <w:t>. 2006;13:145-52.</w:t>
      </w:r>
      <w:bookmarkEnd w:id="29"/>
    </w:p>
    <w:p w:rsidR="00A237D1" w:rsidRPr="00A237D1" w:rsidRDefault="00A237D1" w:rsidP="00A237D1">
      <w:pPr>
        <w:pStyle w:val="EndNoteBibliography"/>
      </w:pPr>
      <w:bookmarkStart w:id="30" w:name="_ENREF_30"/>
      <w:r w:rsidRPr="00A237D1">
        <w:t>30.</w:t>
      </w:r>
      <w:r w:rsidRPr="00A237D1">
        <w:tab/>
        <w:t>Grossman LS, Harrow M, Rosen C, Faull R, Strauss GP. Sex differences in schizophrenia and other psychotic disorders: a 20-year longitudinal study of psychosis and recovery.</w:t>
      </w:r>
      <w:r w:rsidRPr="00A237D1">
        <w:rPr>
          <w:i/>
        </w:rPr>
        <w:t xml:space="preserve"> Compr Psychiatry</w:t>
      </w:r>
      <w:r w:rsidRPr="00A237D1">
        <w:t>. 2008;49(6):523-9.</w:t>
      </w:r>
      <w:bookmarkEnd w:id="30"/>
    </w:p>
    <w:p w:rsidR="00B345A7" w:rsidRDefault="00CA2B2A" w:rsidP="00470A26">
      <w:pPr>
        <w:ind w:left="720" w:hanging="720"/>
      </w:pPr>
      <w:r>
        <w:fldChar w:fldCharType="end"/>
      </w:r>
    </w:p>
    <w:p w:rsidR="00B345A7" w:rsidRDefault="00B345A7" w:rsidP="00867F6B">
      <w:pPr>
        <w:spacing w:line="360" w:lineRule="auto"/>
        <w:ind w:left="720" w:hanging="720"/>
        <w:sectPr w:rsidR="00B345A7" w:rsidSect="008672D9">
          <w:footerReference w:type="default" r:id="rId7"/>
          <w:pgSz w:w="11906" w:h="16838"/>
          <w:pgMar w:top="1440" w:right="1440" w:bottom="1440" w:left="1440" w:header="708" w:footer="708" w:gutter="0"/>
          <w:cols w:space="708"/>
          <w:docGrid w:linePitch="360"/>
        </w:sectPr>
      </w:pPr>
    </w:p>
    <w:p w:rsidR="00B345A7" w:rsidRDefault="00B345A7" w:rsidP="00867F6B">
      <w:pPr>
        <w:pStyle w:val="Caption"/>
        <w:keepNext/>
        <w:spacing w:line="360" w:lineRule="auto"/>
      </w:pPr>
      <w:r>
        <w:lastRenderedPageBreak/>
        <w:t xml:space="preserve">Table </w:t>
      </w:r>
      <w:fldSimple w:instr=" SEQ Table \* ARABIC ">
        <w:r>
          <w:rPr>
            <w:noProof/>
          </w:rPr>
          <w:t>1</w:t>
        </w:r>
      </w:fldSimple>
      <w:r>
        <w:t>: Demographic associations with content of therapy received - CBT arm only</w:t>
      </w:r>
    </w:p>
    <w:tbl>
      <w:tblPr>
        <w:tblW w:w="5309" w:type="pct"/>
        <w:tblLayout w:type="fixed"/>
        <w:tblLook w:val="00A0"/>
      </w:tblPr>
      <w:tblGrid>
        <w:gridCol w:w="1524"/>
        <w:gridCol w:w="2692"/>
        <w:gridCol w:w="985"/>
        <w:gridCol w:w="991"/>
        <w:gridCol w:w="725"/>
        <w:gridCol w:w="960"/>
        <w:gridCol w:w="990"/>
        <w:gridCol w:w="743"/>
        <w:gridCol w:w="984"/>
        <w:gridCol w:w="969"/>
        <w:gridCol w:w="710"/>
        <w:gridCol w:w="1008"/>
        <w:gridCol w:w="138"/>
        <w:gridCol w:w="921"/>
        <w:gridCol w:w="710"/>
      </w:tblGrid>
      <w:tr w:rsidR="00B345A7" w:rsidRPr="00B6071A" w:rsidTr="00FC634F">
        <w:trPr>
          <w:trHeight w:val="300"/>
        </w:trPr>
        <w:tc>
          <w:tcPr>
            <w:tcW w:w="506" w:type="pct"/>
            <w:tcBorders>
              <w:top w:val="nil"/>
              <w:left w:val="nil"/>
              <w:bottom w:val="nil"/>
              <w:right w:val="nil"/>
            </w:tcBorders>
            <w:noWrap/>
            <w:vAlign w:val="bottom"/>
          </w:tcPr>
          <w:p w:rsidR="00B345A7" w:rsidRPr="00B6071A" w:rsidRDefault="00B345A7" w:rsidP="004F4234">
            <w:pPr>
              <w:rPr>
                <w:color w:val="000000"/>
                <w:sz w:val="18"/>
                <w:szCs w:val="18"/>
                <w:lang w:eastAsia="en-GB"/>
              </w:rPr>
            </w:pPr>
          </w:p>
        </w:tc>
        <w:tc>
          <w:tcPr>
            <w:tcW w:w="894" w:type="pct"/>
            <w:tcBorders>
              <w:top w:val="nil"/>
              <w:left w:val="nil"/>
              <w:bottom w:val="nil"/>
              <w:right w:val="nil"/>
            </w:tcBorders>
            <w:noWrap/>
            <w:vAlign w:val="bottom"/>
          </w:tcPr>
          <w:p w:rsidR="00B345A7" w:rsidRPr="00B6071A" w:rsidRDefault="00B345A7" w:rsidP="004F4234">
            <w:pPr>
              <w:rPr>
                <w:color w:val="000000"/>
                <w:sz w:val="18"/>
                <w:szCs w:val="18"/>
                <w:lang w:eastAsia="en-GB"/>
              </w:rPr>
            </w:pPr>
          </w:p>
        </w:tc>
        <w:tc>
          <w:tcPr>
            <w:tcW w:w="896" w:type="pct"/>
            <w:gridSpan w:val="3"/>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Assessment of problems and goals</w:t>
            </w:r>
          </w:p>
        </w:tc>
        <w:tc>
          <w:tcPr>
            <w:tcW w:w="895" w:type="pct"/>
            <w:gridSpan w:val="3"/>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Formulation</w:t>
            </w:r>
          </w:p>
        </w:tc>
        <w:tc>
          <w:tcPr>
            <w:tcW w:w="883" w:type="pct"/>
            <w:gridSpan w:val="3"/>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Homework</w:t>
            </w:r>
          </w:p>
        </w:tc>
        <w:tc>
          <w:tcPr>
            <w:tcW w:w="924" w:type="pct"/>
            <w:gridSpan w:val="4"/>
            <w:tcBorders>
              <w:top w:val="single" w:sz="4" w:space="0" w:color="auto"/>
              <w:left w:val="single" w:sz="4" w:space="0" w:color="auto"/>
              <w:bottom w:val="nil"/>
              <w:right w:val="single" w:sz="4" w:space="0" w:color="000000"/>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Active change strategies</w:t>
            </w:r>
          </w:p>
        </w:tc>
      </w:tr>
      <w:tr w:rsidR="00B345A7" w:rsidRPr="00B6071A" w:rsidTr="00FC634F">
        <w:trPr>
          <w:trHeight w:val="300"/>
        </w:trPr>
        <w:tc>
          <w:tcPr>
            <w:tcW w:w="506" w:type="pct"/>
            <w:tcBorders>
              <w:top w:val="nil"/>
              <w:left w:val="nil"/>
              <w:bottom w:val="single" w:sz="4" w:space="0" w:color="auto"/>
              <w:right w:val="nil"/>
            </w:tcBorders>
            <w:noWrap/>
            <w:vAlign w:val="bottom"/>
          </w:tcPr>
          <w:p w:rsidR="00B345A7" w:rsidRPr="00B6071A" w:rsidRDefault="00B345A7" w:rsidP="004F4234">
            <w:pPr>
              <w:rPr>
                <w:color w:val="000000"/>
                <w:sz w:val="18"/>
                <w:szCs w:val="18"/>
                <w:lang w:eastAsia="en-GB"/>
              </w:rPr>
            </w:pPr>
          </w:p>
        </w:tc>
        <w:tc>
          <w:tcPr>
            <w:tcW w:w="894" w:type="pct"/>
            <w:tcBorders>
              <w:top w:val="nil"/>
              <w:left w:val="nil"/>
              <w:bottom w:val="single" w:sz="4" w:space="0" w:color="auto"/>
              <w:right w:val="nil"/>
            </w:tcBorders>
            <w:noWrap/>
            <w:vAlign w:val="bottom"/>
          </w:tcPr>
          <w:p w:rsidR="00B345A7" w:rsidRPr="00B6071A" w:rsidRDefault="00B345A7" w:rsidP="004F4234">
            <w:pPr>
              <w:rPr>
                <w:color w:val="000000"/>
                <w:sz w:val="18"/>
                <w:szCs w:val="18"/>
                <w:lang w:eastAsia="en-GB"/>
              </w:rPr>
            </w:pP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No</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Yes</w:t>
            </w:r>
          </w:p>
        </w:tc>
        <w:tc>
          <w:tcPr>
            <w:tcW w:w="241" w:type="pct"/>
            <w:tcBorders>
              <w:top w:val="nil"/>
              <w:left w:val="nil"/>
              <w:bottom w:val="nil"/>
              <w:right w:val="nil"/>
            </w:tcBorders>
            <w:noWrap/>
            <w:vAlign w:val="bottom"/>
          </w:tcPr>
          <w:p w:rsidR="00B345A7" w:rsidRPr="00B6071A" w:rsidRDefault="00B345A7" w:rsidP="00FC634F">
            <w:pPr>
              <w:jc w:val="center"/>
              <w:rPr>
                <w:color w:val="000000"/>
                <w:sz w:val="18"/>
                <w:szCs w:val="18"/>
                <w:lang w:eastAsia="en-GB"/>
              </w:rPr>
            </w:pPr>
            <w:r w:rsidRPr="00B6071A">
              <w:rPr>
                <w:color w:val="000000"/>
                <w:sz w:val="18"/>
                <w:szCs w:val="18"/>
                <w:lang w:eastAsia="en-GB"/>
              </w:rPr>
              <w:t>p</w:t>
            </w:r>
            <w:r>
              <w:rPr>
                <w:color w:val="000000"/>
                <w:sz w:val="18"/>
                <w:szCs w:val="18"/>
                <w:lang w:eastAsia="en-GB"/>
              </w:rPr>
              <w:t>-value</w:t>
            </w:r>
          </w:p>
        </w:tc>
        <w:tc>
          <w:tcPr>
            <w:tcW w:w="319"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No</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Yes</w:t>
            </w:r>
          </w:p>
        </w:tc>
        <w:tc>
          <w:tcPr>
            <w:tcW w:w="247" w:type="pct"/>
            <w:tcBorders>
              <w:top w:val="nil"/>
              <w:left w:val="nil"/>
              <w:bottom w:val="nil"/>
              <w:right w:val="nil"/>
            </w:tcBorders>
            <w:noWrap/>
            <w:vAlign w:val="bottom"/>
          </w:tcPr>
          <w:p w:rsidR="00B345A7" w:rsidRPr="00B6071A" w:rsidRDefault="00B345A7" w:rsidP="00FC634F">
            <w:pPr>
              <w:jc w:val="center"/>
              <w:rPr>
                <w:color w:val="000000"/>
                <w:sz w:val="18"/>
                <w:szCs w:val="18"/>
                <w:lang w:eastAsia="en-GB"/>
              </w:rPr>
            </w:pPr>
            <w:r w:rsidRPr="00B6071A">
              <w:rPr>
                <w:color w:val="000000"/>
                <w:sz w:val="18"/>
                <w:szCs w:val="18"/>
                <w:lang w:eastAsia="en-GB"/>
              </w:rPr>
              <w:t>p</w:t>
            </w:r>
            <w:r>
              <w:rPr>
                <w:color w:val="000000"/>
                <w:sz w:val="18"/>
                <w:szCs w:val="18"/>
                <w:lang w:eastAsia="en-GB"/>
              </w:rPr>
              <w:t>-value</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No</w:t>
            </w:r>
          </w:p>
        </w:tc>
        <w:tc>
          <w:tcPr>
            <w:tcW w:w="322"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Yes</w:t>
            </w:r>
          </w:p>
        </w:tc>
        <w:tc>
          <w:tcPr>
            <w:tcW w:w="236" w:type="pct"/>
            <w:tcBorders>
              <w:top w:val="nil"/>
              <w:left w:val="nil"/>
              <w:bottom w:val="nil"/>
              <w:right w:val="nil"/>
            </w:tcBorders>
            <w:noWrap/>
            <w:vAlign w:val="bottom"/>
          </w:tcPr>
          <w:p w:rsidR="00B345A7" w:rsidRPr="00B6071A" w:rsidRDefault="00B345A7" w:rsidP="00FC634F">
            <w:pPr>
              <w:jc w:val="center"/>
              <w:rPr>
                <w:color w:val="000000"/>
                <w:sz w:val="18"/>
                <w:szCs w:val="18"/>
                <w:lang w:eastAsia="en-GB"/>
              </w:rPr>
            </w:pPr>
            <w:r w:rsidRPr="00B6071A">
              <w:rPr>
                <w:color w:val="000000"/>
                <w:sz w:val="18"/>
                <w:szCs w:val="18"/>
                <w:lang w:eastAsia="en-GB"/>
              </w:rPr>
              <w:t>p</w:t>
            </w:r>
            <w:r>
              <w:rPr>
                <w:color w:val="000000"/>
                <w:sz w:val="18"/>
                <w:szCs w:val="18"/>
                <w:lang w:eastAsia="en-GB"/>
              </w:rPr>
              <w:t>-value</w:t>
            </w:r>
          </w:p>
        </w:tc>
        <w:tc>
          <w:tcPr>
            <w:tcW w:w="335"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No</w:t>
            </w:r>
          </w:p>
        </w:tc>
        <w:tc>
          <w:tcPr>
            <w:tcW w:w="352" w:type="pct"/>
            <w:gridSpan w:val="2"/>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Yes</w:t>
            </w:r>
          </w:p>
        </w:tc>
        <w:tc>
          <w:tcPr>
            <w:tcW w:w="237" w:type="pct"/>
            <w:tcBorders>
              <w:top w:val="nil"/>
              <w:left w:val="nil"/>
              <w:bottom w:val="nil"/>
              <w:right w:val="single" w:sz="4" w:space="0" w:color="auto"/>
            </w:tcBorders>
            <w:noWrap/>
            <w:vAlign w:val="bottom"/>
          </w:tcPr>
          <w:p w:rsidR="00B345A7" w:rsidRPr="00B6071A" w:rsidRDefault="00B345A7" w:rsidP="00FC634F">
            <w:pPr>
              <w:jc w:val="center"/>
              <w:rPr>
                <w:color w:val="000000"/>
                <w:sz w:val="18"/>
                <w:szCs w:val="18"/>
                <w:lang w:eastAsia="en-GB"/>
              </w:rPr>
            </w:pPr>
            <w:r w:rsidRPr="00B6071A">
              <w:rPr>
                <w:color w:val="000000"/>
                <w:sz w:val="18"/>
                <w:szCs w:val="18"/>
                <w:lang w:eastAsia="en-GB"/>
              </w:rPr>
              <w:t>p</w:t>
            </w:r>
            <w:r>
              <w:rPr>
                <w:color w:val="000000"/>
                <w:sz w:val="18"/>
                <w:szCs w:val="18"/>
                <w:lang w:eastAsia="en-GB"/>
              </w:rPr>
              <w:t>-value</w:t>
            </w:r>
          </w:p>
        </w:tc>
      </w:tr>
      <w:tr w:rsidR="00B345A7" w:rsidRPr="00B6071A" w:rsidTr="00FC634F">
        <w:trPr>
          <w:trHeight w:val="300"/>
        </w:trPr>
        <w:tc>
          <w:tcPr>
            <w:tcW w:w="506" w:type="pct"/>
            <w:tcBorders>
              <w:top w:val="single" w:sz="4" w:space="0" w:color="auto"/>
              <w:left w:val="single" w:sz="4" w:space="0" w:color="auto"/>
              <w:bottom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Gender</w:t>
            </w:r>
          </w:p>
        </w:tc>
        <w:tc>
          <w:tcPr>
            <w:tcW w:w="894" w:type="pct"/>
            <w:tcBorders>
              <w:top w:val="single" w:sz="4" w:space="0" w:color="auto"/>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Male: n (%)</w:t>
            </w:r>
          </w:p>
        </w:tc>
        <w:tc>
          <w:tcPr>
            <w:tcW w:w="327" w:type="pct"/>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33 (37%)</w:t>
            </w:r>
          </w:p>
        </w:tc>
        <w:tc>
          <w:tcPr>
            <w:tcW w:w="329" w:type="pct"/>
            <w:tcBorders>
              <w:top w:val="single" w:sz="4" w:space="0" w:color="auto"/>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56 (63%)</w:t>
            </w:r>
          </w:p>
        </w:tc>
        <w:tc>
          <w:tcPr>
            <w:tcW w:w="241" w:type="pct"/>
            <w:tcBorders>
              <w:top w:val="single" w:sz="4" w:space="0" w:color="auto"/>
              <w:left w:val="nil"/>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 </w:t>
            </w:r>
          </w:p>
        </w:tc>
        <w:tc>
          <w:tcPr>
            <w:tcW w:w="319" w:type="pct"/>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41 (46%)</w:t>
            </w:r>
          </w:p>
        </w:tc>
        <w:tc>
          <w:tcPr>
            <w:tcW w:w="329" w:type="pct"/>
            <w:tcBorders>
              <w:top w:val="single" w:sz="4" w:space="0" w:color="auto"/>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48 (54%)</w:t>
            </w:r>
          </w:p>
        </w:tc>
        <w:tc>
          <w:tcPr>
            <w:tcW w:w="247" w:type="pct"/>
            <w:tcBorders>
              <w:top w:val="single" w:sz="4" w:space="0" w:color="auto"/>
              <w:left w:val="nil"/>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 </w:t>
            </w:r>
          </w:p>
        </w:tc>
        <w:tc>
          <w:tcPr>
            <w:tcW w:w="327" w:type="pct"/>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48 (54%)</w:t>
            </w:r>
          </w:p>
        </w:tc>
        <w:tc>
          <w:tcPr>
            <w:tcW w:w="322" w:type="pct"/>
            <w:tcBorders>
              <w:top w:val="single" w:sz="4" w:space="0" w:color="auto"/>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41 (46%)</w:t>
            </w:r>
          </w:p>
        </w:tc>
        <w:tc>
          <w:tcPr>
            <w:tcW w:w="236" w:type="pct"/>
            <w:tcBorders>
              <w:top w:val="single" w:sz="4" w:space="0" w:color="auto"/>
              <w:left w:val="nil"/>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 </w:t>
            </w:r>
          </w:p>
        </w:tc>
        <w:tc>
          <w:tcPr>
            <w:tcW w:w="335" w:type="pct"/>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45 (51%)</w:t>
            </w:r>
          </w:p>
        </w:tc>
        <w:tc>
          <w:tcPr>
            <w:tcW w:w="352" w:type="pct"/>
            <w:gridSpan w:val="2"/>
            <w:tcBorders>
              <w:top w:val="single" w:sz="4" w:space="0" w:color="auto"/>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44 (49%)</w:t>
            </w:r>
          </w:p>
        </w:tc>
        <w:tc>
          <w:tcPr>
            <w:tcW w:w="237" w:type="pct"/>
            <w:tcBorders>
              <w:top w:val="single" w:sz="4" w:space="0" w:color="auto"/>
              <w:left w:val="nil"/>
              <w:bottom w:val="nil"/>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r>
      <w:tr w:rsidR="00B345A7" w:rsidRPr="00B6071A" w:rsidTr="00FC634F">
        <w:trPr>
          <w:trHeight w:val="300"/>
        </w:trPr>
        <w:tc>
          <w:tcPr>
            <w:tcW w:w="506" w:type="pct"/>
            <w:tcBorders>
              <w:top w:val="nil"/>
              <w:left w:val="single" w:sz="4" w:space="0" w:color="auto"/>
              <w:bottom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 </w:t>
            </w:r>
          </w:p>
        </w:tc>
        <w:tc>
          <w:tcPr>
            <w:tcW w:w="894" w:type="pct"/>
            <w:tcBorders>
              <w:top w:val="nil"/>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Female: n (%)</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11 (20%)</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44 (80%)</w:t>
            </w:r>
          </w:p>
        </w:tc>
        <w:tc>
          <w:tcPr>
            <w:tcW w:w="241" w:type="pct"/>
            <w:tcBorders>
              <w:top w:val="nil"/>
              <w:left w:val="nil"/>
              <w:bottom w:val="nil"/>
              <w:right w:val="nil"/>
            </w:tcBorders>
            <w:noWrap/>
            <w:vAlign w:val="bottom"/>
          </w:tcPr>
          <w:p w:rsidR="00B345A7" w:rsidRPr="00B6071A" w:rsidRDefault="00B345A7" w:rsidP="004F4234">
            <w:pPr>
              <w:jc w:val="right"/>
              <w:rPr>
                <w:bCs/>
                <w:color w:val="000000"/>
                <w:sz w:val="18"/>
                <w:szCs w:val="18"/>
                <w:lang w:eastAsia="en-GB"/>
              </w:rPr>
            </w:pPr>
            <w:r w:rsidRPr="00B6071A">
              <w:rPr>
                <w:bCs/>
                <w:color w:val="000000"/>
                <w:sz w:val="18"/>
                <w:szCs w:val="18"/>
                <w:lang w:eastAsia="en-GB"/>
              </w:rPr>
              <w:t>0.03</w:t>
            </w:r>
          </w:p>
        </w:tc>
        <w:tc>
          <w:tcPr>
            <w:tcW w:w="319"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24 (44%)</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31 (56%)</w:t>
            </w:r>
          </w:p>
        </w:tc>
        <w:tc>
          <w:tcPr>
            <w:tcW w:w="247" w:type="pct"/>
            <w:tcBorders>
              <w:top w:val="nil"/>
              <w:left w:val="nil"/>
              <w:bottom w:val="nil"/>
              <w:right w:val="nil"/>
            </w:tcBorders>
            <w:noWrap/>
            <w:vAlign w:val="bottom"/>
          </w:tcPr>
          <w:p w:rsidR="00B345A7" w:rsidRPr="00B6071A" w:rsidRDefault="00B345A7" w:rsidP="00BE0D8E">
            <w:pPr>
              <w:jc w:val="right"/>
              <w:rPr>
                <w:color w:val="000000"/>
                <w:sz w:val="18"/>
                <w:szCs w:val="18"/>
                <w:lang w:eastAsia="en-GB"/>
              </w:rPr>
            </w:pPr>
            <w:r>
              <w:rPr>
                <w:color w:val="000000"/>
                <w:sz w:val="18"/>
                <w:szCs w:val="18"/>
                <w:lang w:eastAsia="en-GB"/>
              </w:rPr>
              <w:t>0.78</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33 (60%)</w:t>
            </w:r>
          </w:p>
        </w:tc>
        <w:tc>
          <w:tcPr>
            <w:tcW w:w="322"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22 (40%)</w:t>
            </w:r>
          </w:p>
        </w:tc>
        <w:tc>
          <w:tcPr>
            <w:tcW w:w="236" w:type="pct"/>
            <w:tcBorders>
              <w:top w:val="nil"/>
              <w:left w:val="nil"/>
              <w:bottom w:val="nil"/>
              <w:right w:val="nil"/>
            </w:tcBorders>
            <w:noWrap/>
            <w:vAlign w:val="bottom"/>
          </w:tcPr>
          <w:p w:rsidR="00B345A7" w:rsidRPr="00B6071A" w:rsidRDefault="00B345A7" w:rsidP="00BE0D8E">
            <w:pPr>
              <w:jc w:val="right"/>
              <w:rPr>
                <w:color w:val="000000"/>
                <w:sz w:val="18"/>
                <w:szCs w:val="18"/>
                <w:lang w:eastAsia="en-GB"/>
              </w:rPr>
            </w:pPr>
            <w:r>
              <w:rPr>
                <w:color w:val="000000"/>
                <w:sz w:val="18"/>
                <w:szCs w:val="18"/>
                <w:lang w:eastAsia="en-GB"/>
              </w:rPr>
              <w:t>0.48</w:t>
            </w:r>
          </w:p>
        </w:tc>
        <w:tc>
          <w:tcPr>
            <w:tcW w:w="335"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27 (49%)</w:t>
            </w:r>
          </w:p>
        </w:tc>
        <w:tc>
          <w:tcPr>
            <w:tcW w:w="352" w:type="pct"/>
            <w:gridSpan w:val="2"/>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28 (51%)</w:t>
            </w:r>
          </w:p>
        </w:tc>
        <w:tc>
          <w:tcPr>
            <w:tcW w:w="237" w:type="pct"/>
            <w:tcBorders>
              <w:top w:val="nil"/>
              <w:left w:val="nil"/>
              <w:bottom w:val="nil"/>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0.86</w:t>
            </w:r>
          </w:p>
        </w:tc>
      </w:tr>
      <w:tr w:rsidR="00B345A7" w:rsidRPr="00B6071A" w:rsidTr="00FC634F">
        <w:trPr>
          <w:trHeight w:val="300"/>
        </w:trPr>
        <w:tc>
          <w:tcPr>
            <w:tcW w:w="506" w:type="pct"/>
            <w:tcBorders>
              <w:top w:val="single" w:sz="4" w:space="0" w:color="auto"/>
              <w:left w:val="single" w:sz="4" w:space="0" w:color="auto"/>
              <w:bottom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Age</w:t>
            </w:r>
          </w:p>
        </w:tc>
        <w:tc>
          <w:tcPr>
            <w:tcW w:w="894" w:type="pct"/>
            <w:tcBorders>
              <w:top w:val="single" w:sz="4" w:space="0" w:color="auto"/>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 mean (sd)</w:t>
            </w:r>
          </w:p>
        </w:tc>
        <w:tc>
          <w:tcPr>
            <w:tcW w:w="327" w:type="pct"/>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20 (3.9)</w:t>
            </w:r>
          </w:p>
        </w:tc>
        <w:tc>
          <w:tcPr>
            <w:tcW w:w="329" w:type="pct"/>
            <w:tcBorders>
              <w:top w:val="single" w:sz="4" w:space="0" w:color="auto"/>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21 (4.3)</w:t>
            </w:r>
          </w:p>
        </w:tc>
        <w:tc>
          <w:tcPr>
            <w:tcW w:w="241" w:type="pct"/>
            <w:tcBorders>
              <w:top w:val="single" w:sz="4" w:space="0" w:color="auto"/>
              <w:left w:val="nil"/>
              <w:bottom w:val="nil"/>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0.2</w:t>
            </w:r>
            <w:r>
              <w:rPr>
                <w:color w:val="000000"/>
                <w:sz w:val="18"/>
                <w:szCs w:val="18"/>
                <w:lang w:eastAsia="en-GB"/>
              </w:rPr>
              <w:t>8</w:t>
            </w:r>
          </w:p>
        </w:tc>
        <w:tc>
          <w:tcPr>
            <w:tcW w:w="319" w:type="pct"/>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20 (4.1)</w:t>
            </w:r>
          </w:p>
        </w:tc>
        <w:tc>
          <w:tcPr>
            <w:tcW w:w="329" w:type="pct"/>
            <w:tcBorders>
              <w:top w:val="single" w:sz="4" w:space="0" w:color="auto"/>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21 (4.3)</w:t>
            </w:r>
          </w:p>
        </w:tc>
        <w:tc>
          <w:tcPr>
            <w:tcW w:w="247" w:type="pct"/>
            <w:tcBorders>
              <w:top w:val="single" w:sz="4" w:space="0" w:color="auto"/>
              <w:left w:val="nil"/>
              <w:bottom w:val="nil"/>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0.46</w:t>
            </w:r>
          </w:p>
        </w:tc>
        <w:tc>
          <w:tcPr>
            <w:tcW w:w="327" w:type="pct"/>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20 (3.7)</w:t>
            </w:r>
          </w:p>
        </w:tc>
        <w:tc>
          <w:tcPr>
            <w:tcW w:w="322" w:type="pct"/>
            <w:tcBorders>
              <w:top w:val="single" w:sz="4" w:space="0" w:color="auto"/>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21 (4.7)</w:t>
            </w:r>
          </w:p>
        </w:tc>
        <w:tc>
          <w:tcPr>
            <w:tcW w:w="236" w:type="pct"/>
            <w:tcBorders>
              <w:top w:val="single" w:sz="4" w:space="0" w:color="auto"/>
              <w:left w:val="nil"/>
              <w:bottom w:val="nil"/>
              <w:right w:val="nil"/>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0.0</w:t>
            </w:r>
            <w:r>
              <w:rPr>
                <w:color w:val="000000"/>
                <w:sz w:val="18"/>
                <w:szCs w:val="18"/>
                <w:lang w:eastAsia="en-GB"/>
              </w:rPr>
              <w:t>8</w:t>
            </w:r>
          </w:p>
        </w:tc>
        <w:tc>
          <w:tcPr>
            <w:tcW w:w="335" w:type="pct"/>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20 (3.9)</w:t>
            </w:r>
          </w:p>
        </w:tc>
        <w:tc>
          <w:tcPr>
            <w:tcW w:w="352" w:type="pct"/>
            <w:gridSpan w:val="2"/>
            <w:tcBorders>
              <w:top w:val="single" w:sz="4" w:space="0" w:color="auto"/>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21 (4.4)</w:t>
            </w:r>
          </w:p>
        </w:tc>
        <w:tc>
          <w:tcPr>
            <w:tcW w:w="237" w:type="pct"/>
            <w:tcBorders>
              <w:top w:val="single" w:sz="4" w:space="0" w:color="auto"/>
              <w:left w:val="nil"/>
              <w:bottom w:val="nil"/>
              <w:right w:val="single" w:sz="4" w:space="0" w:color="auto"/>
            </w:tcBorders>
            <w:noWrap/>
            <w:vAlign w:val="bottom"/>
          </w:tcPr>
          <w:p w:rsidR="00B345A7" w:rsidRPr="00B6071A" w:rsidRDefault="00B345A7" w:rsidP="00BE0D8E">
            <w:pPr>
              <w:jc w:val="right"/>
              <w:rPr>
                <w:color w:val="000000"/>
                <w:sz w:val="18"/>
                <w:szCs w:val="18"/>
                <w:lang w:eastAsia="en-GB"/>
              </w:rPr>
            </w:pPr>
            <w:r>
              <w:rPr>
                <w:color w:val="000000"/>
                <w:sz w:val="18"/>
                <w:szCs w:val="18"/>
                <w:lang w:eastAsia="en-GB"/>
              </w:rPr>
              <w:t>0.06</w:t>
            </w:r>
          </w:p>
        </w:tc>
      </w:tr>
      <w:tr w:rsidR="00B345A7" w:rsidRPr="00B6071A" w:rsidTr="00FC634F">
        <w:trPr>
          <w:trHeight w:val="300"/>
        </w:trPr>
        <w:tc>
          <w:tcPr>
            <w:tcW w:w="506" w:type="pct"/>
            <w:tcBorders>
              <w:top w:val="single" w:sz="4" w:space="0" w:color="auto"/>
              <w:left w:val="single" w:sz="4" w:space="0" w:color="auto"/>
              <w:bottom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Ethnicity</w:t>
            </w:r>
          </w:p>
        </w:tc>
        <w:tc>
          <w:tcPr>
            <w:tcW w:w="894" w:type="pct"/>
            <w:tcBorders>
              <w:top w:val="single" w:sz="4" w:space="0" w:color="auto"/>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Non-white: n (%)</w:t>
            </w:r>
          </w:p>
        </w:tc>
        <w:tc>
          <w:tcPr>
            <w:tcW w:w="327" w:type="pct"/>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 (21%)</w:t>
            </w:r>
          </w:p>
        </w:tc>
        <w:tc>
          <w:tcPr>
            <w:tcW w:w="329" w:type="pct"/>
            <w:tcBorders>
              <w:top w:val="single" w:sz="4" w:space="0" w:color="auto"/>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11 (79%)</w:t>
            </w:r>
          </w:p>
        </w:tc>
        <w:tc>
          <w:tcPr>
            <w:tcW w:w="241" w:type="pct"/>
            <w:tcBorders>
              <w:top w:val="single" w:sz="4" w:space="0" w:color="auto"/>
              <w:left w:val="nil"/>
              <w:bottom w:val="nil"/>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 </w:t>
            </w:r>
          </w:p>
        </w:tc>
        <w:tc>
          <w:tcPr>
            <w:tcW w:w="319" w:type="pct"/>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 (29%)</w:t>
            </w:r>
          </w:p>
        </w:tc>
        <w:tc>
          <w:tcPr>
            <w:tcW w:w="329" w:type="pct"/>
            <w:tcBorders>
              <w:top w:val="single" w:sz="4" w:space="0" w:color="auto"/>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10 (71%)</w:t>
            </w:r>
          </w:p>
        </w:tc>
        <w:tc>
          <w:tcPr>
            <w:tcW w:w="247" w:type="pct"/>
            <w:tcBorders>
              <w:top w:val="single" w:sz="4" w:space="0" w:color="auto"/>
              <w:left w:val="nil"/>
              <w:bottom w:val="nil"/>
              <w:right w:val="nil"/>
            </w:tcBorders>
            <w:noWrap/>
            <w:vAlign w:val="bottom"/>
          </w:tcPr>
          <w:p w:rsidR="00B345A7" w:rsidRPr="00B6071A" w:rsidRDefault="00B345A7" w:rsidP="004F4234">
            <w:pPr>
              <w:jc w:val="right"/>
              <w:rPr>
                <w:color w:val="000000"/>
                <w:sz w:val="18"/>
                <w:szCs w:val="18"/>
                <w:lang w:eastAsia="en-GB"/>
              </w:rPr>
            </w:pPr>
          </w:p>
        </w:tc>
        <w:tc>
          <w:tcPr>
            <w:tcW w:w="327" w:type="pct"/>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8 (57%)</w:t>
            </w:r>
          </w:p>
        </w:tc>
        <w:tc>
          <w:tcPr>
            <w:tcW w:w="322" w:type="pct"/>
            <w:tcBorders>
              <w:top w:val="single" w:sz="4" w:space="0" w:color="auto"/>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6 (43%)</w:t>
            </w:r>
          </w:p>
        </w:tc>
        <w:tc>
          <w:tcPr>
            <w:tcW w:w="236" w:type="pct"/>
            <w:tcBorders>
              <w:top w:val="single" w:sz="4" w:space="0" w:color="auto"/>
              <w:left w:val="nil"/>
              <w:bottom w:val="nil"/>
              <w:right w:val="nil"/>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c>
          <w:tcPr>
            <w:tcW w:w="335" w:type="pct"/>
            <w:tcBorders>
              <w:top w:val="single" w:sz="4" w:space="0" w:color="auto"/>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7 (50%)</w:t>
            </w:r>
          </w:p>
        </w:tc>
        <w:tc>
          <w:tcPr>
            <w:tcW w:w="352" w:type="pct"/>
            <w:gridSpan w:val="2"/>
            <w:tcBorders>
              <w:top w:val="single" w:sz="4" w:space="0" w:color="auto"/>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7 (50%)</w:t>
            </w:r>
          </w:p>
        </w:tc>
        <w:tc>
          <w:tcPr>
            <w:tcW w:w="237" w:type="pct"/>
            <w:tcBorders>
              <w:top w:val="single" w:sz="4" w:space="0" w:color="auto"/>
              <w:left w:val="nil"/>
              <w:bottom w:val="nil"/>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r>
      <w:tr w:rsidR="00B345A7" w:rsidRPr="00B6071A" w:rsidTr="00FC634F">
        <w:trPr>
          <w:trHeight w:val="300"/>
        </w:trPr>
        <w:tc>
          <w:tcPr>
            <w:tcW w:w="506" w:type="pct"/>
            <w:tcBorders>
              <w:top w:val="nil"/>
              <w:left w:val="single" w:sz="4" w:space="0" w:color="auto"/>
              <w:bottom w:val="single" w:sz="4" w:space="0" w:color="auto"/>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 </w:t>
            </w:r>
          </w:p>
        </w:tc>
        <w:tc>
          <w:tcPr>
            <w:tcW w:w="894" w:type="pct"/>
            <w:tcBorders>
              <w:top w:val="nil"/>
              <w:bottom w:val="single" w:sz="4" w:space="0" w:color="auto"/>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White: n (%)</w:t>
            </w:r>
          </w:p>
        </w:tc>
        <w:tc>
          <w:tcPr>
            <w:tcW w:w="327"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40 (31%)</w:t>
            </w:r>
          </w:p>
        </w:tc>
        <w:tc>
          <w:tcPr>
            <w:tcW w:w="329" w:type="pct"/>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88 (69%)</w:t>
            </w:r>
          </w:p>
        </w:tc>
        <w:tc>
          <w:tcPr>
            <w:tcW w:w="241" w:type="pct"/>
            <w:tcBorders>
              <w:top w:val="nil"/>
              <w:left w:val="nil"/>
              <w:bottom w:val="single" w:sz="4" w:space="0" w:color="auto"/>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0.4</w:t>
            </w:r>
            <w:r>
              <w:rPr>
                <w:color w:val="000000"/>
                <w:sz w:val="18"/>
                <w:szCs w:val="18"/>
                <w:lang w:eastAsia="en-GB"/>
              </w:rPr>
              <w:t>5</w:t>
            </w:r>
          </w:p>
        </w:tc>
        <w:tc>
          <w:tcPr>
            <w:tcW w:w="319"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61 (48%)</w:t>
            </w:r>
          </w:p>
        </w:tc>
        <w:tc>
          <w:tcPr>
            <w:tcW w:w="329" w:type="pct"/>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67 (52%)</w:t>
            </w:r>
          </w:p>
        </w:tc>
        <w:tc>
          <w:tcPr>
            <w:tcW w:w="247" w:type="pct"/>
            <w:tcBorders>
              <w:top w:val="nil"/>
              <w:left w:val="nil"/>
              <w:bottom w:val="single" w:sz="4" w:space="0" w:color="auto"/>
              <w:right w:val="nil"/>
            </w:tcBorders>
            <w:noWrap/>
            <w:vAlign w:val="bottom"/>
          </w:tcPr>
          <w:p w:rsidR="00B345A7" w:rsidRPr="00B6071A" w:rsidRDefault="00B345A7" w:rsidP="00BE0D8E">
            <w:pPr>
              <w:jc w:val="right"/>
              <w:rPr>
                <w:color w:val="000000"/>
                <w:sz w:val="18"/>
                <w:szCs w:val="18"/>
                <w:lang w:eastAsia="en-GB"/>
              </w:rPr>
            </w:pPr>
            <w:r w:rsidRPr="00B6071A">
              <w:rPr>
                <w:color w:val="000000"/>
                <w:sz w:val="18"/>
                <w:szCs w:val="18"/>
                <w:lang w:eastAsia="en-GB"/>
              </w:rPr>
              <w:t>0.17</w:t>
            </w:r>
          </w:p>
        </w:tc>
        <w:tc>
          <w:tcPr>
            <w:tcW w:w="327"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72 (56%)</w:t>
            </w:r>
          </w:p>
        </w:tc>
        <w:tc>
          <w:tcPr>
            <w:tcW w:w="322" w:type="pct"/>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56 (44%)</w:t>
            </w:r>
          </w:p>
        </w:tc>
        <w:tc>
          <w:tcPr>
            <w:tcW w:w="236" w:type="pct"/>
            <w:tcBorders>
              <w:top w:val="nil"/>
              <w:left w:val="nil"/>
              <w:bottom w:val="single" w:sz="4" w:space="0" w:color="auto"/>
              <w:right w:val="nil"/>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0.9</w:t>
            </w:r>
            <w:r>
              <w:rPr>
                <w:color w:val="000000"/>
                <w:sz w:val="18"/>
                <w:szCs w:val="18"/>
                <w:lang w:eastAsia="en-GB"/>
              </w:rPr>
              <w:t>5</w:t>
            </w:r>
          </w:p>
        </w:tc>
        <w:tc>
          <w:tcPr>
            <w:tcW w:w="335"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65 (51%)</w:t>
            </w:r>
          </w:p>
        </w:tc>
        <w:tc>
          <w:tcPr>
            <w:tcW w:w="352" w:type="pct"/>
            <w:gridSpan w:val="2"/>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63 (49%)</w:t>
            </w:r>
          </w:p>
        </w:tc>
        <w:tc>
          <w:tcPr>
            <w:tcW w:w="237" w:type="pct"/>
            <w:tcBorders>
              <w:top w:val="nil"/>
              <w:left w:val="nil"/>
              <w:bottom w:val="single" w:sz="4" w:space="0" w:color="auto"/>
              <w:right w:val="single" w:sz="4" w:space="0" w:color="auto"/>
            </w:tcBorders>
            <w:noWrap/>
            <w:vAlign w:val="bottom"/>
          </w:tcPr>
          <w:p w:rsidR="00B345A7" w:rsidRPr="00B6071A" w:rsidRDefault="00B345A7" w:rsidP="00B6071A">
            <w:pPr>
              <w:jc w:val="right"/>
              <w:rPr>
                <w:color w:val="000000"/>
                <w:sz w:val="18"/>
                <w:szCs w:val="18"/>
                <w:lang w:eastAsia="en-GB"/>
              </w:rPr>
            </w:pPr>
            <w:r>
              <w:rPr>
                <w:color w:val="000000"/>
                <w:sz w:val="18"/>
                <w:szCs w:val="18"/>
                <w:lang w:eastAsia="en-GB"/>
              </w:rPr>
              <w:t>0.9</w:t>
            </w:r>
            <w:r w:rsidRPr="00B6071A">
              <w:rPr>
                <w:color w:val="000000"/>
                <w:sz w:val="18"/>
                <w:szCs w:val="18"/>
                <w:lang w:eastAsia="en-GB"/>
              </w:rPr>
              <w:t>6</w:t>
            </w:r>
          </w:p>
        </w:tc>
      </w:tr>
      <w:tr w:rsidR="00B345A7" w:rsidRPr="00B6071A" w:rsidTr="00FC634F">
        <w:trPr>
          <w:trHeight w:val="300"/>
        </w:trPr>
        <w:tc>
          <w:tcPr>
            <w:tcW w:w="506" w:type="pct"/>
            <w:tcBorders>
              <w:top w:val="nil"/>
              <w:left w:val="single" w:sz="4" w:space="0" w:color="auto"/>
              <w:bottom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Site</w:t>
            </w:r>
          </w:p>
        </w:tc>
        <w:tc>
          <w:tcPr>
            <w:tcW w:w="894" w:type="pct"/>
            <w:tcBorders>
              <w:top w:val="single" w:sz="4" w:space="0" w:color="auto"/>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Manchester: n (%)</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 (10%)</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36 (90%)</w:t>
            </w:r>
          </w:p>
        </w:tc>
        <w:tc>
          <w:tcPr>
            <w:tcW w:w="241"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p>
        </w:tc>
        <w:tc>
          <w:tcPr>
            <w:tcW w:w="319"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12 (30%)</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28 (70%)</w:t>
            </w:r>
          </w:p>
        </w:tc>
        <w:tc>
          <w:tcPr>
            <w:tcW w:w="247"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17 (43%)</w:t>
            </w:r>
          </w:p>
        </w:tc>
        <w:tc>
          <w:tcPr>
            <w:tcW w:w="322"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23 (58%)</w:t>
            </w:r>
          </w:p>
        </w:tc>
        <w:tc>
          <w:tcPr>
            <w:tcW w:w="236" w:type="pct"/>
            <w:tcBorders>
              <w:top w:val="nil"/>
              <w:left w:val="nil"/>
              <w:bottom w:val="nil"/>
              <w:right w:val="nil"/>
            </w:tcBorders>
            <w:noWrap/>
            <w:vAlign w:val="bottom"/>
          </w:tcPr>
          <w:p w:rsidR="00B345A7" w:rsidRPr="00B6071A" w:rsidRDefault="00B345A7" w:rsidP="00B6071A">
            <w:pPr>
              <w:jc w:val="right"/>
              <w:rPr>
                <w:color w:val="000000"/>
                <w:sz w:val="18"/>
                <w:szCs w:val="18"/>
                <w:lang w:eastAsia="en-GB"/>
              </w:rPr>
            </w:pPr>
          </w:p>
        </w:tc>
        <w:tc>
          <w:tcPr>
            <w:tcW w:w="335"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16 (40%)</w:t>
            </w:r>
          </w:p>
        </w:tc>
        <w:tc>
          <w:tcPr>
            <w:tcW w:w="352" w:type="pct"/>
            <w:gridSpan w:val="2"/>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24 (60%)</w:t>
            </w:r>
          </w:p>
        </w:tc>
        <w:tc>
          <w:tcPr>
            <w:tcW w:w="237" w:type="pct"/>
            <w:tcBorders>
              <w:top w:val="nil"/>
              <w:left w:val="nil"/>
              <w:bottom w:val="nil"/>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r>
      <w:tr w:rsidR="00B345A7" w:rsidRPr="00B6071A" w:rsidTr="00FC634F">
        <w:trPr>
          <w:trHeight w:val="300"/>
        </w:trPr>
        <w:tc>
          <w:tcPr>
            <w:tcW w:w="506" w:type="pct"/>
            <w:tcBorders>
              <w:top w:val="nil"/>
              <w:left w:val="single" w:sz="4" w:space="0" w:color="auto"/>
              <w:bottom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 </w:t>
            </w:r>
          </w:p>
        </w:tc>
        <w:tc>
          <w:tcPr>
            <w:tcW w:w="894" w:type="pct"/>
            <w:tcBorders>
              <w:top w:val="nil"/>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Birmingham: n (%)</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14 (36%)</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25 (64%)</w:t>
            </w:r>
          </w:p>
        </w:tc>
        <w:tc>
          <w:tcPr>
            <w:tcW w:w="241"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p>
        </w:tc>
        <w:tc>
          <w:tcPr>
            <w:tcW w:w="319"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14 (36%)</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25 (64%)</w:t>
            </w:r>
          </w:p>
        </w:tc>
        <w:tc>
          <w:tcPr>
            <w:tcW w:w="247"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26 (67%)</w:t>
            </w:r>
          </w:p>
        </w:tc>
        <w:tc>
          <w:tcPr>
            <w:tcW w:w="322"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13 (33%)</w:t>
            </w:r>
          </w:p>
        </w:tc>
        <w:tc>
          <w:tcPr>
            <w:tcW w:w="236" w:type="pct"/>
            <w:tcBorders>
              <w:top w:val="nil"/>
              <w:left w:val="nil"/>
              <w:bottom w:val="nil"/>
              <w:right w:val="nil"/>
            </w:tcBorders>
            <w:noWrap/>
            <w:vAlign w:val="bottom"/>
          </w:tcPr>
          <w:p w:rsidR="00B345A7" w:rsidRPr="00B6071A" w:rsidRDefault="00B345A7" w:rsidP="00B6071A">
            <w:pPr>
              <w:jc w:val="right"/>
              <w:rPr>
                <w:color w:val="000000"/>
                <w:sz w:val="18"/>
                <w:szCs w:val="18"/>
                <w:lang w:eastAsia="en-GB"/>
              </w:rPr>
            </w:pPr>
          </w:p>
        </w:tc>
        <w:tc>
          <w:tcPr>
            <w:tcW w:w="335"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21 (54%)</w:t>
            </w:r>
          </w:p>
        </w:tc>
        <w:tc>
          <w:tcPr>
            <w:tcW w:w="352" w:type="pct"/>
            <w:gridSpan w:val="2"/>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18 (46%)</w:t>
            </w:r>
          </w:p>
        </w:tc>
        <w:tc>
          <w:tcPr>
            <w:tcW w:w="237" w:type="pct"/>
            <w:tcBorders>
              <w:top w:val="nil"/>
              <w:left w:val="nil"/>
              <w:bottom w:val="nil"/>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r>
      <w:tr w:rsidR="00B345A7" w:rsidRPr="00B6071A" w:rsidTr="00FC634F">
        <w:trPr>
          <w:trHeight w:val="300"/>
        </w:trPr>
        <w:tc>
          <w:tcPr>
            <w:tcW w:w="506" w:type="pct"/>
            <w:tcBorders>
              <w:top w:val="nil"/>
              <w:left w:val="single" w:sz="4" w:space="0" w:color="auto"/>
              <w:bottom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 </w:t>
            </w:r>
          </w:p>
        </w:tc>
        <w:tc>
          <w:tcPr>
            <w:tcW w:w="894" w:type="pct"/>
            <w:tcBorders>
              <w:top w:val="nil"/>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Cambridge: n (%)</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 (21%)</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11 (79%)</w:t>
            </w:r>
          </w:p>
        </w:tc>
        <w:tc>
          <w:tcPr>
            <w:tcW w:w="241"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p>
        </w:tc>
        <w:tc>
          <w:tcPr>
            <w:tcW w:w="319"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5 (36%)</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9 (64%)</w:t>
            </w:r>
          </w:p>
        </w:tc>
        <w:tc>
          <w:tcPr>
            <w:tcW w:w="247"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6 (43%)</w:t>
            </w:r>
          </w:p>
        </w:tc>
        <w:tc>
          <w:tcPr>
            <w:tcW w:w="322"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8 (57%)</w:t>
            </w:r>
          </w:p>
        </w:tc>
        <w:tc>
          <w:tcPr>
            <w:tcW w:w="236" w:type="pct"/>
            <w:tcBorders>
              <w:top w:val="nil"/>
              <w:left w:val="nil"/>
              <w:bottom w:val="nil"/>
              <w:right w:val="nil"/>
            </w:tcBorders>
            <w:noWrap/>
            <w:vAlign w:val="bottom"/>
          </w:tcPr>
          <w:p w:rsidR="00B345A7" w:rsidRPr="00B6071A" w:rsidRDefault="00B345A7" w:rsidP="00B6071A">
            <w:pPr>
              <w:jc w:val="right"/>
              <w:rPr>
                <w:color w:val="000000"/>
                <w:sz w:val="18"/>
                <w:szCs w:val="18"/>
                <w:lang w:eastAsia="en-GB"/>
              </w:rPr>
            </w:pPr>
          </w:p>
        </w:tc>
        <w:tc>
          <w:tcPr>
            <w:tcW w:w="335"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 (21%)</w:t>
            </w:r>
          </w:p>
        </w:tc>
        <w:tc>
          <w:tcPr>
            <w:tcW w:w="352" w:type="pct"/>
            <w:gridSpan w:val="2"/>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11 (79%)</w:t>
            </w:r>
          </w:p>
        </w:tc>
        <w:tc>
          <w:tcPr>
            <w:tcW w:w="237" w:type="pct"/>
            <w:tcBorders>
              <w:top w:val="nil"/>
              <w:left w:val="nil"/>
              <w:bottom w:val="nil"/>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r>
      <w:tr w:rsidR="00B345A7" w:rsidRPr="00B6071A" w:rsidTr="00FC634F">
        <w:trPr>
          <w:trHeight w:val="300"/>
        </w:trPr>
        <w:tc>
          <w:tcPr>
            <w:tcW w:w="506" w:type="pct"/>
            <w:tcBorders>
              <w:top w:val="nil"/>
              <w:left w:val="single" w:sz="4" w:space="0" w:color="auto"/>
              <w:bottom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 </w:t>
            </w:r>
          </w:p>
        </w:tc>
        <w:tc>
          <w:tcPr>
            <w:tcW w:w="894" w:type="pct"/>
            <w:tcBorders>
              <w:top w:val="nil"/>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Norfolk: n (%)</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16 (76%)</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5 (24%)</w:t>
            </w:r>
          </w:p>
        </w:tc>
        <w:tc>
          <w:tcPr>
            <w:tcW w:w="241"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p>
        </w:tc>
        <w:tc>
          <w:tcPr>
            <w:tcW w:w="319"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18 (86%)</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 (14%)</w:t>
            </w:r>
          </w:p>
        </w:tc>
        <w:tc>
          <w:tcPr>
            <w:tcW w:w="247"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13 (62%)</w:t>
            </w:r>
          </w:p>
        </w:tc>
        <w:tc>
          <w:tcPr>
            <w:tcW w:w="322"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8 (38%)</w:t>
            </w:r>
          </w:p>
        </w:tc>
        <w:tc>
          <w:tcPr>
            <w:tcW w:w="236" w:type="pct"/>
            <w:tcBorders>
              <w:top w:val="nil"/>
              <w:left w:val="nil"/>
              <w:bottom w:val="nil"/>
              <w:right w:val="nil"/>
            </w:tcBorders>
            <w:noWrap/>
            <w:vAlign w:val="bottom"/>
          </w:tcPr>
          <w:p w:rsidR="00B345A7" w:rsidRPr="00B6071A" w:rsidRDefault="00B345A7" w:rsidP="00B6071A">
            <w:pPr>
              <w:jc w:val="right"/>
              <w:rPr>
                <w:color w:val="000000"/>
                <w:sz w:val="18"/>
                <w:szCs w:val="18"/>
                <w:lang w:eastAsia="en-GB"/>
              </w:rPr>
            </w:pPr>
          </w:p>
        </w:tc>
        <w:tc>
          <w:tcPr>
            <w:tcW w:w="335"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16 (76%)</w:t>
            </w:r>
          </w:p>
        </w:tc>
        <w:tc>
          <w:tcPr>
            <w:tcW w:w="352" w:type="pct"/>
            <w:gridSpan w:val="2"/>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5 (24%)</w:t>
            </w:r>
          </w:p>
        </w:tc>
        <w:tc>
          <w:tcPr>
            <w:tcW w:w="237" w:type="pct"/>
            <w:tcBorders>
              <w:top w:val="nil"/>
              <w:left w:val="nil"/>
              <w:bottom w:val="nil"/>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r>
      <w:tr w:rsidR="00B345A7" w:rsidRPr="00B6071A" w:rsidTr="00FC634F">
        <w:trPr>
          <w:trHeight w:val="300"/>
        </w:trPr>
        <w:tc>
          <w:tcPr>
            <w:tcW w:w="506" w:type="pct"/>
            <w:tcBorders>
              <w:top w:val="nil"/>
              <w:left w:val="single" w:sz="4" w:space="0" w:color="auto"/>
              <w:bottom w:val="single" w:sz="4" w:space="0" w:color="auto"/>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 </w:t>
            </w:r>
          </w:p>
        </w:tc>
        <w:tc>
          <w:tcPr>
            <w:tcW w:w="894" w:type="pct"/>
            <w:tcBorders>
              <w:top w:val="nil"/>
              <w:bottom w:val="single" w:sz="4" w:space="0" w:color="auto"/>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Glasgow: n (%)</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7 (23%)</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23 (77%)</w:t>
            </w:r>
          </w:p>
        </w:tc>
        <w:tc>
          <w:tcPr>
            <w:tcW w:w="241" w:type="pct"/>
            <w:tcBorders>
              <w:top w:val="nil"/>
              <w:left w:val="nil"/>
              <w:bottom w:val="nil"/>
              <w:right w:val="nil"/>
            </w:tcBorders>
            <w:noWrap/>
            <w:vAlign w:val="bottom"/>
          </w:tcPr>
          <w:p w:rsidR="00B345A7" w:rsidRPr="00B6071A" w:rsidRDefault="00B345A7" w:rsidP="004F4234">
            <w:pPr>
              <w:jc w:val="right"/>
              <w:rPr>
                <w:bCs/>
                <w:color w:val="000000"/>
                <w:sz w:val="18"/>
                <w:szCs w:val="18"/>
                <w:lang w:eastAsia="en-GB"/>
              </w:rPr>
            </w:pPr>
            <w:r>
              <w:rPr>
                <w:bCs/>
                <w:color w:val="000000"/>
                <w:sz w:val="18"/>
                <w:szCs w:val="18"/>
                <w:lang w:eastAsia="en-GB"/>
              </w:rPr>
              <w:t>&lt;0.0</w:t>
            </w:r>
            <w:r w:rsidRPr="00B6071A">
              <w:rPr>
                <w:bCs/>
                <w:color w:val="000000"/>
                <w:sz w:val="18"/>
                <w:szCs w:val="18"/>
                <w:lang w:eastAsia="en-GB"/>
              </w:rPr>
              <w:t>1</w:t>
            </w:r>
          </w:p>
        </w:tc>
        <w:tc>
          <w:tcPr>
            <w:tcW w:w="319"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16 (53%)</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14 (47%)</w:t>
            </w:r>
          </w:p>
        </w:tc>
        <w:tc>
          <w:tcPr>
            <w:tcW w:w="247" w:type="pct"/>
            <w:tcBorders>
              <w:top w:val="nil"/>
              <w:left w:val="nil"/>
              <w:bottom w:val="nil"/>
              <w:right w:val="nil"/>
            </w:tcBorders>
            <w:noWrap/>
            <w:vAlign w:val="bottom"/>
          </w:tcPr>
          <w:p w:rsidR="00B345A7" w:rsidRPr="00B6071A" w:rsidRDefault="00B345A7" w:rsidP="004F4234">
            <w:pPr>
              <w:jc w:val="right"/>
              <w:rPr>
                <w:bCs/>
                <w:color w:val="000000"/>
                <w:sz w:val="18"/>
                <w:szCs w:val="18"/>
                <w:lang w:eastAsia="en-GB"/>
              </w:rPr>
            </w:pPr>
            <w:r>
              <w:rPr>
                <w:bCs/>
                <w:color w:val="000000"/>
                <w:sz w:val="18"/>
                <w:szCs w:val="18"/>
                <w:lang w:eastAsia="en-GB"/>
              </w:rPr>
              <w:t>&lt;0.0</w:t>
            </w:r>
            <w:r w:rsidRPr="00B6071A">
              <w:rPr>
                <w:bCs/>
                <w:color w:val="000000"/>
                <w:sz w:val="18"/>
                <w:szCs w:val="18"/>
                <w:lang w:eastAsia="en-GB"/>
              </w:rPr>
              <w:t>1</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19 (63%)</w:t>
            </w:r>
          </w:p>
        </w:tc>
        <w:tc>
          <w:tcPr>
            <w:tcW w:w="322"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11 (37%)</w:t>
            </w:r>
          </w:p>
        </w:tc>
        <w:tc>
          <w:tcPr>
            <w:tcW w:w="236" w:type="pct"/>
            <w:tcBorders>
              <w:top w:val="nil"/>
              <w:left w:val="nil"/>
              <w:bottom w:val="nil"/>
              <w:right w:val="nil"/>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0.15</w:t>
            </w:r>
          </w:p>
        </w:tc>
        <w:tc>
          <w:tcPr>
            <w:tcW w:w="335"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16 (53%)</w:t>
            </w:r>
          </w:p>
        </w:tc>
        <w:tc>
          <w:tcPr>
            <w:tcW w:w="352" w:type="pct"/>
            <w:gridSpan w:val="2"/>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14 (47%)</w:t>
            </w:r>
          </w:p>
        </w:tc>
        <w:tc>
          <w:tcPr>
            <w:tcW w:w="237" w:type="pct"/>
            <w:tcBorders>
              <w:top w:val="nil"/>
              <w:left w:val="nil"/>
              <w:bottom w:val="nil"/>
              <w:right w:val="single" w:sz="4" w:space="0" w:color="auto"/>
            </w:tcBorders>
            <w:noWrap/>
            <w:vAlign w:val="bottom"/>
          </w:tcPr>
          <w:p w:rsidR="00B345A7" w:rsidRPr="00B6071A" w:rsidRDefault="00B345A7" w:rsidP="00B6071A">
            <w:pPr>
              <w:jc w:val="right"/>
              <w:rPr>
                <w:bCs/>
                <w:color w:val="000000"/>
                <w:sz w:val="18"/>
                <w:szCs w:val="18"/>
                <w:lang w:eastAsia="en-GB"/>
              </w:rPr>
            </w:pPr>
            <w:r w:rsidRPr="00B6071A">
              <w:rPr>
                <w:bCs/>
                <w:color w:val="000000"/>
                <w:sz w:val="18"/>
                <w:szCs w:val="18"/>
                <w:lang w:eastAsia="en-GB"/>
              </w:rPr>
              <w:t>0.0</w:t>
            </w:r>
            <w:r>
              <w:rPr>
                <w:bCs/>
                <w:color w:val="000000"/>
                <w:sz w:val="18"/>
                <w:szCs w:val="18"/>
                <w:lang w:eastAsia="en-GB"/>
              </w:rPr>
              <w:t>2</w:t>
            </w:r>
          </w:p>
        </w:tc>
      </w:tr>
      <w:tr w:rsidR="00B345A7" w:rsidRPr="00B6071A" w:rsidTr="00FC634F">
        <w:trPr>
          <w:trHeight w:val="300"/>
        </w:trPr>
        <w:tc>
          <w:tcPr>
            <w:tcW w:w="506" w:type="pct"/>
            <w:tcBorders>
              <w:top w:val="single" w:sz="4" w:space="0" w:color="auto"/>
              <w:left w:val="single" w:sz="4" w:space="0" w:color="auto"/>
              <w:bottom w:val="single" w:sz="4" w:space="0" w:color="auto"/>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Years of education</w:t>
            </w:r>
          </w:p>
        </w:tc>
        <w:tc>
          <w:tcPr>
            <w:tcW w:w="894" w:type="pct"/>
            <w:tcBorders>
              <w:top w:val="single" w:sz="4" w:space="0" w:color="auto"/>
              <w:bottom w:val="single" w:sz="4" w:space="0" w:color="auto"/>
              <w:right w:val="nil"/>
            </w:tcBorders>
            <w:vAlign w:val="bottom"/>
          </w:tcPr>
          <w:p w:rsidR="00B345A7" w:rsidRPr="00B6071A" w:rsidRDefault="00B345A7" w:rsidP="004F4234">
            <w:pPr>
              <w:ind w:left="-248" w:firstLine="248"/>
              <w:rPr>
                <w:color w:val="000000"/>
                <w:sz w:val="18"/>
                <w:szCs w:val="18"/>
                <w:lang w:eastAsia="en-GB"/>
              </w:rPr>
            </w:pPr>
            <w:r w:rsidRPr="00B6071A">
              <w:rPr>
                <w:color w:val="000000"/>
                <w:sz w:val="18"/>
                <w:szCs w:val="18"/>
                <w:lang w:eastAsia="en-GB"/>
              </w:rPr>
              <w:t>mean (sd)</w:t>
            </w:r>
          </w:p>
        </w:tc>
        <w:tc>
          <w:tcPr>
            <w:tcW w:w="327" w:type="pct"/>
            <w:tcBorders>
              <w:top w:val="single" w:sz="4" w:space="0" w:color="auto"/>
              <w:left w:val="single" w:sz="4" w:space="0" w:color="auto"/>
              <w:bottom w:val="single" w:sz="4" w:space="0" w:color="auto"/>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12.8 (2.1)</w:t>
            </w:r>
          </w:p>
        </w:tc>
        <w:tc>
          <w:tcPr>
            <w:tcW w:w="329" w:type="pct"/>
            <w:tcBorders>
              <w:top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13.3 (2.3)</w:t>
            </w:r>
          </w:p>
        </w:tc>
        <w:tc>
          <w:tcPr>
            <w:tcW w:w="241" w:type="pct"/>
            <w:tcBorders>
              <w:top w:val="single" w:sz="4" w:space="0" w:color="auto"/>
              <w:left w:val="nil"/>
              <w:bottom w:val="single" w:sz="4" w:space="0" w:color="auto"/>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0.27</w:t>
            </w:r>
          </w:p>
        </w:tc>
        <w:tc>
          <w:tcPr>
            <w:tcW w:w="319" w:type="pct"/>
            <w:tcBorders>
              <w:top w:val="single" w:sz="4" w:space="0" w:color="auto"/>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12.9 (2.3)</w:t>
            </w:r>
          </w:p>
        </w:tc>
        <w:tc>
          <w:tcPr>
            <w:tcW w:w="329" w:type="pct"/>
            <w:tcBorders>
              <w:top w:val="single" w:sz="4" w:space="0" w:color="auto"/>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13.4 (2.2)</w:t>
            </w:r>
          </w:p>
        </w:tc>
        <w:tc>
          <w:tcPr>
            <w:tcW w:w="247" w:type="pct"/>
            <w:tcBorders>
              <w:top w:val="single" w:sz="4" w:space="0" w:color="auto"/>
              <w:left w:val="nil"/>
              <w:bottom w:val="single" w:sz="4" w:space="0" w:color="auto"/>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0.16</w:t>
            </w:r>
          </w:p>
        </w:tc>
        <w:tc>
          <w:tcPr>
            <w:tcW w:w="327" w:type="pct"/>
            <w:tcBorders>
              <w:top w:val="single" w:sz="4" w:space="0" w:color="auto"/>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12.9 (2.0)</w:t>
            </w:r>
          </w:p>
        </w:tc>
        <w:tc>
          <w:tcPr>
            <w:tcW w:w="322" w:type="pct"/>
            <w:tcBorders>
              <w:top w:val="single" w:sz="4" w:space="0" w:color="auto"/>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13.5 (2.5)</w:t>
            </w:r>
          </w:p>
        </w:tc>
        <w:tc>
          <w:tcPr>
            <w:tcW w:w="236" w:type="pct"/>
            <w:tcBorders>
              <w:top w:val="single" w:sz="4" w:space="0" w:color="auto"/>
              <w:left w:val="nil"/>
              <w:bottom w:val="single" w:sz="4" w:space="0" w:color="auto"/>
              <w:right w:val="nil"/>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0.08</w:t>
            </w:r>
          </w:p>
        </w:tc>
        <w:tc>
          <w:tcPr>
            <w:tcW w:w="381" w:type="pct"/>
            <w:gridSpan w:val="2"/>
            <w:tcBorders>
              <w:top w:val="single" w:sz="4" w:space="0" w:color="auto"/>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12.9 (2.1)</w:t>
            </w:r>
          </w:p>
        </w:tc>
        <w:tc>
          <w:tcPr>
            <w:tcW w:w="306" w:type="pct"/>
            <w:tcBorders>
              <w:top w:val="single" w:sz="4" w:space="0" w:color="auto"/>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13.4 (2.3)</w:t>
            </w:r>
          </w:p>
        </w:tc>
        <w:tc>
          <w:tcPr>
            <w:tcW w:w="237" w:type="pct"/>
            <w:tcBorders>
              <w:top w:val="single" w:sz="4" w:space="0" w:color="auto"/>
              <w:left w:val="nil"/>
              <w:bottom w:val="single" w:sz="4" w:space="0" w:color="auto"/>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0.12</w:t>
            </w:r>
          </w:p>
        </w:tc>
      </w:tr>
      <w:tr w:rsidR="00B345A7" w:rsidRPr="00B6071A" w:rsidTr="00FC634F">
        <w:trPr>
          <w:trHeight w:val="300"/>
        </w:trPr>
        <w:tc>
          <w:tcPr>
            <w:tcW w:w="506" w:type="pct"/>
            <w:vMerge w:val="restart"/>
            <w:tcBorders>
              <w:top w:val="nil"/>
              <w:left w:val="single" w:sz="4" w:space="0" w:color="auto"/>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Continuing Education</w:t>
            </w:r>
          </w:p>
          <w:p w:rsidR="00B345A7" w:rsidRPr="00B6071A" w:rsidRDefault="00B345A7" w:rsidP="004F4234">
            <w:pPr>
              <w:rPr>
                <w:color w:val="000000"/>
                <w:sz w:val="18"/>
                <w:szCs w:val="18"/>
                <w:lang w:eastAsia="en-GB"/>
              </w:rPr>
            </w:pPr>
            <w:r w:rsidRPr="00B6071A">
              <w:rPr>
                <w:color w:val="000000"/>
                <w:sz w:val="18"/>
                <w:szCs w:val="18"/>
                <w:lang w:eastAsia="en-GB"/>
              </w:rPr>
              <w:t> </w:t>
            </w:r>
          </w:p>
        </w:tc>
        <w:tc>
          <w:tcPr>
            <w:tcW w:w="894" w:type="pct"/>
            <w:tcBorders>
              <w:top w:val="nil"/>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No: n (%)</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16 (43%)</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21 (57%)</w:t>
            </w:r>
          </w:p>
        </w:tc>
        <w:tc>
          <w:tcPr>
            <w:tcW w:w="241"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 </w:t>
            </w:r>
          </w:p>
        </w:tc>
        <w:tc>
          <w:tcPr>
            <w:tcW w:w="319"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21 (57%)</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16 (43%)</w:t>
            </w:r>
          </w:p>
        </w:tc>
        <w:tc>
          <w:tcPr>
            <w:tcW w:w="247"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 </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22 (59%)</w:t>
            </w:r>
          </w:p>
        </w:tc>
        <w:tc>
          <w:tcPr>
            <w:tcW w:w="322"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15 (41%)</w:t>
            </w:r>
          </w:p>
        </w:tc>
        <w:tc>
          <w:tcPr>
            <w:tcW w:w="236" w:type="pct"/>
            <w:tcBorders>
              <w:top w:val="nil"/>
              <w:left w:val="nil"/>
              <w:bottom w:val="nil"/>
              <w:right w:val="nil"/>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c>
          <w:tcPr>
            <w:tcW w:w="335"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22 (59%)</w:t>
            </w:r>
          </w:p>
        </w:tc>
        <w:tc>
          <w:tcPr>
            <w:tcW w:w="352" w:type="pct"/>
            <w:gridSpan w:val="2"/>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15 (41%)</w:t>
            </w:r>
          </w:p>
        </w:tc>
        <w:tc>
          <w:tcPr>
            <w:tcW w:w="237" w:type="pct"/>
            <w:tcBorders>
              <w:top w:val="nil"/>
              <w:left w:val="nil"/>
              <w:bottom w:val="nil"/>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r>
      <w:tr w:rsidR="00B345A7" w:rsidRPr="00B6071A" w:rsidTr="00FC634F">
        <w:trPr>
          <w:trHeight w:val="300"/>
        </w:trPr>
        <w:tc>
          <w:tcPr>
            <w:tcW w:w="506" w:type="pct"/>
            <w:vMerge/>
            <w:tcBorders>
              <w:left w:val="single" w:sz="4" w:space="0" w:color="auto"/>
              <w:bottom w:val="single" w:sz="4" w:space="0" w:color="auto"/>
            </w:tcBorders>
            <w:noWrap/>
            <w:vAlign w:val="bottom"/>
          </w:tcPr>
          <w:p w:rsidR="00B345A7" w:rsidRPr="00B6071A" w:rsidRDefault="00B345A7" w:rsidP="004F4234">
            <w:pPr>
              <w:rPr>
                <w:color w:val="000000"/>
                <w:sz w:val="18"/>
                <w:szCs w:val="18"/>
                <w:lang w:eastAsia="en-GB"/>
              </w:rPr>
            </w:pPr>
          </w:p>
        </w:tc>
        <w:tc>
          <w:tcPr>
            <w:tcW w:w="894" w:type="pct"/>
            <w:tcBorders>
              <w:top w:val="nil"/>
              <w:bottom w:val="single" w:sz="4" w:space="0" w:color="auto"/>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Yes: n (%)</w:t>
            </w:r>
          </w:p>
        </w:tc>
        <w:tc>
          <w:tcPr>
            <w:tcW w:w="327"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22 (26%)</w:t>
            </w:r>
          </w:p>
        </w:tc>
        <w:tc>
          <w:tcPr>
            <w:tcW w:w="329" w:type="pct"/>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62 (74%)</w:t>
            </w:r>
          </w:p>
        </w:tc>
        <w:tc>
          <w:tcPr>
            <w:tcW w:w="241" w:type="pct"/>
            <w:tcBorders>
              <w:top w:val="nil"/>
              <w:left w:val="nil"/>
              <w:bottom w:val="single" w:sz="4" w:space="0" w:color="auto"/>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0.06</w:t>
            </w:r>
          </w:p>
        </w:tc>
        <w:tc>
          <w:tcPr>
            <w:tcW w:w="319"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35 (42%)</w:t>
            </w:r>
          </w:p>
        </w:tc>
        <w:tc>
          <w:tcPr>
            <w:tcW w:w="329" w:type="pct"/>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49 (58%)</w:t>
            </w:r>
          </w:p>
        </w:tc>
        <w:tc>
          <w:tcPr>
            <w:tcW w:w="247" w:type="pct"/>
            <w:tcBorders>
              <w:top w:val="nil"/>
              <w:left w:val="nil"/>
              <w:bottom w:val="single" w:sz="4" w:space="0" w:color="auto"/>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0.1</w:t>
            </w:r>
            <w:r>
              <w:rPr>
                <w:color w:val="000000"/>
                <w:sz w:val="18"/>
                <w:szCs w:val="18"/>
                <w:lang w:eastAsia="en-GB"/>
              </w:rPr>
              <w:t>3</w:t>
            </w:r>
          </w:p>
        </w:tc>
        <w:tc>
          <w:tcPr>
            <w:tcW w:w="327"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42 (50%)</w:t>
            </w:r>
          </w:p>
        </w:tc>
        <w:tc>
          <w:tcPr>
            <w:tcW w:w="322" w:type="pct"/>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42 (50%)</w:t>
            </w:r>
          </w:p>
        </w:tc>
        <w:tc>
          <w:tcPr>
            <w:tcW w:w="236" w:type="pct"/>
            <w:tcBorders>
              <w:top w:val="nil"/>
              <w:left w:val="nil"/>
              <w:bottom w:val="single" w:sz="4" w:space="0" w:color="auto"/>
              <w:right w:val="nil"/>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0.3</w:t>
            </w:r>
            <w:r>
              <w:rPr>
                <w:color w:val="000000"/>
                <w:sz w:val="18"/>
                <w:szCs w:val="18"/>
                <w:lang w:eastAsia="en-GB"/>
              </w:rPr>
              <w:t>4</w:t>
            </w:r>
          </w:p>
        </w:tc>
        <w:tc>
          <w:tcPr>
            <w:tcW w:w="335"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35 (42%)</w:t>
            </w:r>
          </w:p>
        </w:tc>
        <w:tc>
          <w:tcPr>
            <w:tcW w:w="352" w:type="pct"/>
            <w:gridSpan w:val="2"/>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49 (58%)</w:t>
            </w:r>
          </w:p>
        </w:tc>
        <w:tc>
          <w:tcPr>
            <w:tcW w:w="237" w:type="pct"/>
            <w:tcBorders>
              <w:top w:val="nil"/>
              <w:left w:val="nil"/>
              <w:bottom w:val="single" w:sz="4" w:space="0" w:color="auto"/>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0.07</w:t>
            </w:r>
          </w:p>
        </w:tc>
      </w:tr>
      <w:tr w:rsidR="00B345A7" w:rsidRPr="00B6071A" w:rsidTr="00FC634F">
        <w:trPr>
          <w:trHeight w:val="300"/>
        </w:trPr>
        <w:tc>
          <w:tcPr>
            <w:tcW w:w="506" w:type="pct"/>
            <w:tcBorders>
              <w:top w:val="nil"/>
              <w:left w:val="single" w:sz="4" w:space="0" w:color="auto"/>
              <w:bottom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Degree</w:t>
            </w:r>
          </w:p>
        </w:tc>
        <w:tc>
          <w:tcPr>
            <w:tcW w:w="894" w:type="pct"/>
            <w:tcBorders>
              <w:top w:val="nil"/>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No: n (%)</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33 (32%)</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71 (68%)</w:t>
            </w:r>
          </w:p>
        </w:tc>
        <w:tc>
          <w:tcPr>
            <w:tcW w:w="241"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 </w:t>
            </w:r>
          </w:p>
        </w:tc>
        <w:tc>
          <w:tcPr>
            <w:tcW w:w="319"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49 (47%)</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55 (53%)</w:t>
            </w:r>
          </w:p>
        </w:tc>
        <w:tc>
          <w:tcPr>
            <w:tcW w:w="247"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 </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55 (54%)</w:t>
            </w:r>
          </w:p>
        </w:tc>
        <w:tc>
          <w:tcPr>
            <w:tcW w:w="322"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49 (46%)</w:t>
            </w:r>
          </w:p>
        </w:tc>
        <w:tc>
          <w:tcPr>
            <w:tcW w:w="236" w:type="pct"/>
            <w:tcBorders>
              <w:top w:val="nil"/>
              <w:left w:val="nil"/>
              <w:bottom w:val="nil"/>
              <w:right w:val="nil"/>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c>
          <w:tcPr>
            <w:tcW w:w="335"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49 (47%)</w:t>
            </w:r>
          </w:p>
        </w:tc>
        <w:tc>
          <w:tcPr>
            <w:tcW w:w="352" w:type="pct"/>
            <w:gridSpan w:val="2"/>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55 (53%)</w:t>
            </w:r>
          </w:p>
        </w:tc>
        <w:tc>
          <w:tcPr>
            <w:tcW w:w="237" w:type="pct"/>
            <w:tcBorders>
              <w:top w:val="nil"/>
              <w:left w:val="nil"/>
              <w:bottom w:val="nil"/>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r>
      <w:tr w:rsidR="00B345A7" w:rsidRPr="00B6071A" w:rsidTr="00FC634F">
        <w:trPr>
          <w:trHeight w:val="300"/>
        </w:trPr>
        <w:tc>
          <w:tcPr>
            <w:tcW w:w="506" w:type="pct"/>
            <w:tcBorders>
              <w:top w:val="nil"/>
              <w:left w:val="single" w:sz="4" w:space="0" w:color="auto"/>
              <w:bottom w:val="single" w:sz="4" w:space="0" w:color="auto"/>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 </w:t>
            </w:r>
          </w:p>
        </w:tc>
        <w:tc>
          <w:tcPr>
            <w:tcW w:w="894" w:type="pct"/>
            <w:tcBorders>
              <w:top w:val="nil"/>
              <w:bottom w:val="single" w:sz="4" w:space="0" w:color="auto"/>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Yes: n (%)</w:t>
            </w:r>
          </w:p>
        </w:tc>
        <w:tc>
          <w:tcPr>
            <w:tcW w:w="327"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5 (26%)</w:t>
            </w:r>
          </w:p>
        </w:tc>
        <w:tc>
          <w:tcPr>
            <w:tcW w:w="329" w:type="pct"/>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14 (74%)</w:t>
            </w:r>
          </w:p>
        </w:tc>
        <w:tc>
          <w:tcPr>
            <w:tcW w:w="241" w:type="pct"/>
            <w:tcBorders>
              <w:top w:val="nil"/>
              <w:left w:val="nil"/>
              <w:bottom w:val="single" w:sz="4" w:space="0" w:color="auto"/>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0.6</w:t>
            </w:r>
            <w:r>
              <w:rPr>
                <w:color w:val="000000"/>
                <w:sz w:val="18"/>
                <w:szCs w:val="18"/>
                <w:lang w:eastAsia="en-GB"/>
              </w:rPr>
              <w:t>4</w:t>
            </w:r>
          </w:p>
        </w:tc>
        <w:tc>
          <w:tcPr>
            <w:tcW w:w="319"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8 (42%)</w:t>
            </w:r>
          </w:p>
        </w:tc>
        <w:tc>
          <w:tcPr>
            <w:tcW w:w="329" w:type="pct"/>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11 (58%)</w:t>
            </w:r>
          </w:p>
        </w:tc>
        <w:tc>
          <w:tcPr>
            <w:tcW w:w="247" w:type="pct"/>
            <w:tcBorders>
              <w:top w:val="nil"/>
              <w:left w:val="nil"/>
              <w:bottom w:val="single" w:sz="4" w:space="0" w:color="auto"/>
              <w:right w:val="nil"/>
            </w:tcBorders>
            <w:noWrap/>
            <w:vAlign w:val="bottom"/>
          </w:tcPr>
          <w:p w:rsidR="00B345A7" w:rsidRPr="00B6071A" w:rsidRDefault="00B345A7" w:rsidP="00BE0D8E">
            <w:pPr>
              <w:jc w:val="right"/>
              <w:rPr>
                <w:color w:val="000000"/>
                <w:sz w:val="18"/>
                <w:szCs w:val="18"/>
                <w:lang w:eastAsia="en-GB"/>
              </w:rPr>
            </w:pPr>
            <w:r>
              <w:rPr>
                <w:color w:val="000000"/>
                <w:sz w:val="18"/>
                <w:szCs w:val="18"/>
                <w:lang w:eastAsia="en-GB"/>
              </w:rPr>
              <w:t>0.69</w:t>
            </w:r>
          </w:p>
        </w:tc>
        <w:tc>
          <w:tcPr>
            <w:tcW w:w="327"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11 (54%)</w:t>
            </w:r>
          </w:p>
        </w:tc>
        <w:tc>
          <w:tcPr>
            <w:tcW w:w="322" w:type="pct"/>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8 (46%)</w:t>
            </w:r>
          </w:p>
        </w:tc>
        <w:tc>
          <w:tcPr>
            <w:tcW w:w="236" w:type="pct"/>
            <w:tcBorders>
              <w:top w:val="nil"/>
              <w:left w:val="nil"/>
              <w:bottom w:val="single" w:sz="4" w:space="0" w:color="auto"/>
              <w:right w:val="nil"/>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0.6</w:t>
            </w:r>
            <w:r>
              <w:rPr>
                <w:color w:val="000000"/>
                <w:sz w:val="18"/>
                <w:szCs w:val="18"/>
                <w:lang w:eastAsia="en-GB"/>
              </w:rPr>
              <w:t>9</w:t>
            </w:r>
          </w:p>
        </w:tc>
        <w:tc>
          <w:tcPr>
            <w:tcW w:w="335"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9 (47%)</w:t>
            </w:r>
          </w:p>
        </w:tc>
        <w:tc>
          <w:tcPr>
            <w:tcW w:w="352" w:type="pct"/>
            <w:gridSpan w:val="2"/>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10 (53%)</w:t>
            </w:r>
          </w:p>
        </w:tc>
        <w:tc>
          <w:tcPr>
            <w:tcW w:w="237" w:type="pct"/>
            <w:tcBorders>
              <w:top w:val="nil"/>
              <w:left w:val="nil"/>
              <w:bottom w:val="single" w:sz="4" w:space="0" w:color="auto"/>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0.98</w:t>
            </w:r>
          </w:p>
        </w:tc>
      </w:tr>
      <w:tr w:rsidR="00B345A7" w:rsidRPr="00B6071A" w:rsidTr="00FC634F">
        <w:trPr>
          <w:trHeight w:val="300"/>
        </w:trPr>
        <w:tc>
          <w:tcPr>
            <w:tcW w:w="506" w:type="pct"/>
            <w:tcBorders>
              <w:top w:val="nil"/>
              <w:left w:val="single" w:sz="4" w:space="0" w:color="auto"/>
              <w:bottom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Occupation</w:t>
            </w:r>
          </w:p>
        </w:tc>
        <w:tc>
          <w:tcPr>
            <w:tcW w:w="894" w:type="pct"/>
            <w:tcBorders>
              <w:top w:val="nil"/>
              <w:bottom w:val="nil"/>
              <w:right w:val="nil"/>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Seeking work/other: n (%)</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12 (26%)</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34 (74%)</w:t>
            </w:r>
          </w:p>
        </w:tc>
        <w:tc>
          <w:tcPr>
            <w:tcW w:w="241"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 </w:t>
            </w:r>
          </w:p>
        </w:tc>
        <w:tc>
          <w:tcPr>
            <w:tcW w:w="319"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21 (46%)</w:t>
            </w:r>
          </w:p>
        </w:tc>
        <w:tc>
          <w:tcPr>
            <w:tcW w:w="329"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25 (54%)</w:t>
            </w:r>
          </w:p>
        </w:tc>
        <w:tc>
          <w:tcPr>
            <w:tcW w:w="247" w:type="pct"/>
            <w:tcBorders>
              <w:top w:val="nil"/>
              <w:left w:val="nil"/>
              <w:bottom w:val="nil"/>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 </w:t>
            </w:r>
          </w:p>
        </w:tc>
        <w:tc>
          <w:tcPr>
            <w:tcW w:w="327"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25 (53%)</w:t>
            </w:r>
          </w:p>
        </w:tc>
        <w:tc>
          <w:tcPr>
            <w:tcW w:w="322" w:type="pct"/>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21 (47%)</w:t>
            </w:r>
          </w:p>
        </w:tc>
        <w:tc>
          <w:tcPr>
            <w:tcW w:w="236" w:type="pct"/>
            <w:tcBorders>
              <w:top w:val="nil"/>
              <w:left w:val="nil"/>
              <w:bottom w:val="nil"/>
              <w:right w:val="nil"/>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c>
          <w:tcPr>
            <w:tcW w:w="335" w:type="pct"/>
            <w:tcBorders>
              <w:top w:val="nil"/>
              <w:left w:val="single" w:sz="4" w:space="0" w:color="auto"/>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21 (46%)</w:t>
            </w:r>
          </w:p>
        </w:tc>
        <w:tc>
          <w:tcPr>
            <w:tcW w:w="352" w:type="pct"/>
            <w:gridSpan w:val="2"/>
            <w:tcBorders>
              <w:top w:val="nil"/>
              <w:left w:val="nil"/>
              <w:bottom w:val="nil"/>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25 (54%)</w:t>
            </w:r>
          </w:p>
        </w:tc>
        <w:tc>
          <w:tcPr>
            <w:tcW w:w="237" w:type="pct"/>
            <w:tcBorders>
              <w:top w:val="nil"/>
              <w:left w:val="nil"/>
              <w:bottom w:val="nil"/>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 </w:t>
            </w:r>
          </w:p>
        </w:tc>
      </w:tr>
      <w:tr w:rsidR="00B345A7" w:rsidRPr="00B6071A" w:rsidTr="00FC634F">
        <w:trPr>
          <w:trHeight w:val="300"/>
        </w:trPr>
        <w:tc>
          <w:tcPr>
            <w:tcW w:w="506" w:type="pct"/>
            <w:tcBorders>
              <w:top w:val="nil"/>
              <w:left w:val="single" w:sz="4" w:space="0" w:color="auto"/>
              <w:bottom w:val="single" w:sz="4" w:space="0" w:color="auto"/>
            </w:tcBorders>
            <w:noWrap/>
            <w:vAlign w:val="bottom"/>
          </w:tcPr>
          <w:p w:rsidR="00B345A7" w:rsidRPr="00B6071A" w:rsidRDefault="00B345A7" w:rsidP="004F4234">
            <w:pPr>
              <w:rPr>
                <w:color w:val="000000"/>
                <w:sz w:val="18"/>
                <w:szCs w:val="18"/>
                <w:lang w:eastAsia="en-GB"/>
              </w:rPr>
            </w:pPr>
            <w:r w:rsidRPr="00B6071A">
              <w:rPr>
                <w:color w:val="000000"/>
                <w:sz w:val="18"/>
                <w:szCs w:val="18"/>
                <w:lang w:eastAsia="en-GB"/>
              </w:rPr>
              <w:t> </w:t>
            </w:r>
          </w:p>
        </w:tc>
        <w:tc>
          <w:tcPr>
            <w:tcW w:w="894" w:type="pct"/>
            <w:tcBorders>
              <w:top w:val="nil"/>
              <w:bottom w:val="single" w:sz="4" w:space="0" w:color="auto"/>
              <w:right w:val="nil"/>
            </w:tcBorders>
            <w:noWrap/>
            <w:vAlign w:val="bottom"/>
          </w:tcPr>
          <w:p w:rsidR="00B345A7" w:rsidRPr="00B6071A" w:rsidRDefault="00B345A7" w:rsidP="00B6071A">
            <w:pPr>
              <w:rPr>
                <w:color w:val="000000"/>
                <w:sz w:val="18"/>
                <w:szCs w:val="18"/>
                <w:lang w:eastAsia="en-GB"/>
              </w:rPr>
            </w:pPr>
            <w:r w:rsidRPr="00B6071A">
              <w:rPr>
                <w:color w:val="000000"/>
                <w:sz w:val="18"/>
                <w:szCs w:val="18"/>
                <w:lang w:eastAsia="en-GB"/>
              </w:rPr>
              <w:t>Employed/Student/</w:t>
            </w:r>
            <w:r>
              <w:rPr>
                <w:color w:val="000000"/>
                <w:sz w:val="18"/>
                <w:szCs w:val="18"/>
                <w:lang w:eastAsia="en-GB"/>
              </w:rPr>
              <w:t>Home</w:t>
            </w:r>
            <w:r w:rsidRPr="00B6071A">
              <w:rPr>
                <w:color w:val="000000"/>
                <w:sz w:val="18"/>
                <w:szCs w:val="18"/>
                <w:lang w:eastAsia="en-GB"/>
              </w:rPr>
              <w:t>: n (%)</w:t>
            </w:r>
          </w:p>
        </w:tc>
        <w:tc>
          <w:tcPr>
            <w:tcW w:w="327"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27 (34%)</w:t>
            </w:r>
          </w:p>
        </w:tc>
        <w:tc>
          <w:tcPr>
            <w:tcW w:w="329" w:type="pct"/>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52 (66%)</w:t>
            </w:r>
          </w:p>
        </w:tc>
        <w:tc>
          <w:tcPr>
            <w:tcW w:w="241" w:type="pct"/>
            <w:tcBorders>
              <w:top w:val="nil"/>
              <w:left w:val="nil"/>
              <w:bottom w:val="single" w:sz="4" w:space="0" w:color="auto"/>
              <w:right w:val="nil"/>
            </w:tcBorders>
            <w:noWrap/>
            <w:vAlign w:val="bottom"/>
          </w:tcPr>
          <w:p w:rsidR="00B345A7" w:rsidRPr="00B6071A" w:rsidRDefault="00B345A7" w:rsidP="004F4234">
            <w:pPr>
              <w:jc w:val="right"/>
              <w:rPr>
                <w:color w:val="000000"/>
                <w:sz w:val="18"/>
                <w:szCs w:val="18"/>
                <w:lang w:eastAsia="en-GB"/>
              </w:rPr>
            </w:pPr>
            <w:r w:rsidRPr="00B6071A">
              <w:rPr>
                <w:color w:val="000000"/>
                <w:sz w:val="18"/>
                <w:szCs w:val="18"/>
                <w:lang w:eastAsia="en-GB"/>
              </w:rPr>
              <w:t>0.3</w:t>
            </w:r>
            <w:r>
              <w:rPr>
                <w:color w:val="000000"/>
                <w:sz w:val="18"/>
                <w:szCs w:val="18"/>
                <w:lang w:eastAsia="en-GB"/>
              </w:rPr>
              <w:t>5</w:t>
            </w:r>
          </w:p>
        </w:tc>
        <w:tc>
          <w:tcPr>
            <w:tcW w:w="319"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37 (47%)</w:t>
            </w:r>
          </w:p>
        </w:tc>
        <w:tc>
          <w:tcPr>
            <w:tcW w:w="329" w:type="pct"/>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42 (53%)</w:t>
            </w:r>
          </w:p>
        </w:tc>
        <w:tc>
          <w:tcPr>
            <w:tcW w:w="247" w:type="pct"/>
            <w:tcBorders>
              <w:top w:val="nil"/>
              <w:left w:val="nil"/>
              <w:bottom w:val="single" w:sz="4" w:space="0" w:color="auto"/>
              <w:right w:val="nil"/>
            </w:tcBorders>
            <w:noWrap/>
            <w:vAlign w:val="bottom"/>
          </w:tcPr>
          <w:p w:rsidR="00B345A7" w:rsidRPr="00B6071A" w:rsidRDefault="00B345A7" w:rsidP="00BE0D8E">
            <w:pPr>
              <w:jc w:val="right"/>
              <w:rPr>
                <w:color w:val="000000"/>
                <w:sz w:val="18"/>
                <w:szCs w:val="18"/>
                <w:lang w:eastAsia="en-GB"/>
              </w:rPr>
            </w:pPr>
            <w:r>
              <w:rPr>
                <w:color w:val="000000"/>
                <w:sz w:val="18"/>
                <w:szCs w:val="18"/>
                <w:lang w:eastAsia="en-GB"/>
              </w:rPr>
              <w:t>0.</w:t>
            </w:r>
            <w:r w:rsidRPr="00B6071A">
              <w:rPr>
                <w:color w:val="000000"/>
                <w:sz w:val="18"/>
                <w:szCs w:val="18"/>
                <w:lang w:eastAsia="en-GB"/>
              </w:rPr>
              <w:t>9</w:t>
            </w:r>
            <w:r>
              <w:rPr>
                <w:color w:val="000000"/>
                <w:sz w:val="18"/>
                <w:szCs w:val="18"/>
                <w:lang w:eastAsia="en-GB"/>
              </w:rPr>
              <w:t>0</w:t>
            </w:r>
          </w:p>
        </w:tc>
        <w:tc>
          <w:tcPr>
            <w:tcW w:w="327"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43 (58%)</w:t>
            </w:r>
          </w:p>
        </w:tc>
        <w:tc>
          <w:tcPr>
            <w:tcW w:w="322" w:type="pct"/>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36 (42%)</w:t>
            </w:r>
          </w:p>
        </w:tc>
        <w:tc>
          <w:tcPr>
            <w:tcW w:w="236" w:type="pct"/>
            <w:tcBorders>
              <w:top w:val="nil"/>
              <w:left w:val="nil"/>
              <w:bottom w:val="single" w:sz="4" w:space="0" w:color="auto"/>
              <w:right w:val="nil"/>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0.99</w:t>
            </w:r>
          </w:p>
        </w:tc>
        <w:tc>
          <w:tcPr>
            <w:tcW w:w="335" w:type="pct"/>
            <w:tcBorders>
              <w:top w:val="nil"/>
              <w:left w:val="single" w:sz="4" w:space="0" w:color="auto"/>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39 (49%)</w:t>
            </w:r>
          </w:p>
        </w:tc>
        <w:tc>
          <w:tcPr>
            <w:tcW w:w="352" w:type="pct"/>
            <w:gridSpan w:val="2"/>
            <w:tcBorders>
              <w:top w:val="nil"/>
              <w:left w:val="nil"/>
              <w:bottom w:val="single" w:sz="4" w:space="0" w:color="auto"/>
              <w:right w:val="nil"/>
            </w:tcBorders>
            <w:noWrap/>
            <w:vAlign w:val="bottom"/>
          </w:tcPr>
          <w:p w:rsidR="00B345A7" w:rsidRPr="00B6071A" w:rsidRDefault="00B345A7" w:rsidP="004F4234">
            <w:pPr>
              <w:jc w:val="center"/>
              <w:rPr>
                <w:color w:val="000000"/>
                <w:sz w:val="18"/>
                <w:szCs w:val="18"/>
                <w:lang w:eastAsia="en-GB"/>
              </w:rPr>
            </w:pPr>
            <w:r w:rsidRPr="00B6071A">
              <w:rPr>
                <w:color w:val="000000"/>
                <w:sz w:val="18"/>
                <w:szCs w:val="18"/>
                <w:lang w:eastAsia="en-GB"/>
              </w:rPr>
              <w:t>40 (51%)</w:t>
            </w:r>
          </w:p>
        </w:tc>
        <w:tc>
          <w:tcPr>
            <w:tcW w:w="237" w:type="pct"/>
            <w:tcBorders>
              <w:top w:val="nil"/>
              <w:left w:val="nil"/>
              <w:bottom w:val="single" w:sz="4" w:space="0" w:color="auto"/>
              <w:right w:val="single" w:sz="4" w:space="0" w:color="auto"/>
            </w:tcBorders>
            <w:noWrap/>
            <w:vAlign w:val="bottom"/>
          </w:tcPr>
          <w:p w:rsidR="00B345A7" w:rsidRPr="00B6071A" w:rsidRDefault="00B345A7" w:rsidP="00B6071A">
            <w:pPr>
              <w:jc w:val="right"/>
              <w:rPr>
                <w:color w:val="000000"/>
                <w:sz w:val="18"/>
                <w:szCs w:val="18"/>
                <w:lang w:eastAsia="en-GB"/>
              </w:rPr>
            </w:pPr>
            <w:r w:rsidRPr="00B6071A">
              <w:rPr>
                <w:color w:val="000000"/>
                <w:sz w:val="18"/>
                <w:szCs w:val="18"/>
                <w:lang w:eastAsia="en-GB"/>
              </w:rPr>
              <w:t>0.6</w:t>
            </w:r>
            <w:r>
              <w:rPr>
                <w:color w:val="000000"/>
                <w:sz w:val="18"/>
                <w:szCs w:val="18"/>
                <w:lang w:eastAsia="en-GB"/>
              </w:rPr>
              <w:t>9</w:t>
            </w:r>
          </w:p>
        </w:tc>
      </w:tr>
    </w:tbl>
    <w:p w:rsidR="00B345A7" w:rsidRDefault="00B345A7" w:rsidP="00867F6B">
      <w:pPr>
        <w:spacing w:line="360" w:lineRule="auto"/>
      </w:pPr>
      <w:r>
        <w:br w:type="page"/>
      </w:r>
    </w:p>
    <w:p w:rsidR="00B345A7" w:rsidRDefault="00B345A7" w:rsidP="00867F6B">
      <w:pPr>
        <w:pStyle w:val="Caption"/>
        <w:keepNext/>
        <w:spacing w:line="360" w:lineRule="auto"/>
      </w:pPr>
      <w:bookmarkStart w:id="31" w:name="_Ref346983566"/>
      <w:r>
        <w:t xml:space="preserve">Table </w:t>
      </w:r>
      <w:fldSimple w:instr=" SEQ Table \* ARABIC ">
        <w:r>
          <w:rPr>
            <w:noProof/>
          </w:rPr>
          <w:t>2</w:t>
        </w:r>
      </w:fldSimple>
      <w:bookmarkEnd w:id="31"/>
      <w:r>
        <w:t>: A</w:t>
      </w:r>
      <w:r w:rsidRPr="00CE02FC">
        <w:t xml:space="preserve">ssociations </w:t>
      </w:r>
      <w:r>
        <w:t xml:space="preserve">between baseline health measures and each </w:t>
      </w:r>
      <w:r w:rsidRPr="00CE02FC">
        <w:t>content of therapy received - CBT arm only</w:t>
      </w:r>
    </w:p>
    <w:tbl>
      <w:tblPr>
        <w:tblW w:w="14680" w:type="dxa"/>
        <w:tblInd w:w="93" w:type="dxa"/>
        <w:tblLook w:val="00A0"/>
      </w:tblPr>
      <w:tblGrid>
        <w:gridCol w:w="1008"/>
        <w:gridCol w:w="850"/>
        <w:gridCol w:w="850"/>
        <w:gridCol w:w="926"/>
        <w:gridCol w:w="839"/>
        <w:gridCol w:w="787"/>
        <w:gridCol w:w="851"/>
        <w:gridCol w:w="926"/>
        <w:gridCol w:w="839"/>
        <w:gridCol w:w="786"/>
        <w:gridCol w:w="709"/>
        <w:gridCol w:w="992"/>
        <w:gridCol w:w="851"/>
        <w:gridCol w:w="850"/>
        <w:gridCol w:w="851"/>
        <w:gridCol w:w="926"/>
        <w:gridCol w:w="839"/>
      </w:tblGrid>
      <w:tr w:rsidR="00B345A7" w:rsidRPr="005E03F6" w:rsidTr="00BE0D8E">
        <w:trPr>
          <w:trHeight w:val="300"/>
        </w:trPr>
        <w:tc>
          <w:tcPr>
            <w:tcW w:w="1008" w:type="dxa"/>
            <w:tcBorders>
              <w:top w:val="nil"/>
              <w:left w:val="nil"/>
              <w:right w:val="nil"/>
            </w:tcBorders>
            <w:noWrap/>
            <w:vAlign w:val="bottom"/>
          </w:tcPr>
          <w:p w:rsidR="00B345A7" w:rsidRPr="005E03F6" w:rsidRDefault="00B345A7" w:rsidP="005E03F6">
            <w:pPr>
              <w:spacing w:line="360" w:lineRule="auto"/>
              <w:rPr>
                <w:color w:val="000000"/>
                <w:sz w:val="18"/>
                <w:szCs w:val="18"/>
                <w:lang w:eastAsia="en-GB"/>
              </w:rPr>
            </w:pPr>
          </w:p>
        </w:tc>
        <w:tc>
          <w:tcPr>
            <w:tcW w:w="3465" w:type="dxa"/>
            <w:gridSpan w:val="4"/>
            <w:tcBorders>
              <w:top w:val="single" w:sz="4" w:space="0" w:color="auto"/>
              <w:left w:val="single" w:sz="4" w:space="0" w:color="auto"/>
              <w:bottom w:val="single" w:sz="4" w:space="0" w:color="auto"/>
              <w:right w:val="single" w:sz="4" w:space="0" w:color="auto"/>
            </w:tcBorders>
            <w:noWrap/>
            <w:vAlign w:val="bottom"/>
          </w:tcPr>
          <w:p w:rsidR="00B345A7" w:rsidRPr="005E03F6" w:rsidRDefault="00B345A7" w:rsidP="005E03F6">
            <w:pPr>
              <w:spacing w:line="360" w:lineRule="auto"/>
              <w:jc w:val="center"/>
              <w:rPr>
                <w:color w:val="000000"/>
                <w:sz w:val="18"/>
                <w:szCs w:val="18"/>
                <w:lang w:eastAsia="en-GB"/>
              </w:rPr>
            </w:pPr>
            <w:r w:rsidRPr="005E03F6">
              <w:rPr>
                <w:color w:val="000000"/>
                <w:sz w:val="18"/>
                <w:szCs w:val="18"/>
                <w:lang w:eastAsia="en-GB"/>
              </w:rPr>
              <w:t>Assessment of Problems and Goals</w:t>
            </w:r>
          </w:p>
        </w:tc>
        <w:tc>
          <w:tcPr>
            <w:tcW w:w="3403" w:type="dxa"/>
            <w:gridSpan w:val="4"/>
            <w:tcBorders>
              <w:top w:val="single" w:sz="4" w:space="0" w:color="auto"/>
              <w:left w:val="single" w:sz="4" w:space="0" w:color="auto"/>
              <w:bottom w:val="single" w:sz="4" w:space="0" w:color="auto"/>
              <w:right w:val="single" w:sz="4" w:space="0" w:color="auto"/>
            </w:tcBorders>
            <w:noWrap/>
            <w:vAlign w:val="bottom"/>
          </w:tcPr>
          <w:p w:rsidR="00B345A7" w:rsidRPr="005E03F6" w:rsidRDefault="00B345A7" w:rsidP="005E03F6">
            <w:pPr>
              <w:spacing w:line="360" w:lineRule="auto"/>
              <w:jc w:val="center"/>
              <w:rPr>
                <w:color w:val="000000"/>
                <w:sz w:val="18"/>
                <w:szCs w:val="18"/>
                <w:lang w:eastAsia="en-GB"/>
              </w:rPr>
            </w:pPr>
            <w:r w:rsidRPr="005E03F6">
              <w:rPr>
                <w:color w:val="000000"/>
                <w:sz w:val="18"/>
                <w:szCs w:val="18"/>
                <w:lang w:eastAsia="en-GB"/>
              </w:rPr>
              <w:t>Formulation</w:t>
            </w:r>
          </w:p>
        </w:tc>
        <w:tc>
          <w:tcPr>
            <w:tcW w:w="3338" w:type="dxa"/>
            <w:gridSpan w:val="4"/>
            <w:tcBorders>
              <w:top w:val="single" w:sz="4" w:space="0" w:color="auto"/>
              <w:left w:val="single" w:sz="4" w:space="0" w:color="auto"/>
              <w:bottom w:val="single" w:sz="4" w:space="0" w:color="auto"/>
              <w:right w:val="single" w:sz="4" w:space="0" w:color="auto"/>
            </w:tcBorders>
            <w:noWrap/>
            <w:vAlign w:val="bottom"/>
          </w:tcPr>
          <w:p w:rsidR="00B345A7" w:rsidRPr="005E03F6" w:rsidRDefault="00B345A7" w:rsidP="005E03F6">
            <w:pPr>
              <w:spacing w:line="360" w:lineRule="auto"/>
              <w:jc w:val="center"/>
              <w:rPr>
                <w:color w:val="000000"/>
                <w:sz w:val="18"/>
                <w:szCs w:val="18"/>
                <w:lang w:eastAsia="en-GB"/>
              </w:rPr>
            </w:pPr>
            <w:r w:rsidRPr="005E03F6">
              <w:rPr>
                <w:color w:val="000000"/>
                <w:sz w:val="18"/>
                <w:szCs w:val="18"/>
                <w:lang w:eastAsia="en-GB"/>
              </w:rPr>
              <w:t>Homework</w:t>
            </w:r>
          </w:p>
        </w:tc>
        <w:tc>
          <w:tcPr>
            <w:tcW w:w="3466" w:type="dxa"/>
            <w:gridSpan w:val="4"/>
            <w:tcBorders>
              <w:top w:val="single" w:sz="4" w:space="0" w:color="auto"/>
              <w:left w:val="single" w:sz="4" w:space="0" w:color="auto"/>
              <w:bottom w:val="single" w:sz="4" w:space="0" w:color="auto"/>
              <w:right w:val="single" w:sz="4" w:space="0" w:color="auto"/>
            </w:tcBorders>
            <w:noWrap/>
            <w:vAlign w:val="bottom"/>
          </w:tcPr>
          <w:p w:rsidR="00B345A7" w:rsidRPr="005E03F6" w:rsidRDefault="00B345A7" w:rsidP="005E03F6">
            <w:pPr>
              <w:spacing w:line="360" w:lineRule="auto"/>
              <w:jc w:val="center"/>
              <w:rPr>
                <w:color w:val="000000"/>
                <w:sz w:val="18"/>
                <w:szCs w:val="18"/>
                <w:lang w:eastAsia="en-GB"/>
              </w:rPr>
            </w:pPr>
            <w:r w:rsidRPr="005E03F6">
              <w:rPr>
                <w:color w:val="000000"/>
                <w:sz w:val="18"/>
                <w:szCs w:val="18"/>
                <w:lang w:eastAsia="en-GB"/>
              </w:rPr>
              <w:t>Active Change Strategies</w:t>
            </w:r>
          </w:p>
        </w:tc>
      </w:tr>
      <w:tr w:rsidR="00B345A7" w:rsidRPr="005E03F6" w:rsidTr="00BE0D8E">
        <w:trPr>
          <w:trHeight w:val="300"/>
        </w:trPr>
        <w:tc>
          <w:tcPr>
            <w:tcW w:w="1008" w:type="dxa"/>
            <w:tcBorders>
              <w:top w:val="nil"/>
              <w:left w:val="nil"/>
              <w:right w:val="nil"/>
            </w:tcBorders>
            <w:noWrap/>
            <w:vAlign w:val="bottom"/>
          </w:tcPr>
          <w:p w:rsidR="00B345A7" w:rsidRPr="005E03F6" w:rsidRDefault="00B345A7" w:rsidP="005E03F6">
            <w:pPr>
              <w:spacing w:line="360" w:lineRule="auto"/>
              <w:rPr>
                <w:color w:val="000000"/>
                <w:sz w:val="18"/>
                <w:szCs w:val="18"/>
                <w:lang w:eastAsia="en-GB"/>
              </w:rPr>
            </w:pPr>
          </w:p>
        </w:tc>
        <w:tc>
          <w:tcPr>
            <w:tcW w:w="1700" w:type="dxa"/>
            <w:gridSpan w:val="2"/>
            <w:tcBorders>
              <w:top w:val="single" w:sz="4" w:space="0" w:color="auto"/>
              <w:left w:val="single" w:sz="4" w:space="0" w:color="auto"/>
            </w:tcBorders>
            <w:noWrap/>
            <w:vAlign w:val="bottom"/>
          </w:tcPr>
          <w:p w:rsidR="00B345A7" w:rsidRPr="005E03F6" w:rsidRDefault="00B345A7" w:rsidP="00BE0D8E">
            <w:pPr>
              <w:spacing w:line="360" w:lineRule="auto"/>
              <w:jc w:val="center"/>
              <w:rPr>
                <w:color w:val="000000"/>
                <w:sz w:val="18"/>
                <w:szCs w:val="18"/>
                <w:lang w:eastAsia="en-GB"/>
              </w:rPr>
            </w:pPr>
          </w:p>
        </w:tc>
        <w:tc>
          <w:tcPr>
            <w:tcW w:w="1765" w:type="dxa"/>
            <w:gridSpan w:val="2"/>
            <w:tcBorders>
              <w:top w:val="single" w:sz="4" w:space="0" w:color="auto"/>
              <w:right w:val="single" w:sz="4" w:space="0" w:color="auto"/>
            </w:tcBorders>
            <w:noWrap/>
            <w:vAlign w:val="bottom"/>
          </w:tcPr>
          <w:p w:rsidR="00B345A7" w:rsidRPr="005E03F6" w:rsidRDefault="00B345A7" w:rsidP="005E03F6">
            <w:pPr>
              <w:spacing w:line="360" w:lineRule="auto"/>
              <w:jc w:val="center"/>
              <w:rPr>
                <w:color w:val="000000"/>
                <w:sz w:val="18"/>
                <w:szCs w:val="18"/>
                <w:lang w:eastAsia="en-GB"/>
              </w:rPr>
            </w:pPr>
            <w:r w:rsidRPr="005E03F6">
              <w:rPr>
                <w:color w:val="000000"/>
                <w:sz w:val="18"/>
                <w:szCs w:val="18"/>
                <w:lang w:eastAsia="en-GB"/>
              </w:rPr>
              <w:t>p-value</w:t>
            </w:r>
          </w:p>
        </w:tc>
        <w:tc>
          <w:tcPr>
            <w:tcW w:w="1638" w:type="dxa"/>
            <w:gridSpan w:val="2"/>
            <w:tcBorders>
              <w:top w:val="single" w:sz="4" w:space="0" w:color="auto"/>
              <w:left w:val="single" w:sz="4" w:space="0" w:color="auto"/>
            </w:tcBorders>
            <w:noWrap/>
            <w:vAlign w:val="bottom"/>
          </w:tcPr>
          <w:p w:rsidR="00B345A7" w:rsidRPr="005E03F6" w:rsidRDefault="00B345A7" w:rsidP="00BE0D8E">
            <w:pPr>
              <w:spacing w:line="360" w:lineRule="auto"/>
              <w:jc w:val="center"/>
              <w:rPr>
                <w:color w:val="000000"/>
                <w:sz w:val="18"/>
                <w:szCs w:val="18"/>
                <w:lang w:eastAsia="en-GB"/>
              </w:rPr>
            </w:pPr>
          </w:p>
        </w:tc>
        <w:tc>
          <w:tcPr>
            <w:tcW w:w="1765" w:type="dxa"/>
            <w:gridSpan w:val="2"/>
            <w:tcBorders>
              <w:top w:val="single" w:sz="4" w:space="0" w:color="auto"/>
              <w:right w:val="single" w:sz="4" w:space="0" w:color="auto"/>
            </w:tcBorders>
            <w:noWrap/>
            <w:vAlign w:val="bottom"/>
          </w:tcPr>
          <w:p w:rsidR="00B345A7" w:rsidRPr="005E03F6" w:rsidRDefault="00B345A7" w:rsidP="00BE0D8E">
            <w:pPr>
              <w:spacing w:line="360" w:lineRule="auto"/>
              <w:jc w:val="center"/>
              <w:rPr>
                <w:color w:val="000000"/>
                <w:sz w:val="18"/>
                <w:szCs w:val="18"/>
                <w:lang w:eastAsia="en-GB"/>
              </w:rPr>
            </w:pPr>
            <w:r w:rsidRPr="005E03F6">
              <w:rPr>
                <w:color w:val="000000"/>
                <w:sz w:val="18"/>
                <w:szCs w:val="18"/>
                <w:lang w:eastAsia="en-GB"/>
              </w:rPr>
              <w:t>p-value</w:t>
            </w:r>
          </w:p>
        </w:tc>
        <w:tc>
          <w:tcPr>
            <w:tcW w:w="1495" w:type="dxa"/>
            <w:gridSpan w:val="2"/>
            <w:tcBorders>
              <w:top w:val="single" w:sz="4" w:space="0" w:color="auto"/>
              <w:left w:val="single" w:sz="4" w:space="0" w:color="auto"/>
            </w:tcBorders>
            <w:noWrap/>
            <w:vAlign w:val="bottom"/>
          </w:tcPr>
          <w:p w:rsidR="00B345A7" w:rsidRPr="005E03F6" w:rsidRDefault="00B345A7" w:rsidP="00BE0D8E">
            <w:pPr>
              <w:spacing w:line="360" w:lineRule="auto"/>
              <w:jc w:val="center"/>
              <w:rPr>
                <w:color w:val="000000"/>
                <w:sz w:val="18"/>
                <w:szCs w:val="18"/>
                <w:lang w:eastAsia="en-GB"/>
              </w:rPr>
            </w:pPr>
          </w:p>
        </w:tc>
        <w:tc>
          <w:tcPr>
            <w:tcW w:w="1843" w:type="dxa"/>
            <w:gridSpan w:val="2"/>
            <w:tcBorders>
              <w:top w:val="single" w:sz="4" w:space="0" w:color="auto"/>
              <w:right w:val="single" w:sz="4" w:space="0" w:color="auto"/>
            </w:tcBorders>
            <w:noWrap/>
            <w:vAlign w:val="bottom"/>
          </w:tcPr>
          <w:p w:rsidR="00B345A7" w:rsidRPr="005E03F6" w:rsidRDefault="00B345A7" w:rsidP="00BE0D8E">
            <w:pPr>
              <w:spacing w:line="360" w:lineRule="auto"/>
              <w:jc w:val="center"/>
              <w:rPr>
                <w:color w:val="000000"/>
                <w:sz w:val="18"/>
                <w:szCs w:val="18"/>
                <w:lang w:eastAsia="en-GB"/>
              </w:rPr>
            </w:pPr>
            <w:r w:rsidRPr="005E03F6">
              <w:rPr>
                <w:color w:val="000000"/>
                <w:sz w:val="18"/>
                <w:szCs w:val="18"/>
                <w:lang w:eastAsia="en-GB"/>
              </w:rPr>
              <w:t>p-value</w:t>
            </w:r>
          </w:p>
        </w:tc>
        <w:tc>
          <w:tcPr>
            <w:tcW w:w="1701" w:type="dxa"/>
            <w:gridSpan w:val="2"/>
            <w:tcBorders>
              <w:top w:val="single" w:sz="4" w:space="0" w:color="auto"/>
              <w:left w:val="single" w:sz="4" w:space="0" w:color="auto"/>
            </w:tcBorders>
            <w:noWrap/>
            <w:vAlign w:val="bottom"/>
          </w:tcPr>
          <w:p w:rsidR="00B345A7" w:rsidRPr="005E03F6" w:rsidRDefault="00B345A7" w:rsidP="00BE0D8E">
            <w:pPr>
              <w:spacing w:line="360" w:lineRule="auto"/>
              <w:jc w:val="center"/>
              <w:rPr>
                <w:color w:val="000000"/>
                <w:sz w:val="18"/>
                <w:szCs w:val="18"/>
                <w:lang w:eastAsia="en-GB"/>
              </w:rPr>
            </w:pPr>
          </w:p>
        </w:tc>
        <w:tc>
          <w:tcPr>
            <w:tcW w:w="1765" w:type="dxa"/>
            <w:gridSpan w:val="2"/>
            <w:tcBorders>
              <w:top w:val="single" w:sz="4" w:space="0" w:color="auto"/>
              <w:right w:val="single" w:sz="4" w:space="0" w:color="auto"/>
            </w:tcBorders>
            <w:noWrap/>
            <w:vAlign w:val="bottom"/>
          </w:tcPr>
          <w:p w:rsidR="00B345A7" w:rsidRPr="005E03F6" w:rsidRDefault="00B345A7" w:rsidP="00BE0D8E">
            <w:pPr>
              <w:spacing w:line="360" w:lineRule="auto"/>
              <w:jc w:val="center"/>
              <w:rPr>
                <w:color w:val="000000"/>
                <w:sz w:val="18"/>
                <w:szCs w:val="18"/>
                <w:lang w:eastAsia="en-GB"/>
              </w:rPr>
            </w:pPr>
            <w:r w:rsidRPr="005E03F6">
              <w:rPr>
                <w:color w:val="000000"/>
                <w:sz w:val="18"/>
                <w:szCs w:val="18"/>
                <w:lang w:eastAsia="en-GB"/>
              </w:rPr>
              <w:t>p-value</w:t>
            </w:r>
          </w:p>
        </w:tc>
      </w:tr>
      <w:tr w:rsidR="00B345A7" w:rsidRPr="005E03F6" w:rsidTr="00BE0D8E">
        <w:trPr>
          <w:trHeight w:val="300"/>
        </w:trPr>
        <w:tc>
          <w:tcPr>
            <w:tcW w:w="1008" w:type="dxa"/>
            <w:tcBorders>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p>
        </w:tc>
        <w:tc>
          <w:tcPr>
            <w:tcW w:w="850" w:type="dxa"/>
            <w:tcBorders>
              <w:left w:val="single" w:sz="4" w:space="0" w:color="auto"/>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No</w:t>
            </w:r>
          </w:p>
        </w:tc>
        <w:tc>
          <w:tcPr>
            <w:tcW w:w="850" w:type="dxa"/>
            <w:tcBorders>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Yes</w:t>
            </w:r>
          </w:p>
        </w:tc>
        <w:tc>
          <w:tcPr>
            <w:tcW w:w="926" w:type="dxa"/>
            <w:tcBorders>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Complete Case</w:t>
            </w:r>
          </w:p>
        </w:tc>
        <w:tc>
          <w:tcPr>
            <w:tcW w:w="839" w:type="dxa"/>
            <w:tcBorders>
              <w:left w:val="nil"/>
              <w:bottom w:val="single" w:sz="4" w:space="0" w:color="auto"/>
              <w:right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Imputed</w:t>
            </w:r>
          </w:p>
        </w:tc>
        <w:tc>
          <w:tcPr>
            <w:tcW w:w="787" w:type="dxa"/>
            <w:tcBorders>
              <w:left w:val="single" w:sz="4" w:space="0" w:color="auto"/>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No</w:t>
            </w:r>
          </w:p>
        </w:tc>
        <w:tc>
          <w:tcPr>
            <w:tcW w:w="851" w:type="dxa"/>
            <w:tcBorders>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Yes</w:t>
            </w:r>
          </w:p>
        </w:tc>
        <w:tc>
          <w:tcPr>
            <w:tcW w:w="926" w:type="dxa"/>
            <w:tcBorders>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Complete Case</w:t>
            </w:r>
          </w:p>
        </w:tc>
        <w:tc>
          <w:tcPr>
            <w:tcW w:w="839" w:type="dxa"/>
            <w:tcBorders>
              <w:bottom w:val="single" w:sz="4" w:space="0" w:color="auto"/>
              <w:right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Imputed</w:t>
            </w:r>
          </w:p>
        </w:tc>
        <w:tc>
          <w:tcPr>
            <w:tcW w:w="786" w:type="dxa"/>
            <w:tcBorders>
              <w:left w:val="single" w:sz="4" w:space="0" w:color="auto"/>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No</w:t>
            </w:r>
          </w:p>
        </w:tc>
        <w:tc>
          <w:tcPr>
            <w:tcW w:w="709" w:type="dxa"/>
            <w:tcBorders>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Yes</w:t>
            </w:r>
          </w:p>
        </w:tc>
        <w:tc>
          <w:tcPr>
            <w:tcW w:w="992" w:type="dxa"/>
            <w:tcBorders>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Complete Case</w:t>
            </w:r>
          </w:p>
        </w:tc>
        <w:tc>
          <w:tcPr>
            <w:tcW w:w="851" w:type="dxa"/>
            <w:tcBorders>
              <w:bottom w:val="single" w:sz="4" w:space="0" w:color="auto"/>
              <w:right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Imputed</w:t>
            </w:r>
          </w:p>
        </w:tc>
        <w:tc>
          <w:tcPr>
            <w:tcW w:w="850" w:type="dxa"/>
            <w:tcBorders>
              <w:left w:val="single" w:sz="4" w:space="0" w:color="auto"/>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No</w:t>
            </w:r>
          </w:p>
        </w:tc>
        <w:tc>
          <w:tcPr>
            <w:tcW w:w="851" w:type="dxa"/>
            <w:tcBorders>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Yes</w:t>
            </w:r>
          </w:p>
        </w:tc>
        <w:tc>
          <w:tcPr>
            <w:tcW w:w="926" w:type="dxa"/>
            <w:tcBorders>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Complete Case</w:t>
            </w:r>
          </w:p>
        </w:tc>
        <w:tc>
          <w:tcPr>
            <w:tcW w:w="839" w:type="dxa"/>
            <w:tcBorders>
              <w:bottom w:val="single" w:sz="4" w:space="0" w:color="auto"/>
              <w:right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Imputed</w:t>
            </w:r>
          </w:p>
        </w:tc>
      </w:tr>
      <w:tr w:rsidR="00B345A7" w:rsidRPr="005E03F6" w:rsidTr="00BE0D8E">
        <w:trPr>
          <w:trHeight w:val="300"/>
        </w:trPr>
        <w:tc>
          <w:tcPr>
            <w:tcW w:w="1008"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SIAS</w:t>
            </w:r>
            <w:r>
              <w:rPr>
                <w:color w:val="000000"/>
                <w:sz w:val="18"/>
                <w:szCs w:val="18"/>
                <w:lang w:eastAsia="en-GB"/>
              </w:rPr>
              <w:t>:</w:t>
            </w:r>
            <w:r w:rsidRPr="005E03F6">
              <w:rPr>
                <w:color w:val="000000"/>
                <w:sz w:val="18"/>
                <w:szCs w:val="18"/>
                <w:lang w:eastAsia="en-GB"/>
              </w:rPr>
              <w:t xml:space="preserve"> mean (sd)</w:t>
            </w:r>
          </w:p>
        </w:tc>
        <w:tc>
          <w:tcPr>
            <w:tcW w:w="850"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37.2 (15.3)</w:t>
            </w:r>
          </w:p>
        </w:tc>
        <w:tc>
          <w:tcPr>
            <w:tcW w:w="850"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45.6 (17.1)</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bCs/>
                <w:color w:val="000000"/>
                <w:sz w:val="18"/>
                <w:szCs w:val="18"/>
                <w:lang w:eastAsia="en-GB"/>
              </w:rPr>
            </w:pPr>
            <w:r w:rsidRPr="005E03F6">
              <w:rPr>
                <w:bCs/>
                <w:color w:val="000000"/>
                <w:sz w:val="18"/>
                <w:szCs w:val="18"/>
                <w:lang w:eastAsia="en-GB"/>
              </w:rPr>
              <w:t>&lt;0.01</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bCs/>
                <w:color w:val="000000"/>
                <w:sz w:val="18"/>
                <w:szCs w:val="18"/>
              </w:rPr>
            </w:pPr>
            <w:r w:rsidRPr="005E03F6">
              <w:rPr>
                <w:rFonts w:cs="Calibri"/>
                <w:bCs/>
                <w:color w:val="000000"/>
                <w:sz w:val="18"/>
                <w:szCs w:val="18"/>
              </w:rPr>
              <w:t>0.04</w:t>
            </w:r>
          </w:p>
        </w:tc>
        <w:tc>
          <w:tcPr>
            <w:tcW w:w="787"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38.7 (16.4)</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46.7 (16.6)</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bCs/>
                <w:color w:val="000000"/>
                <w:sz w:val="18"/>
                <w:szCs w:val="18"/>
                <w:lang w:eastAsia="en-GB"/>
              </w:rPr>
            </w:pPr>
            <w:r w:rsidRPr="005E03F6">
              <w:rPr>
                <w:bCs/>
                <w:color w:val="000000"/>
                <w:sz w:val="18"/>
                <w:szCs w:val="18"/>
                <w:lang w:eastAsia="en-GB"/>
              </w:rPr>
              <w:t>&lt;0.01</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bCs/>
                <w:color w:val="000000"/>
                <w:sz w:val="18"/>
                <w:szCs w:val="18"/>
              </w:rPr>
            </w:pPr>
            <w:r w:rsidRPr="005E03F6">
              <w:rPr>
                <w:rFonts w:cs="Calibri"/>
                <w:bCs/>
                <w:color w:val="000000"/>
                <w:sz w:val="18"/>
                <w:szCs w:val="18"/>
              </w:rPr>
              <w:t>0.04</w:t>
            </w:r>
          </w:p>
        </w:tc>
        <w:tc>
          <w:tcPr>
            <w:tcW w:w="786"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38.5 (17.0)</w:t>
            </w:r>
          </w:p>
        </w:tc>
        <w:tc>
          <w:tcPr>
            <w:tcW w:w="709"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48.1 (15.4)</w:t>
            </w:r>
          </w:p>
        </w:tc>
        <w:tc>
          <w:tcPr>
            <w:tcW w:w="992"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&lt;0.01</w:t>
            </w:r>
          </w:p>
        </w:tc>
        <w:tc>
          <w:tcPr>
            <w:tcW w:w="851"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&lt;0.01</w:t>
            </w:r>
          </w:p>
        </w:tc>
        <w:tc>
          <w:tcPr>
            <w:tcW w:w="850"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36.3 (16.1)</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49.4 (15.2)</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rFonts w:cs="Calibri"/>
                <w:bCs/>
                <w:color w:val="000000"/>
                <w:sz w:val="18"/>
                <w:szCs w:val="18"/>
              </w:rPr>
            </w:pPr>
            <w:r w:rsidRPr="005E03F6">
              <w:rPr>
                <w:rFonts w:cs="Calibri"/>
                <w:bCs/>
                <w:color w:val="000000"/>
                <w:sz w:val="18"/>
                <w:szCs w:val="18"/>
              </w:rPr>
              <w:t>&lt;0.01</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bCs/>
                <w:color w:val="000000"/>
                <w:sz w:val="18"/>
                <w:szCs w:val="18"/>
                <w:lang w:eastAsia="en-GB"/>
              </w:rPr>
            </w:pPr>
            <w:r w:rsidRPr="005E03F6">
              <w:rPr>
                <w:rFonts w:cs="Calibri"/>
                <w:bCs/>
                <w:color w:val="000000"/>
                <w:sz w:val="18"/>
                <w:szCs w:val="18"/>
                <w:lang w:eastAsia="en-GB"/>
              </w:rPr>
              <w:t>&lt;0.01</w:t>
            </w:r>
          </w:p>
        </w:tc>
      </w:tr>
      <w:tr w:rsidR="00B345A7" w:rsidRPr="005E03F6" w:rsidTr="00BE0D8E">
        <w:trPr>
          <w:trHeight w:val="300"/>
        </w:trPr>
        <w:tc>
          <w:tcPr>
            <w:tcW w:w="1008"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BDI</w:t>
            </w:r>
            <w:r>
              <w:rPr>
                <w:color w:val="000000"/>
                <w:sz w:val="18"/>
                <w:szCs w:val="18"/>
                <w:lang w:eastAsia="en-GB"/>
              </w:rPr>
              <w:t xml:space="preserve">: </w:t>
            </w:r>
            <w:r w:rsidRPr="005E03F6">
              <w:rPr>
                <w:color w:val="000000"/>
                <w:sz w:val="18"/>
                <w:szCs w:val="18"/>
                <w:lang w:eastAsia="en-GB"/>
              </w:rPr>
              <w:t>mean (sd)</w:t>
            </w:r>
          </w:p>
        </w:tc>
        <w:tc>
          <w:tcPr>
            <w:tcW w:w="850"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9.6</w:t>
            </w:r>
            <w:r>
              <w:rPr>
                <w:color w:val="000000"/>
                <w:sz w:val="18"/>
                <w:szCs w:val="18"/>
                <w:lang w:eastAsia="en-GB"/>
              </w:rPr>
              <w:t xml:space="preserve"> </w:t>
            </w:r>
            <w:r w:rsidRPr="005E03F6">
              <w:rPr>
                <w:color w:val="000000"/>
                <w:sz w:val="18"/>
                <w:szCs w:val="18"/>
                <w:lang w:eastAsia="en-GB"/>
              </w:rPr>
              <w:t xml:space="preserve"> (3.7)</w:t>
            </w:r>
          </w:p>
        </w:tc>
        <w:tc>
          <w:tcPr>
            <w:tcW w:w="850"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10.8 (4.3)</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0.12</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0.26</w:t>
            </w:r>
          </w:p>
        </w:tc>
        <w:tc>
          <w:tcPr>
            <w:tcW w:w="787"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10.3 (3.8)</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10.5 (4.4)</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0.82</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0.77</w:t>
            </w:r>
          </w:p>
        </w:tc>
        <w:tc>
          <w:tcPr>
            <w:tcW w:w="786"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10.5 (4.3)</w:t>
            </w:r>
          </w:p>
        </w:tc>
        <w:tc>
          <w:tcPr>
            <w:tcW w:w="709"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10.4 (4.0)</w:t>
            </w:r>
          </w:p>
        </w:tc>
        <w:tc>
          <w:tcPr>
            <w:tcW w:w="992"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0.89</w:t>
            </w:r>
          </w:p>
        </w:tc>
        <w:tc>
          <w:tcPr>
            <w:tcW w:w="851"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0.75</w:t>
            </w:r>
          </w:p>
        </w:tc>
        <w:tc>
          <w:tcPr>
            <w:tcW w:w="850"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10.4 (4.3)</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10.4 (4.0)</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0.93</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089</w:t>
            </w:r>
          </w:p>
        </w:tc>
      </w:tr>
      <w:tr w:rsidR="00B345A7" w:rsidRPr="005E03F6" w:rsidTr="00BE0D8E">
        <w:trPr>
          <w:trHeight w:val="300"/>
        </w:trPr>
        <w:tc>
          <w:tcPr>
            <w:tcW w:w="1008"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Severity</w:t>
            </w:r>
            <w:r>
              <w:rPr>
                <w:color w:val="000000"/>
                <w:sz w:val="18"/>
                <w:szCs w:val="18"/>
                <w:lang w:eastAsia="en-GB"/>
              </w:rPr>
              <w:t xml:space="preserve">: </w:t>
            </w:r>
            <w:r w:rsidRPr="005E03F6">
              <w:rPr>
                <w:color w:val="000000"/>
                <w:sz w:val="18"/>
                <w:szCs w:val="18"/>
                <w:lang w:eastAsia="en-GB"/>
              </w:rPr>
              <w:t>mean (sd)</w:t>
            </w:r>
          </w:p>
        </w:tc>
        <w:tc>
          <w:tcPr>
            <w:tcW w:w="850"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37.0 (16.2)</w:t>
            </w:r>
          </w:p>
        </w:tc>
        <w:tc>
          <w:tcPr>
            <w:tcW w:w="850"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39.5 (17.1)</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0.43</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0.38</w:t>
            </w:r>
          </w:p>
        </w:tc>
        <w:tc>
          <w:tcPr>
            <w:tcW w:w="787"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36.4 (16.8)</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40.7 (16.8)</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0.13</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0.11</w:t>
            </w:r>
          </w:p>
        </w:tc>
        <w:tc>
          <w:tcPr>
            <w:tcW w:w="786"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39.1 (17.4)</w:t>
            </w:r>
          </w:p>
        </w:tc>
        <w:tc>
          <w:tcPr>
            <w:tcW w:w="709"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38.8 (16.2)</w:t>
            </w:r>
          </w:p>
        </w:tc>
        <w:tc>
          <w:tcPr>
            <w:tcW w:w="992"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0.79</w:t>
            </w:r>
          </w:p>
        </w:tc>
        <w:tc>
          <w:tcPr>
            <w:tcW w:w="851"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0.70</w:t>
            </w:r>
          </w:p>
        </w:tc>
        <w:tc>
          <w:tcPr>
            <w:tcW w:w="850"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37.1 (18.3)</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40.4 (15.1)</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0.24</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 0.12</w:t>
            </w:r>
          </w:p>
        </w:tc>
      </w:tr>
      <w:tr w:rsidR="00B345A7" w:rsidRPr="005E03F6" w:rsidTr="00BE0D8E">
        <w:trPr>
          <w:trHeight w:val="300"/>
        </w:trPr>
        <w:tc>
          <w:tcPr>
            <w:tcW w:w="1008"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Distress</w:t>
            </w:r>
            <w:r>
              <w:rPr>
                <w:color w:val="000000"/>
                <w:sz w:val="18"/>
                <w:szCs w:val="18"/>
                <w:lang w:eastAsia="en-GB"/>
              </w:rPr>
              <w:t xml:space="preserve">: </w:t>
            </w:r>
            <w:r w:rsidRPr="005E03F6">
              <w:rPr>
                <w:color w:val="000000"/>
                <w:sz w:val="18"/>
                <w:szCs w:val="18"/>
                <w:lang w:eastAsia="en-GB"/>
              </w:rPr>
              <w:t>mean (sd)</w:t>
            </w:r>
          </w:p>
        </w:tc>
        <w:tc>
          <w:tcPr>
            <w:tcW w:w="850"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42.2 (20.9)</w:t>
            </w:r>
          </w:p>
        </w:tc>
        <w:tc>
          <w:tcPr>
            <w:tcW w:w="850"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43.0 (20.5)</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0.82</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0.63</w:t>
            </w:r>
          </w:p>
        </w:tc>
        <w:tc>
          <w:tcPr>
            <w:tcW w:w="787"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40.8 (20.2)</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44.3 (20.8)</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0.34</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0.29</w:t>
            </w:r>
          </w:p>
        </w:tc>
        <w:tc>
          <w:tcPr>
            <w:tcW w:w="786"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41.0 (20.5)</w:t>
            </w:r>
          </w:p>
        </w:tc>
        <w:tc>
          <w:tcPr>
            <w:tcW w:w="709"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44.9 (20.5)</w:t>
            </w:r>
          </w:p>
        </w:tc>
        <w:tc>
          <w:tcPr>
            <w:tcW w:w="992"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0.28</w:t>
            </w:r>
          </w:p>
        </w:tc>
        <w:tc>
          <w:tcPr>
            <w:tcW w:w="851"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0.49</w:t>
            </w:r>
          </w:p>
        </w:tc>
        <w:tc>
          <w:tcPr>
            <w:tcW w:w="850"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41.2 (22.3)</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44.2 (18.8)</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0.41</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0.19</w:t>
            </w:r>
          </w:p>
        </w:tc>
      </w:tr>
      <w:tr w:rsidR="00B345A7" w:rsidRPr="005E03F6" w:rsidTr="00BE0D8E">
        <w:trPr>
          <w:trHeight w:val="300"/>
        </w:trPr>
        <w:tc>
          <w:tcPr>
            <w:tcW w:w="1008"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GAF</w:t>
            </w:r>
            <w:r>
              <w:rPr>
                <w:color w:val="000000"/>
                <w:sz w:val="18"/>
                <w:szCs w:val="18"/>
                <w:lang w:eastAsia="en-GB"/>
              </w:rPr>
              <w:t xml:space="preserve">: </w:t>
            </w:r>
            <w:r w:rsidRPr="005E03F6">
              <w:rPr>
                <w:color w:val="000000"/>
                <w:sz w:val="18"/>
                <w:szCs w:val="18"/>
                <w:lang w:eastAsia="en-GB"/>
              </w:rPr>
              <w:t>mean (sd)</w:t>
            </w:r>
          </w:p>
        </w:tc>
        <w:tc>
          <w:tcPr>
            <w:tcW w:w="850"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54.2 (10.9)</w:t>
            </w:r>
          </w:p>
        </w:tc>
        <w:tc>
          <w:tcPr>
            <w:tcW w:w="850"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49.6 (10.8)</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bCs/>
                <w:color w:val="000000"/>
                <w:sz w:val="18"/>
                <w:szCs w:val="18"/>
                <w:lang w:eastAsia="en-GB"/>
              </w:rPr>
            </w:pPr>
            <w:r w:rsidRPr="005E03F6">
              <w:rPr>
                <w:bCs/>
                <w:color w:val="000000"/>
                <w:sz w:val="18"/>
                <w:szCs w:val="18"/>
                <w:lang w:eastAsia="en-GB"/>
              </w:rPr>
              <w:t>0.02</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bCs/>
                <w:color w:val="000000"/>
                <w:sz w:val="18"/>
                <w:szCs w:val="18"/>
              </w:rPr>
            </w:pPr>
            <w:r w:rsidRPr="005E03F6">
              <w:rPr>
                <w:rFonts w:cs="Calibri"/>
                <w:bCs/>
                <w:color w:val="000000"/>
                <w:sz w:val="18"/>
                <w:szCs w:val="18"/>
              </w:rPr>
              <w:t>0.02</w:t>
            </w:r>
          </w:p>
        </w:tc>
        <w:tc>
          <w:tcPr>
            <w:tcW w:w="787"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52.5 (11.5)</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49.7 (10.4)</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0.13</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0.13</w:t>
            </w:r>
          </w:p>
        </w:tc>
        <w:tc>
          <w:tcPr>
            <w:tcW w:w="786"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52.4 (11.0)</w:t>
            </w:r>
          </w:p>
        </w:tc>
        <w:tc>
          <w:tcPr>
            <w:tcW w:w="709"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49.2 (10.7)</w:t>
            </w:r>
          </w:p>
        </w:tc>
        <w:tc>
          <w:tcPr>
            <w:tcW w:w="992"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0.98</w:t>
            </w:r>
          </w:p>
        </w:tc>
        <w:tc>
          <w:tcPr>
            <w:tcW w:w="851"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0.08</w:t>
            </w:r>
          </w:p>
        </w:tc>
        <w:tc>
          <w:tcPr>
            <w:tcW w:w="850"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52.8 (12.2)</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49.1 (9.3)</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0.04</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 0.05</w:t>
            </w:r>
          </w:p>
        </w:tc>
      </w:tr>
      <w:tr w:rsidR="00B345A7" w:rsidRPr="005E03F6" w:rsidTr="00BE0D8E">
        <w:trPr>
          <w:trHeight w:val="300"/>
        </w:trPr>
        <w:tc>
          <w:tcPr>
            <w:tcW w:w="1008"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EQ5</w:t>
            </w:r>
            <w:r>
              <w:rPr>
                <w:color w:val="000000"/>
                <w:sz w:val="18"/>
                <w:szCs w:val="18"/>
                <w:lang w:eastAsia="en-GB"/>
              </w:rPr>
              <w:t xml:space="preserve">: </w:t>
            </w:r>
            <w:r w:rsidRPr="005E03F6">
              <w:rPr>
                <w:color w:val="000000"/>
                <w:sz w:val="18"/>
                <w:szCs w:val="18"/>
                <w:lang w:eastAsia="en-GB"/>
              </w:rPr>
              <w:t>mean (sd)</w:t>
            </w:r>
          </w:p>
        </w:tc>
        <w:tc>
          <w:tcPr>
            <w:tcW w:w="850"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0.65 (0.25)</w:t>
            </w:r>
          </w:p>
        </w:tc>
        <w:tc>
          <w:tcPr>
            <w:tcW w:w="850"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0.56 (0.29)</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0.08</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0.07</w:t>
            </w:r>
          </w:p>
        </w:tc>
        <w:tc>
          <w:tcPr>
            <w:tcW w:w="787"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0.62 (0.28)</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0.56 (0.29)</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0.28</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0.23</w:t>
            </w:r>
          </w:p>
        </w:tc>
        <w:tc>
          <w:tcPr>
            <w:tcW w:w="786"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0.58 (0.29)</w:t>
            </w:r>
          </w:p>
        </w:tc>
        <w:tc>
          <w:tcPr>
            <w:tcW w:w="709"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0.60 (0.28)</w:t>
            </w:r>
          </w:p>
        </w:tc>
        <w:tc>
          <w:tcPr>
            <w:tcW w:w="992"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0.71</w:t>
            </w:r>
          </w:p>
        </w:tc>
        <w:tc>
          <w:tcPr>
            <w:tcW w:w="851"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0.45</w:t>
            </w:r>
          </w:p>
        </w:tc>
        <w:tc>
          <w:tcPr>
            <w:tcW w:w="850"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0.61 (0.29)</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0.56 (0.28)</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rFonts w:cs="Calibri"/>
                <w:bCs/>
                <w:color w:val="000000"/>
                <w:sz w:val="18"/>
                <w:szCs w:val="18"/>
              </w:rPr>
            </w:pPr>
            <w:r w:rsidRPr="005E03F6">
              <w:rPr>
                <w:rFonts w:cs="Calibri"/>
                <w:bCs/>
                <w:color w:val="000000"/>
                <w:sz w:val="18"/>
                <w:szCs w:val="18"/>
              </w:rPr>
              <w:t>0.35</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0.52</w:t>
            </w:r>
          </w:p>
        </w:tc>
      </w:tr>
      <w:tr w:rsidR="00B345A7" w:rsidRPr="005E03F6" w:rsidTr="00BE0D8E">
        <w:trPr>
          <w:trHeight w:val="300"/>
        </w:trPr>
        <w:tc>
          <w:tcPr>
            <w:tcW w:w="1008"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MANSA</w:t>
            </w:r>
            <w:r>
              <w:rPr>
                <w:color w:val="000000"/>
                <w:sz w:val="18"/>
                <w:szCs w:val="18"/>
                <w:lang w:eastAsia="en-GB"/>
              </w:rPr>
              <w:t xml:space="preserve">: </w:t>
            </w:r>
            <w:r w:rsidRPr="005E03F6">
              <w:rPr>
                <w:color w:val="000000"/>
                <w:sz w:val="18"/>
                <w:szCs w:val="18"/>
                <w:lang w:eastAsia="en-GB"/>
              </w:rPr>
              <w:t>mean (sd)</w:t>
            </w:r>
          </w:p>
        </w:tc>
        <w:tc>
          <w:tcPr>
            <w:tcW w:w="850" w:type="dxa"/>
            <w:tcBorders>
              <w:top w:val="single" w:sz="4" w:space="0" w:color="auto"/>
              <w:left w:val="single" w:sz="4" w:space="0" w:color="auto"/>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4.01 (0.75)</w:t>
            </w:r>
          </w:p>
        </w:tc>
        <w:tc>
          <w:tcPr>
            <w:tcW w:w="850"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3.77 (0.79)</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0.11</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0.12</w:t>
            </w:r>
          </w:p>
        </w:tc>
        <w:tc>
          <w:tcPr>
            <w:tcW w:w="787"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3.86 (0.80)</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3.83 (0.77)</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0.88</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0.88</w:t>
            </w:r>
          </w:p>
        </w:tc>
        <w:tc>
          <w:tcPr>
            <w:tcW w:w="786"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3.94 (0.82)</w:t>
            </w:r>
          </w:p>
        </w:tc>
        <w:tc>
          <w:tcPr>
            <w:tcW w:w="709"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3.73 (0.72)</w:t>
            </w:r>
          </w:p>
        </w:tc>
        <w:tc>
          <w:tcPr>
            <w:tcW w:w="992"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0.14</w:t>
            </w:r>
          </w:p>
        </w:tc>
        <w:tc>
          <w:tcPr>
            <w:tcW w:w="851"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0.14</w:t>
            </w:r>
          </w:p>
        </w:tc>
        <w:tc>
          <w:tcPr>
            <w:tcW w:w="850" w:type="dxa"/>
            <w:tcBorders>
              <w:top w:val="single" w:sz="4" w:space="0" w:color="auto"/>
              <w:left w:val="nil"/>
              <w:bottom w:val="single" w:sz="4" w:space="0" w:color="auto"/>
              <w:right w:val="nil"/>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3.90 (0.79)</w:t>
            </w:r>
          </w:p>
        </w:tc>
        <w:tc>
          <w:tcPr>
            <w:tcW w:w="851" w:type="dxa"/>
            <w:tcBorders>
              <w:top w:val="single" w:sz="4" w:space="0" w:color="auto"/>
              <w:left w:val="nil"/>
              <w:bottom w:val="single" w:sz="4" w:space="0" w:color="auto"/>
            </w:tcBorders>
            <w:noWrap/>
            <w:vAlign w:val="bottom"/>
          </w:tcPr>
          <w:p w:rsidR="00B345A7" w:rsidRPr="005E03F6" w:rsidRDefault="00B345A7" w:rsidP="005E03F6">
            <w:pPr>
              <w:spacing w:line="360" w:lineRule="auto"/>
              <w:rPr>
                <w:color w:val="000000"/>
                <w:sz w:val="18"/>
                <w:szCs w:val="18"/>
                <w:lang w:eastAsia="en-GB"/>
              </w:rPr>
            </w:pPr>
            <w:r w:rsidRPr="005E03F6">
              <w:rPr>
                <w:color w:val="000000"/>
                <w:sz w:val="18"/>
                <w:szCs w:val="18"/>
                <w:lang w:eastAsia="en-GB"/>
              </w:rPr>
              <w:t>3.79 (0.78)</w:t>
            </w:r>
          </w:p>
        </w:tc>
        <w:tc>
          <w:tcPr>
            <w:tcW w:w="926" w:type="dxa"/>
            <w:tcBorders>
              <w:top w:val="single" w:sz="4" w:space="0" w:color="auto"/>
              <w:bottom w:val="single" w:sz="4" w:space="0" w:color="auto"/>
              <w:right w:val="nil"/>
            </w:tcBorders>
            <w:noWrap/>
            <w:vAlign w:val="bottom"/>
          </w:tcPr>
          <w:p w:rsidR="00B345A7" w:rsidRPr="005E03F6" w:rsidRDefault="00B345A7" w:rsidP="005E03F6">
            <w:pPr>
              <w:spacing w:line="360" w:lineRule="auto"/>
              <w:jc w:val="right"/>
              <w:rPr>
                <w:rFonts w:cs="Calibri"/>
                <w:color w:val="000000"/>
                <w:sz w:val="18"/>
                <w:szCs w:val="18"/>
              </w:rPr>
            </w:pPr>
            <w:r w:rsidRPr="005E03F6">
              <w:rPr>
                <w:rFonts w:cs="Calibri"/>
                <w:color w:val="000000"/>
                <w:sz w:val="18"/>
                <w:szCs w:val="18"/>
              </w:rPr>
              <w:t>0.46</w:t>
            </w:r>
          </w:p>
        </w:tc>
        <w:tc>
          <w:tcPr>
            <w:tcW w:w="839" w:type="dxa"/>
            <w:tcBorders>
              <w:top w:val="single" w:sz="4" w:space="0" w:color="auto"/>
              <w:left w:val="nil"/>
              <w:bottom w:val="single" w:sz="4" w:space="0" w:color="auto"/>
              <w:right w:val="single" w:sz="4" w:space="0" w:color="auto"/>
            </w:tcBorders>
            <w:noWrap/>
            <w:vAlign w:val="bottom"/>
          </w:tcPr>
          <w:p w:rsidR="00B345A7" w:rsidRPr="005E03F6" w:rsidRDefault="00B345A7" w:rsidP="005E03F6">
            <w:pPr>
              <w:spacing w:line="360" w:lineRule="auto"/>
              <w:jc w:val="right"/>
              <w:rPr>
                <w:color w:val="000000"/>
                <w:sz w:val="18"/>
                <w:szCs w:val="18"/>
                <w:lang w:eastAsia="en-GB"/>
              </w:rPr>
            </w:pPr>
            <w:r w:rsidRPr="005E03F6">
              <w:rPr>
                <w:color w:val="000000"/>
                <w:sz w:val="18"/>
                <w:szCs w:val="18"/>
                <w:lang w:eastAsia="en-GB"/>
              </w:rPr>
              <w:t>0.46</w:t>
            </w:r>
          </w:p>
        </w:tc>
      </w:tr>
    </w:tbl>
    <w:p w:rsidR="00B345A7" w:rsidRDefault="00B345A7" w:rsidP="00AE61E9">
      <w:pPr>
        <w:spacing w:line="360" w:lineRule="auto"/>
        <w:ind w:hanging="11"/>
      </w:pPr>
      <w:r>
        <w:t xml:space="preserve">SIAS: Social Interactions and Anxiety, BDI: Beck’s Depression Inventory , GAF: Global Assessment of Functioning, EQ5D: European Quality of Life, MANSA: Manchester Short Assessment of Quality of Life </w:t>
      </w:r>
    </w:p>
    <w:p w:rsidR="00B345A7" w:rsidRDefault="00B345A7" w:rsidP="00867F6B">
      <w:pPr>
        <w:spacing w:line="360" w:lineRule="auto"/>
        <w:ind w:left="720" w:hanging="720"/>
      </w:pPr>
    </w:p>
    <w:p w:rsidR="00B345A7" w:rsidRDefault="00B345A7" w:rsidP="00AE61E9">
      <w:pPr>
        <w:spacing w:line="360" w:lineRule="auto"/>
      </w:pPr>
      <w:r>
        <w:br w:type="page"/>
      </w:r>
    </w:p>
    <w:p w:rsidR="00B345A7" w:rsidRDefault="00B345A7" w:rsidP="00867F6B">
      <w:pPr>
        <w:pStyle w:val="Caption"/>
        <w:spacing w:line="360" w:lineRule="auto"/>
      </w:pPr>
      <w:bookmarkStart w:id="32" w:name="_Ref346985955"/>
      <w:bookmarkStart w:id="33" w:name="_Toc362884560"/>
      <w:r>
        <w:t xml:space="preserve">Table </w:t>
      </w:r>
      <w:fldSimple w:instr=" SEQ Table \* ARABIC ">
        <w:r>
          <w:rPr>
            <w:noProof/>
          </w:rPr>
          <w:t>3</w:t>
        </w:r>
      </w:fldSimple>
      <w:bookmarkEnd w:id="32"/>
      <w:r>
        <w:t xml:space="preserve">: </w:t>
      </w:r>
      <w:r w:rsidRPr="007628D1">
        <w:t>Associations between components of therapy</w:t>
      </w:r>
      <w:bookmarkEnd w:id="33"/>
    </w:p>
    <w:tbl>
      <w:tblPr>
        <w:tblW w:w="12489" w:type="dxa"/>
        <w:tblInd w:w="93" w:type="dxa"/>
        <w:tblLook w:val="00A0"/>
      </w:tblPr>
      <w:tblGrid>
        <w:gridCol w:w="3461"/>
        <w:gridCol w:w="960"/>
        <w:gridCol w:w="1240"/>
        <w:gridCol w:w="1158"/>
        <w:gridCol w:w="1134"/>
        <w:gridCol w:w="1134"/>
        <w:gridCol w:w="1134"/>
        <w:gridCol w:w="1134"/>
        <w:gridCol w:w="1134"/>
      </w:tblGrid>
      <w:tr w:rsidR="00B345A7" w:rsidRPr="00461A6A" w:rsidTr="0065332A">
        <w:trPr>
          <w:trHeight w:val="300"/>
        </w:trPr>
        <w:tc>
          <w:tcPr>
            <w:tcW w:w="3461" w:type="dxa"/>
            <w:tcBorders>
              <w:top w:val="nil"/>
              <w:left w:val="nil"/>
              <w:bottom w:val="nil"/>
              <w:right w:val="nil"/>
            </w:tcBorders>
            <w:noWrap/>
            <w:vAlign w:val="bottom"/>
          </w:tcPr>
          <w:p w:rsidR="00B345A7" w:rsidRPr="00461A6A" w:rsidRDefault="00B345A7" w:rsidP="00865356">
            <w:pPr>
              <w:spacing w:line="276" w:lineRule="auto"/>
              <w:rPr>
                <w:color w:val="000000"/>
                <w:szCs w:val="20"/>
                <w:lang w:eastAsia="en-GB"/>
              </w:rPr>
            </w:pPr>
          </w:p>
        </w:tc>
        <w:tc>
          <w:tcPr>
            <w:tcW w:w="960" w:type="dxa"/>
            <w:tcBorders>
              <w:top w:val="nil"/>
              <w:left w:val="nil"/>
              <w:bottom w:val="nil"/>
              <w:right w:val="nil"/>
            </w:tcBorders>
            <w:noWrap/>
            <w:vAlign w:val="bottom"/>
          </w:tcPr>
          <w:p w:rsidR="00B345A7" w:rsidRPr="00461A6A" w:rsidRDefault="00B345A7" w:rsidP="00865356">
            <w:pPr>
              <w:spacing w:line="276" w:lineRule="auto"/>
              <w:rPr>
                <w:color w:val="000000"/>
                <w:szCs w:val="20"/>
                <w:lang w:eastAsia="en-GB"/>
              </w:rPr>
            </w:pPr>
          </w:p>
        </w:tc>
        <w:tc>
          <w:tcPr>
            <w:tcW w:w="1240" w:type="dxa"/>
            <w:tcBorders>
              <w:top w:val="single" w:sz="4" w:space="0" w:color="auto"/>
              <w:left w:val="single" w:sz="4" w:space="0" w:color="auto"/>
              <w:bottom w:val="nil"/>
              <w:right w:val="single" w:sz="4" w:space="0" w:color="auto"/>
            </w:tcBorders>
            <w:noWrap/>
            <w:vAlign w:val="bottom"/>
          </w:tcPr>
          <w:p w:rsidR="00B345A7" w:rsidRPr="00461A6A" w:rsidRDefault="00B345A7" w:rsidP="004F4234">
            <w:pPr>
              <w:spacing w:line="276" w:lineRule="auto"/>
              <w:jc w:val="center"/>
              <w:rPr>
                <w:color w:val="000000"/>
                <w:szCs w:val="20"/>
                <w:lang w:eastAsia="en-GB"/>
              </w:rPr>
            </w:pPr>
            <w:r>
              <w:rPr>
                <w:color w:val="000000"/>
                <w:szCs w:val="20"/>
                <w:lang w:eastAsia="en-GB"/>
              </w:rPr>
              <w:t>S</w:t>
            </w:r>
            <w:r w:rsidRPr="00461A6A">
              <w:rPr>
                <w:color w:val="000000"/>
                <w:szCs w:val="20"/>
                <w:lang w:eastAsia="en-GB"/>
              </w:rPr>
              <w:t>essions</w:t>
            </w:r>
            <w:r>
              <w:rPr>
                <w:color w:val="000000"/>
                <w:szCs w:val="20"/>
                <w:lang w:eastAsia="en-GB"/>
              </w:rPr>
              <w:t xml:space="preserve"> attended</w:t>
            </w:r>
          </w:p>
        </w:tc>
        <w:tc>
          <w:tcPr>
            <w:tcW w:w="2292" w:type="dxa"/>
            <w:gridSpan w:val="2"/>
            <w:tcBorders>
              <w:top w:val="single" w:sz="4" w:space="0" w:color="auto"/>
              <w:left w:val="nil"/>
              <w:bottom w:val="nil"/>
              <w:right w:val="single" w:sz="4" w:space="0" w:color="000000"/>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xml:space="preserve">Problem </w:t>
            </w:r>
            <w:r>
              <w:rPr>
                <w:color w:val="000000"/>
                <w:szCs w:val="20"/>
                <w:lang w:eastAsia="en-GB"/>
              </w:rPr>
              <w:t>agreement</w:t>
            </w:r>
          </w:p>
        </w:tc>
        <w:tc>
          <w:tcPr>
            <w:tcW w:w="2268" w:type="dxa"/>
            <w:gridSpan w:val="2"/>
            <w:tcBorders>
              <w:top w:val="single" w:sz="4" w:space="0" w:color="auto"/>
              <w:left w:val="nil"/>
              <w:bottom w:val="nil"/>
              <w:right w:val="single" w:sz="4" w:space="0" w:color="000000"/>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Formulation</w:t>
            </w:r>
          </w:p>
        </w:tc>
        <w:tc>
          <w:tcPr>
            <w:tcW w:w="2268" w:type="dxa"/>
            <w:gridSpan w:val="2"/>
            <w:tcBorders>
              <w:top w:val="single" w:sz="4" w:space="0" w:color="auto"/>
              <w:left w:val="nil"/>
              <w:bottom w:val="nil"/>
              <w:right w:val="single" w:sz="4" w:space="0" w:color="000000"/>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&gt;50% homework</w:t>
            </w:r>
          </w:p>
        </w:tc>
      </w:tr>
      <w:tr w:rsidR="00B345A7" w:rsidRPr="00461A6A" w:rsidTr="0065332A">
        <w:trPr>
          <w:trHeight w:val="300"/>
        </w:trPr>
        <w:tc>
          <w:tcPr>
            <w:tcW w:w="3461" w:type="dxa"/>
            <w:tcBorders>
              <w:top w:val="nil"/>
              <w:left w:val="nil"/>
              <w:bottom w:val="nil"/>
              <w:right w:val="nil"/>
            </w:tcBorders>
            <w:noWrap/>
            <w:vAlign w:val="bottom"/>
          </w:tcPr>
          <w:p w:rsidR="00B345A7" w:rsidRPr="00461A6A" w:rsidRDefault="00B345A7" w:rsidP="00865356">
            <w:pPr>
              <w:spacing w:line="276" w:lineRule="auto"/>
              <w:rPr>
                <w:color w:val="000000"/>
                <w:szCs w:val="20"/>
                <w:lang w:eastAsia="en-GB"/>
              </w:rPr>
            </w:pPr>
          </w:p>
        </w:tc>
        <w:tc>
          <w:tcPr>
            <w:tcW w:w="960" w:type="dxa"/>
            <w:tcBorders>
              <w:top w:val="nil"/>
              <w:left w:val="nil"/>
              <w:bottom w:val="nil"/>
              <w:right w:val="nil"/>
            </w:tcBorders>
            <w:noWrap/>
            <w:vAlign w:val="bottom"/>
          </w:tcPr>
          <w:p w:rsidR="00B345A7" w:rsidRPr="00461A6A" w:rsidRDefault="00B345A7" w:rsidP="00865356">
            <w:pPr>
              <w:spacing w:line="276" w:lineRule="auto"/>
              <w:rPr>
                <w:color w:val="000000"/>
                <w:szCs w:val="20"/>
                <w:lang w:eastAsia="en-GB"/>
              </w:rPr>
            </w:pPr>
          </w:p>
        </w:tc>
        <w:tc>
          <w:tcPr>
            <w:tcW w:w="1240" w:type="dxa"/>
            <w:tcBorders>
              <w:top w:val="nil"/>
              <w:left w:val="single" w:sz="4" w:space="0" w:color="auto"/>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mean (sd)</w:t>
            </w:r>
          </w:p>
        </w:tc>
        <w:tc>
          <w:tcPr>
            <w:tcW w:w="1158" w:type="dxa"/>
            <w:tcBorders>
              <w:top w:val="nil"/>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No</w:t>
            </w:r>
          </w:p>
        </w:tc>
        <w:tc>
          <w:tcPr>
            <w:tcW w:w="1134" w:type="dxa"/>
            <w:tcBorders>
              <w:top w:val="nil"/>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Yes</w:t>
            </w:r>
          </w:p>
        </w:tc>
        <w:tc>
          <w:tcPr>
            <w:tcW w:w="1134" w:type="dxa"/>
            <w:tcBorders>
              <w:top w:val="nil"/>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No</w:t>
            </w:r>
          </w:p>
        </w:tc>
        <w:tc>
          <w:tcPr>
            <w:tcW w:w="1134" w:type="dxa"/>
            <w:tcBorders>
              <w:top w:val="nil"/>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Yes</w:t>
            </w:r>
          </w:p>
        </w:tc>
        <w:tc>
          <w:tcPr>
            <w:tcW w:w="1134" w:type="dxa"/>
            <w:tcBorders>
              <w:top w:val="nil"/>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No</w:t>
            </w:r>
          </w:p>
        </w:tc>
        <w:tc>
          <w:tcPr>
            <w:tcW w:w="1134" w:type="dxa"/>
            <w:tcBorders>
              <w:top w:val="nil"/>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Yes</w:t>
            </w:r>
          </w:p>
        </w:tc>
      </w:tr>
      <w:tr w:rsidR="00B345A7" w:rsidRPr="00461A6A" w:rsidTr="0065332A">
        <w:trPr>
          <w:trHeight w:val="300"/>
        </w:trPr>
        <w:tc>
          <w:tcPr>
            <w:tcW w:w="3461" w:type="dxa"/>
            <w:tcBorders>
              <w:top w:val="single" w:sz="4" w:space="0" w:color="auto"/>
              <w:left w:val="single" w:sz="4" w:space="0" w:color="auto"/>
              <w:bottom w:val="nil"/>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 xml:space="preserve">Problem </w:t>
            </w:r>
            <w:r>
              <w:rPr>
                <w:color w:val="000000"/>
                <w:szCs w:val="20"/>
                <w:lang w:eastAsia="en-GB"/>
              </w:rPr>
              <w:t>Agreement</w:t>
            </w:r>
          </w:p>
        </w:tc>
        <w:tc>
          <w:tcPr>
            <w:tcW w:w="960" w:type="dxa"/>
            <w:tcBorders>
              <w:top w:val="single" w:sz="4" w:space="0" w:color="auto"/>
              <w:left w:val="nil"/>
              <w:bottom w:val="nil"/>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No</w:t>
            </w:r>
          </w:p>
        </w:tc>
        <w:tc>
          <w:tcPr>
            <w:tcW w:w="1240" w:type="dxa"/>
            <w:tcBorders>
              <w:top w:val="single" w:sz="4" w:space="0" w:color="auto"/>
              <w:left w:val="single" w:sz="4" w:space="0" w:color="auto"/>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4.5 (5.2)</w:t>
            </w:r>
          </w:p>
        </w:tc>
        <w:tc>
          <w:tcPr>
            <w:tcW w:w="1158" w:type="dxa"/>
            <w:tcBorders>
              <w:top w:val="single" w:sz="4" w:space="0" w:color="auto"/>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single" w:sz="4" w:space="0" w:color="auto"/>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single" w:sz="4" w:space="0" w:color="auto"/>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single" w:sz="4" w:space="0" w:color="auto"/>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single" w:sz="4" w:space="0" w:color="auto"/>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single" w:sz="4" w:space="0" w:color="auto"/>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r>
      <w:tr w:rsidR="00B345A7" w:rsidRPr="00461A6A" w:rsidTr="0065332A">
        <w:trPr>
          <w:trHeight w:val="300"/>
        </w:trPr>
        <w:tc>
          <w:tcPr>
            <w:tcW w:w="3461" w:type="dxa"/>
            <w:tcBorders>
              <w:top w:val="nil"/>
              <w:left w:val="single" w:sz="4" w:space="0" w:color="auto"/>
              <w:bottom w:val="single" w:sz="4" w:space="0" w:color="auto"/>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 </w:t>
            </w:r>
          </w:p>
        </w:tc>
        <w:tc>
          <w:tcPr>
            <w:tcW w:w="960" w:type="dxa"/>
            <w:tcBorders>
              <w:top w:val="nil"/>
              <w:left w:val="nil"/>
              <w:bottom w:val="single" w:sz="4" w:space="0" w:color="auto"/>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Yes</w:t>
            </w:r>
          </w:p>
        </w:tc>
        <w:tc>
          <w:tcPr>
            <w:tcW w:w="1240" w:type="dxa"/>
            <w:tcBorders>
              <w:top w:val="nil"/>
              <w:left w:val="single" w:sz="4" w:space="0" w:color="auto"/>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10.9 (6.3)</w:t>
            </w:r>
          </w:p>
        </w:tc>
        <w:tc>
          <w:tcPr>
            <w:tcW w:w="1158" w:type="dxa"/>
            <w:tcBorders>
              <w:top w:val="nil"/>
              <w:left w:val="nil"/>
              <w:bottom w:val="single" w:sz="4" w:space="0" w:color="auto"/>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single" w:sz="4" w:space="0" w:color="auto"/>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single" w:sz="4" w:space="0" w:color="auto"/>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r>
      <w:tr w:rsidR="00B345A7" w:rsidRPr="00461A6A" w:rsidTr="0065332A">
        <w:trPr>
          <w:trHeight w:val="300"/>
        </w:trPr>
        <w:tc>
          <w:tcPr>
            <w:tcW w:w="3461" w:type="dxa"/>
            <w:tcBorders>
              <w:top w:val="nil"/>
              <w:left w:val="single" w:sz="4" w:space="0" w:color="auto"/>
              <w:bottom w:val="nil"/>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Formulation</w:t>
            </w:r>
          </w:p>
        </w:tc>
        <w:tc>
          <w:tcPr>
            <w:tcW w:w="960" w:type="dxa"/>
            <w:tcBorders>
              <w:top w:val="nil"/>
              <w:left w:val="nil"/>
              <w:bottom w:val="nil"/>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No</w:t>
            </w:r>
          </w:p>
        </w:tc>
        <w:tc>
          <w:tcPr>
            <w:tcW w:w="1240" w:type="dxa"/>
            <w:tcBorders>
              <w:top w:val="nil"/>
              <w:left w:val="single" w:sz="4" w:space="0" w:color="auto"/>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4.8 (4.9)</w:t>
            </w:r>
          </w:p>
        </w:tc>
        <w:tc>
          <w:tcPr>
            <w:tcW w:w="1158" w:type="dxa"/>
            <w:tcBorders>
              <w:top w:val="nil"/>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37 (84%)</w:t>
            </w:r>
          </w:p>
        </w:tc>
        <w:tc>
          <w:tcPr>
            <w:tcW w:w="1134" w:type="dxa"/>
            <w:tcBorders>
              <w:top w:val="nil"/>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28 (28%)</w:t>
            </w:r>
          </w:p>
        </w:tc>
        <w:tc>
          <w:tcPr>
            <w:tcW w:w="1134" w:type="dxa"/>
            <w:tcBorders>
              <w:top w:val="nil"/>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r>
      <w:tr w:rsidR="00B345A7" w:rsidRPr="00461A6A" w:rsidTr="0065332A">
        <w:trPr>
          <w:trHeight w:val="300"/>
        </w:trPr>
        <w:tc>
          <w:tcPr>
            <w:tcW w:w="3461" w:type="dxa"/>
            <w:tcBorders>
              <w:top w:val="nil"/>
              <w:left w:val="single" w:sz="4" w:space="0" w:color="auto"/>
              <w:bottom w:val="single" w:sz="4" w:space="0" w:color="auto"/>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 </w:t>
            </w:r>
          </w:p>
        </w:tc>
        <w:tc>
          <w:tcPr>
            <w:tcW w:w="960" w:type="dxa"/>
            <w:tcBorders>
              <w:top w:val="nil"/>
              <w:left w:val="nil"/>
              <w:bottom w:val="single" w:sz="4" w:space="0" w:color="auto"/>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Yes</w:t>
            </w:r>
          </w:p>
        </w:tc>
        <w:tc>
          <w:tcPr>
            <w:tcW w:w="1240" w:type="dxa"/>
            <w:tcBorders>
              <w:top w:val="nil"/>
              <w:left w:val="single" w:sz="4" w:space="0" w:color="auto"/>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12.4 (6.0)</w:t>
            </w:r>
          </w:p>
        </w:tc>
        <w:tc>
          <w:tcPr>
            <w:tcW w:w="1158" w:type="dxa"/>
            <w:tcBorders>
              <w:top w:val="nil"/>
              <w:left w:val="nil"/>
              <w:bottom w:val="single" w:sz="4" w:space="0" w:color="auto"/>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7 (16%)</w:t>
            </w:r>
          </w:p>
        </w:tc>
        <w:tc>
          <w:tcPr>
            <w:tcW w:w="1134" w:type="dxa"/>
            <w:tcBorders>
              <w:top w:val="nil"/>
              <w:left w:val="nil"/>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72 (72%)</w:t>
            </w:r>
          </w:p>
        </w:tc>
        <w:tc>
          <w:tcPr>
            <w:tcW w:w="1134" w:type="dxa"/>
            <w:tcBorders>
              <w:top w:val="nil"/>
              <w:left w:val="nil"/>
              <w:bottom w:val="single" w:sz="4" w:space="0" w:color="auto"/>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single" w:sz="4" w:space="0" w:color="auto"/>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r>
      <w:tr w:rsidR="00B345A7" w:rsidRPr="00461A6A" w:rsidTr="0065332A">
        <w:trPr>
          <w:trHeight w:val="300"/>
        </w:trPr>
        <w:tc>
          <w:tcPr>
            <w:tcW w:w="3461" w:type="dxa"/>
            <w:tcBorders>
              <w:top w:val="nil"/>
              <w:left w:val="single" w:sz="4" w:space="0" w:color="auto"/>
              <w:bottom w:val="nil"/>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&gt;50% sessions with homework</w:t>
            </w:r>
          </w:p>
        </w:tc>
        <w:tc>
          <w:tcPr>
            <w:tcW w:w="960" w:type="dxa"/>
            <w:tcBorders>
              <w:top w:val="nil"/>
              <w:left w:val="nil"/>
              <w:bottom w:val="nil"/>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No</w:t>
            </w:r>
          </w:p>
        </w:tc>
        <w:tc>
          <w:tcPr>
            <w:tcW w:w="1240" w:type="dxa"/>
            <w:tcBorders>
              <w:top w:val="nil"/>
              <w:left w:val="single" w:sz="4" w:space="0" w:color="auto"/>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7.1 (6.4)</w:t>
            </w:r>
          </w:p>
        </w:tc>
        <w:tc>
          <w:tcPr>
            <w:tcW w:w="1158" w:type="dxa"/>
            <w:tcBorders>
              <w:top w:val="nil"/>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34 (77%)</w:t>
            </w:r>
          </w:p>
        </w:tc>
        <w:tc>
          <w:tcPr>
            <w:tcW w:w="1134" w:type="dxa"/>
            <w:tcBorders>
              <w:top w:val="nil"/>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47 (47%)</w:t>
            </w:r>
          </w:p>
        </w:tc>
        <w:tc>
          <w:tcPr>
            <w:tcW w:w="1134" w:type="dxa"/>
            <w:tcBorders>
              <w:top w:val="nil"/>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47 (72%)</w:t>
            </w:r>
          </w:p>
        </w:tc>
        <w:tc>
          <w:tcPr>
            <w:tcW w:w="1134" w:type="dxa"/>
            <w:tcBorders>
              <w:top w:val="nil"/>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34 (43%)</w:t>
            </w:r>
          </w:p>
        </w:tc>
        <w:tc>
          <w:tcPr>
            <w:tcW w:w="1134" w:type="dxa"/>
            <w:tcBorders>
              <w:top w:val="nil"/>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r>
      <w:tr w:rsidR="00B345A7" w:rsidRPr="00461A6A" w:rsidTr="0065332A">
        <w:trPr>
          <w:trHeight w:val="300"/>
        </w:trPr>
        <w:tc>
          <w:tcPr>
            <w:tcW w:w="3461" w:type="dxa"/>
            <w:tcBorders>
              <w:top w:val="nil"/>
              <w:left w:val="single" w:sz="4" w:space="0" w:color="auto"/>
              <w:bottom w:val="single" w:sz="4" w:space="0" w:color="auto"/>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 </w:t>
            </w:r>
          </w:p>
        </w:tc>
        <w:tc>
          <w:tcPr>
            <w:tcW w:w="960" w:type="dxa"/>
            <w:tcBorders>
              <w:top w:val="nil"/>
              <w:left w:val="nil"/>
              <w:bottom w:val="single" w:sz="4" w:space="0" w:color="auto"/>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Yes</w:t>
            </w:r>
          </w:p>
        </w:tc>
        <w:tc>
          <w:tcPr>
            <w:tcW w:w="1240" w:type="dxa"/>
            <w:tcBorders>
              <w:top w:val="nil"/>
              <w:left w:val="single" w:sz="4" w:space="0" w:color="auto"/>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11.3 (6.7)</w:t>
            </w:r>
          </w:p>
        </w:tc>
        <w:tc>
          <w:tcPr>
            <w:tcW w:w="1158" w:type="dxa"/>
            <w:tcBorders>
              <w:top w:val="nil"/>
              <w:left w:val="nil"/>
              <w:bottom w:val="single" w:sz="4" w:space="0" w:color="auto"/>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10 (23%)</w:t>
            </w:r>
          </w:p>
        </w:tc>
        <w:tc>
          <w:tcPr>
            <w:tcW w:w="1134" w:type="dxa"/>
            <w:tcBorders>
              <w:top w:val="nil"/>
              <w:left w:val="nil"/>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53 (53%)</w:t>
            </w:r>
          </w:p>
        </w:tc>
        <w:tc>
          <w:tcPr>
            <w:tcW w:w="1134" w:type="dxa"/>
            <w:tcBorders>
              <w:top w:val="nil"/>
              <w:left w:val="nil"/>
              <w:bottom w:val="single" w:sz="4" w:space="0" w:color="auto"/>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18 (28%)</w:t>
            </w:r>
          </w:p>
        </w:tc>
        <w:tc>
          <w:tcPr>
            <w:tcW w:w="1134" w:type="dxa"/>
            <w:tcBorders>
              <w:top w:val="nil"/>
              <w:left w:val="nil"/>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45 (57%)</w:t>
            </w:r>
          </w:p>
        </w:tc>
        <w:tc>
          <w:tcPr>
            <w:tcW w:w="1134" w:type="dxa"/>
            <w:tcBorders>
              <w:top w:val="nil"/>
              <w:left w:val="nil"/>
              <w:bottom w:val="single" w:sz="4" w:space="0" w:color="auto"/>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c>
          <w:tcPr>
            <w:tcW w:w="1134" w:type="dxa"/>
            <w:tcBorders>
              <w:top w:val="nil"/>
              <w:left w:val="nil"/>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 </w:t>
            </w:r>
          </w:p>
        </w:tc>
      </w:tr>
      <w:tr w:rsidR="00B345A7" w:rsidRPr="00461A6A" w:rsidTr="0065332A">
        <w:trPr>
          <w:trHeight w:val="300"/>
        </w:trPr>
        <w:tc>
          <w:tcPr>
            <w:tcW w:w="3461" w:type="dxa"/>
            <w:vMerge w:val="restart"/>
            <w:tcBorders>
              <w:top w:val="nil"/>
              <w:left w:val="single" w:sz="4" w:space="0" w:color="auto"/>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&gt;50% sessions with active change strategy </w:t>
            </w:r>
          </w:p>
        </w:tc>
        <w:tc>
          <w:tcPr>
            <w:tcW w:w="960" w:type="dxa"/>
            <w:tcBorders>
              <w:top w:val="nil"/>
              <w:left w:val="nil"/>
              <w:bottom w:val="nil"/>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No</w:t>
            </w:r>
          </w:p>
        </w:tc>
        <w:tc>
          <w:tcPr>
            <w:tcW w:w="1240" w:type="dxa"/>
            <w:tcBorders>
              <w:top w:val="nil"/>
              <w:left w:val="single" w:sz="4" w:space="0" w:color="auto"/>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5.6 (5.0)</w:t>
            </w:r>
          </w:p>
        </w:tc>
        <w:tc>
          <w:tcPr>
            <w:tcW w:w="1158" w:type="dxa"/>
            <w:tcBorders>
              <w:top w:val="nil"/>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35 (80%)</w:t>
            </w:r>
          </w:p>
        </w:tc>
        <w:tc>
          <w:tcPr>
            <w:tcW w:w="1134" w:type="dxa"/>
            <w:tcBorders>
              <w:top w:val="nil"/>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37 (37%)</w:t>
            </w:r>
          </w:p>
        </w:tc>
        <w:tc>
          <w:tcPr>
            <w:tcW w:w="1134" w:type="dxa"/>
            <w:tcBorders>
              <w:top w:val="nil"/>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51 (78%)</w:t>
            </w:r>
          </w:p>
        </w:tc>
        <w:tc>
          <w:tcPr>
            <w:tcW w:w="1134" w:type="dxa"/>
            <w:tcBorders>
              <w:top w:val="nil"/>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21 (27%)</w:t>
            </w:r>
          </w:p>
        </w:tc>
        <w:tc>
          <w:tcPr>
            <w:tcW w:w="1134" w:type="dxa"/>
            <w:tcBorders>
              <w:top w:val="nil"/>
              <w:left w:val="nil"/>
              <w:bottom w:val="nil"/>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58 (72%)</w:t>
            </w:r>
          </w:p>
        </w:tc>
        <w:tc>
          <w:tcPr>
            <w:tcW w:w="1134" w:type="dxa"/>
            <w:tcBorders>
              <w:top w:val="nil"/>
              <w:left w:val="nil"/>
              <w:bottom w:val="nil"/>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14 (22%)</w:t>
            </w:r>
          </w:p>
        </w:tc>
      </w:tr>
      <w:tr w:rsidR="00B345A7" w:rsidRPr="00461A6A" w:rsidTr="0065332A">
        <w:trPr>
          <w:trHeight w:val="300"/>
        </w:trPr>
        <w:tc>
          <w:tcPr>
            <w:tcW w:w="3461" w:type="dxa"/>
            <w:vMerge/>
            <w:tcBorders>
              <w:left w:val="single" w:sz="4" w:space="0" w:color="auto"/>
              <w:bottom w:val="single" w:sz="4" w:space="0" w:color="auto"/>
              <w:right w:val="nil"/>
            </w:tcBorders>
            <w:noWrap/>
            <w:vAlign w:val="bottom"/>
          </w:tcPr>
          <w:p w:rsidR="00B345A7" w:rsidRPr="00461A6A" w:rsidRDefault="00B345A7" w:rsidP="00865356">
            <w:pPr>
              <w:spacing w:line="276" w:lineRule="auto"/>
              <w:rPr>
                <w:color w:val="000000"/>
                <w:szCs w:val="20"/>
                <w:lang w:eastAsia="en-GB"/>
              </w:rPr>
            </w:pPr>
          </w:p>
        </w:tc>
        <w:tc>
          <w:tcPr>
            <w:tcW w:w="960" w:type="dxa"/>
            <w:tcBorders>
              <w:top w:val="nil"/>
              <w:left w:val="nil"/>
              <w:bottom w:val="single" w:sz="4" w:space="0" w:color="auto"/>
              <w:right w:val="nil"/>
            </w:tcBorders>
            <w:noWrap/>
            <w:vAlign w:val="bottom"/>
          </w:tcPr>
          <w:p w:rsidR="00B345A7" w:rsidRPr="00461A6A" w:rsidRDefault="00B345A7" w:rsidP="00865356">
            <w:pPr>
              <w:spacing w:line="276" w:lineRule="auto"/>
              <w:rPr>
                <w:color w:val="000000"/>
                <w:szCs w:val="20"/>
                <w:lang w:eastAsia="en-GB"/>
              </w:rPr>
            </w:pPr>
            <w:r w:rsidRPr="00461A6A">
              <w:rPr>
                <w:color w:val="000000"/>
                <w:szCs w:val="20"/>
                <w:lang w:eastAsia="en-GB"/>
              </w:rPr>
              <w:t>Yes</w:t>
            </w:r>
          </w:p>
        </w:tc>
        <w:tc>
          <w:tcPr>
            <w:tcW w:w="1240" w:type="dxa"/>
            <w:tcBorders>
              <w:top w:val="nil"/>
              <w:left w:val="single" w:sz="4" w:space="0" w:color="auto"/>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12.3 (6.5)</w:t>
            </w:r>
          </w:p>
        </w:tc>
        <w:tc>
          <w:tcPr>
            <w:tcW w:w="1158" w:type="dxa"/>
            <w:tcBorders>
              <w:top w:val="nil"/>
              <w:left w:val="nil"/>
              <w:bottom w:val="single" w:sz="4" w:space="0" w:color="auto"/>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9 (20%)</w:t>
            </w:r>
          </w:p>
        </w:tc>
        <w:tc>
          <w:tcPr>
            <w:tcW w:w="1134" w:type="dxa"/>
            <w:tcBorders>
              <w:top w:val="nil"/>
              <w:left w:val="nil"/>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63 (63%)</w:t>
            </w:r>
          </w:p>
        </w:tc>
        <w:tc>
          <w:tcPr>
            <w:tcW w:w="1134" w:type="dxa"/>
            <w:tcBorders>
              <w:top w:val="nil"/>
              <w:left w:val="nil"/>
              <w:bottom w:val="single" w:sz="4" w:space="0" w:color="auto"/>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24 (22%)</w:t>
            </w:r>
          </w:p>
        </w:tc>
        <w:tc>
          <w:tcPr>
            <w:tcW w:w="1134" w:type="dxa"/>
            <w:tcBorders>
              <w:top w:val="nil"/>
              <w:left w:val="nil"/>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58 (73%)</w:t>
            </w:r>
          </w:p>
        </w:tc>
        <w:tc>
          <w:tcPr>
            <w:tcW w:w="1134" w:type="dxa"/>
            <w:tcBorders>
              <w:top w:val="nil"/>
              <w:left w:val="nil"/>
              <w:bottom w:val="single" w:sz="4" w:space="0" w:color="auto"/>
              <w:right w:val="nil"/>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23 (28%)</w:t>
            </w:r>
          </w:p>
        </w:tc>
        <w:tc>
          <w:tcPr>
            <w:tcW w:w="1134" w:type="dxa"/>
            <w:tcBorders>
              <w:top w:val="nil"/>
              <w:left w:val="nil"/>
              <w:bottom w:val="single" w:sz="4" w:space="0" w:color="auto"/>
              <w:right w:val="single" w:sz="4" w:space="0" w:color="auto"/>
            </w:tcBorders>
            <w:noWrap/>
            <w:vAlign w:val="bottom"/>
          </w:tcPr>
          <w:p w:rsidR="00B345A7" w:rsidRPr="00461A6A" w:rsidRDefault="00B345A7" w:rsidP="00865356">
            <w:pPr>
              <w:spacing w:line="276" w:lineRule="auto"/>
              <w:jc w:val="center"/>
              <w:rPr>
                <w:color w:val="000000"/>
                <w:szCs w:val="20"/>
                <w:lang w:eastAsia="en-GB"/>
              </w:rPr>
            </w:pPr>
            <w:r w:rsidRPr="00461A6A">
              <w:rPr>
                <w:color w:val="000000"/>
                <w:szCs w:val="20"/>
                <w:lang w:eastAsia="en-GB"/>
              </w:rPr>
              <w:t>49 (78%)</w:t>
            </w:r>
          </w:p>
        </w:tc>
      </w:tr>
    </w:tbl>
    <w:p w:rsidR="00B345A7" w:rsidRPr="003B3460" w:rsidRDefault="00B345A7" w:rsidP="00867F6B">
      <w:pPr>
        <w:spacing w:line="360" w:lineRule="auto"/>
        <w:rPr>
          <w:sz w:val="18"/>
          <w:lang w:eastAsia="en-GB"/>
        </w:rPr>
        <w:sectPr w:rsidR="00B345A7" w:rsidRPr="003B3460" w:rsidSect="00F42726">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6838" w:h="11906" w:orient="landscape"/>
          <w:pgMar w:top="2268" w:right="1440" w:bottom="851" w:left="1440" w:header="709" w:footer="709" w:gutter="0"/>
          <w:cols w:space="708"/>
          <w:docGrid w:linePitch="360"/>
        </w:sectPr>
      </w:pPr>
      <w:r w:rsidRPr="003B3460">
        <w:rPr>
          <w:sz w:val="18"/>
          <w:lang w:eastAsia="en-GB"/>
        </w:rPr>
        <w:t>Note: all associations are significant at the 5% level</w:t>
      </w:r>
    </w:p>
    <w:p w:rsidR="00B345A7" w:rsidRDefault="00B345A7" w:rsidP="00867F6B">
      <w:pPr>
        <w:pStyle w:val="Caption"/>
        <w:keepNext/>
        <w:spacing w:line="360" w:lineRule="auto"/>
      </w:pPr>
      <w:bookmarkStart w:id="34" w:name="_Ref367468128"/>
      <w:r>
        <w:lastRenderedPageBreak/>
        <w:t xml:space="preserve">Table </w:t>
      </w:r>
      <w:fldSimple w:instr=" SEQ Table \* ARABIC ">
        <w:r>
          <w:rPr>
            <w:noProof/>
          </w:rPr>
          <w:t>4</w:t>
        </w:r>
      </w:fldSimple>
      <w:bookmarkEnd w:id="34"/>
      <w:r>
        <w:t xml:space="preserve">: Instrumental variables analysis of each potential mechanism of CBT on severity of symptoms at 12 months follow-up </w:t>
      </w:r>
    </w:p>
    <w:tbl>
      <w:tblPr>
        <w:tblW w:w="11861" w:type="dxa"/>
        <w:tblInd w:w="93" w:type="dxa"/>
        <w:tblLook w:val="00A0"/>
      </w:tblPr>
      <w:tblGrid>
        <w:gridCol w:w="4268"/>
        <w:gridCol w:w="1067"/>
        <w:gridCol w:w="937"/>
        <w:gridCol w:w="1766"/>
        <w:gridCol w:w="830"/>
        <w:gridCol w:w="1067"/>
        <w:gridCol w:w="1208"/>
        <w:gridCol w:w="718"/>
      </w:tblGrid>
      <w:tr w:rsidR="00B345A7" w:rsidRPr="00DB5ED7" w:rsidTr="00AE61E9">
        <w:trPr>
          <w:trHeight w:val="300"/>
        </w:trPr>
        <w:tc>
          <w:tcPr>
            <w:tcW w:w="4268" w:type="dxa"/>
            <w:vMerge w:val="restart"/>
            <w:tcBorders>
              <w:top w:val="single" w:sz="4" w:space="0" w:color="auto"/>
              <w:left w:val="single" w:sz="4" w:space="0" w:color="auto"/>
              <w:bottom w:val="single" w:sz="4" w:space="0" w:color="000000"/>
              <w:right w:val="single" w:sz="4" w:space="0" w:color="auto"/>
            </w:tcBorders>
            <w:noWrap/>
            <w:vAlign w:val="bottom"/>
          </w:tcPr>
          <w:p w:rsidR="00B345A7" w:rsidRPr="00DB5ED7" w:rsidRDefault="00B345A7" w:rsidP="00DB5ED7">
            <w:pPr>
              <w:jc w:val="center"/>
              <w:rPr>
                <w:rFonts w:ascii="Arial" w:hAnsi="Arial" w:cs="Arial"/>
                <w:color w:val="000000"/>
                <w:sz w:val="18"/>
                <w:szCs w:val="18"/>
                <w:lang w:eastAsia="en-GB"/>
              </w:rPr>
            </w:pPr>
            <w:r w:rsidRPr="00DB5ED7">
              <w:rPr>
                <w:rFonts w:ascii="Arial" w:hAnsi="Arial" w:cs="Arial"/>
                <w:color w:val="000000"/>
                <w:sz w:val="18"/>
                <w:szCs w:val="18"/>
                <w:lang w:eastAsia="en-GB"/>
              </w:rPr>
              <w:t>Effect</w:t>
            </w:r>
          </w:p>
        </w:tc>
        <w:tc>
          <w:tcPr>
            <w:tcW w:w="4600" w:type="dxa"/>
            <w:gridSpan w:val="4"/>
            <w:tcBorders>
              <w:top w:val="single" w:sz="4" w:space="0" w:color="auto"/>
              <w:left w:val="nil"/>
              <w:bottom w:val="single" w:sz="4" w:space="0" w:color="auto"/>
              <w:right w:val="single" w:sz="4" w:space="0" w:color="000000"/>
            </w:tcBorders>
            <w:noWrap/>
            <w:vAlign w:val="bottom"/>
          </w:tcPr>
          <w:p w:rsidR="00B345A7" w:rsidRPr="00DB5ED7" w:rsidRDefault="00B345A7" w:rsidP="00DB5ED7">
            <w:pPr>
              <w:jc w:val="center"/>
              <w:rPr>
                <w:rFonts w:ascii="Arial" w:hAnsi="Arial" w:cs="Arial"/>
                <w:color w:val="000000"/>
                <w:sz w:val="18"/>
                <w:szCs w:val="18"/>
                <w:lang w:eastAsia="en-GB"/>
              </w:rPr>
            </w:pPr>
            <w:r w:rsidRPr="00DB5ED7">
              <w:rPr>
                <w:rFonts w:ascii="Arial" w:hAnsi="Arial" w:cs="Arial"/>
                <w:color w:val="000000"/>
                <w:sz w:val="18"/>
                <w:szCs w:val="18"/>
                <w:lang w:eastAsia="en-GB"/>
              </w:rPr>
              <w:t>Complete Case</w:t>
            </w:r>
          </w:p>
        </w:tc>
        <w:tc>
          <w:tcPr>
            <w:tcW w:w="2993" w:type="dxa"/>
            <w:gridSpan w:val="3"/>
            <w:tcBorders>
              <w:top w:val="single" w:sz="4" w:space="0" w:color="auto"/>
              <w:left w:val="nil"/>
              <w:bottom w:val="single" w:sz="4" w:space="0" w:color="auto"/>
              <w:right w:val="single" w:sz="4" w:space="0" w:color="000000"/>
            </w:tcBorders>
            <w:noWrap/>
            <w:vAlign w:val="bottom"/>
          </w:tcPr>
          <w:p w:rsidR="00B345A7" w:rsidRPr="00DB5ED7" w:rsidRDefault="00B345A7" w:rsidP="00DB5ED7">
            <w:pPr>
              <w:jc w:val="center"/>
              <w:rPr>
                <w:rFonts w:ascii="Arial" w:hAnsi="Arial" w:cs="Arial"/>
                <w:color w:val="000000"/>
                <w:sz w:val="18"/>
                <w:szCs w:val="18"/>
                <w:lang w:eastAsia="en-GB"/>
              </w:rPr>
            </w:pPr>
            <w:r w:rsidRPr="00DB5ED7">
              <w:rPr>
                <w:rFonts w:ascii="Arial" w:hAnsi="Arial" w:cs="Arial"/>
                <w:color w:val="000000"/>
                <w:sz w:val="18"/>
                <w:szCs w:val="18"/>
                <w:lang w:eastAsia="en-GB"/>
              </w:rPr>
              <w:t>Imputed</w:t>
            </w:r>
          </w:p>
        </w:tc>
      </w:tr>
      <w:tr w:rsidR="00B345A7" w:rsidRPr="00DB5ED7" w:rsidTr="00AE61E9">
        <w:trPr>
          <w:trHeight w:val="300"/>
        </w:trPr>
        <w:tc>
          <w:tcPr>
            <w:tcW w:w="4268" w:type="dxa"/>
            <w:vMerge/>
            <w:tcBorders>
              <w:top w:val="single" w:sz="4" w:space="0" w:color="auto"/>
              <w:left w:val="single" w:sz="4" w:space="0" w:color="auto"/>
              <w:bottom w:val="single" w:sz="4" w:space="0" w:color="000000"/>
              <w:right w:val="single" w:sz="4" w:space="0" w:color="auto"/>
            </w:tcBorders>
            <w:vAlign w:val="center"/>
          </w:tcPr>
          <w:p w:rsidR="00B345A7" w:rsidRPr="00DB5ED7" w:rsidRDefault="00B345A7" w:rsidP="00DB5ED7">
            <w:pPr>
              <w:rPr>
                <w:rFonts w:ascii="Arial" w:hAnsi="Arial" w:cs="Arial"/>
                <w:color w:val="000000"/>
                <w:sz w:val="18"/>
                <w:szCs w:val="18"/>
                <w:lang w:eastAsia="en-GB"/>
              </w:rPr>
            </w:pPr>
          </w:p>
        </w:tc>
        <w:tc>
          <w:tcPr>
            <w:tcW w:w="1067" w:type="dxa"/>
            <w:tcBorders>
              <w:top w:val="nil"/>
              <w:left w:val="nil"/>
              <w:bottom w:val="single" w:sz="4" w:space="0" w:color="auto"/>
              <w:right w:val="nil"/>
            </w:tcBorders>
            <w:noWrap/>
            <w:vAlign w:val="bottom"/>
          </w:tcPr>
          <w:p w:rsidR="00B345A7" w:rsidRPr="00DB5ED7" w:rsidRDefault="00B345A7" w:rsidP="00DB5ED7">
            <w:pPr>
              <w:jc w:val="center"/>
              <w:rPr>
                <w:rFonts w:ascii="Arial" w:hAnsi="Arial" w:cs="Arial"/>
                <w:color w:val="000000"/>
                <w:sz w:val="18"/>
                <w:szCs w:val="18"/>
                <w:lang w:eastAsia="en-GB"/>
              </w:rPr>
            </w:pPr>
            <w:r w:rsidRPr="00DB5ED7">
              <w:rPr>
                <w:rFonts w:ascii="Arial" w:hAnsi="Arial" w:cs="Arial"/>
                <w:color w:val="000000"/>
                <w:sz w:val="18"/>
                <w:szCs w:val="18"/>
                <w:lang w:eastAsia="en-GB"/>
              </w:rPr>
              <w:t>Coefficient</w:t>
            </w:r>
          </w:p>
        </w:tc>
        <w:tc>
          <w:tcPr>
            <w:tcW w:w="937" w:type="dxa"/>
            <w:tcBorders>
              <w:top w:val="nil"/>
              <w:left w:val="nil"/>
              <w:bottom w:val="single" w:sz="4" w:space="0" w:color="auto"/>
              <w:right w:val="nil"/>
            </w:tcBorders>
            <w:noWrap/>
            <w:vAlign w:val="bottom"/>
          </w:tcPr>
          <w:p w:rsidR="00B345A7" w:rsidRPr="00DB5ED7" w:rsidRDefault="00B345A7" w:rsidP="00DB5ED7">
            <w:pPr>
              <w:jc w:val="center"/>
              <w:rPr>
                <w:rFonts w:ascii="Arial" w:hAnsi="Arial" w:cs="Arial"/>
                <w:color w:val="000000"/>
                <w:sz w:val="18"/>
                <w:szCs w:val="18"/>
                <w:lang w:eastAsia="en-GB"/>
              </w:rPr>
            </w:pPr>
            <w:r>
              <w:rPr>
                <w:rFonts w:ascii="Arial" w:hAnsi="Arial" w:cs="Arial"/>
                <w:color w:val="000000"/>
                <w:sz w:val="18"/>
                <w:szCs w:val="18"/>
                <w:lang w:eastAsia="en-GB"/>
              </w:rPr>
              <w:t>Std.E</w:t>
            </w:r>
            <w:r w:rsidRPr="00DB5ED7">
              <w:rPr>
                <w:rFonts w:ascii="Arial" w:hAnsi="Arial" w:cs="Arial"/>
                <w:color w:val="000000"/>
                <w:sz w:val="18"/>
                <w:szCs w:val="18"/>
                <w:lang w:eastAsia="en-GB"/>
              </w:rPr>
              <w:t>rror</w:t>
            </w:r>
          </w:p>
        </w:tc>
        <w:tc>
          <w:tcPr>
            <w:tcW w:w="2596" w:type="dxa"/>
            <w:gridSpan w:val="2"/>
            <w:tcBorders>
              <w:top w:val="nil"/>
              <w:left w:val="nil"/>
              <w:bottom w:val="single" w:sz="4" w:space="0" w:color="auto"/>
              <w:right w:val="single" w:sz="4" w:space="0" w:color="auto"/>
            </w:tcBorders>
            <w:noWrap/>
            <w:vAlign w:val="bottom"/>
          </w:tcPr>
          <w:p w:rsidR="00B345A7" w:rsidRPr="00DB5ED7" w:rsidRDefault="00B345A7" w:rsidP="00AE61E9">
            <w:pPr>
              <w:jc w:val="center"/>
              <w:rPr>
                <w:rFonts w:ascii="Arial" w:hAnsi="Arial" w:cs="Arial"/>
                <w:color w:val="000000"/>
                <w:sz w:val="18"/>
                <w:szCs w:val="18"/>
                <w:lang w:eastAsia="en-GB"/>
              </w:rPr>
            </w:pPr>
            <w:r w:rsidRPr="00DB5ED7">
              <w:rPr>
                <w:rFonts w:ascii="Arial" w:hAnsi="Arial" w:cs="Arial"/>
                <w:color w:val="000000"/>
                <w:sz w:val="18"/>
                <w:szCs w:val="18"/>
                <w:lang w:eastAsia="en-GB"/>
              </w:rPr>
              <w:t>Normal 95% CI</w:t>
            </w:r>
          </w:p>
        </w:tc>
        <w:tc>
          <w:tcPr>
            <w:tcW w:w="1067" w:type="dxa"/>
            <w:tcBorders>
              <w:top w:val="nil"/>
              <w:left w:val="nil"/>
              <w:bottom w:val="nil"/>
              <w:right w:val="nil"/>
            </w:tcBorders>
            <w:noWrap/>
            <w:vAlign w:val="bottom"/>
          </w:tcPr>
          <w:p w:rsidR="00B345A7" w:rsidRPr="00DB5ED7" w:rsidRDefault="00B345A7" w:rsidP="00DB5ED7">
            <w:pPr>
              <w:jc w:val="center"/>
              <w:rPr>
                <w:rFonts w:ascii="Arial" w:hAnsi="Arial" w:cs="Arial"/>
                <w:sz w:val="18"/>
                <w:szCs w:val="18"/>
                <w:lang w:eastAsia="en-GB"/>
              </w:rPr>
            </w:pPr>
            <w:r w:rsidRPr="00DB5ED7">
              <w:rPr>
                <w:rFonts w:ascii="Arial" w:hAnsi="Arial" w:cs="Arial"/>
                <w:sz w:val="18"/>
                <w:szCs w:val="18"/>
                <w:lang w:eastAsia="en-GB"/>
              </w:rPr>
              <w:t>Coefficient</w:t>
            </w:r>
          </w:p>
        </w:tc>
        <w:tc>
          <w:tcPr>
            <w:tcW w:w="1208" w:type="dxa"/>
            <w:tcBorders>
              <w:top w:val="nil"/>
              <w:left w:val="nil"/>
              <w:bottom w:val="nil"/>
              <w:right w:val="nil"/>
            </w:tcBorders>
            <w:noWrap/>
            <w:vAlign w:val="bottom"/>
          </w:tcPr>
          <w:p w:rsidR="00B345A7" w:rsidRPr="00DB5ED7" w:rsidRDefault="00B345A7" w:rsidP="00DB5ED7">
            <w:pPr>
              <w:jc w:val="center"/>
              <w:rPr>
                <w:rFonts w:ascii="Arial" w:hAnsi="Arial" w:cs="Arial"/>
                <w:sz w:val="18"/>
                <w:szCs w:val="18"/>
                <w:lang w:eastAsia="en-GB"/>
              </w:rPr>
            </w:pPr>
            <w:r w:rsidRPr="00DB5ED7">
              <w:rPr>
                <w:rFonts w:ascii="Arial" w:hAnsi="Arial" w:cs="Arial"/>
                <w:sz w:val="18"/>
                <w:szCs w:val="18"/>
                <w:lang w:eastAsia="en-GB"/>
              </w:rPr>
              <w:t>SE Estimate</w:t>
            </w:r>
          </w:p>
        </w:tc>
        <w:tc>
          <w:tcPr>
            <w:tcW w:w="718" w:type="dxa"/>
            <w:tcBorders>
              <w:top w:val="nil"/>
              <w:left w:val="nil"/>
              <w:bottom w:val="nil"/>
              <w:right w:val="single" w:sz="4" w:space="0" w:color="auto"/>
            </w:tcBorders>
            <w:noWrap/>
            <w:vAlign w:val="bottom"/>
          </w:tcPr>
          <w:p w:rsidR="00B345A7" w:rsidRPr="00DB5ED7" w:rsidRDefault="00B345A7" w:rsidP="00DB5ED7">
            <w:pPr>
              <w:jc w:val="center"/>
              <w:rPr>
                <w:rFonts w:ascii="Arial" w:hAnsi="Arial" w:cs="Arial"/>
                <w:sz w:val="18"/>
                <w:szCs w:val="18"/>
                <w:lang w:eastAsia="en-GB"/>
              </w:rPr>
            </w:pPr>
            <w:r w:rsidRPr="00DB5ED7">
              <w:rPr>
                <w:rFonts w:ascii="Arial" w:hAnsi="Arial" w:cs="Arial"/>
                <w:sz w:val="18"/>
                <w:szCs w:val="18"/>
                <w:lang w:eastAsia="en-GB"/>
              </w:rPr>
              <w:t>p</w:t>
            </w:r>
          </w:p>
        </w:tc>
      </w:tr>
      <w:tr w:rsidR="00B345A7" w:rsidRPr="00DB5ED7" w:rsidTr="00AE61E9">
        <w:trPr>
          <w:trHeight w:val="300"/>
        </w:trPr>
        <w:tc>
          <w:tcPr>
            <w:tcW w:w="11861" w:type="dxa"/>
            <w:gridSpan w:val="8"/>
            <w:tcBorders>
              <w:top w:val="single" w:sz="4" w:space="0" w:color="auto"/>
              <w:left w:val="single" w:sz="4" w:space="0" w:color="auto"/>
              <w:bottom w:val="single" w:sz="4" w:space="0" w:color="auto"/>
              <w:right w:val="single" w:sz="4" w:space="0" w:color="000000"/>
            </w:tcBorders>
            <w:noWrap/>
            <w:vAlign w:val="bottom"/>
          </w:tcPr>
          <w:p w:rsidR="00B345A7" w:rsidRPr="00DB5ED7" w:rsidRDefault="00B345A7" w:rsidP="00DB5ED7">
            <w:pPr>
              <w:jc w:val="center"/>
              <w:rPr>
                <w:rFonts w:ascii="Arial" w:hAnsi="Arial" w:cs="Arial"/>
                <w:color w:val="000000"/>
                <w:sz w:val="18"/>
                <w:szCs w:val="18"/>
                <w:lang w:eastAsia="en-GB"/>
              </w:rPr>
            </w:pPr>
            <w:r w:rsidRPr="00DB5ED7">
              <w:rPr>
                <w:rFonts w:ascii="Arial" w:hAnsi="Arial" w:cs="Arial"/>
                <w:color w:val="000000"/>
                <w:sz w:val="18"/>
                <w:szCs w:val="18"/>
                <w:lang w:eastAsia="en-GB"/>
              </w:rPr>
              <w:t>Agreement of problems and goals</w:t>
            </w:r>
          </w:p>
        </w:tc>
      </w:tr>
      <w:tr w:rsidR="00B345A7" w:rsidRPr="00DB5ED7" w:rsidTr="00AE61E9">
        <w:trPr>
          <w:trHeight w:val="300"/>
        </w:trPr>
        <w:tc>
          <w:tcPr>
            <w:tcW w:w="4268" w:type="dxa"/>
            <w:tcBorders>
              <w:top w:val="nil"/>
              <w:left w:val="single" w:sz="4" w:space="0" w:color="auto"/>
              <w:bottom w:val="nil"/>
              <w:right w:val="single" w:sz="4" w:space="0" w:color="auto"/>
            </w:tcBorders>
            <w:noWrap/>
            <w:vAlign w:val="bottom"/>
          </w:tcPr>
          <w:p w:rsidR="00B345A7" w:rsidRPr="00DB5ED7" w:rsidRDefault="00B345A7" w:rsidP="00DB5ED7">
            <w:pPr>
              <w:rPr>
                <w:rFonts w:ascii="Arial" w:hAnsi="Arial" w:cs="Arial"/>
                <w:color w:val="000000"/>
                <w:sz w:val="18"/>
                <w:szCs w:val="18"/>
                <w:lang w:eastAsia="en-GB"/>
              </w:rPr>
            </w:pPr>
            <w:r w:rsidRPr="00DB5ED7">
              <w:rPr>
                <w:rFonts w:ascii="Arial" w:hAnsi="Arial" w:cs="Arial"/>
                <w:color w:val="000000"/>
                <w:sz w:val="18"/>
                <w:szCs w:val="18"/>
                <w:lang w:eastAsia="en-GB"/>
              </w:rPr>
              <w:t>Randomisation</w:t>
            </w:r>
          </w:p>
        </w:tc>
        <w:tc>
          <w:tcPr>
            <w:tcW w:w="106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-0.24</w:t>
            </w:r>
          </w:p>
        </w:tc>
        <w:tc>
          <w:tcPr>
            <w:tcW w:w="93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7.64</w:t>
            </w:r>
          </w:p>
        </w:tc>
        <w:tc>
          <w:tcPr>
            <w:tcW w:w="1766"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-12.48</w:t>
            </w:r>
          </w:p>
        </w:tc>
        <w:tc>
          <w:tcPr>
            <w:tcW w:w="830" w:type="dxa"/>
            <w:tcBorders>
              <w:top w:val="nil"/>
              <w:left w:val="nil"/>
              <w:bottom w:val="nil"/>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17.47</w:t>
            </w:r>
          </w:p>
        </w:tc>
        <w:tc>
          <w:tcPr>
            <w:tcW w:w="106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-0.38</w:t>
            </w:r>
          </w:p>
        </w:tc>
        <w:tc>
          <w:tcPr>
            <w:tcW w:w="1208"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6.73</w:t>
            </w:r>
          </w:p>
        </w:tc>
        <w:tc>
          <w:tcPr>
            <w:tcW w:w="718" w:type="dxa"/>
            <w:tcBorders>
              <w:top w:val="nil"/>
              <w:left w:val="nil"/>
              <w:bottom w:val="nil"/>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0.955</w:t>
            </w:r>
          </w:p>
        </w:tc>
      </w:tr>
      <w:tr w:rsidR="00B345A7" w:rsidRPr="00DB5ED7" w:rsidTr="00AE61E9">
        <w:trPr>
          <w:trHeight w:val="300"/>
        </w:trPr>
        <w:tc>
          <w:tcPr>
            <w:tcW w:w="4268" w:type="dxa"/>
            <w:tcBorders>
              <w:top w:val="nil"/>
              <w:left w:val="single" w:sz="4" w:space="0" w:color="auto"/>
              <w:bottom w:val="single" w:sz="4" w:space="0" w:color="auto"/>
              <w:right w:val="single" w:sz="4" w:space="0" w:color="auto"/>
            </w:tcBorders>
            <w:noWrap/>
            <w:vAlign w:val="bottom"/>
          </w:tcPr>
          <w:p w:rsidR="00B345A7" w:rsidRPr="00DB5ED7" w:rsidRDefault="00B345A7" w:rsidP="00DB5ED7">
            <w:pPr>
              <w:rPr>
                <w:rFonts w:ascii="Arial" w:hAnsi="Arial" w:cs="Arial"/>
                <w:color w:val="000000"/>
                <w:sz w:val="18"/>
                <w:szCs w:val="18"/>
                <w:lang w:eastAsia="en-GB"/>
              </w:rPr>
            </w:pPr>
            <w:r w:rsidRPr="00DB5ED7">
              <w:rPr>
                <w:rFonts w:ascii="Arial" w:hAnsi="Arial" w:cs="Arial"/>
                <w:color w:val="000000"/>
                <w:sz w:val="18"/>
                <w:szCs w:val="18"/>
                <w:lang w:eastAsia="en-GB"/>
              </w:rPr>
              <w:t>Agreement of problems and goals</w:t>
            </w:r>
          </w:p>
        </w:tc>
        <w:tc>
          <w:tcPr>
            <w:tcW w:w="106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-6.15</w:t>
            </w:r>
          </w:p>
        </w:tc>
        <w:tc>
          <w:tcPr>
            <w:tcW w:w="93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9.83</w:t>
            </w:r>
          </w:p>
        </w:tc>
        <w:tc>
          <w:tcPr>
            <w:tcW w:w="1766"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-28.18</w:t>
            </w:r>
          </w:p>
        </w:tc>
        <w:tc>
          <w:tcPr>
            <w:tcW w:w="830" w:type="dxa"/>
            <w:tcBorders>
              <w:top w:val="nil"/>
              <w:left w:val="nil"/>
              <w:bottom w:val="single" w:sz="4" w:space="0" w:color="auto"/>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10.33</w:t>
            </w:r>
          </w:p>
        </w:tc>
        <w:tc>
          <w:tcPr>
            <w:tcW w:w="106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-10.94</w:t>
            </w:r>
          </w:p>
        </w:tc>
        <w:tc>
          <w:tcPr>
            <w:tcW w:w="1208"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9.37</w:t>
            </w:r>
          </w:p>
        </w:tc>
        <w:tc>
          <w:tcPr>
            <w:tcW w:w="718" w:type="dxa"/>
            <w:tcBorders>
              <w:top w:val="nil"/>
              <w:left w:val="nil"/>
              <w:bottom w:val="single" w:sz="4" w:space="0" w:color="auto"/>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0.243</w:t>
            </w:r>
          </w:p>
        </w:tc>
      </w:tr>
      <w:tr w:rsidR="00B345A7" w:rsidRPr="00DB5ED7" w:rsidTr="00AE61E9">
        <w:trPr>
          <w:trHeight w:val="300"/>
        </w:trPr>
        <w:tc>
          <w:tcPr>
            <w:tcW w:w="11861" w:type="dxa"/>
            <w:gridSpan w:val="8"/>
            <w:tcBorders>
              <w:top w:val="single" w:sz="4" w:space="0" w:color="auto"/>
              <w:left w:val="single" w:sz="4" w:space="0" w:color="auto"/>
              <w:bottom w:val="single" w:sz="4" w:space="0" w:color="auto"/>
              <w:right w:val="single" w:sz="4" w:space="0" w:color="000000"/>
            </w:tcBorders>
            <w:noWrap/>
            <w:vAlign w:val="bottom"/>
          </w:tcPr>
          <w:p w:rsidR="00B345A7" w:rsidRPr="00DB5ED7" w:rsidRDefault="00B345A7" w:rsidP="00DB5ED7">
            <w:pPr>
              <w:jc w:val="center"/>
              <w:rPr>
                <w:rFonts w:ascii="Arial" w:hAnsi="Arial" w:cs="Arial"/>
                <w:color w:val="000000"/>
                <w:sz w:val="18"/>
                <w:szCs w:val="18"/>
                <w:lang w:eastAsia="en-GB"/>
              </w:rPr>
            </w:pPr>
            <w:r w:rsidRPr="00DB5ED7">
              <w:rPr>
                <w:rFonts w:ascii="Arial" w:hAnsi="Arial" w:cs="Arial"/>
                <w:color w:val="000000"/>
                <w:sz w:val="18"/>
                <w:szCs w:val="18"/>
                <w:lang w:eastAsia="en-GB"/>
              </w:rPr>
              <w:t>Case formulation</w:t>
            </w:r>
          </w:p>
        </w:tc>
      </w:tr>
      <w:tr w:rsidR="00B345A7" w:rsidRPr="00DB5ED7" w:rsidTr="00AE61E9">
        <w:trPr>
          <w:trHeight w:val="300"/>
        </w:trPr>
        <w:tc>
          <w:tcPr>
            <w:tcW w:w="4268" w:type="dxa"/>
            <w:tcBorders>
              <w:top w:val="nil"/>
              <w:left w:val="single" w:sz="4" w:space="0" w:color="auto"/>
              <w:bottom w:val="nil"/>
              <w:right w:val="single" w:sz="4" w:space="0" w:color="auto"/>
            </w:tcBorders>
            <w:noWrap/>
            <w:vAlign w:val="bottom"/>
          </w:tcPr>
          <w:p w:rsidR="00B345A7" w:rsidRPr="00DB5ED7" w:rsidRDefault="00B345A7" w:rsidP="00DB5ED7">
            <w:pPr>
              <w:rPr>
                <w:color w:val="000000"/>
                <w:lang w:eastAsia="en-GB"/>
              </w:rPr>
            </w:pPr>
            <w:r w:rsidRPr="00DB5ED7">
              <w:rPr>
                <w:color w:val="000000"/>
                <w:lang w:eastAsia="en-GB"/>
              </w:rPr>
              <w:t>Randomisation</w:t>
            </w:r>
          </w:p>
        </w:tc>
        <w:tc>
          <w:tcPr>
            <w:tcW w:w="106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-3.97</w:t>
            </w:r>
          </w:p>
        </w:tc>
        <w:tc>
          <w:tcPr>
            <w:tcW w:w="93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6.28</w:t>
            </w:r>
          </w:p>
        </w:tc>
        <w:tc>
          <w:tcPr>
            <w:tcW w:w="1766"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-14.95</w:t>
            </w:r>
          </w:p>
        </w:tc>
        <w:tc>
          <w:tcPr>
            <w:tcW w:w="830" w:type="dxa"/>
            <w:tcBorders>
              <w:top w:val="nil"/>
              <w:left w:val="nil"/>
              <w:bottom w:val="nil"/>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9.68</w:t>
            </w:r>
          </w:p>
        </w:tc>
        <w:tc>
          <w:tcPr>
            <w:tcW w:w="106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4.49</w:t>
            </w:r>
          </w:p>
        </w:tc>
        <w:tc>
          <w:tcPr>
            <w:tcW w:w="1208"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6.49</w:t>
            </w:r>
          </w:p>
        </w:tc>
        <w:tc>
          <w:tcPr>
            <w:tcW w:w="718" w:type="dxa"/>
            <w:tcBorders>
              <w:top w:val="nil"/>
              <w:left w:val="nil"/>
              <w:bottom w:val="nil"/>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0.490</w:t>
            </w:r>
          </w:p>
        </w:tc>
      </w:tr>
      <w:tr w:rsidR="00B345A7" w:rsidRPr="00DB5ED7" w:rsidTr="00AE61E9">
        <w:trPr>
          <w:trHeight w:val="300"/>
        </w:trPr>
        <w:tc>
          <w:tcPr>
            <w:tcW w:w="4268" w:type="dxa"/>
            <w:tcBorders>
              <w:top w:val="nil"/>
              <w:left w:val="single" w:sz="4" w:space="0" w:color="auto"/>
              <w:bottom w:val="single" w:sz="4" w:space="0" w:color="auto"/>
              <w:right w:val="single" w:sz="4" w:space="0" w:color="auto"/>
            </w:tcBorders>
            <w:noWrap/>
            <w:vAlign w:val="bottom"/>
          </w:tcPr>
          <w:p w:rsidR="00B345A7" w:rsidRPr="00DB5ED7" w:rsidRDefault="00B345A7" w:rsidP="00DB5ED7">
            <w:pPr>
              <w:rPr>
                <w:color w:val="000000"/>
                <w:lang w:eastAsia="en-GB"/>
              </w:rPr>
            </w:pPr>
            <w:r w:rsidRPr="00DB5ED7">
              <w:rPr>
                <w:color w:val="000000"/>
                <w:lang w:eastAsia="en-GB"/>
              </w:rPr>
              <w:t>Formulation</w:t>
            </w:r>
          </w:p>
        </w:tc>
        <w:tc>
          <w:tcPr>
            <w:tcW w:w="106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-1.73</w:t>
            </w:r>
          </w:p>
        </w:tc>
        <w:tc>
          <w:tcPr>
            <w:tcW w:w="93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9.16</w:t>
            </w:r>
          </w:p>
        </w:tc>
        <w:tc>
          <w:tcPr>
            <w:tcW w:w="1766"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-21.20</w:t>
            </w:r>
          </w:p>
        </w:tc>
        <w:tc>
          <w:tcPr>
            <w:tcW w:w="830" w:type="dxa"/>
            <w:tcBorders>
              <w:top w:val="nil"/>
              <w:left w:val="nil"/>
              <w:bottom w:val="single" w:sz="4" w:space="0" w:color="auto"/>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14.70</w:t>
            </w:r>
          </w:p>
        </w:tc>
        <w:tc>
          <w:tcPr>
            <w:tcW w:w="106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-22.99</w:t>
            </w:r>
          </w:p>
        </w:tc>
        <w:tc>
          <w:tcPr>
            <w:tcW w:w="1208"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10.85</w:t>
            </w:r>
          </w:p>
        </w:tc>
        <w:tc>
          <w:tcPr>
            <w:tcW w:w="718" w:type="dxa"/>
            <w:tcBorders>
              <w:top w:val="nil"/>
              <w:left w:val="nil"/>
              <w:bottom w:val="single" w:sz="4" w:space="0" w:color="auto"/>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0.036</w:t>
            </w:r>
          </w:p>
        </w:tc>
      </w:tr>
      <w:tr w:rsidR="00B345A7" w:rsidRPr="00DB5ED7" w:rsidTr="00AE61E9">
        <w:trPr>
          <w:trHeight w:val="300"/>
        </w:trPr>
        <w:tc>
          <w:tcPr>
            <w:tcW w:w="11861" w:type="dxa"/>
            <w:gridSpan w:val="8"/>
            <w:tcBorders>
              <w:top w:val="single" w:sz="4" w:space="0" w:color="auto"/>
              <w:left w:val="single" w:sz="4" w:space="0" w:color="auto"/>
              <w:bottom w:val="single" w:sz="4" w:space="0" w:color="auto"/>
              <w:right w:val="single" w:sz="4" w:space="0" w:color="000000"/>
            </w:tcBorders>
            <w:noWrap/>
            <w:vAlign w:val="bottom"/>
          </w:tcPr>
          <w:p w:rsidR="00B345A7" w:rsidRPr="00DB5ED7" w:rsidRDefault="00B345A7" w:rsidP="00DB5ED7">
            <w:pPr>
              <w:jc w:val="center"/>
              <w:rPr>
                <w:rFonts w:ascii="Arial" w:hAnsi="Arial" w:cs="Arial"/>
                <w:color w:val="000000"/>
                <w:sz w:val="18"/>
                <w:szCs w:val="18"/>
                <w:lang w:eastAsia="en-GB"/>
              </w:rPr>
            </w:pPr>
            <w:r w:rsidRPr="00DB5ED7">
              <w:rPr>
                <w:rFonts w:ascii="Arial" w:hAnsi="Arial" w:cs="Arial"/>
                <w:color w:val="000000"/>
                <w:sz w:val="18"/>
                <w:szCs w:val="18"/>
                <w:lang w:eastAsia="en-GB"/>
              </w:rPr>
              <w:t>% of sessions involving homework</w:t>
            </w:r>
          </w:p>
        </w:tc>
      </w:tr>
      <w:tr w:rsidR="00B345A7" w:rsidRPr="00DB5ED7" w:rsidTr="00AE61E9">
        <w:trPr>
          <w:trHeight w:val="300"/>
        </w:trPr>
        <w:tc>
          <w:tcPr>
            <w:tcW w:w="4268" w:type="dxa"/>
            <w:tcBorders>
              <w:top w:val="nil"/>
              <w:left w:val="single" w:sz="4" w:space="0" w:color="auto"/>
              <w:bottom w:val="nil"/>
              <w:right w:val="nil"/>
            </w:tcBorders>
            <w:noWrap/>
            <w:vAlign w:val="bottom"/>
          </w:tcPr>
          <w:p w:rsidR="00B345A7" w:rsidRPr="00DB5ED7" w:rsidRDefault="00B345A7" w:rsidP="00DB5ED7">
            <w:pPr>
              <w:rPr>
                <w:color w:val="000000"/>
                <w:lang w:eastAsia="en-GB"/>
              </w:rPr>
            </w:pPr>
            <w:r w:rsidRPr="00DB5ED7">
              <w:rPr>
                <w:color w:val="000000"/>
                <w:lang w:eastAsia="en-GB"/>
              </w:rPr>
              <w:t>Randomisation</w:t>
            </w:r>
          </w:p>
        </w:tc>
        <w:tc>
          <w:tcPr>
            <w:tcW w:w="1067" w:type="dxa"/>
            <w:tcBorders>
              <w:top w:val="nil"/>
              <w:left w:val="single" w:sz="4" w:space="0" w:color="auto"/>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11.064</w:t>
            </w:r>
          </w:p>
        </w:tc>
        <w:tc>
          <w:tcPr>
            <w:tcW w:w="93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10.109</w:t>
            </w:r>
          </w:p>
        </w:tc>
        <w:tc>
          <w:tcPr>
            <w:tcW w:w="1766"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-5.908</w:t>
            </w:r>
          </w:p>
        </w:tc>
        <w:tc>
          <w:tcPr>
            <w:tcW w:w="830" w:type="dxa"/>
            <w:tcBorders>
              <w:top w:val="nil"/>
              <w:left w:val="nil"/>
              <w:bottom w:val="nil"/>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20.417</w:t>
            </w:r>
          </w:p>
        </w:tc>
        <w:tc>
          <w:tcPr>
            <w:tcW w:w="106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1.952</w:t>
            </w:r>
          </w:p>
        </w:tc>
        <w:tc>
          <w:tcPr>
            <w:tcW w:w="1208"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5.701</w:t>
            </w:r>
          </w:p>
        </w:tc>
        <w:tc>
          <w:tcPr>
            <w:tcW w:w="718" w:type="dxa"/>
            <w:tcBorders>
              <w:top w:val="nil"/>
              <w:left w:val="nil"/>
              <w:bottom w:val="nil"/>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0.732</w:t>
            </w:r>
          </w:p>
        </w:tc>
      </w:tr>
      <w:tr w:rsidR="00B345A7" w:rsidRPr="00DB5ED7" w:rsidTr="00AE61E9">
        <w:trPr>
          <w:trHeight w:val="300"/>
        </w:trPr>
        <w:tc>
          <w:tcPr>
            <w:tcW w:w="4268" w:type="dxa"/>
            <w:tcBorders>
              <w:top w:val="nil"/>
              <w:left w:val="single" w:sz="4" w:space="0" w:color="auto"/>
              <w:bottom w:val="single" w:sz="4" w:space="0" w:color="auto"/>
              <w:right w:val="nil"/>
            </w:tcBorders>
            <w:noWrap/>
            <w:vAlign w:val="bottom"/>
          </w:tcPr>
          <w:p w:rsidR="00B345A7" w:rsidRPr="00DB5ED7" w:rsidRDefault="00B345A7" w:rsidP="00DB5ED7">
            <w:pPr>
              <w:rPr>
                <w:color w:val="000000"/>
                <w:lang w:eastAsia="en-GB"/>
              </w:rPr>
            </w:pPr>
            <w:r w:rsidRPr="00DB5ED7">
              <w:rPr>
                <w:color w:val="000000"/>
                <w:lang w:eastAsia="en-GB"/>
              </w:rPr>
              <w:t>% sessions with homework*</w:t>
            </w:r>
          </w:p>
        </w:tc>
        <w:tc>
          <w:tcPr>
            <w:tcW w:w="1067" w:type="dxa"/>
            <w:tcBorders>
              <w:top w:val="nil"/>
              <w:left w:val="single" w:sz="4" w:space="0" w:color="auto"/>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-0.361</w:t>
            </w:r>
          </w:p>
        </w:tc>
        <w:tc>
          <w:tcPr>
            <w:tcW w:w="93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0.209</w:t>
            </w:r>
          </w:p>
        </w:tc>
        <w:tc>
          <w:tcPr>
            <w:tcW w:w="1766"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-0.542</w:t>
            </w:r>
          </w:p>
        </w:tc>
        <w:tc>
          <w:tcPr>
            <w:tcW w:w="830" w:type="dxa"/>
            <w:tcBorders>
              <w:top w:val="nil"/>
              <w:left w:val="nil"/>
              <w:bottom w:val="single" w:sz="4" w:space="0" w:color="auto"/>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-0.032</w:t>
            </w:r>
          </w:p>
        </w:tc>
        <w:tc>
          <w:tcPr>
            <w:tcW w:w="106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-0.258</w:t>
            </w:r>
          </w:p>
        </w:tc>
        <w:tc>
          <w:tcPr>
            <w:tcW w:w="1208"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0.131</w:t>
            </w:r>
          </w:p>
        </w:tc>
        <w:tc>
          <w:tcPr>
            <w:tcW w:w="718" w:type="dxa"/>
            <w:tcBorders>
              <w:top w:val="nil"/>
              <w:left w:val="nil"/>
              <w:bottom w:val="single" w:sz="4" w:space="0" w:color="auto"/>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0.049</w:t>
            </w:r>
          </w:p>
        </w:tc>
      </w:tr>
      <w:tr w:rsidR="00B345A7" w:rsidRPr="00DB5ED7" w:rsidTr="00AE61E9">
        <w:trPr>
          <w:trHeight w:val="300"/>
        </w:trPr>
        <w:tc>
          <w:tcPr>
            <w:tcW w:w="11861" w:type="dxa"/>
            <w:gridSpan w:val="8"/>
            <w:tcBorders>
              <w:top w:val="single" w:sz="4" w:space="0" w:color="auto"/>
              <w:left w:val="single" w:sz="4" w:space="0" w:color="auto"/>
              <w:bottom w:val="single" w:sz="4" w:space="0" w:color="auto"/>
              <w:right w:val="single" w:sz="4" w:space="0" w:color="000000"/>
            </w:tcBorders>
            <w:noWrap/>
            <w:vAlign w:val="bottom"/>
          </w:tcPr>
          <w:p w:rsidR="00B345A7" w:rsidRPr="00DB5ED7" w:rsidRDefault="00B345A7" w:rsidP="00DB5ED7">
            <w:pPr>
              <w:jc w:val="center"/>
              <w:rPr>
                <w:rFonts w:ascii="Arial" w:hAnsi="Arial" w:cs="Arial"/>
                <w:color w:val="000000"/>
                <w:sz w:val="18"/>
                <w:szCs w:val="18"/>
                <w:lang w:eastAsia="en-GB"/>
              </w:rPr>
            </w:pPr>
            <w:r w:rsidRPr="00DB5ED7">
              <w:rPr>
                <w:rFonts w:ascii="Arial" w:hAnsi="Arial" w:cs="Arial"/>
                <w:color w:val="000000"/>
                <w:sz w:val="18"/>
                <w:szCs w:val="18"/>
                <w:lang w:eastAsia="en-GB"/>
              </w:rPr>
              <w:t>&gt;50% of sessions involving homework</w:t>
            </w:r>
          </w:p>
        </w:tc>
      </w:tr>
      <w:tr w:rsidR="00B345A7" w:rsidRPr="00DB5ED7" w:rsidTr="00AE61E9">
        <w:trPr>
          <w:trHeight w:val="300"/>
        </w:trPr>
        <w:tc>
          <w:tcPr>
            <w:tcW w:w="4268" w:type="dxa"/>
            <w:tcBorders>
              <w:top w:val="nil"/>
              <w:left w:val="single" w:sz="4" w:space="0" w:color="auto"/>
              <w:bottom w:val="nil"/>
              <w:right w:val="single" w:sz="4" w:space="0" w:color="auto"/>
            </w:tcBorders>
            <w:noWrap/>
            <w:vAlign w:val="bottom"/>
          </w:tcPr>
          <w:p w:rsidR="00B345A7" w:rsidRPr="00DB5ED7" w:rsidRDefault="00B345A7" w:rsidP="00DB5ED7">
            <w:pPr>
              <w:rPr>
                <w:color w:val="000000"/>
                <w:lang w:eastAsia="en-GB"/>
              </w:rPr>
            </w:pPr>
            <w:r w:rsidRPr="00DB5ED7">
              <w:rPr>
                <w:color w:val="000000"/>
                <w:lang w:eastAsia="en-GB"/>
              </w:rPr>
              <w:t>Randomisation</w:t>
            </w:r>
          </w:p>
        </w:tc>
        <w:tc>
          <w:tcPr>
            <w:tcW w:w="106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-1.21</w:t>
            </w:r>
          </w:p>
        </w:tc>
        <w:tc>
          <w:tcPr>
            <w:tcW w:w="93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5.04</w:t>
            </w:r>
          </w:p>
        </w:tc>
        <w:tc>
          <w:tcPr>
            <w:tcW w:w="1766"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-10.44</w:t>
            </w:r>
          </w:p>
        </w:tc>
        <w:tc>
          <w:tcPr>
            <w:tcW w:w="830" w:type="dxa"/>
            <w:tcBorders>
              <w:top w:val="nil"/>
              <w:left w:val="nil"/>
              <w:bottom w:val="nil"/>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9.32</w:t>
            </w:r>
          </w:p>
        </w:tc>
        <w:tc>
          <w:tcPr>
            <w:tcW w:w="106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-0.58</w:t>
            </w:r>
          </w:p>
        </w:tc>
        <w:tc>
          <w:tcPr>
            <w:tcW w:w="1208"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5.44</w:t>
            </w:r>
          </w:p>
        </w:tc>
        <w:tc>
          <w:tcPr>
            <w:tcW w:w="718" w:type="dxa"/>
            <w:tcBorders>
              <w:top w:val="nil"/>
              <w:left w:val="nil"/>
              <w:bottom w:val="nil"/>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0.915</w:t>
            </w:r>
          </w:p>
        </w:tc>
      </w:tr>
      <w:tr w:rsidR="00B345A7" w:rsidRPr="00DB5ED7" w:rsidTr="00AE61E9">
        <w:trPr>
          <w:trHeight w:val="300"/>
        </w:trPr>
        <w:tc>
          <w:tcPr>
            <w:tcW w:w="4268" w:type="dxa"/>
            <w:tcBorders>
              <w:top w:val="nil"/>
              <w:left w:val="single" w:sz="4" w:space="0" w:color="auto"/>
              <w:bottom w:val="single" w:sz="4" w:space="0" w:color="auto"/>
              <w:right w:val="single" w:sz="4" w:space="0" w:color="auto"/>
            </w:tcBorders>
            <w:noWrap/>
            <w:vAlign w:val="bottom"/>
          </w:tcPr>
          <w:p w:rsidR="00B345A7" w:rsidRPr="00DB5ED7" w:rsidRDefault="00B345A7" w:rsidP="00DB5ED7">
            <w:pPr>
              <w:rPr>
                <w:color w:val="000000"/>
                <w:lang w:eastAsia="en-GB"/>
              </w:rPr>
            </w:pPr>
            <w:r w:rsidRPr="00DB5ED7">
              <w:rPr>
                <w:color w:val="000000"/>
                <w:lang w:eastAsia="en-GB"/>
              </w:rPr>
              <w:t>&gt;50% sessions with homework</w:t>
            </w:r>
          </w:p>
        </w:tc>
        <w:tc>
          <w:tcPr>
            <w:tcW w:w="106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-8.46</w:t>
            </w:r>
          </w:p>
        </w:tc>
        <w:tc>
          <w:tcPr>
            <w:tcW w:w="93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7.75</w:t>
            </w:r>
          </w:p>
        </w:tc>
        <w:tc>
          <w:tcPr>
            <w:tcW w:w="1766"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-25.27</w:t>
            </w:r>
          </w:p>
        </w:tc>
        <w:tc>
          <w:tcPr>
            <w:tcW w:w="830" w:type="dxa"/>
            <w:tcBorders>
              <w:top w:val="nil"/>
              <w:left w:val="nil"/>
              <w:bottom w:val="single" w:sz="4" w:space="0" w:color="auto"/>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5.13</w:t>
            </w:r>
          </w:p>
        </w:tc>
        <w:tc>
          <w:tcPr>
            <w:tcW w:w="106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-17.44</w:t>
            </w:r>
          </w:p>
        </w:tc>
        <w:tc>
          <w:tcPr>
            <w:tcW w:w="1208"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10.27</w:t>
            </w:r>
          </w:p>
        </w:tc>
        <w:tc>
          <w:tcPr>
            <w:tcW w:w="718" w:type="dxa"/>
            <w:tcBorders>
              <w:top w:val="nil"/>
              <w:left w:val="nil"/>
              <w:bottom w:val="single" w:sz="4" w:space="0" w:color="auto"/>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0.093</w:t>
            </w:r>
          </w:p>
        </w:tc>
      </w:tr>
      <w:tr w:rsidR="00B345A7" w:rsidRPr="00DB5ED7" w:rsidTr="00AE61E9">
        <w:trPr>
          <w:trHeight w:val="300"/>
        </w:trPr>
        <w:tc>
          <w:tcPr>
            <w:tcW w:w="11861" w:type="dxa"/>
            <w:gridSpan w:val="8"/>
            <w:tcBorders>
              <w:top w:val="single" w:sz="4" w:space="0" w:color="auto"/>
              <w:left w:val="single" w:sz="4" w:space="0" w:color="auto"/>
              <w:bottom w:val="single" w:sz="4" w:space="0" w:color="auto"/>
              <w:right w:val="single" w:sz="4" w:space="0" w:color="000000"/>
            </w:tcBorders>
            <w:noWrap/>
            <w:vAlign w:val="bottom"/>
          </w:tcPr>
          <w:p w:rsidR="00B345A7" w:rsidRPr="00DB5ED7" w:rsidRDefault="00B345A7" w:rsidP="00DB5ED7">
            <w:pPr>
              <w:jc w:val="center"/>
              <w:rPr>
                <w:rFonts w:ascii="Arial" w:hAnsi="Arial" w:cs="Arial"/>
                <w:color w:val="000000"/>
                <w:sz w:val="18"/>
                <w:szCs w:val="18"/>
                <w:lang w:eastAsia="en-GB"/>
              </w:rPr>
            </w:pPr>
            <w:r w:rsidRPr="00DB5ED7">
              <w:rPr>
                <w:rFonts w:ascii="Arial" w:hAnsi="Arial" w:cs="Arial"/>
                <w:color w:val="000000"/>
                <w:sz w:val="18"/>
                <w:szCs w:val="18"/>
                <w:lang w:eastAsia="en-GB"/>
              </w:rPr>
              <w:t>% of sessions involving active change strategies</w:t>
            </w:r>
          </w:p>
        </w:tc>
      </w:tr>
      <w:tr w:rsidR="00B345A7" w:rsidRPr="00DB5ED7" w:rsidTr="00AE61E9">
        <w:trPr>
          <w:trHeight w:val="300"/>
        </w:trPr>
        <w:tc>
          <w:tcPr>
            <w:tcW w:w="4268" w:type="dxa"/>
            <w:tcBorders>
              <w:top w:val="nil"/>
              <w:left w:val="single" w:sz="4" w:space="0" w:color="auto"/>
              <w:bottom w:val="nil"/>
              <w:right w:val="nil"/>
            </w:tcBorders>
            <w:noWrap/>
            <w:vAlign w:val="bottom"/>
          </w:tcPr>
          <w:p w:rsidR="00B345A7" w:rsidRPr="00DB5ED7" w:rsidRDefault="00B345A7" w:rsidP="00DB5ED7">
            <w:pPr>
              <w:rPr>
                <w:color w:val="000000"/>
                <w:lang w:eastAsia="en-GB"/>
              </w:rPr>
            </w:pPr>
            <w:r w:rsidRPr="00DB5ED7">
              <w:rPr>
                <w:color w:val="000000"/>
                <w:lang w:eastAsia="en-GB"/>
              </w:rPr>
              <w:t>Randomisation</w:t>
            </w:r>
          </w:p>
        </w:tc>
        <w:tc>
          <w:tcPr>
            <w:tcW w:w="1067" w:type="dxa"/>
            <w:tcBorders>
              <w:top w:val="nil"/>
              <w:left w:val="single" w:sz="4" w:space="0" w:color="auto"/>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1.779</w:t>
            </w:r>
          </w:p>
        </w:tc>
        <w:tc>
          <w:tcPr>
            <w:tcW w:w="93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7.475</w:t>
            </w:r>
          </w:p>
        </w:tc>
        <w:tc>
          <w:tcPr>
            <w:tcW w:w="1766"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-7.493</w:t>
            </w:r>
          </w:p>
        </w:tc>
        <w:tc>
          <w:tcPr>
            <w:tcW w:w="830" w:type="dxa"/>
            <w:tcBorders>
              <w:top w:val="nil"/>
              <w:left w:val="nil"/>
              <w:bottom w:val="nil"/>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21.807</w:t>
            </w:r>
          </w:p>
        </w:tc>
        <w:tc>
          <w:tcPr>
            <w:tcW w:w="106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2.174</w:t>
            </w:r>
          </w:p>
        </w:tc>
        <w:tc>
          <w:tcPr>
            <w:tcW w:w="1208"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5.815</w:t>
            </w:r>
          </w:p>
        </w:tc>
        <w:tc>
          <w:tcPr>
            <w:tcW w:w="718" w:type="dxa"/>
            <w:tcBorders>
              <w:top w:val="nil"/>
              <w:left w:val="nil"/>
              <w:bottom w:val="nil"/>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0.709</w:t>
            </w:r>
          </w:p>
        </w:tc>
      </w:tr>
      <w:tr w:rsidR="00B345A7" w:rsidRPr="00DB5ED7" w:rsidTr="00AE61E9">
        <w:trPr>
          <w:trHeight w:val="300"/>
        </w:trPr>
        <w:tc>
          <w:tcPr>
            <w:tcW w:w="4268" w:type="dxa"/>
            <w:tcBorders>
              <w:top w:val="nil"/>
              <w:left w:val="single" w:sz="4" w:space="0" w:color="auto"/>
              <w:bottom w:val="single" w:sz="4" w:space="0" w:color="auto"/>
              <w:right w:val="nil"/>
            </w:tcBorders>
            <w:noWrap/>
            <w:vAlign w:val="bottom"/>
          </w:tcPr>
          <w:p w:rsidR="00B345A7" w:rsidRPr="00DB5ED7" w:rsidRDefault="00B345A7" w:rsidP="00DB5ED7">
            <w:pPr>
              <w:rPr>
                <w:color w:val="000000"/>
                <w:lang w:eastAsia="en-GB"/>
              </w:rPr>
            </w:pPr>
            <w:r w:rsidRPr="00DB5ED7">
              <w:rPr>
                <w:color w:val="000000"/>
                <w:lang w:eastAsia="en-GB"/>
              </w:rPr>
              <w:t>% sessions with active change strategies*</w:t>
            </w:r>
          </w:p>
        </w:tc>
        <w:tc>
          <w:tcPr>
            <w:tcW w:w="1067" w:type="dxa"/>
            <w:tcBorders>
              <w:top w:val="nil"/>
              <w:left w:val="single" w:sz="4" w:space="0" w:color="auto"/>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-0.135</w:t>
            </w:r>
          </w:p>
        </w:tc>
        <w:tc>
          <w:tcPr>
            <w:tcW w:w="93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0.139</w:t>
            </w:r>
          </w:p>
        </w:tc>
        <w:tc>
          <w:tcPr>
            <w:tcW w:w="1766"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-0.504</w:t>
            </w:r>
          </w:p>
        </w:tc>
        <w:tc>
          <w:tcPr>
            <w:tcW w:w="830" w:type="dxa"/>
            <w:tcBorders>
              <w:top w:val="nil"/>
              <w:left w:val="nil"/>
              <w:bottom w:val="single" w:sz="4" w:space="0" w:color="auto"/>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0.043</w:t>
            </w:r>
          </w:p>
        </w:tc>
        <w:tc>
          <w:tcPr>
            <w:tcW w:w="106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-0.233</w:t>
            </w:r>
          </w:p>
        </w:tc>
        <w:tc>
          <w:tcPr>
            <w:tcW w:w="1208"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0.121</w:t>
            </w:r>
          </w:p>
        </w:tc>
        <w:tc>
          <w:tcPr>
            <w:tcW w:w="718" w:type="dxa"/>
            <w:tcBorders>
              <w:top w:val="nil"/>
              <w:left w:val="nil"/>
              <w:bottom w:val="single" w:sz="4" w:space="0" w:color="auto"/>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0.056</w:t>
            </w:r>
          </w:p>
        </w:tc>
      </w:tr>
      <w:tr w:rsidR="00B345A7" w:rsidRPr="00DB5ED7" w:rsidTr="00AE61E9">
        <w:trPr>
          <w:trHeight w:val="300"/>
        </w:trPr>
        <w:tc>
          <w:tcPr>
            <w:tcW w:w="11861" w:type="dxa"/>
            <w:gridSpan w:val="8"/>
            <w:tcBorders>
              <w:top w:val="single" w:sz="4" w:space="0" w:color="auto"/>
              <w:left w:val="single" w:sz="4" w:space="0" w:color="auto"/>
              <w:bottom w:val="single" w:sz="4" w:space="0" w:color="auto"/>
              <w:right w:val="single" w:sz="4" w:space="0" w:color="000000"/>
            </w:tcBorders>
            <w:noWrap/>
            <w:vAlign w:val="bottom"/>
          </w:tcPr>
          <w:p w:rsidR="00B345A7" w:rsidRPr="00DB5ED7" w:rsidRDefault="00B345A7" w:rsidP="00DB5ED7">
            <w:pPr>
              <w:jc w:val="center"/>
              <w:rPr>
                <w:rFonts w:ascii="Arial" w:hAnsi="Arial" w:cs="Arial"/>
                <w:color w:val="000000"/>
                <w:sz w:val="18"/>
                <w:szCs w:val="18"/>
                <w:lang w:eastAsia="en-GB"/>
              </w:rPr>
            </w:pPr>
            <w:r w:rsidRPr="00DB5ED7">
              <w:rPr>
                <w:rFonts w:ascii="Arial" w:hAnsi="Arial" w:cs="Arial"/>
                <w:color w:val="000000"/>
                <w:sz w:val="18"/>
                <w:szCs w:val="18"/>
                <w:lang w:eastAsia="en-GB"/>
              </w:rPr>
              <w:t>&gt;50% of sessions involving active change strategies</w:t>
            </w:r>
          </w:p>
        </w:tc>
      </w:tr>
      <w:tr w:rsidR="00B345A7" w:rsidRPr="00DB5ED7" w:rsidTr="00AE61E9">
        <w:trPr>
          <w:trHeight w:val="300"/>
        </w:trPr>
        <w:tc>
          <w:tcPr>
            <w:tcW w:w="4268" w:type="dxa"/>
            <w:tcBorders>
              <w:top w:val="nil"/>
              <w:left w:val="single" w:sz="4" w:space="0" w:color="auto"/>
              <w:bottom w:val="nil"/>
              <w:right w:val="nil"/>
            </w:tcBorders>
            <w:noWrap/>
            <w:vAlign w:val="bottom"/>
          </w:tcPr>
          <w:p w:rsidR="00B345A7" w:rsidRPr="00DB5ED7" w:rsidRDefault="00B345A7" w:rsidP="00DB5ED7">
            <w:pPr>
              <w:rPr>
                <w:color w:val="000000"/>
                <w:lang w:eastAsia="en-GB"/>
              </w:rPr>
            </w:pPr>
            <w:r w:rsidRPr="00DB5ED7">
              <w:rPr>
                <w:color w:val="000000"/>
                <w:lang w:eastAsia="en-GB"/>
              </w:rPr>
              <w:t>Randomisation</w:t>
            </w:r>
          </w:p>
        </w:tc>
        <w:tc>
          <w:tcPr>
            <w:tcW w:w="1067" w:type="dxa"/>
            <w:tcBorders>
              <w:top w:val="nil"/>
              <w:left w:val="single" w:sz="4" w:space="0" w:color="auto"/>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0.48</w:t>
            </w:r>
          </w:p>
        </w:tc>
        <w:tc>
          <w:tcPr>
            <w:tcW w:w="93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5.98</w:t>
            </w:r>
          </w:p>
        </w:tc>
        <w:tc>
          <w:tcPr>
            <w:tcW w:w="1766"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-6.01</w:t>
            </w:r>
          </w:p>
        </w:tc>
        <w:tc>
          <w:tcPr>
            <w:tcW w:w="830" w:type="dxa"/>
            <w:tcBorders>
              <w:top w:val="nil"/>
              <w:left w:val="nil"/>
              <w:bottom w:val="nil"/>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17.43</w:t>
            </w:r>
          </w:p>
        </w:tc>
        <w:tc>
          <w:tcPr>
            <w:tcW w:w="106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1.73</w:t>
            </w:r>
          </w:p>
        </w:tc>
        <w:tc>
          <w:tcPr>
            <w:tcW w:w="1208"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5.64</w:t>
            </w:r>
          </w:p>
        </w:tc>
        <w:tc>
          <w:tcPr>
            <w:tcW w:w="718" w:type="dxa"/>
            <w:tcBorders>
              <w:top w:val="nil"/>
              <w:left w:val="nil"/>
              <w:bottom w:val="nil"/>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0.760</w:t>
            </w:r>
          </w:p>
        </w:tc>
      </w:tr>
      <w:tr w:rsidR="00B345A7" w:rsidRPr="00DB5ED7" w:rsidTr="00AE61E9">
        <w:trPr>
          <w:trHeight w:val="300"/>
        </w:trPr>
        <w:tc>
          <w:tcPr>
            <w:tcW w:w="4268" w:type="dxa"/>
            <w:tcBorders>
              <w:top w:val="nil"/>
              <w:left w:val="single" w:sz="4" w:space="0" w:color="auto"/>
              <w:bottom w:val="single" w:sz="4" w:space="0" w:color="auto"/>
              <w:right w:val="nil"/>
            </w:tcBorders>
            <w:noWrap/>
            <w:vAlign w:val="bottom"/>
          </w:tcPr>
          <w:p w:rsidR="00B345A7" w:rsidRPr="00DB5ED7" w:rsidRDefault="00B345A7" w:rsidP="00DB5ED7">
            <w:pPr>
              <w:rPr>
                <w:color w:val="000000"/>
                <w:lang w:eastAsia="en-GB"/>
              </w:rPr>
            </w:pPr>
            <w:r w:rsidRPr="00DB5ED7">
              <w:rPr>
                <w:color w:val="000000"/>
                <w:lang w:eastAsia="en-GB"/>
              </w:rPr>
              <w:t>&gt;50% sessions with active change strategies</w:t>
            </w:r>
          </w:p>
        </w:tc>
        <w:tc>
          <w:tcPr>
            <w:tcW w:w="1067" w:type="dxa"/>
            <w:tcBorders>
              <w:top w:val="nil"/>
              <w:left w:val="single" w:sz="4" w:space="0" w:color="auto"/>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-9.44</w:t>
            </w:r>
          </w:p>
        </w:tc>
        <w:tc>
          <w:tcPr>
            <w:tcW w:w="93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8.93</w:t>
            </w:r>
          </w:p>
        </w:tc>
        <w:tc>
          <w:tcPr>
            <w:tcW w:w="1766"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-34.62</w:t>
            </w:r>
          </w:p>
        </w:tc>
        <w:tc>
          <w:tcPr>
            <w:tcW w:w="830" w:type="dxa"/>
            <w:tcBorders>
              <w:top w:val="nil"/>
              <w:left w:val="nil"/>
              <w:bottom w:val="single" w:sz="4" w:space="0" w:color="auto"/>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0.36</w:t>
            </w:r>
          </w:p>
        </w:tc>
        <w:tc>
          <w:tcPr>
            <w:tcW w:w="106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-18.52</w:t>
            </w:r>
          </w:p>
        </w:tc>
        <w:tc>
          <w:tcPr>
            <w:tcW w:w="1208"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10.21</w:t>
            </w:r>
          </w:p>
        </w:tc>
        <w:tc>
          <w:tcPr>
            <w:tcW w:w="718" w:type="dxa"/>
            <w:tcBorders>
              <w:top w:val="nil"/>
              <w:left w:val="nil"/>
              <w:bottom w:val="single" w:sz="4" w:space="0" w:color="auto"/>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0.076</w:t>
            </w:r>
          </w:p>
        </w:tc>
      </w:tr>
      <w:tr w:rsidR="00B345A7" w:rsidRPr="00DB5ED7" w:rsidTr="00AE61E9">
        <w:trPr>
          <w:trHeight w:val="300"/>
        </w:trPr>
        <w:tc>
          <w:tcPr>
            <w:tcW w:w="11861" w:type="dxa"/>
            <w:gridSpan w:val="8"/>
            <w:tcBorders>
              <w:top w:val="single" w:sz="4" w:space="0" w:color="auto"/>
              <w:left w:val="single" w:sz="4" w:space="0" w:color="auto"/>
              <w:bottom w:val="single" w:sz="4" w:space="0" w:color="auto"/>
              <w:right w:val="single" w:sz="4" w:space="0" w:color="000000"/>
            </w:tcBorders>
            <w:noWrap/>
            <w:vAlign w:val="bottom"/>
          </w:tcPr>
          <w:p w:rsidR="00B345A7" w:rsidRPr="00DB5ED7" w:rsidRDefault="00B345A7" w:rsidP="00DB5ED7">
            <w:pPr>
              <w:jc w:val="center"/>
              <w:rPr>
                <w:rFonts w:ascii="Arial" w:hAnsi="Arial" w:cs="Arial"/>
                <w:color w:val="000000"/>
                <w:sz w:val="18"/>
                <w:szCs w:val="18"/>
                <w:lang w:eastAsia="en-GB"/>
              </w:rPr>
            </w:pPr>
            <w:r w:rsidRPr="00DB5ED7">
              <w:rPr>
                <w:rFonts w:ascii="Arial" w:hAnsi="Arial" w:cs="Arial"/>
                <w:color w:val="000000"/>
                <w:sz w:val="18"/>
                <w:szCs w:val="18"/>
                <w:lang w:eastAsia="en-GB"/>
              </w:rPr>
              <w:t>2-category fidelity measure</w:t>
            </w:r>
          </w:p>
        </w:tc>
      </w:tr>
      <w:tr w:rsidR="00B345A7" w:rsidRPr="00DB5ED7" w:rsidTr="00AE61E9">
        <w:trPr>
          <w:trHeight w:val="300"/>
        </w:trPr>
        <w:tc>
          <w:tcPr>
            <w:tcW w:w="4268" w:type="dxa"/>
            <w:tcBorders>
              <w:top w:val="nil"/>
              <w:left w:val="single" w:sz="4" w:space="0" w:color="auto"/>
              <w:bottom w:val="nil"/>
              <w:right w:val="nil"/>
            </w:tcBorders>
            <w:noWrap/>
            <w:vAlign w:val="bottom"/>
          </w:tcPr>
          <w:p w:rsidR="00B345A7" w:rsidRPr="00DB5ED7" w:rsidRDefault="00B345A7" w:rsidP="00DB5ED7">
            <w:pPr>
              <w:rPr>
                <w:color w:val="000000"/>
                <w:lang w:eastAsia="en-GB"/>
              </w:rPr>
            </w:pPr>
            <w:r w:rsidRPr="00DB5ED7">
              <w:rPr>
                <w:color w:val="000000"/>
                <w:lang w:eastAsia="en-GB"/>
              </w:rPr>
              <w:t>Randomisation</w:t>
            </w:r>
          </w:p>
        </w:tc>
        <w:tc>
          <w:tcPr>
            <w:tcW w:w="1067" w:type="dxa"/>
            <w:tcBorders>
              <w:top w:val="nil"/>
              <w:left w:val="single" w:sz="4" w:space="0" w:color="auto"/>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10.69</w:t>
            </w:r>
          </w:p>
        </w:tc>
        <w:tc>
          <w:tcPr>
            <w:tcW w:w="93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11.95</w:t>
            </w:r>
          </w:p>
        </w:tc>
        <w:tc>
          <w:tcPr>
            <w:tcW w:w="1766"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-3.58</w:t>
            </w:r>
          </w:p>
        </w:tc>
        <w:tc>
          <w:tcPr>
            <w:tcW w:w="830" w:type="dxa"/>
            <w:tcBorders>
              <w:top w:val="nil"/>
              <w:left w:val="nil"/>
              <w:bottom w:val="nil"/>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43.27</w:t>
            </w:r>
          </w:p>
        </w:tc>
        <w:tc>
          <w:tcPr>
            <w:tcW w:w="106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-3.18</w:t>
            </w:r>
          </w:p>
        </w:tc>
        <w:tc>
          <w:tcPr>
            <w:tcW w:w="1208"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3.58</w:t>
            </w:r>
          </w:p>
        </w:tc>
        <w:tc>
          <w:tcPr>
            <w:tcW w:w="718" w:type="dxa"/>
            <w:tcBorders>
              <w:top w:val="nil"/>
              <w:left w:val="nil"/>
              <w:bottom w:val="nil"/>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0.374</w:t>
            </w:r>
          </w:p>
        </w:tc>
      </w:tr>
      <w:tr w:rsidR="00B345A7" w:rsidRPr="00DB5ED7" w:rsidTr="00AE61E9">
        <w:trPr>
          <w:trHeight w:val="300"/>
        </w:trPr>
        <w:tc>
          <w:tcPr>
            <w:tcW w:w="4268" w:type="dxa"/>
            <w:tcBorders>
              <w:top w:val="nil"/>
              <w:left w:val="single" w:sz="4" w:space="0" w:color="auto"/>
              <w:bottom w:val="single" w:sz="4" w:space="0" w:color="auto"/>
              <w:right w:val="nil"/>
            </w:tcBorders>
            <w:noWrap/>
            <w:vAlign w:val="bottom"/>
          </w:tcPr>
          <w:p w:rsidR="00B345A7" w:rsidRPr="00DB5ED7" w:rsidRDefault="00B345A7" w:rsidP="00DB5ED7">
            <w:pPr>
              <w:rPr>
                <w:color w:val="000000"/>
                <w:lang w:eastAsia="en-GB"/>
              </w:rPr>
            </w:pPr>
            <w:r w:rsidRPr="00DB5ED7">
              <w:rPr>
                <w:color w:val="000000"/>
                <w:lang w:eastAsia="en-GB"/>
              </w:rPr>
              <w:t>All components</w:t>
            </w:r>
          </w:p>
        </w:tc>
        <w:tc>
          <w:tcPr>
            <w:tcW w:w="1067" w:type="dxa"/>
            <w:tcBorders>
              <w:top w:val="nil"/>
              <w:left w:val="single" w:sz="4" w:space="0" w:color="auto"/>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-18.21</w:t>
            </w:r>
          </w:p>
        </w:tc>
        <w:tc>
          <w:tcPr>
            <w:tcW w:w="93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13.85</w:t>
            </w:r>
          </w:p>
        </w:tc>
        <w:tc>
          <w:tcPr>
            <w:tcW w:w="1766"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-55.33</w:t>
            </w:r>
          </w:p>
        </w:tc>
        <w:tc>
          <w:tcPr>
            <w:tcW w:w="830" w:type="dxa"/>
            <w:tcBorders>
              <w:top w:val="nil"/>
              <w:left w:val="nil"/>
              <w:bottom w:val="single" w:sz="4" w:space="0" w:color="auto"/>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-1.02</w:t>
            </w:r>
          </w:p>
        </w:tc>
        <w:tc>
          <w:tcPr>
            <w:tcW w:w="106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-20.13</w:t>
            </w:r>
          </w:p>
        </w:tc>
        <w:tc>
          <w:tcPr>
            <w:tcW w:w="1208"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10.38</w:t>
            </w:r>
          </w:p>
        </w:tc>
        <w:tc>
          <w:tcPr>
            <w:tcW w:w="718" w:type="dxa"/>
            <w:tcBorders>
              <w:top w:val="nil"/>
              <w:left w:val="nil"/>
              <w:bottom w:val="single" w:sz="4" w:space="0" w:color="auto"/>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0.053</w:t>
            </w:r>
          </w:p>
        </w:tc>
      </w:tr>
      <w:tr w:rsidR="00B345A7" w:rsidRPr="00DB5ED7" w:rsidTr="00AE61E9">
        <w:trPr>
          <w:trHeight w:val="300"/>
        </w:trPr>
        <w:tc>
          <w:tcPr>
            <w:tcW w:w="11861" w:type="dxa"/>
            <w:gridSpan w:val="8"/>
            <w:tcBorders>
              <w:top w:val="single" w:sz="4" w:space="0" w:color="auto"/>
              <w:left w:val="single" w:sz="4" w:space="0" w:color="auto"/>
              <w:bottom w:val="single" w:sz="4" w:space="0" w:color="auto"/>
              <w:right w:val="single" w:sz="4" w:space="0" w:color="000000"/>
            </w:tcBorders>
            <w:noWrap/>
            <w:vAlign w:val="bottom"/>
          </w:tcPr>
          <w:p w:rsidR="00B345A7" w:rsidRPr="00DB5ED7" w:rsidRDefault="00B345A7" w:rsidP="00DB5ED7">
            <w:pPr>
              <w:jc w:val="center"/>
              <w:rPr>
                <w:rFonts w:ascii="Arial" w:hAnsi="Arial" w:cs="Arial"/>
                <w:color w:val="000000"/>
                <w:sz w:val="18"/>
                <w:szCs w:val="18"/>
                <w:lang w:eastAsia="en-GB"/>
              </w:rPr>
            </w:pPr>
            <w:r w:rsidRPr="00DB5ED7">
              <w:rPr>
                <w:rFonts w:ascii="Arial" w:hAnsi="Arial" w:cs="Arial"/>
                <w:color w:val="000000"/>
                <w:sz w:val="18"/>
                <w:szCs w:val="18"/>
                <w:lang w:eastAsia="en-GB"/>
              </w:rPr>
              <w:t>3-categority fidelity measure</w:t>
            </w:r>
          </w:p>
        </w:tc>
      </w:tr>
      <w:tr w:rsidR="00B345A7" w:rsidRPr="00DB5ED7" w:rsidTr="00AE61E9">
        <w:trPr>
          <w:trHeight w:val="300"/>
        </w:trPr>
        <w:tc>
          <w:tcPr>
            <w:tcW w:w="4268" w:type="dxa"/>
            <w:tcBorders>
              <w:top w:val="nil"/>
              <w:left w:val="single" w:sz="4" w:space="0" w:color="auto"/>
              <w:bottom w:val="nil"/>
              <w:right w:val="nil"/>
            </w:tcBorders>
            <w:noWrap/>
            <w:vAlign w:val="bottom"/>
          </w:tcPr>
          <w:p w:rsidR="00B345A7" w:rsidRPr="00DB5ED7" w:rsidRDefault="00B345A7" w:rsidP="00DB5ED7">
            <w:pPr>
              <w:rPr>
                <w:color w:val="000000"/>
                <w:lang w:eastAsia="en-GB"/>
              </w:rPr>
            </w:pPr>
            <w:r w:rsidRPr="00DB5ED7">
              <w:rPr>
                <w:color w:val="000000"/>
                <w:lang w:eastAsia="en-GB"/>
              </w:rPr>
              <w:t>Some components</w:t>
            </w:r>
          </w:p>
        </w:tc>
        <w:tc>
          <w:tcPr>
            <w:tcW w:w="1067" w:type="dxa"/>
            <w:tcBorders>
              <w:top w:val="nil"/>
              <w:left w:val="single" w:sz="4" w:space="0" w:color="auto"/>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-3.75</w:t>
            </w:r>
          </w:p>
        </w:tc>
        <w:tc>
          <w:tcPr>
            <w:tcW w:w="93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4.00</w:t>
            </w:r>
          </w:p>
        </w:tc>
        <w:tc>
          <w:tcPr>
            <w:tcW w:w="1766"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-10.81</w:t>
            </w:r>
          </w:p>
        </w:tc>
        <w:tc>
          <w:tcPr>
            <w:tcW w:w="830" w:type="dxa"/>
            <w:tcBorders>
              <w:top w:val="nil"/>
              <w:left w:val="nil"/>
              <w:bottom w:val="nil"/>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4.88</w:t>
            </w:r>
          </w:p>
        </w:tc>
        <w:tc>
          <w:tcPr>
            <w:tcW w:w="1067"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-4.31</w:t>
            </w:r>
          </w:p>
        </w:tc>
        <w:tc>
          <w:tcPr>
            <w:tcW w:w="1208" w:type="dxa"/>
            <w:tcBorders>
              <w:top w:val="nil"/>
              <w:left w:val="nil"/>
              <w:bottom w:val="nil"/>
              <w:right w:val="nil"/>
            </w:tcBorders>
            <w:noWrap/>
            <w:vAlign w:val="bottom"/>
          </w:tcPr>
          <w:p w:rsidR="00B345A7" w:rsidRPr="00DB5ED7" w:rsidRDefault="00B345A7" w:rsidP="00DB5ED7">
            <w:pPr>
              <w:jc w:val="center"/>
              <w:rPr>
                <w:color w:val="000000"/>
                <w:lang w:eastAsia="en-GB"/>
              </w:rPr>
            </w:pPr>
            <w:r w:rsidRPr="00DB5ED7">
              <w:rPr>
                <w:color w:val="000000"/>
                <w:lang w:eastAsia="en-GB"/>
              </w:rPr>
              <w:t>5.29</w:t>
            </w:r>
          </w:p>
        </w:tc>
        <w:tc>
          <w:tcPr>
            <w:tcW w:w="718" w:type="dxa"/>
            <w:tcBorders>
              <w:top w:val="nil"/>
              <w:left w:val="nil"/>
              <w:bottom w:val="nil"/>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0.416</w:t>
            </w:r>
          </w:p>
        </w:tc>
      </w:tr>
      <w:tr w:rsidR="00B345A7" w:rsidRPr="00DB5ED7" w:rsidTr="00AE61E9">
        <w:trPr>
          <w:trHeight w:val="300"/>
        </w:trPr>
        <w:tc>
          <w:tcPr>
            <w:tcW w:w="4268" w:type="dxa"/>
            <w:tcBorders>
              <w:top w:val="nil"/>
              <w:left w:val="single" w:sz="4" w:space="0" w:color="auto"/>
              <w:bottom w:val="single" w:sz="4" w:space="0" w:color="auto"/>
              <w:right w:val="nil"/>
            </w:tcBorders>
            <w:noWrap/>
            <w:vAlign w:val="bottom"/>
          </w:tcPr>
          <w:p w:rsidR="00B345A7" w:rsidRPr="00DB5ED7" w:rsidRDefault="00B345A7" w:rsidP="00DB5ED7">
            <w:pPr>
              <w:rPr>
                <w:color w:val="000000"/>
                <w:lang w:eastAsia="en-GB"/>
              </w:rPr>
            </w:pPr>
            <w:r w:rsidRPr="00DB5ED7">
              <w:rPr>
                <w:color w:val="000000"/>
                <w:lang w:eastAsia="en-GB"/>
              </w:rPr>
              <w:t>All components</w:t>
            </w:r>
          </w:p>
        </w:tc>
        <w:tc>
          <w:tcPr>
            <w:tcW w:w="1067" w:type="dxa"/>
            <w:tcBorders>
              <w:top w:val="nil"/>
              <w:left w:val="single" w:sz="4" w:space="0" w:color="auto"/>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-6.60</w:t>
            </w:r>
          </w:p>
        </w:tc>
        <w:tc>
          <w:tcPr>
            <w:tcW w:w="93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8.40</w:t>
            </w:r>
          </w:p>
        </w:tc>
        <w:tc>
          <w:tcPr>
            <w:tcW w:w="1766"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-26.47</w:t>
            </w:r>
          </w:p>
        </w:tc>
        <w:tc>
          <w:tcPr>
            <w:tcW w:w="830" w:type="dxa"/>
            <w:tcBorders>
              <w:top w:val="nil"/>
              <w:left w:val="nil"/>
              <w:bottom w:val="single" w:sz="4" w:space="0" w:color="auto"/>
              <w:right w:val="single" w:sz="4" w:space="0" w:color="auto"/>
            </w:tcBorders>
            <w:noWrap/>
            <w:vAlign w:val="bottom"/>
          </w:tcPr>
          <w:p w:rsidR="00B345A7" w:rsidRPr="00DB5ED7" w:rsidRDefault="00B345A7" w:rsidP="00DB5ED7">
            <w:pPr>
              <w:jc w:val="center"/>
              <w:rPr>
                <w:color w:val="000000"/>
                <w:lang w:eastAsia="en-GB"/>
              </w:rPr>
            </w:pPr>
            <w:r w:rsidRPr="00DB5ED7">
              <w:rPr>
                <w:color w:val="000000"/>
                <w:lang w:eastAsia="en-GB"/>
              </w:rPr>
              <w:t>6.47</w:t>
            </w:r>
          </w:p>
        </w:tc>
        <w:tc>
          <w:tcPr>
            <w:tcW w:w="1067"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-22.81</w:t>
            </w:r>
          </w:p>
        </w:tc>
        <w:tc>
          <w:tcPr>
            <w:tcW w:w="1208" w:type="dxa"/>
            <w:tcBorders>
              <w:top w:val="nil"/>
              <w:left w:val="nil"/>
              <w:bottom w:val="single" w:sz="4" w:space="0" w:color="auto"/>
              <w:right w:val="nil"/>
            </w:tcBorders>
            <w:noWrap/>
            <w:vAlign w:val="bottom"/>
          </w:tcPr>
          <w:p w:rsidR="00B345A7" w:rsidRPr="00DB5ED7" w:rsidRDefault="00B345A7" w:rsidP="00DB5ED7">
            <w:pPr>
              <w:jc w:val="center"/>
              <w:rPr>
                <w:color w:val="000000"/>
                <w:lang w:eastAsia="en-GB"/>
              </w:rPr>
            </w:pPr>
            <w:r w:rsidRPr="00DB5ED7">
              <w:rPr>
                <w:color w:val="000000"/>
                <w:lang w:eastAsia="en-GB"/>
              </w:rPr>
              <w:t>8.55</w:t>
            </w:r>
          </w:p>
        </w:tc>
        <w:tc>
          <w:tcPr>
            <w:tcW w:w="718" w:type="dxa"/>
            <w:tcBorders>
              <w:top w:val="nil"/>
              <w:left w:val="nil"/>
              <w:bottom w:val="single" w:sz="4" w:space="0" w:color="auto"/>
              <w:right w:val="single" w:sz="4" w:space="0" w:color="auto"/>
            </w:tcBorders>
            <w:noWrap/>
            <w:vAlign w:val="bottom"/>
          </w:tcPr>
          <w:p w:rsidR="00B345A7" w:rsidRPr="00DB5ED7" w:rsidRDefault="00B345A7" w:rsidP="00DB5ED7">
            <w:pPr>
              <w:jc w:val="right"/>
              <w:rPr>
                <w:color w:val="000000"/>
                <w:lang w:eastAsia="en-GB"/>
              </w:rPr>
            </w:pPr>
            <w:r w:rsidRPr="00DB5ED7">
              <w:rPr>
                <w:color w:val="000000"/>
                <w:lang w:eastAsia="en-GB"/>
              </w:rPr>
              <w:t>0.008</w:t>
            </w:r>
          </w:p>
        </w:tc>
      </w:tr>
    </w:tbl>
    <w:p w:rsidR="00B345A7" w:rsidRDefault="00B345A7" w:rsidP="00867F6B">
      <w:pPr>
        <w:spacing w:line="360" w:lineRule="auto"/>
      </w:pPr>
      <w:r>
        <w:t xml:space="preserve">  *Change in treatment effect for each 1% increase in the process measure. </w:t>
      </w:r>
      <w:r w:rsidR="00CA2B2A">
        <w:fldChar w:fldCharType="begin"/>
      </w:r>
      <w:r>
        <w:instrText xml:space="preserve"> ADDIN </w:instrText>
      </w:r>
      <w:r w:rsidR="00CA2B2A">
        <w:fldChar w:fldCharType="end"/>
      </w:r>
    </w:p>
    <w:sectPr w:rsidR="00B345A7" w:rsidSect="00F122AA">
      <w:pgSz w:w="16838" w:h="11906" w:orient="landscape"/>
      <w:pgMar w:top="1440" w:right="1440" w:bottom="1440"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6488" w:rsidRDefault="009A6488" w:rsidP="00D514A9">
      <w:r>
        <w:separator/>
      </w:r>
    </w:p>
  </w:endnote>
  <w:endnote w:type="continuationSeparator" w:id="0">
    <w:p w:rsidR="009A6488" w:rsidRDefault="009A6488" w:rsidP="00D514A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6488" w:rsidRDefault="009A6488">
    <w:pPr>
      <w:pStyle w:val="Footer"/>
      <w:jc w:val="center"/>
    </w:pPr>
    <w:fldSimple w:instr=" PAGE   \* MERGEFORMAT ">
      <w:r w:rsidR="00CB11BA">
        <w:rPr>
          <w:noProof/>
        </w:rPr>
        <w:t>2</w:t>
      </w:r>
    </w:fldSimple>
  </w:p>
  <w:p w:rsidR="009A6488" w:rsidRDefault="009A648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6488" w:rsidRDefault="009A6488">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6488" w:rsidRDefault="009A6488">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6488" w:rsidRDefault="009A648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6488" w:rsidRDefault="009A6488" w:rsidP="00D514A9">
      <w:r>
        <w:separator/>
      </w:r>
    </w:p>
  </w:footnote>
  <w:footnote w:type="continuationSeparator" w:id="0">
    <w:p w:rsidR="009A6488" w:rsidRDefault="009A6488" w:rsidP="00D514A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6488" w:rsidRDefault="009A6488">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6488" w:rsidRDefault="009A648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6488" w:rsidRDefault="009A648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BED311D"/>
    <w:multiLevelType w:val="hybridMultilevel"/>
    <w:tmpl w:val="B442E6C6"/>
    <w:lvl w:ilvl="0" w:tplc="E708A704">
      <w:numFmt w:val="bullet"/>
      <w:lvlText w:val=""/>
      <w:lvlJc w:val="left"/>
      <w:pPr>
        <w:ind w:left="720" w:hanging="360"/>
      </w:pPr>
      <w:rPr>
        <w:rFonts w:ascii="Symbol" w:eastAsia="Times New Roman"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8553549"/>
    <w:multiLevelType w:val="hybridMultilevel"/>
    <w:tmpl w:val="5F6C4F50"/>
    <w:lvl w:ilvl="0" w:tplc="FC3EA416">
      <w:numFmt w:val="bullet"/>
      <w:lvlText w:val=""/>
      <w:lvlJc w:val="left"/>
      <w:pPr>
        <w:ind w:left="1080" w:hanging="360"/>
      </w:pPr>
      <w:rPr>
        <w:rFonts w:ascii="Symbol" w:eastAsia="Times New Roman"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909xzaa9vtswsse2v93x5t2ntvddxav9rtts&quot;&gt;ENlibraryCF&lt;record-ids&gt;&lt;item&gt;45&lt;/item&gt;&lt;item&gt;69&lt;/item&gt;&lt;item&gt;95&lt;/item&gt;&lt;item&gt;98&lt;/item&gt;&lt;item&gt;125&lt;/item&gt;&lt;item&gt;149&lt;/item&gt;&lt;item&gt;195&lt;/item&gt;&lt;item&gt;229&lt;/item&gt;&lt;item&gt;267&lt;/item&gt;&lt;item&gt;298&lt;/item&gt;&lt;item&gt;299&lt;/item&gt;&lt;item&gt;321&lt;/item&gt;&lt;item&gt;322&lt;/item&gt;&lt;item&gt;323&lt;/item&gt;&lt;item&gt;325&lt;/item&gt;&lt;item&gt;326&lt;/item&gt;&lt;item&gt;361&lt;/item&gt;&lt;/record-ids&gt;&lt;/item&gt;&lt;/Libraries&gt;"/>
  </w:docVars>
  <w:rsids>
    <w:rsidRoot w:val="00B06B3F"/>
    <w:rsid w:val="000074BA"/>
    <w:rsid w:val="00010CCE"/>
    <w:rsid w:val="00020EC9"/>
    <w:rsid w:val="00031BC9"/>
    <w:rsid w:val="00050C6F"/>
    <w:rsid w:val="00053BD9"/>
    <w:rsid w:val="00064363"/>
    <w:rsid w:val="000A23CA"/>
    <w:rsid w:val="000B7B6D"/>
    <w:rsid w:val="000E086F"/>
    <w:rsid w:val="000E6161"/>
    <w:rsid w:val="000F66B4"/>
    <w:rsid w:val="000F76BE"/>
    <w:rsid w:val="00113061"/>
    <w:rsid w:val="00120551"/>
    <w:rsid w:val="00125B0C"/>
    <w:rsid w:val="00151455"/>
    <w:rsid w:val="00154F7B"/>
    <w:rsid w:val="001658F2"/>
    <w:rsid w:val="0017290E"/>
    <w:rsid w:val="00172FC0"/>
    <w:rsid w:val="00185D67"/>
    <w:rsid w:val="00185EEC"/>
    <w:rsid w:val="00186255"/>
    <w:rsid w:val="001A5BDB"/>
    <w:rsid w:val="001E50B5"/>
    <w:rsid w:val="001F49C9"/>
    <w:rsid w:val="001F7B97"/>
    <w:rsid w:val="00207CD4"/>
    <w:rsid w:val="00212293"/>
    <w:rsid w:val="002453C7"/>
    <w:rsid w:val="0025059B"/>
    <w:rsid w:val="00250DC4"/>
    <w:rsid w:val="00252ABA"/>
    <w:rsid w:val="002645A1"/>
    <w:rsid w:val="002A6469"/>
    <w:rsid w:val="002B05CF"/>
    <w:rsid w:val="002B596B"/>
    <w:rsid w:val="002B60DE"/>
    <w:rsid w:val="002C0614"/>
    <w:rsid w:val="002C0CF4"/>
    <w:rsid w:val="002C679C"/>
    <w:rsid w:val="002D75C8"/>
    <w:rsid w:val="002E123A"/>
    <w:rsid w:val="002E7324"/>
    <w:rsid w:val="002F34AB"/>
    <w:rsid w:val="002F4918"/>
    <w:rsid w:val="00304CA6"/>
    <w:rsid w:val="00307436"/>
    <w:rsid w:val="00334AA7"/>
    <w:rsid w:val="00343BFF"/>
    <w:rsid w:val="00343F84"/>
    <w:rsid w:val="003808BA"/>
    <w:rsid w:val="00384B15"/>
    <w:rsid w:val="003B3460"/>
    <w:rsid w:val="003B47BD"/>
    <w:rsid w:val="003C6199"/>
    <w:rsid w:val="003F2EC8"/>
    <w:rsid w:val="003F3170"/>
    <w:rsid w:val="003F4A77"/>
    <w:rsid w:val="003F695B"/>
    <w:rsid w:val="003F77E9"/>
    <w:rsid w:val="00401B28"/>
    <w:rsid w:val="00406107"/>
    <w:rsid w:val="00410CA6"/>
    <w:rsid w:val="00415037"/>
    <w:rsid w:val="00420C05"/>
    <w:rsid w:val="00421FDA"/>
    <w:rsid w:val="00431C00"/>
    <w:rsid w:val="00453127"/>
    <w:rsid w:val="004564DF"/>
    <w:rsid w:val="00461A6A"/>
    <w:rsid w:val="00470A26"/>
    <w:rsid w:val="00473065"/>
    <w:rsid w:val="00474337"/>
    <w:rsid w:val="00484CCF"/>
    <w:rsid w:val="004903BE"/>
    <w:rsid w:val="004928E9"/>
    <w:rsid w:val="00493647"/>
    <w:rsid w:val="004B055F"/>
    <w:rsid w:val="004C1FBE"/>
    <w:rsid w:val="004C46DA"/>
    <w:rsid w:val="004D2405"/>
    <w:rsid w:val="004D38E5"/>
    <w:rsid w:val="004D5CEC"/>
    <w:rsid w:val="004E2B3E"/>
    <w:rsid w:val="004F4234"/>
    <w:rsid w:val="005137BB"/>
    <w:rsid w:val="00534A5A"/>
    <w:rsid w:val="00552724"/>
    <w:rsid w:val="00552FCC"/>
    <w:rsid w:val="005549BC"/>
    <w:rsid w:val="00584B13"/>
    <w:rsid w:val="005A6A7F"/>
    <w:rsid w:val="005B2090"/>
    <w:rsid w:val="005E03F6"/>
    <w:rsid w:val="005E3428"/>
    <w:rsid w:val="005E4C8F"/>
    <w:rsid w:val="0060154F"/>
    <w:rsid w:val="00603081"/>
    <w:rsid w:val="006134E2"/>
    <w:rsid w:val="006168CF"/>
    <w:rsid w:val="0061795B"/>
    <w:rsid w:val="00624287"/>
    <w:rsid w:val="00642A6E"/>
    <w:rsid w:val="00646CA8"/>
    <w:rsid w:val="006477BD"/>
    <w:rsid w:val="0065332A"/>
    <w:rsid w:val="00672AA9"/>
    <w:rsid w:val="006810AA"/>
    <w:rsid w:val="00681123"/>
    <w:rsid w:val="006A1651"/>
    <w:rsid w:val="006A17FF"/>
    <w:rsid w:val="006A3CAF"/>
    <w:rsid w:val="006B612A"/>
    <w:rsid w:val="006C1160"/>
    <w:rsid w:val="006C4893"/>
    <w:rsid w:val="006D005E"/>
    <w:rsid w:val="006D0A6F"/>
    <w:rsid w:val="006D297A"/>
    <w:rsid w:val="006F30EF"/>
    <w:rsid w:val="007159BC"/>
    <w:rsid w:val="00726E32"/>
    <w:rsid w:val="007322F0"/>
    <w:rsid w:val="00734287"/>
    <w:rsid w:val="00746258"/>
    <w:rsid w:val="00760A4E"/>
    <w:rsid w:val="007628D1"/>
    <w:rsid w:val="0077540C"/>
    <w:rsid w:val="00776438"/>
    <w:rsid w:val="00782A9F"/>
    <w:rsid w:val="00783BDF"/>
    <w:rsid w:val="00785C33"/>
    <w:rsid w:val="00793A0A"/>
    <w:rsid w:val="00797388"/>
    <w:rsid w:val="007A1258"/>
    <w:rsid w:val="007A3C51"/>
    <w:rsid w:val="007A4406"/>
    <w:rsid w:val="007B0DFB"/>
    <w:rsid w:val="007B5510"/>
    <w:rsid w:val="007C2DB1"/>
    <w:rsid w:val="007E1FDE"/>
    <w:rsid w:val="007E5F40"/>
    <w:rsid w:val="007F3E50"/>
    <w:rsid w:val="00804D67"/>
    <w:rsid w:val="00812A45"/>
    <w:rsid w:val="00815D6D"/>
    <w:rsid w:val="008173A5"/>
    <w:rsid w:val="0082695D"/>
    <w:rsid w:val="008405DF"/>
    <w:rsid w:val="00850CBD"/>
    <w:rsid w:val="00852F54"/>
    <w:rsid w:val="00853DF6"/>
    <w:rsid w:val="0086407C"/>
    <w:rsid w:val="008642BC"/>
    <w:rsid w:val="00865356"/>
    <w:rsid w:val="008672D9"/>
    <w:rsid w:val="00867F6B"/>
    <w:rsid w:val="00871284"/>
    <w:rsid w:val="008A4FCD"/>
    <w:rsid w:val="008B262B"/>
    <w:rsid w:val="008B2785"/>
    <w:rsid w:val="008B4E3E"/>
    <w:rsid w:val="008B4EAB"/>
    <w:rsid w:val="008C7368"/>
    <w:rsid w:val="008D4360"/>
    <w:rsid w:val="008D77AB"/>
    <w:rsid w:val="008E1E70"/>
    <w:rsid w:val="008E203E"/>
    <w:rsid w:val="008E5ACE"/>
    <w:rsid w:val="008F7A9D"/>
    <w:rsid w:val="009001D1"/>
    <w:rsid w:val="00905AD8"/>
    <w:rsid w:val="009100DA"/>
    <w:rsid w:val="00930D51"/>
    <w:rsid w:val="00932D2B"/>
    <w:rsid w:val="0094084B"/>
    <w:rsid w:val="00940DDA"/>
    <w:rsid w:val="009468E3"/>
    <w:rsid w:val="00960783"/>
    <w:rsid w:val="00971A81"/>
    <w:rsid w:val="009766CB"/>
    <w:rsid w:val="009A6488"/>
    <w:rsid w:val="009C79BD"/>
    <w:rsid w:val="009D36BC"/>
    <w:rsid w:val="00A011A3"/>
    <w:rsid w:val="00A237D1"/>
    <w:rsid w:val="00A415AD"/>
    <w:rsid w:val="00A440B5"/>
    <w:rsid w:val="00A60880"/>
    <w:rsid w:val="00AA4768"/>
    <w:rsid w:val="00AA6693"/>
    <w:rsid w:val="00AB01F1"/>
    <w:rsid w:val="00AB2A85"/>
    <w:rsid w:val="00AB3F6A"/>
    <w:rsid w:val="00AC1342"/>
    <w:rsid w:val="00AD402F"/>
    <w:rsid w:val="00AE61E9"/>
    <w:rsid w:val="00B000F9"/>
    <w:rsid w:val="00B0601B"/>
    <w:rsid w:val="00B06B3F"/>
    <w:rsid w:val="00B06D94"/>
    <w:rsid w:val="00B15187"/>
    <w:rsid w:val="00B16591"/>
    <w:rsid w:val="00B175C6"/>
    <w:rsid w:val="00B27BAB"/>
    <w:rsid w:val="00B339B7"/>
    <w:rsid w:val="00B342DD"/>
    <w:rsid w:val="00B345A7"/>
    <w:rsid w:val="00B40DA9"/>
    <w:rsid w:val="00B40E3E"/>
    <w:rsid w:val="00B50C29"/>
    <w:rsid w:val="00B51157"/>
    <w:rsid w:val="00B6071A"/>
    <w:rsid w:val="00B61445"/>
    <w:rsid w:val="00B93095"/>
    <w:rsid w:val="00B977D8"/>
    <w:rsid w:val="00BA294F"/>
    <w:rsid w:val="00BB418E"/>
    <w:rsid w:val="00BC1FDF"/>
    <w:rsid w:val="00BC76BC"/>
    <w:rsid w:val="00BE0D8E"/>
    <w:rsid w:val="00BF1955"/>
    <w:rsid w:val="00BF71D9"/>
    <w:rsid w:val="00C01C66"/>
    <w:rsid w:val="00C05B3C"/>
    <w:rsid w:val="00C07636"/>
    <w:rsid w:val="00C164D8"/>
    <w:rsid w:val="00C208A6"/>
    <w:rsid w:val="00C32ACB"/>
    <w:rsid w:val="00C32B54"/>
    <w:rsid w:val="00C5164E"/>
    <w:rsid w:val="00C64587"/>
    <w:rsid w:val="00C91A7C"/>
    <w:rsid w:val="00C93301"/>
    <w:rsid w:val="00CA2B2A"/>
    <w:rsid w:val="00CA648C"/>
    <w:rsid w:val="00CB11BA"/>
    <w:rsid w:val="00CB2C5D"/>
    <w:rsid w:val="00CC3750"/>
    <w:rsid w:val="00CE02FC"/>
    <w:rsid w:val="00D04360"/>
    <w:rsid w:val="00D13956"/>
    <w:rsid w:val="00D22E2F"/>
    <w:rsid w:val="00D364D4"/>
    <w:rsid w:val="00D4153C"/>
    <w:rsid w:val="00D44664"/>
    <w:rsid w:val="00D45F86"/>
    <w:rsid w:val="00D514A9"/>
    <w:rsid w:val="00D61948"/>
    <w:rsid w:val="00D624A3"/>
    <w:rsid w:val="00D64DD2"/>
    <w:rsid w:val="00D65C79"/>
    <w:rsid w:val="00D8212D"/>
    <w:rsid w:val="00DB2103"/>
    <w:rsid w:val="00DB5197"/>
    <w:rsid w:val="00DB5ED7"/>
    <w:rsid w:val="00DC054D"/>
    <w:rsid w:val="00DC0AC8"/>
    <w:rsid w:val="00DD71AB"/>
    <w:rsid w:val="00DE0ABE"/>
    <w:rsid w:val="00DF4B0B"/>
    <w:rsid w:val="00E00B5D"/>
    <w:rsid w:val="00E0487C"/>
    <w:rsid w:val="00E05806"/>
    <w:rsid w:val="00E05F82"/>
    <w:rsid w:val="00E25D3A"/>
    <w:rsid w:val="00E27A4B"/>
    <w:rsid w:val="00E37E87"/>
    <w:rsid w:val="00E4052B"/>
    <w:rsid w:val="00E44D12"/>
    <w:rsid w:val="00E459E0"/>
    <w:rsid w:val="00E610DF"/>
    <w:rsid w:val="00E80D62"/>
    <w:rsid w:val="00E82C6F"/>
    <w:rsid w:val="00E94894"/>
    <w:rsid w:val="00E95E08"/>
    <w:rsid w:val="00EC0BCF"/>
    <w:rsid w:val="00EC460A"/>
    <w:rsid w:val="00EC5B02"/>
    <w:rsid w:val="00ED75A3"/>
    <w:rsid w:val="00EF18AB"/>
    <w:rsid w:val="00EF77E3"/>
    <w:rsid w:val="00F07E60"/>
    <w:rsid w:val="00F122AA"/>
    <w:rsid w:val="00F242D3"/>
    <w:rsid w:val="00F3374B"/>
    <w:rsid w:val="00F35A49"/>
    <w:rsid w:val="00F371A8"/>
    <w:rsid w:val="00F42726"/>
    <w:rsid w:val="00F47FCF"/>
    <w:rsid w:val="00F52E20"/>
    <w:rsid w:val="00F544F3"/>
    <w:rsid w:val="00F756BE"/>
    <w:rsid w:val="00F96347"/>
    <w:rsid w:val="00FB2671"/>
    <w:rsid w:val="00FC27B3"/>
    <w:rsid w:val="00FC3814"/>
    <w:rsid w:val="00FC3F94"/>
    <w:rsid w:val="00FC5036"/>
    <w:rsid w:val="00FC5C9B"/>
    <w:rsid w:val="00FC634F"/>
    <w:rsid w:val="00FE1337"/>
    <w:rsid w:val="00FE2586"/>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reet"/>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5EEC"/>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6168C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27A4B"/>
    <w:rPr>
      <w:rFonts w:ascii="Times New Roman" w:hAnsi="Times New Roman" w:cs="Times New Roman"/>
      <w:sz w:val="2"/>
      <w:lang w:eastAsia="en-US"/>
    </w:rPr>
  </w:style>
  <w:style w:type="character" w:styleId="Hyperlink">
    <w:name w:val="Hyperlink"/>
    <w:basedOn w:val="DefaultParagraphFont"/>
    <w:uiPriority w:val="99"/>
    <w:semiHidden/>
    <w:rsid w:val="00603081"/>
    <w:rPr>
      <w:rFonts w:cs="Times New Roman"/>
      <w:color w:val="0000FF"/>
      <w:u w:val="single"/>
    </w:rPr>
  </w:style>
  <w:style w:type="character" w:styleId="Emphasis">
    <w:name w:val="Emphasis"/>
    <w:basedOn w:val="DefaultParagraphFont"/>
    <w:uiPriority w:val="99"/>
    <w:qFormat/>
    <w:rsid w:val="00603081"/>
    <w:rPr>
      <w:rFonts w:cs="Times New Roman"/>
      <w:i/>
      <w:iCs/>
    </w:rPr>
  </w:style>
  <w:style w:type="paragraph" w:styleId="Caption">
    <w:name w:val="caption"/>
    <w:basedOn w:val="Normal"/>
    <w:next w:val="Normal"/>
    <w:uiPriority w:val="99"/>
    <w:qFormat/>
    <w:rsid w:val="00F122AA"/>
    <w:pPr>
      <w:spacing w:after="200"/>
    </w:pPr>
    <w:rPr>
      <w:b/>
      <w:bCs/>
      <w:color w:val="4F81BD"/>
      <w:sz w:val="18"/>
      <w:szCs w:val="18"/>
    </w:rPr>
  </w:style>
  <w:style w:type="paragraph" w:styleId="Header">
    <w:name w:val="header"/>
    <w:basedOn w:val="Normal"/>
    <w:link w:val="HeaderChar"/>
    <w:uiPriority w:val="99"/>
    <w:semiHidden/>
    <w:rsid w:val="00D514A9"/>
    <w:pPr>
      <w:tabs>
        <w:tab w:val="center" w:pos="4513"/>
        <w:tab w:val="right" w:pos="9026"/>
      </w:tabs>
    </w:pPr>
  </w:style>
  <w:style w:type="character" w:customStyle="1" w:styleId="HeaderChar">
    <w:name w:val="Header Char"/>
    <w:basedOn w:val="DefaultParagraphFont"/>
    <w:link w:val="Header"/>
    <w:uiPriority w:val="99"/>
    <w:semiHidden/>
    <w:locked/>
    <w:rsid w:val="00D514A9"/>
    <w:rPr>
      <w:rFonts w:cs="Times New Roman"/>
    </w:rPr>
  </w:style>
  <w:style w:type="paragraph" w:styleId="Footer">
    <w:name w:val="footer"/>
    <w:basedOn w:val="Normal"/>
    <w:link w:val="FooterChar"/>
    <w:uiPriority w:val="99"/>
    <w:rsid w:val="00D514A9"/>
    <w:pPr>
      <w:tabs>
        <w:tab w:val="center" w:pos="4513"/>
        <w:tab w:val="right" w:pos="9026"/>
      </w:tabs>
    </w:pPr>
  </w:style>
  <w:style w:type="character" w:customStyle="1" w:styleId="FooterChar">
    <w:name w:val="Footer Char"/>
    <w:basedOn w:val="DefaultParagraphFont"/>
    <w:link w:val="Footer"/>
    <w:uiPriority w:val="99"/>
    <w:locked/>
    <w:rsid w:val="00D514A9"/>
    <w:rPr>
      <w:rFonts w:cs="Times New Roman"/>
    </w:rPr>
  </w:style>
  <w:style w:type="character" w:styleId="CommentReference">
    <w:name w:val="annotation reference"/>
    <w:basedOn w:val="DefaultParagraphFont"/>
    <w:uiPriority w:val="99"/>
    <w:semiHidden/>
    <w:rsid w:val="006168CF"/>
    <w:rPr>
      <w:rFonts w:cs="Times New Roman"/>
      <w:sz w:val="16"/>
      <w:szCs w:val="16"/>
    </w:rPr>
  </w:style>
  <w:style w:type="paragraph" w:styleId="CommentText">
    <w:name w:val="annotation text"/>
    <w:basedOn w:val="Normal"/>
    <w:link w:val="CommentTextChar"/>
    <w:uiPriority w:val="99"/>
    <w:semiHidden/>
    <w:rsid w:val="006168CF"/>
    <w:rPr>
      <w:sz w:val="20"/>
      <w:szCs w:val="20"/>
    </w:rPr>
  </w:style>
  <w:style w:type="character" w:customStyle="1" w:styleId="CommentTextChar">
    <w:name w:val="Comment Text Char"/>
    <w:basedOn w:val="DefaultParagraphFont"/>
    <w:link w:val="CommentText"/>
    <w:uiPriority w:val="99"/>
    <w:semiHidden/>
    <w:locked/>
    <w:rsid w:val="00E27A4B"/>
    <w:rPr>
      <w:rFonts w:cs="Times New Roman"/>
      <w:sz w:val="20"/>
      <w:szCs w:val="20"/>
      <w:lang w:eastAsia="en-US"/>
    </w:rPr>
  </w:style>
  <w:style w:type="paragraph" w:styleId="CommentSubject">
    <w:name w:val="annotation subject"/>
    <w:basedOn w:val="CommentText"/>
    <w:next w:val="CommentText"/>
    <w:link w:val="CommentSubjectChar"/>
    <w:uiPriority w:val="99"/>
    <w:semiHidden/>
    <w:rsid w:val="006168CF"/>
    <w:rPr>
      <w:b/>
      <w:bCs/>
    </w:rPr>
  </w:style>
  <w:style w:type="character" w:customStyle="1" w:styleId="CommentSubjectChar">
    <w:name w:val="Comment Subject Char"/>
    <w:basedOn w:val="CommentTextChar"/>
    <w:link w:val="CommentSubject"/>
    <w:uiPriority w:val="99"/>
    <w:semiHidden/>
    <w:locked/>
    <w:rsid w:val="00E27A4B"/>
    <w:rPr>
      <w:b/>
      <w:bCs/>
    </w:rPr>
  </w:style>
  <w:style w:type="paragraph" w:styleId="Revision">
    <w:name w:val="Revision"/>
    <w:hidden/>
    <w:uiPriority w:val="99"/>
    <w:semiHidden/>
    <w:rsid w:val="006477BD"/>
    <w:rPr>
      <w:lang w:eastAsia="en-US"/>
    </w:rPr>
  </w:style>
  <w:style w:type="paragraph" w:customStyle="1" w:styleId="EndNoteBibliographyTitle">
    <w:name w:val="EndNote Bibliography Title"/>
    <w:basedOn w:val="Normal"/>
    <w:link w:val="EndNoteBibliographyTitleChar"/>
    <w:uiPriority w:val="99"/>
    <w:rsid w:val="00B342DD"/>
    <w:pPr>
      <w:jc w:val="center"/>
    </w:pPr>
    <w:rPr>
      <w:rFonts w:cs="Calibri"/>
      <w:noProof/>
      <w:lang w:val="en-US"/>
    </w:rPr>
  </w:style>
  <w:style w:type="character" w:customStyle="1" w:styleId="EndNoteBibliographyTitleChar">
    <w:name w:val="EndNote Bibliography Title Char"/>
    <w:basedOn w:val="DefaultParagraphFont"/>
    <w:link w:val="EndNoteBibliographyTitle"/>
    <w:uiPriority w:val="99"/>
    <w:locked/>
    <w:rsid w:val="00B342DD"/>
    <w:rPr>
      <w:rFonts w:cs="Calibri"/>
      <w:noProof/>
      <w:lang w:val="en-US" w:eastAsia="en-US"/>
    </w:rPr>
  </w:style>
  <w:style w:type="paragraph" w:customStyle="1" w:styleId="EndNoteBibliography">
    <w:name w:val="EndNote Bibliography"/>
    <w:basedOn w:val="Normal"/>
    <w:link w:val="EndNoteBibliographyChar"/>
    <w:uiPriority w:val="99"/>
    <w:rsid w:val="00B342DD"/>
    <w:rPr>
      <w:rFonts w:cs="Calibri"/>
      <w:noProof/>
      <w:lang w:val="en-US"/>
    </w:rPr>
  </w:style>
  <w:style w:type="character" w:customStyle="1" w:styleId="EndNoteBibliographyChar">
    <w:name w:val="EndNote Bibliography Char"/>
    <w:basedOn w:val="DefaultParagraphFont"/>
    <w:link w:val="EndNoteBibliography"/>
    <w:uiPriority w:val="99"/>
    <w:locked/>
    <w:rsid w:val="00B342DD"/>
    <w:rPr>
      <w:rFonts w:cs="Calibri"/>
      <w:noProof/>
      <w:lang w:val="en-US" w:eastAsia="en-US"/>
    </w:rPr>
  </w:style>
  <w:style w:type="character" w:styleId="FollowedHyperlink">
    <w:name w:val="FollowedHyperlink"/>
    <w:basedOn w:val="DefaultParagraphFont"/>
    <w:uiPriority w:val="99"/>
    <w:semiHidden/>
    <w:rsid w:val="00B40E3E"/>
    <w:rPr>
      <w:rFonts w:cs="Times New Roman"/>
      <w:color w:val="800080"/>
      <w:u w:val="single"/>
    </w:rPr>
  </w:style>
</w:styles>
</file>

<file path=word/webSettings.xml><?xml version="1.0" encoding="utf-8"?>
<w:webSettings xmlns:r="http://schemas.openxmlformats.org/officeDocument/2006/relationships" xmlns:w="http://schemas.openxmlformats.org/wordprocessingml/2006/main">
  <w:divs>
    <w:div w:id="128400381">
      <w:marLeft w:val="0"/>
      <w:marRight w:val="0"/>
      <w:marTop w:val="0"/>
      <w:marBottom w:val="0"/>
      <w:divBdr>
        <w:top w:val="none" w:sz="0" w:space="0" w:color="auto"/>
        <w:left w:val="none" w:sz="0" w:space="0" w:color="auto"/>
        <w:bottom w:val="none" w:sz="0" w:space="0" w:color="auto"/>
        <w:right w:val="none" w:sz="0" w:space="0" w:color="auto"/>
      </w:divBdr>
    </w:div>
    <w:div w:id="128400382">
      <w:marLeft w:val="0"/>
      <w:marRight w:val="0"/>
      <w:marTop w:val="0"/>
      <w:marBottom w:val="0"/>
      <w:divBdr>
        <w:top w:val="none" w:sz="0" w:space="0" w:color="auto"/>
        <w:left w:val="none" w:sz="0" w:space="0" w:color="auto"/>
        <w:bottom w:val="none" w:sz="0" w:space="0" w:color="auto"/>
        <w:right w:val="none" w:sz="0" w:space="0" w:color="auto"/>
      </w:divBdr>
    </w:div>
    <w:div w:id="128400383">
      <w:marLeft w:val="0"/>
      <w:marRight w:val="0"/>
      <w:marTop w:val="0"/>
      <w:marBottom w:val="0"/>
      <w:divBdr>
        <w:top w:val="none" w:sz="0" w:space="0" w:color="auto"/>
        <w:left w:val="none" w:sz="0" w:space="0" w:color="auto"/>
        <w:bottom w:val="none" w:sz="0" w:space="0" w:color="auto"/>
        <w:right w:val="none" w:sz="0" w:space="0" w:color="auto"/>
      </w:divBdr>
    </w:div>
    <w:div w:id="128400384">
      <w:marLeft w:val="0"/>
      <w:marRight w:val="0"/>
      <w:marTop w:val="0"/>
      <w:marBottom w:val="0"/>
      <w:divBdr>
        <w:top w:val="none" w:sz="0" w:space="0" w:color="auto"/>
        <w:left w:val="none" w:sz="0" w:space="0" w:color="auto"/>
        <w:bottom w:val="none" w:sz="0" w:space="0" w:color="auto"/>
        <w:right w:val="none" w:sz="0" w:space="0" w:color="auto"/>
      </w:divBdr>
    </w:div>
    <w:div w:id="128400385">
      <w:marLeft w:val="0"/>
      <w:marRight w:val="0"/>
      <w:marTop w:val="0"/>
      <w:marBottom w:val="0"/>
      <w:divBdr>
        <w:top w:val="none" w:sz="0" w:space="0" w:color="auto"/>
        <w:left w:val="none" w:sz="0" w:space="0" w:color="auto"/>
        <w:bottom w:val="none" w:sz="0" w:space="0" w:color="auto"/>
        <w:right w:val="none" w:sz="0" w:space="0" w:color="auto"/>
      </w:divBdr>
    </w:div>
    <w:div w:id="128400386">
      <w:marLeft w:val="0"/>
      <w:marRight w:val="0"/>
      <w:marTop w:val="0"/>
      <w:marBottom w:val="0"/>
      <w:divBdr>
        <w:top w:val="none" w:sz="0" w:space="0" w:color="auto"/>
        <w:left w:val="none" w:sz="0" w:space="0" w:color="auto"/>
        <w:bottom w:val="none" w:sz="0" w:space="0" w:color="auto"/>
        <w:right w:val="none" w:sz="0" w:space="0" w:color="auto"/>
      </w:divBdr>
    </w:div>
    <w:div w:id="128400387">
      <w:marLeft w:val="0"/>
      <w:marRight w:val="0"/>
      <w:marTop w:val="0"/>
      <w:marBottom w:val="0"/>
      <w:divBdr>
        <w:top w:val="none" w:sz="0" w:space="0" w:color="auto"/>
        <w:left w:val="none" w:sz="0" w:space="0" w:color="auto"/>
        <w:bottom w:val="none" w:sz="0" w:space="0" w:color="auto"/>
        <w:right w:val="none" w:sz="0" w:space="0" w:color="auto"/>
      </w:divBdr>
    </w:div>
    <w:div w:id="128400388">
      <w:marLeft w:val="0"/>
      <w:marRight w:val="0"/>
      <w:marTop w:val="0"/>
      <w:marBottom w:val="0"/>
      <w:divBdr>
        <w:top w:val="none" w:sz="0" w:space="0" w:color="auto"/>
        <w:left w:val="none" w:sz="0" w:space="0" w:color="auto"/>
        <w:bottom w:val="none" w:sz="0" w:space="0" w:color="auto"/>
        <w:right w:val="none" w:sz="0" w:space="0" w:color="auto"/>
      </w:divBdr>
    </w:div>
    <w:div w:id="128400389">
      <w:marLeft w:val="0"/>
      <w:marRight w:val="0"/>
      <w:marTop w:val="0"/>
      <w:marBottom w:val="0"/>
      <w:divBdr>
        <w:top w:val="none" w:sz="0" w:space="0" w:color="auto"/>
        <w:left w:val="none" w:sz="0" w:space="0" w:color="auto"/>
        <w:bottom w:val="none" w:sz="0" w:space="0" w:color="auto"/>
        <w:right w:val="none" w:sz="0" w:space="0" w:color="auto"/>
      </w:divBdr>
    </w:div>
    <w:div w:id="128400390">
      <w:marLeft w:val="0"/>
      <w:marRight w:val="0"/>
      <w:marTop w:val="0"/>
      <w:marBottom w:val="0"/>
      <w:divBdr>
        <w:top w:val="none" w:sz="0" w:space="0" w:color="auto"/>
        <w:left w:val="none" w:sz="0" w:space="0" w:color="auto"/>
        <w:bottom w:val="none" w:sz="0" w:space="0" w:color="auto"/>
        <w:right w:val="none" w:sz="0" w:space="0" w:color="auto"/>
      </w:divBdr>
    </w:div>
    <w:div w:id="128400391">
      <w:marLeft w:val="0"/>
      <w:marRight w:val="0"/>
      <w:marTop w:val="0"/>
      <w:marBottom w:val="0"/>
      <w:divBdr>
        <w:top w:val="none" w:sz="0" w:space="0" w:color="auto"/>
        <w:left w:val="none" w:sz="0" w:space="0" w:color="auto"/>
        <w:bottom w:val="none" w:sz="0" w:space="0" w:color="auto"/>
        <w:right w:val="none" w:sz="0" w:space="0" w:color="auto"/>
      </w:divBdr>
    </w:div>
    <w:div w:id="128400392">
      <w:marLeft w:val="0"/>
      <w:marRight w:val="0"/>
      <w:marTop w:val="0"/>
      <w:marBottom w:val="0"/>
      <w:divBdr>
        <w:top w:val="none" w:sz="0" w:space="0" w:color="auto"/>
        <w:left w:val="none" w:sz="0" w:space="0" w:color="auto"/>
        <w:bottom w:val="none" w:sz="0" w:space="0" w:color="auto"/>
        <w:right w:val="none" w:sz="0" w:space="0" w:color="auto"/>
      </w:divBdr>
    </w:div>
    <w:div w:id="128400393">
      <w:marLeft w:val="0"/>
      <w:marRight w:val="0"/>
      <w:marTop w:val="0"/>
      <w:marBottom w:val="0"/>
      <w:divBdr>
        <w:top w:val="none" w:sz="0" w:space="0" w:color="auto"/>
        <w:left w:val="none" w:sz="0" w:space="0" w:color="auto"/>
        <w:bottom w:val="none" w:sz="0" w:space="0" w:color="auto"/>
        <w:right w:val="none" w:sz="0" w:space="0" w:color="auto"/>
      </w:divBdr>
    </w:div>
    <w:div w:id="12840039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17</Pages>
  <Words>6167</Words>
  <Characters>70412</Characters>
  <Application>Microsoft Office Word</Application>
  <DocSecurity>0</DocSecurity>
  <Lines>586</Lines>
  <Paragraphs>152</Paragraphs>
  <ScaleCrop>false</ScaleCrop>
  <HeadingPairs>
    <vt:vector size="2" baseType="variant">
      <vt:variant>
        <vt:lpstr>Title</vt:lpstr>
      </vt:variant>
      <vt:variant>
        <vt:i4>1</vt:i4>
      </vt:variant>
    </vt:vector>
  </HeadingPairs>
  <TitlesOfParts>
    <vt:vector size="1" baseType="lpstr">
      <vt:lpstr>Components of therapy as mechanisms of change in cognitive therapy for people at risk of psychosis</vt:lpstr>
    </vt:vector>
  </TitlesOfParts>
  <Company>University of Manchester</Company>
  <LinksUpToDate>false</LinksUpToDate>
  <CharactersWithSpaces>76427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Components of therapy as mechanisms of change in cognitive therapy for people at risk of psychosis</dc:title>
  <dc:creator>Clare Flach</dc:creator>
  <cp:lastModifiedBy>Clare Flach</cp:lastModifiedBy>
  <cp:revision>6</cp:revision>
  <cp:lastPrinted>2013-01-25T11:54:00Z</cp:lastPrinted>
  <dcterms:created xsi:type="dcterms:W3CDTF">2014-10-08T15:49:00Z</dcterms:created>
  <dcterms:modified xsi:type="dcterms:W3CDTF">2014-10-17T10:05:00Z</dcterms:modified>
</cp:coreProperties>
</file>