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rawings/drawing2.xml" ContentType="application/vnd.openxmlformats-officedocument.drawingml.chartshapes+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04D855" w14:textId="611137E7" w:rsidR="008D131E" w:rsidRDefault="008D131E" w:rsidP="00597B66">
      <w:pPr>
        <w:spacing w:after="0" w:line="360" w:lineRule="auto"/>
        <w:jc w:val="both"/>
        <w:rPr>
          <w:sz w:val="32"/>
        </w:rPr>
      </w:pPr>
    </w:p>
    <w:p w14:paraId="30EBFDDC" w14:textId="77777777" w:rsidR="008D131E" w:rsidRDefault="008D131E" w:rsidP="00597B66">
      <w:pPr>
        <w:spacing w:after="0" w:line="360" w:lineRule="auto"/>
        <w:jc w:val="both"/>
        <w:rPr>
          <w:sz w:val="32"/>
        </w:rPr>
      </w:pPr>
    </w:p>
    <w:p w14:paraId="6876B79D" w14:textId="77777777" w:rsidR="008D131E" w:rsidRDefault="008D131E" w:rsidP="00597B66">
      <w:pPr>
        <w:spacing w:after="0" w:line="360" w:lineRule="auto"/>
        <w:jc w:val="both"/>
        <w:rPr>
          <w:sz w:val="32"/>
        </w:rPr>
      </w:pPr>
    </w:p>
    <w:p w14:paraId="2D6EE1F2" w14:textId="3AD5536C" w:rsidR="008D131E" w:rsidRPr="008B68A9" w:rsidRDefault="0023283B" w:rsidP="00597B66">
      <w:pPr>
        <w:spacing w:after="0" w:line="360" w:lineRule="auto"/>
        <w:jc w:val="both"/>
        <w:rPr>
          <w:b/>
          <w:sz w:val="36"/>
        </w:rPr>
      </w:pPr>
      <w:r w:rsidRPr="008B68A9">
        <w:rPr>
          <w:b/>
          <w:sz w:val="36"/>
        </w:rPr>
        <w:t>N</w:t>
      </w:r>
      <w:r w:rsidR="00A77916" w:rsidRPr="008B68A9">
        <w:rPr>
          <w:b/>
          <w:sz w:val="36"/>
        </w:rPr>
        <w:t>arrative</w:t>
      </w:r>
      <w:r w:rsidR="00A1117B" w:rsidRPr="008B68A9">
        <w:rPr>
          <w:b/>
          <w:sz w:val="36"/>
        </w:rPr>
        <w:t>s</w:t>
      </w:r>
      <w:r w:rsidR="00A77916" w:rsidRPr="008B68A9">
        <w:rPr>
          <w:b/>
          <w:sz w:val="36"/>
        </w:rPr>
        <w:t xml:space="preserve"> of </w:t>
      </w:r>
      <w:r w:rsidRPr="008B68A9">
        <w:rPr>
          <w:b/>
          <w:sz w:val="36"/>
        </w:rPr>
        <w:t>personalisation in mental health</w:t>
      </w:r>
      <w:r w:rsidR="000822D3" w:rsidRPr="008B68A9">
        <w:rPr>
          <w:b/>
          <w:sz w:val="36"/>
        </w:rPr>
        <w:t xml:space="preserve">: </w:t>
      </w:r>
      <w:r w:rsidR="00B67B50" w:rsidRPr="008B68A9">
        <w:rPr>
          <w:b/>
          <w:sz w:val="36"/>
        </w:rPr>
        <w:t>a</w:t>
      </w:r>
      <w:r w:rsidR="000822D3" w:rsidRPr="008B68A9">
        <w:rPr>
          <w:b/>
          <w:sz w:val="36"/>
        </w:rPr>
        <w:t xml:space="preserve"> collective case study</w:t>
      </w:r>
    </w:p>
    <w:p w14:paraId="11DEC793" w14:textId="4AE91603" w:rsidR="0023283B" w:rsidRPr="008B68A9" w:rsidRDefault="0023283B" w:rsidP="00597B66">
      <w:pPr>
        <w:spacing w:after="0" w:line="360" w:lineRule="auto"/>
        <w:jc w:val="both"/>
        <w:rPr>
          <w:sz w:val="32"/>
        </w:rPr>
      </w:pPr>
    </w:p>
    <w:p w14:paraId="2A9B10E5" w14:textId="77777777" w:rsidR="008D131E" w:rsidRPr="008B68A9" w:rsidRDefault="008D131E" w:rsidP="00415741">
      <w:pPr>
        <w:pStyle w:val="Default"/>
        <w:spacing w:line="360" w:lineRule="auto"/>
        <w:rPr>
          <w:rFonts w:asciiTheme="minorHAnsi" w:hAnsiTheme="minorHAnsi"/>
          <w:sz w:val="32"/>
          <w:szCs w:val="32"/>
        </w:rPr>
      </w:pPr>
      <w:r w:rsidRPr="008B68A9">
        <w:rPr>
          <w:rFonts w:asciiTheme="minorHAnsi" w:hAnsiTheme="minorHAnsi"/>
          <w:sz w:val="32"/>
          <w:szCs w:val="32"/>
        </w:rPr>
        <w:t>Thesis submitted in accordance with the requirements of the University of Chester for the Degree of Doctor of Philosophy</w:t>
      </w:r>
    </w:p>
    <w:p w14:paraId="19E3E767" w14:textId="77777777" w:rsidR="008D131E" w:rsidRPr="008B68A9" w:rsidRDefault="008D131E" w:rsidP="00597B66">
      <w:pPr>
        <w:pStyle w:val="Default"/>
        <w:spacing w:line="360" w:lineRule="auto"/>
        <w:jc w:val="both"/>
        <w:rPr>
          <w:rFonts w:asciiTheme="minorHAnsi" w:hAnsiTheme="minorHAnsi"/>
          <w:sz w:val="22"/>
          <w:szCs w:val="22"/>
        </w:rPr>
      </w:pPr>
    </w:p>
    <w:p w14:paraId="57311576" w14:textId="77777777" w:rsidR="00786BB1" w:rsidRPr="008B68A9" w:rsidRDefault="00786BB1" w:rsidP="00597B66">
      <w:pPr>
        <w:pStyle w:val="Default"/>
        <w:spacing w:line="360" w:lineRule="auto"/>
        <w:jc w:val="both"/>
        <w:rPr>
          <w:rFonts w:asciiTheme="minorHAnsi" w:hAnsiTheme="minorHAnsi"/>
          <w:sz w:val="28"/>
          <w:szCs w:val="28"/>
        </w:rPr>
      </w:pPr>
    </w:p>
    <w:p w14:paraId="11112ECE" w14:textId="77777777" w:rsidR="008D131E" w:rsidRPr="008B68A9" w:rsidRDefault="008D131E" w:rsidP="00597B66">
      <w:pPr>
        <w:pStyle w:val="Default"/>
        <w:spacing w:line="360" w:lineRule="auto"/>
        <w:jc w:val="both"/>
        <w:rPr>
          <w:rFonts w:asciiTheme="minorHAnsi" w:hAnsiTheme="minorHAnsi"/>
          <w:sz w:val="28"/>
          <w:szCs w:val="28"/>
        </w:rPr>
      </w:pPr>
    </w:p>
    <w:p w14:paraId="5B3D4DA1" w14:textId="77777777" w:rsidR="008D131E" w:rsidRPr="008B68A9" w:rsidRDefault="008D131E" w:rsidP="00597B66">
      <w:pPr>
        <w:pStyle w:val="Default"/>
        <w:spacing w:line="360" w:lineRule="auto"/>
        <w:jc w:val="both"/>
        <w:rPr>
          <w:rFonts w:asciiTheme="minorHAnsi" w:hAnsiTheme="minorHAnsi"/>
          <w:sz w:val="28"/>
          <w:szCs w:val="28"/>
        </w:rPr>
      </w:pPr>
    </w:p>
    <w:p w14:paraId="59D80D8D" w14:textId="77777777" w:rsidR="008D131E" w:rsidRPr="008B68A9" w:rsidRDefault="008D131E" w:rsidP="00597B66">
      <w:pPr>
        <w:pStyle w:val="Default"/>
        <w:spacing w:line="360" w:lineRule="auto"/>
        <w:jc w:val="both"/>
        <w:rPr>
          <w:rFonts w:asciiTheme="minorHAnsi" w:hAnsiTheme="minorHAnsi"/>
          <w:sz w:val="32"/>
          <w:szCs w:val="22"/>
        </w:rPr>
      </w:pPr>
      <w:r w:rsidRPr="008B68A9">
        <w:rPr>
          <w:rFonts w:asciiTheme="minorHAnsi" w:hAnsiTheme="minorHAnsi"/>
          <w:sz w:val="32"/>
          <w:szCs w:val="22"/>
        </w:rPr>
        <w:t>David Stuart Coyle</w:t>
      </w:r>
    </w:p>
    <w:p w14:paraId="508CC1EC" w14:textId="77777777" w:rsidR="008D131E" w:rsidRPr="008B68A9" w:rsidRDefault="008D131E" w:rsidP="00597B66">
      <w:pPr>
        <w:spacing w:after="0" w:line="360" w:lineRule="auto"/>
        <w:jc w:val="both"/>
        <w:rPr>
          <w:sz w:val="32"/>
        </w:rPr>
      </w:pPr>
    </w:p>
    <w:p w14:paraId="42F8638F" w14:textId="77777777" w:rsidR="008D131E" w:rsidRPr="008B68A9" w:rsidRDefault="008D131E" w:rsidP="00597B66">
      <w:pPr>
        <w:spacing w:after="0" w:line="360" w:lineRule="auto"/>
        <w:jc w:val="both"/>
      </w:pPr>
    </w:p>
    <w:p w14:paraId="4E104335" w14:textId="77777777" w:rsidR="008D131E" w:rsidRPr="008B68A9" w:rsidRDefault="008D131E" w:rsidP="00597B66">
      <w:pPr>
        <w:spacing w:after="0" w:line="360" w:lineRule="auto"/>
        <w:jc w:val="both"/>
        <w:rPr>
          <w:b/>
          <w:sz w:val="28"/>
        </w:rPr>
      </w:pPr>
    </w:p>
    <w:p w14:paraId="60EF356C" w14:textId="77777777" w:rsidR="008D131E" w:rsidRPr="008B68A9" w:rsidRDefault="008D131E" w:rsidP="00597B66">
      <w:pPr>
        <w:spacing w:after="0" w:line="360" w:lineRule="auto"/>
        <w:jc w:val="both"/>
      </w:pPr>
    </w:p>
    <w:p w14:paraId="53E16306" w14:textId="77777777" w:rsidR="008D131E" w:rsidRPr="008B68A9" w:rsidRDefault="008D131E" w:rsidP="00597B66">
      <w:pPr>
        <w:spacing w:after="0" w:line="360" w:lineRule="auto"/>
        <w:jc w:val="both"/>
      </w:pPr>
    </w:p>
    <w:p w14:paraId="08A0C183" w14:textId="77777777" w:rsidR="008D131E" w:rsidRPr="008B68A9" w:rsidRDefault="008D131E" w:rsidP="00597B66">
      <w:pPr>
        <w:spacing w:after="0" w:line="360" w:lineRule="auto"/>
        <w:jc w:val="both"/>
      </w:pPr>
    </w:p>
    <w:p w14:paraId="1A2C7A63" w14:textId="77777777" w:rsidR="008D131E" w:rsidRPr="008B68A9" w:rsidRDefault="008D131E" w:rsidP="00597B66">
      <w:pPr>
        <w:spacing w:after="0" w:line="360" w:lineRule="auto"/>
        <w:jc w:val="both"/>
      </w:pPr>
    </w:p>
    <w:p w14:paraId="375FD97E" w14:textId="4D5D9D7C" w:rsidR="008D131E" w:rsidRPr="008B68A9" w:rsidRDefault="004D5479" w:rsidP="00597B66">
      <w:pPr>
        <w:spacing w:after="0" w:line="360" w:lineRule="auto"/>
        <w:jc w:val="both"/>
        <w:rPr>
          <w:sz w:val="44"/>
        </w:rPr>
      </w:pPr>
      <w:r w:rsidRPr="008B68A9">
        <w:rPr>
          <w:sz w:val="32"/>
        </w:rPr>
        <w:t>November</w:t>
      </w:r>
      <w:r w:rsidR="00786BB1" w:rsidRPr="008B68A9">
        <w:rPr>
          <w:sz w:val="32"/>
        </w:rPr>
        <w:t xml:space="preserve"> 2016</w:t>
      </w:r>
    </w:p>
    <w:p w14:paraId="73279315" w14:textId="77777777" w:rsidR="0034536B" w:rsidRPr="008B68A9" w:rsidRDefault="0034536B" w:rsidP="00597B66">
      <w:pPr>
        <w:spacing w:after="0" w:line="360" w:lineRule="auto"/>
        <w:jc w:val="both"/>
        <w:rPr>
          <w:sz w:val="32"/>
        </w:rPr>
        <w:sectPr w:rsidR="0034536B" w:rsidRPr="008B68A9" w:rsidSect="000D7831">
          <w:headerReference w:type="default" r:id="rId8"/>
          <w:pgSz w:w="11906" w:h="16838"/>
          <w:pgMar w:top="1440" w:right="1418" w:bottom="1440" w:left="2268" w:header="709" w:footer="709" w:gutter="0"/>
          <w:cols w:space="708"/>
          <w:docGrid w:linePitch="360"/>
        </w:sectPr>
      </w:pPr>
    </w:p>
    <w:p w14:paraId="031E7264" w14:textId="77777777" w:rsidR="00313325" w:rsidRPr="008B68A9" w:rsidRDefault="00313325" w:rsidP="00A454AE">
      <w:pPr>
        <w:pStyle w:val="1L1header"/>
        <w:sectPr w:rsidR="00313325" w:rsidRPr="008B68A9" w:rsidSect="00313325">
          <w:footerReference w:type="default" r:id="rId9"/>
          <w:pgSz w:w="11906" w:h="16838"/>
          <w:pgMar w:top="1440" w:right="1418" w:bottom="1440" w:left="2268" w:header="708" w:footer="708" w:gutter="0"/>
          <w:pgNumType w:fmt="lowerRoman" w:start="1"/>
          <w:cols w:space="708"/>
          <w:titlePg/>
          <w:docGrid w:linePitch="360"/>
        </w:sectPr>
      </w:pPr>
    </w:p>
    <w:p w14:paraId="50428470" w14:textId="6262CB4F" w:rsidR="008D131E" w:rsidRPr="008B68A9" w:rsidRDefault="00D04F00" w:rsidP="00A454AE">
      <w:pPr>
        <w:pStyle w:val="1L1header"/>
      </w:pPr>
      <w:bookmarkStart w:id="0" w:name="_Toc466800263"/>
      <w:r w:rsidRPr="008B68A9">
        <w:lastRenderedPageBreak/>
        <w:t>Abstract</w:t>
      </w:r>
      <w:bookmarkEnd w:id="0"/>
    </w:p>
    <w:p w14:paraId="792DED3A" w14:textId="3BDFD8CA" w:rsidR="008D131E" w:rsidRPr="008B68A9" w:rsidRDefault="000822D3" w:rsidP="000822D3">
      <w:pPr>
        <w:pStyle w:val="5arangedleft"/>
      </w:pPr>
      <w:r w:rsidRPr="008B68A9">
        <w:t xml:space="preserve">This work describes the impact of personalisation </w:t>
      </w:r>
      <w:r w:rsidR="00765991" w:rsidRPr="008B68A9">
        <w:t xml:space="preserve">on users and professional workers identities </w:t>
      </w:r>
      <w:r w:rsidRPr="008B68A9">
        <w:t xml:space="preserve">in </w:t>
      </w:r>
      <w:r w:rsidR="00765991" w:rsidRPr="008B68A9">
        <w:t xml:space="preserve">four </w:t>
      </w:r>
      <w:r w:rsidRPr="008B68A9">
        <w:t xml:space="preserve">mental health care </w:t>
      </w:r>
      <w:r w:rsidR="006F1EA1" w:rsidRPr="008B68A9">
        <w:t>settings</w:t>
      </w:r>
      <w:r w:rsidRPr="008B68A9">
        <w:t xml:space="preserve">. The development </w:t>
      </w:r>
      <w:r w:rsidR="004157C6" w:rsidRPr="008B68A9">
        <w:t xml:space="preserve">and context </w:t>
      </w:r>
      <w:r w:rsidRPr="008B68A9">
        <w:t xml:space="preserve">of personalisation </w:t>
      </w:r>
      <w:r w:rsidR="001776EA" w:rsidRPr="008B68A9">
        <w:t xml:space="preserve">is identified </w:t>
      </w:r>
      <w:r w:rsidR="004157C6" w:rsidRPr="008B68A9">
        <w:t xml:space="preserve">and </w:t>
      </w:r>
      <w:r w:rsidR="001776EA" w:rsidRPr="008B68A9">
        <w:t xml:space="preserve">set within </w:t>
      </w:r>
      <w:r w:rsidRPr="008B68A9">
        <w:t xml:space="preserve">an emergent narrative of consumer choice </w:t>
      </w:r>
      <w:r w:rsidR="001776EA" w:rsidRPr="008B68A9">
        <w:t xml:space="preserve">and </w:t>
      </w:r>
      <w:r w:rsidRPr="008B68A9">
        <w:t>austerity</w:t>
      </w:r>
      <w:r w:rsidR="001776EA" w:rsidRPr="008B68A9">
        <w:t xml:space="preserve">. </w:t>
      </w:r>
      <w:r w:rsidR="004157C6" w:rsidRPr="008B68A9">
        <w:t xml:space="preserve">International personalisation research </w:t>
      </w:r>
      <w:r w:rsidR="001776EA" w:rsidRPr="008B68A9">
        <w:t xml:space="preserve">is </w:t>
      </w:r>
      <w:r w:rsidR="004157C6" w:rsidRPr="008B68A9">
        <w:t>compared</w:t>
      </w:r>
      <w:r w:rsidR="00D804AE" w:rsidRPr="008B68A9">
        <w:t xml:space="preserve"> and a discussion of</w:t>
      </w:r>
      <w:r w:rsidR="004157C6" w:rsidRPr="008B68A9">
        <w:t xml:space="preserve"> </w:t>
      </w:r>
      <w:r w:rsidRPr="008B68A9">
        <w:t xml:space="preserve">UK </w:t>
      </w:r>
      <w:r w:rsidR="004157C6" w:rsidRPr="008B68A9">
        <w:t xml:space="preserve">mental health literature </w:t>
      </w:r>
      <w:r w:rsidR="00D804AE" w:rsidRPr="008B68A9">
        <w:t>is presented</w:t>
      </w:r>
      <w:r w:rsidRPr="008B68A9">
        <w:t xml:space="preserve">. </w:t>
      </w:r>
      <w:r w:rsidR="001776EA" w:rsidRPr="008B68A9">
        <w:t>T</w:t>
      </w:r>
      <w:r w:rsidRPr="008B68A9">
        <w:t xml:space="preserve">he </w:t>
      </w:r>
      <w:r w:rsidR="001776EA" w:rsidRPr="008B68A9">
        <w:t xml:space="preserve">social </w:t>
      </w:r>
      <w:r w:rsidRPr="008B68A9">
        <w:t>constructions of key participants</w:t>
      </w:r>
      <w:r w:rsidR="001776EA" w:rsidRPr="008B68A9">
        <w:t xml:space="preserve"> are</w:t>
      </w:r>
      <w:r w:rsidRPr="008B68A9">
        <w:t xml:space="preserve"> </w:t>
      </w:r>
      <w:r w:rsidR="001776EA" w:rsidRPr="008B68A9">
        <w:t xml:space="preserve">analysed </w:t>
      </w:r>
      <w:r w:rsidRPr="008B68A9">
        <w:t>through their</w:t>
      </w:r>
      <w:r w:rsidR="001776EA" w:rsidRPr="008B68A9">
        <w:t xml:space="preserve"> </w:t>
      </w:r>
      <w:r w:rsidRPr="008B68A9">
        <w:t xml:space="preserve">narrative </w:t>
      </w:r>
      <w:r w:rsidR="00DD7F7F" w:rsidRPr="008B68A9">
        <w:t xml:space="preserve">accounts </w:t>
      </w:r>
      <w:r w:rsidR="00D804AE" w:rsidRPr="008B68A9">
        <w:t>as they undertoo</w:t>
      </w:r>
      <w:r w:rsidRPr="008B68A9">
        <w:t>k identity work</w:t>
      </w:r>
      <w:r w:rsidR="00765991" w:rsidRPr="008B68A9">
        <w:t xml:space="preserve"> while</w:t>
      </w:r>
      <w:r w:rsidRPr="008B68A9">
        <w:t xml:space="preserve"> </w:t>
      </w:r>
      <w:r w:rsidR="00765991" w:rsidRPr="008B68A9">
        <w:t>being involved with</w:t>
      </w:r>
      <w:r w:rsidR="00D804AE" w:rsidRPr="008B68A9">
        <w:t xml:space="preserve"> individual budget pilots</w:t>
      </w:r>
      <w:r w:rsidRPr="008B68A9">
        <w:t xml:space="preserve">, </w:t>
      </w:r>
      <w:r w:rsidR="00D804AE" w:rsidRPr="008B68A9">
        <w:t xml:space="preserve">either </w:t>
      </w:r>
      <w:r w:rsidR="001776EA" w:rsidRPr="008B68A9">
        <w:t>as</w:t>
      </w:r>
      <w:r w:rsidRPr="008B68A9">
        <w:t xml:space="preserve"> </w:t>
      </w:r>
      <w:r w:rsidR="001776EA" w:rsidRPr="008B68A9">
        <w:t xml:space="preserve">users, </w:t>
      </w:r>
      <w:r w:rsidR="00C757E6" w:rsidRPr="008B68A9">
        <w:t xml:space="preserve">carers, </w:t>
      </w:r>
      <w:r w:rsidRPr="008B68A9">
        <w:t>broker</w:t>
      </w:r>
      <w:r w:rsidR="001776EA" w:rsidRPr="008B68A9">
        <w:t>s</w:t>
      </w:r>
      <w:r w:rsidRPr="008B68A9">
        <w:t xml:space="preserve"> or </w:t>
      </w:r>
      <w:r w:rsidR="001776EA" w:rsidRPr="008B68A9">
        <w:t xml:space="preserve">mental health </w:t>
      </w:r>
      <w:r w:rsidRPr="008B68A9">
        <w:t>professional</w:t>
      </w:r>
      <w:r w:rsidR="00765991" w:rsidRPr="008B68A9">
        <w:t>s</w:t>
      </w:r>
      <w:r w:rsidRPr="008B68A9">
        <w:t xml:space="preserve">. The work employs Stake’s collective case study as </w:t>
      </w:r>
      <w:r w:rsidR="00765991" w:rsidRPr="008B68A9">
        <w:t>the</w:t>
      </w:r>
      <w:r w:rsidRPr="008B68A9">
        <w:t xml:space="preserve"> </w:t>
      </w:r>
      <w:r w:rsidR="00D804AE" w:rsidRPr="008B68A9">
        <w:t>method</w:t>
      </w:r>
      <w:r w:rsidRPr="008B68A9">
        <w:t xml:space="preserve"> </w:t>
      </w:r>
      <w:r w:rsidR="00D804AE" w:rsidRPr="008B68A9">
        <w:t>of combining</w:t>
      </w:r>
      <w:r w:rsidRPr="008B68A9">
        <w:t xml:space="preserve"> </w:t>
      </w:r>
      <w:r w:rsidR="001776EA" w:rsidRPr="008B68A9">
        <w:t>semi-structured interview data</w:t>
      </w:r>
      <w:r w:rsidRPr="008B68A9">
        <w:t xml:space="preserve"> taken from </w:t>
      </w:r>
      <w:r w:rsidR="001776EA" w:rsidRPr="008B68A9">
        <w:t xml:space="preserve">participants in </w:t>
      </w:r>
      <w:r w:rsidRPr="008B68A9">
        <w:t>four personalisation studies designed and led by this author</w:t>
      </w:r>
      <w:r w:rsidR="00C757E6" w:rsidRPr="008B68A9">
        <w:t xml:space="preserve"> between 2008</w:t>
      </w:r>
      <w:r w:rsidR="001776EA" w:rsidRPr="008B68A9">
        <w:t>-2011</w:t>
      </w:r>
      <w:r w:rsidRPr="008B68A9">
        <w:t>. Narrative social constructionist methods, positioning theory and story</w:t>
      </w:r>
      <w:r w:rsidR="009E6A2D" w:rsidRPr="008B68A9">
        <w:t>-</w:t>
      </w:r>
      <w:r w:rsidRPr="008B68A9">
        <w:t xml:space="preserve">line are used </w:t>
      </w:r>
      <w:r w:rsidR="001776EA" w:rsidRPr="008B68A9">
        <w:t xml:space="preserve">in the analysis </w:t>
      </w:r>
      <w:r w:rsidRPr="008B68A9">
        <w:t xml:space="preserve">to produce a </w:t>
      </w:r>
      <w:r w:rsidR="001776EA" w:rsidRPr="008B68A9">
        <w:t>framework</w:t>
      </w:r>
      <w:r w:rsidRPr="008B68A9">
        <w:t xml:space="preserve"> of participants’ orientation to personalisation. The importance of </w:t>
      </w:r>
      <w:r w:rsidR="001776EA" w:rsidRPr="008B68A9">
        <w:t>nuance as opposed to binary construction</w:t>
      </w:r>
      <w:r w:rsidR="00765991" w:rsidRPr="008B68A9">
        <w:t xml:space="preserve"> towards personalisation</w:t>
      </w:r>
      <w:r w:rsidR="001776EA" w:rsidRPr="008B68A9">
        <w:t xml:space="preserve"> is highlighted</w:t>
      </w:r>
      <w:r w:rsidR="00DD7F7F" w:rsidRPr="008B68A9">
        <w:t>,</w:t>
      </w:r>
      <w:r w:rsidR="001776EA" w:rsidRPr="008B68A9">
        <w:t xml:space="preserve"> as </w:t>
      </w:r>
      <w:r w:rsidR="00DD7F7F" w:rsidRPr="008B68A9">
        <w:t>are</w:t>
      </w:r>
      <w:r w:rsidR="001776EA" w:rsidRPr="008B68A9">
        <w:t xml:space="preserve"> </w:t>
      </w:r>
      <w:r w:rsidR="00DD7F7F" w:rsidRPr="008B68A9">
        <w:t xml:space="preserve">the </w:t>
      </w:r>
      <w:r w:rsidR="001776EA" w:rsidRPr="008B68A9">
        <w:t>positioning</w:t>
      </w:r>
      <w:r w:rsidR="00DD7F7F" w:rsidRPr="008B68A9">
        <w:t xml:space="preserve"> actions</w:t>
      </w:r>
      <w:r w:rsidR="001776EA" w:rsidRPr="008B68A9">
        <w:t xml:space="preserve"> </w:t>
      </w:r>
      <w:r w:rsidR="00DD7F7F" w:rsidRPr="008B68A9">
        <w:t>of</w:t>
      </w:r>
      <w:r w:rsidR="001776EA" w:rsidRPr="008B68A9">
        <w:t xml:space="preserve"> </w:t>
      </w:r>
      <w:r w:rsidR="00AB5702" w:rsidRPr="008B68A9">
        <w:t xml:space="preserve">independent </w:t>
      </w:r>
      <w:r w:rsidR="00DD7F7F" w:rsidRPr="008B68A9">
        <w:t>brokers</w:t>
      </w:r>
      <w:r w:rsidR="00D804AE" w:rsidRPr="008B68A9">
        <w:t xml:space="preserve"> for the success of personalisation</w:t>
      </w:r>
      <w:r w:rsidR="00AB5702" w:rsidRPr="008B68A9">
        <w:t>.</w:t>
      </w:r>
      <w:r w:rsidR="001776EA" w:rsidRPr="008B68A9">
        <w:t xml:space="preserve"> </w:t>
      </w:r>
      <w:r w:rsidR="00DD7F7F" w:rsidRPr="008B68A9">
        <w:t xml:space="preserve">The importance </w:t>
      </w:r>
      <w:r w:rsidR="00AB5702" w:rsidRPr="008B68A9">
        <w:t xml:space="preserve">of co-production </w:t>
      </w:r>
      <w:r w:rsidR="00DD7F7F" w:rsidRPr="008B68A9">
        <w:t xml:space="preserve">and challenging professional asymmetry </w:t>
      </w:r>
      <w:r w:rsidRPr="008B68A9">
        <w:t xml:space="preserve">in health and social </w:t>
      </w:r>
      <w:r w:rsidR="001776EA" w:rsidRPr="008B68A9">
        <w:t xml:space="preserve">mental health </w:t>
      </w:r>
      <w:r w:rsidRPr="008B68A9">
        <w:t>care services</w:t>
      </w:r>
      <w:r w:rsidR="00AB5702" w:rsidRPr="008B68A9">
        <w:t xml:space="preserve"> </w:t>
      </w:r>
      <w:r w:rsidR="00DD7F7F" w:rsidRPr="008B68A9">
        <w:t>is</w:t>
      </w:r>
      <w:r w:rsidR="00AB5702" w:rsidRPr="008B68A9">
        <w:t xml:space="preserve"> clearly made </w:t>
      </w:r>
      <w:r w:rsidR="00DD7F7F" w:rsidRPr="008B68A9">
        <w:t>as are</w:t>
      </w:r>
      <w:r w:rsidR="00AB5702" w:rsidRPr="008B68A9">
        <w:t xml:space="preserve"> the i</w:t>
      </w:r>
      <w:r w:rsidRPr="008B68A9">
        <w:t>mplications for practice</w:t>
      </w:r>
      <w:r w:rsidR="00DD7F7F" w:rsidRPr="008B68A9">
        <w:t>.</w:t>
      </w:r>
      <w:r w:rsidRPr="008B68A9">
        <w:t xml:space="preserve"> </w:t>
      </w:r>
      <w:r w:rsidR="00DD7F7F" w:rsidRPr="008B68A9">
        <w:t>The value of the proposed framework and possible</w:t>
      </w:r>
      <w:r w:rsidRPr="008B68A9">
        <w:t xml:space="preserve"> </w:t>
      </w:r>
      <w:r w:rsidR="00DD7F7F" w:rsidRPr="008B68A9">
        <w:t>future</w:t>
      </w:r>
      <w:r w:rsidRPr="008B68A9">
        <w:t xml:space="preserve"> research</w:t>
      </w:r>
      <w:r w:rsidR="00AB5702" w:rsidRPr="008B68A9">
        <w:t xml:space="preserve"> are discussed</w:t>
      </w:r>
      <w:r w:rsidR="003430EA" w:rsidRPr="008B68A9">
        <w:t>.</w:t>
      </w:r>
    </w:p>
    <w:p w14:paraId="71F2B6F0" w14:textId="77777777" w:rsidR="008D131E" w:rsidRPr="008B68A9" w:rsidRDefault="008D131E" w:rsidP="00597B66">
      <w:pPr>
        <w:spacing w:line="360" w:lineRule="auto"/>
        <w:jc w:val="both"/>
      </w:pPr>
      <w:r w:rsidRPr="008B68A9">
        <w:br w:type="page"/>
      </w:r>
    </w:p>
    <w:p w14:paraId="0761128C" w14:textId="02240770" w:rsidR="008D131E" w:rsidRPr="008B68A9" w:rsidRDefault="00F5534C" w:rsidP="00A454AE">
      <w:pPr>
        <w:pStyle w:val="1L1header"/>
      </w:pPr>
      <w:bookmarkStart w:id="1" w:name="_Toc466800264"/>
      <w:r w:rsidRPr="008B68A9">
        <w:lastRenderedPageBreak/>
        <w:t>Declaration</w:t>
      </w:r>
      <w:bookmarkEnd w:id="1"/>
    </w:p>
    <w:p w14:paraId="321133FE" w14:textId="77777777" w:rsidR="008D131E" w:rsidRPr="008B68A9" w:rsidRDefault="008D131E" w:rsidP="002F0FD7">
      <w:pPr>
        <w:pStyle w:val="5arangedleft"/>
      </w:pPr>
      <w:r w:rsidRPr="008B68A9">
        <w:t>This work has not previously been accepted in substance for any degree and is not being concurrently submitted in candidature for any degree.</w:t>
      </w:r>
    </w:p>
    <w:p w14:paraId="5904546A" w14:textId="77777777" w:rsidR="008D131E" w:rsidRPr="008B68A9" w:rsidRDefault="008D131E" w:rsidP="00597B66">
      <w:pPr>
        <w:spacing w:after="0" w:line="360" w:lineRule="auto"/>
        <w:jc w:val="both"/>
      </w:pPr>
    </w:p>
    <w:p w14:paraId="162748BE" w14:textId="77777777" w:rsidR="008D131E" w:rsidRPr="008B68A9" w:rsidRDefault="00197D6E" w:rsidP="002F0FD7">
      <w:pPr>
        <w:pStyle w:val="5arangedleft"/>
      </w:pPr>
      <w:r w:rsidRPr="008B68A9">
        <w:t>Signed…………………………………………………………</w:t>
      </w:r>
      <w:r w:rsidR="008D131E" w:rsidRPr="008B68A9">
        <w:t>…………………………………………</w:t>
      </w:r>
      <w:r w:rsidR="005B09BB" w:rsidRPr="008B68A9">
        <w:t xml:space="preserve"> </w:t>
      </w:r>
      <w:r w:rsidR="008D131E" w:rsidRPr="008B68A9">
        <w:t>(candidate)</w:t>
      </w:r>
    </w:p>
    <w:p w14:paraId="7C1E5984" w14:textId="77777777" w:rsidR="008D131E" w:rsidRPr="008B68A9" w:rsidRDefault="008D131E" w:rsidP="002F0FD7">
      <w:pPr>
        <w:pStyle w:val="5arangedleft"/>
      </w:pPr>
      <w:r w:rsidRPr="008B68A9">
        <w:t>Date…………………………………………………………………………………………………………….</w:t>
      </w:r>
    </w:p>
    <w:p w14:paraId="335D1B82" w14:textId="77777777" w:rsidR="008D131E" w:rsidRPr="008B68A9" w:rsidRDefault="008D131E" w:rsidP="00597B66">
      <w:pPr>
        <w:spacing w:after="0" w:line="360" w:lineRule="auto"/>
        <w:jc w:val="both"/>
      </w:pPr>
    </w:p>
    <w:p w14:paraId="15F51C20" w14:textId="66EA00D2" w:rsidR="008D131E" w:rsidRPr="008B68A9" w:rsidRDefault="00F5534C" w:rsidP="00A454AE">
      <w:pPr>
        <w:pStyle w:val="1L1header"/>
      </w:pPr>
      <w:bookmarkStart w:id="2" w:name="_Toc466800265"/>
      <w:r w:rsidRPr="008B68A9">
        <w:t>Statement 1</w:t>
      </w:r>
      <w:bookmarkEnd w:id="2"/>
    </w:p>
    <w:p w14:paraId="7744BF8E" w14:textId="77777777" w:rsidR="008D131E" w:rsidRPr="008B68A9" w:rsidRDefault="008D131E" w:rsidP="002F0FD7">
      <w:pPr>
        <w:pStyle w:val="5arangedleft"/>
      </w:pPr>
      <w:r w:rsidRPr="008B68A9">
        <w:t>This thesis is the result of my own investigations, except where otherwise stated.</w:t>
      </w:r>
    </w:p>
    <w:p w14:paraId="237592D0" w14:textId="77777777" w:rsidR="008D131E" w:rsidRPr="008B68A9" w:rsidRDefault="008D131E" w:rsidP="002F0FD7">
      <w:pPr>
        <w:pStyle w:val="5arangedleft"/>
      </w:pPr>
      <w:r w:rsidRPr="008B68A9">
        <w:t>Other sources are acknowledged by footnotes giving explicit references.</w:t>
      </w:r>
      <w:r w:rsidR="00415741" w:rsidRPr="008B68A9">
        <w:t xml:space="preserve"> </w:t>
      </w:r>
      <w:r w:rsidRPr="008B68A9">
        <w:t>A bibliography is appended.</w:t>
      </w:r>
    </w:p>
    <w:p w14:paraId="708E0283" w14:textId="77777777" w:rsidR="008D131E" w:rsidRPr="008B68A9" w:rsidRDefault="008D131E" w:rsidP="00597B66">
      <w:pPr>
        <w:spacing w:after="0" w:line="360" w:lineRule="auto"/>
        <w:jc w:val="both"/>
      </w:pPr>
    </w:p>
    <w:p w14:paraId="13034A56" w14:textId="77777777" w:rsidR="008D131E" w:rsidRPr="008B68A9" w:rsidRDefault="00197D6E" w:rsidP="002F0FD7">
      <w:pPr>
        <w:pStyle w:val="5arangedleft"/>
      </w:pPr>
      <w:r w:rsidRPr="008B68A9">
        <w:t>Signed……………………………………………………………</w:t>
      </w:r>
      <w:r w:rsidR="008D131E" w:rsidRPr="008B68A9">
        <w:t>………………………………………</w:t>
      </w:r>
      <w:r w:rsidR="005B09BB" w:rsidRPr="008B68A9">
        <w:t xml:space="preserve"> </w:t>
      </w:r>
      <w:r w:rsidR="008D131E" w:rsidRPr="008B68A9">
        <w:t>(candidate)</w:t>
      </w:r>
    </w:p>
    <w:p w14:paraId="00478AB4" w14:textId="77777777" w:rsidR="008D131E" w:rsidRPr="008B68A9" w:rsidRDefault="008D131E" w:rsidP="002F0FD7">
      <w:pPr>
        <w:pStyle w:val="5arangedleft"/>
      </w:pPr>
      <w:r w:rsidRPr="008B68A9">
        <w:t>Date…………………………………………………………………………………………………………….</w:t>
      </w:r>
    </w:p>
    <w:p w14:paraId="53A0DD7A" w14:textId="77777777" w:rsidR="008D131E" w:rsidRPr="008B68A9" w:rsidRDefault="008D131E" w:rsidP="00597B66">
      <w:pPr>
        <w:spacing w:after="0" w:line="360" w:lineRule="auto"/>
        <w:jc w:val="both"/>
      </w:pPr>
    </w:p>
    <w:p w14:paraId="5D5D731A" w14:textId="03C9FEBF" w:rsidR="008D131E" w:rsidRPr="008B68A9" w:rsidRDefault="00F5534C" w:rsidP="00A454AE">
      <w:pPr>
        <w:pStyle w:val="1L1header"/>
      </w:pPr>
      <w:bookmarkStart w:id="3" w:name="_Toc466800266"/>
      <w:r w:rsidRPr="008B68A9">
        <w:t>Statement 2</w:t>
      </w:r>
      <w:bookmarkEnd w:id="3"/>
    </w:p>
    <w:p w14:paraId="6515963E" w14:textId="77777777" w:rsidR="008D131E" w:rsidRPr="008B68A9" w:rsidRDefault="008D131E" w:rsidP="002F0FD7">
      <w:pPr>
        <w:pStyle w:val="5arangedleft"/>
      </w:pPr>
      <w:r w:rsidRPr="008B68A9">
        <w:t>I hereby give consent for my thesis, if accepted, to be available for photocopying and for inter-library loan, and for the title and summary to be made available to outside organisations.</w:t>
      </w:r>
    </w:p>
    <w:p w14:paraId="0831B4A6" w14:textId="77777777" w:rsidR="008D131E" w:rsidRPr="008B68A9" w:rsidRDefault="008D131E" w:rsidP="00597B66">
      <w:pPr>
        <w:spacing w:after="0" w:line="360" w:lineRule="auto"/>
        <w:jc w:val="both"/>
      </w:pPr>
    </w:p>
    <w:p w14:paraId="75EBFBE6" w14:textId="05EF5C23" w:rsidR="008D131E" w:rsidRPr="008B68A9" w:rsidRDefault="008D131E" w:rsidP="002F0FD7">
      <w:pPr>
        <w:pStyle w:val="5arangedleft"/>
      </w:pPr>
      <w:r w:rsidRPr="008B68A9">
        <w:t>S</w:t>
      </w:r>
      <w:r w:rsidR="00197D6E" w:rsidRPr="008B68A9">
        <w:t>igned…………………………………………………………………</w:t>
      </w:r>
      <w:r w:rsidRPr="008B68A9">
        <w:t>……………………</w:t>
      </w:r>
      <w:r w:rsidR="00A454AE" w:rsidRPr="008B68A9">
        <w:t>..</w:t>
      </w:r>
      <w:r w:rsidRPr="008B68A9">
        <w:t>…………</w:t>
      </w:r>
      <w:r w:rsidR="00A454AE" w:rsidRPr="008B68A9">
        <w:t xml:space="preserve"> </w:t>
      </w:r>
      <w:r w:rsidRPr="008B68A9">
        <w:t>(candidate)</w:t>
      </w:r>
    </w:p>
    <w:p w14:paraId="196180F8" w14:textId="4AAE4D1B" w:rsidR="00376618" w:rsidRPr="008B68A9" w:rsidRDefault="008D131E" w:rsidP="002F0FD7">
      <w:pPr>
        <w:pStyle w:val="5arangedleft"/>
        <w:rPr>
          <w:b/>
          <w:sz w:val="32"/>
        </w:rPr>
      </w:pPr>
      <w:r w:rsidRPr="008B68A9">
        <w:t>Date…………………………………………………………………………………………………………….</w:t>
      </w:r>
      <w:r w:rsidR="00376618" w:rsidRPr="008B68A9">
        <w:rPr>
          <w:b/>
          <w:sz w:val="32"/>
        </w:rPr>
        <w:br w:type="page"/>
      </w:r>
    </w:p>
    <w:p w14:paraId="4C9D6D9B" w14:textId="5D480ACE" w:rsidR="008D131E" w:rsidRPr="008B68A9" w:rsidRDefault="00F5534C" w:rsidP="00A454AE">
      <w:pPr>
        <w:pStyle w:val="1L1header"/>
      </w:pPr>
      <w:bookmarkStart w:id="4" w:name="_Toc466800267"/>
      <w:r w:rsidRPr="008B68A9">
        <w:lastRenderedPageBreak/>
        <w:t>Acknowledgements</w:t>
      </w:r>
      <w:bookmarkEnd w:id="4"/>
    </w:p>
    <w:p w14:paraId="6490E826" w14:textId="77777777" w:rsidR="00DD3057" w:rsidRPr="008B68A9" w:rsidRDefault="00DD3057" w:rsidP="002F0FD7">
      <w:pPr>
        <w:pStyle w:val="5arangedleft"/>
      </w:pPr>
      <w:r w:rsidRPr="008B68A9">
        <w:t>My thanks go to my children and my family as they are my constant; beyond professional or academic pursuit, they are first and last, my datum, my only project, and the one I am most proud of.</w:t>
      </w:r>
    </w:p>
    <w:p w14:paraId="2626E494" w14:textId="77777777" w:rsidR="00DD3057" w:rsidRPr="008B68A9" w:rsidRDefault="00DD3057" w:rsidP="00DD3057">
      <w:pPr>
        <w:spacing w:line="360" w:lineRule="auto"/>
        <w:jc w:val="both"/>
      </w:pPr>
      <w:r w:rsidRPr="008B68A9">
        <w:t>Mae’r daith hir a beichus yma yn agos dirwyn i ben a thra ar y daith dwi wedi bod ym mhell fy meddwl. Ym mhell fy meddwl gan fy mod i wedi ymgolli’n llwyr mewn rhywbeth arall - rhywbeth llai pwysig: llai hanfodol, hyn ar draul gwylio chi’n tyfu, gwrando arnoch ac ymateb i’ch sgyrsiau ac ymholiadau. Ni allaf ad-dalu’r amser yma a gollwyd, ond mi ymdrechaf.</w:t>
      </w:r>
    </w:p>
    <w:p w14:paraId="3D1BD563" w14:textId="77777777" w:rsidR="00DD3057" w:rsidRPr="008B68A9" w:rsidRDefault="00DD3057" w:rsidP="00DD3057">
      <w:pPr>
        <w:spacing w:line="360" w:lineRule="auto"/>
        <w:jc w:val="both"/>
      </w:pPr>
      <w:r w:rsidRPr="008B68A9">
        <w:t>Dwi bellach yn hidio dim os wnaiff y thesis yma cael ei dderbyn neu beidio, gwn bellach na chaf fy marnu gan dystysgrif neu lythrennau o flaen f’enw. Yn hytrach dewisaf cael fy marnu gen ti ar sut cystal cymar a thad ydwyf. Beth bynnag fydd y canlyniad mae’r daith gyda’r gwaith yma drosodd i mi; dwi’n dychwelyd yn ôl, ‘n’ôl adra i’r man lle rydw i hapusach gyda’r pobl dwi’n eu caru a’u hangen fwyaf.</w:t>
      </w:r>
    </w:p>
    <w:p w14:paraId="391F5F47" w14:textId="6FD605B6" w:rsidR="00A454AE" w:rsidRPr="008B68A9" w:rsidRDefault="00DD3057" w:rsidP="00DD3057">
      <w:pPr>
        <w:spacing w:line="360" w:lineRule="auto"/>
        <w:jc w:val="both"/>
      </w:pPr>
      <w:r w:rsidRPr="008B68A9">
        <w:t>Thank you to those who have taken the time to read my work, and to Professor Andy Lovell who furnished me with guidance and help. I am grateful. To Professor Michael Thomas who helped this project with practical support and enthusiasm.  My thanks to Vidhya Alakeson who has been a source of help and inspiration throughout this work and lastly I am indebted to Roger insofar as his keen eye has been reassuring and a great help.</w:t>
      </w:r>
    </w:p>
    <w:p w14:paraId="1671350F" w14:textId="77777777" w:rsidR="00DD3057" w:rsidRPr="008B68A9" w:rsidRDefault="00DD3057" w:rsidP="00597B66">
      <w:pPr>
        <w:spacing w:line="360" w:lineRule="auto"/>
        <w:jc w:val="both"/>
        <w:sectPr w:rsidR="00DD3057" w:rsidRPr="008B68A9" w:rsidSect="000D7831">
          <w:pgSz w:w="11906" w:h="16838"/>
          <w:pgMar w:top="1440" w:right="1418" w:bottom="1440" w:left="2268" w:header="708" w:footer="708" w:gutter="0"/>
          <w:pgNumType w:fmt="lowerRoman" w:start="1"/>
          <w:cols w:space="708"/>
          <w:docGrid w:linePitch="360"/>
        </w:sectPr>
      </w:pPr>
    </w:p>
    <w:p w14:paraId="0B19DFD2" w14:textId="7ECF5969" w:rsidR="008D131E" w:rsidRPr="008B68A9" w:rsidRDefault="00A454AE" w:rsidP="00597B66">
      <w:pPr>
        <w:spacing w:line="360" w:lineRule="auto"/>
        <w:jc w:val="both"/>
        <w:rPr>
          <w:b/>
          <w:sz w:val="36"/>
          <w:szCs w:val="36"/>
        </w:rPr>
      </w:pPr>
      <w:r w:rsidRPr="008B68A9">
        <w:rPr>
          <w:b/>
          <w:sz w:val="36"/>
          <w:szCs w:val="36"/>
        </w:rPr>
        <w:lastRenderedPageBreak/>
        <w:t>Table of Contents</w:t>
      </w:r>
    </w:p>
    <w:p w14:paraId="37F16D60" w14:textId="77777777" w:rsidR="00045396" w:rsidRPr="008B68A9" w:rsidRDefault="00045396" w:rsidP="00045396"/>
    <w:p w14:paraId="1C761813" w14:textId="77777777" w:rsidR="00522EDE" w:rsidRPr="008B68A9" w:rsidRDefault="00045396">
      <w:pPr>
        <w:pStyle w:val="TOC1"/>
        <w:rPr>
          <w:rFonts w:eastAsiaTheme="minorEastAsia"/>
          <w:sz w:val="22"/>
          <w:lang w:eastAsia="en-GB"/>
        </w:rPr>
      </w:pPr>
      <w:r w:rsidRPr="008B68A9">
        <w:fldChar w:fldCharType="begin"/>
      </w:r>
      <w:r w:rsidRPr="008B68A9">
        <w:instrText xml:space="preserve"> TOC \h \z \t "1 L1 header,1,2 L2 header,2,3 L3 header,3" </w:instrText>
      </w:r>
      <w:r w:rsidRPr="008B68A9">
        <w:fldChar w:fldCharType="separate"/>
      </w:r>
      <w:hyperlink w:anchor="_Toc466800263" w:history="1">
        <w:r w:rsidR="00522EDE" w:rsidRPr="008B68A9">
          <w:rPr>
            <w:rStyle w:val="Hyperlink"/>
          </w:rPr>
          <w:t>Abstract</w:t>
        </w:r>
        <w:r w:rsidR="00522EDE" w:rsidRPr="008B68A9">
          <w:rPr>
            <w:webHidden/>
          </w:rPr>
          <w:tab/>
        </w:r>
        <w:r w:rsidR="00522EDE" w:rsidRPr="008B68A9">
          <w:rPr>
            <w:webHidden/>
          </w:rPr>
          <w:fldChar w:fldCharType="begin"/>
        </w:r>
        <w:r w:rsidR="00522EDE" w:rsidRPr="008B68A9">
          <w:rPr>
            <w:webHidden/>
          </w:rPr>
          <w:instrText xml:space="preserve"> PAGEREF _Toc466800263 \h </w:instrText>
        </w:r>
        <w:r w:rsidR="00522EDE" w:rsidRPr="008B68A9">
          <w:rPr>
            <w:webHidden/>
          </w:rPr>
        </w:r>
        <w:r w:rsidR="00522EDE" w:rsidRPr="008B68A9">
          <w:rPr>
            <w:webHidden/>
          </w:rPr>
          <w:fldChar w:fldCharType="separate"/>
        </w:r>
        <w:r w:rsidR="00522EDE" w:rsidRPr="008B68A9">
          <w:rPr>
            <w:webHidden/>
          </w:rPr>
          <w:t>i</w:t>
        </w:r>
        <w:r w:rsidR="00522EDE" w:rsidRPr="008B68A9">
          <w:rPr>
            <w:webHidden/>
          </w:rPr>
          <w:fldChar w:fldCharType="end"/>
        </w:r>
      </w:hyperlink>
    </w:p>
    <w:p w14:paraId="79865BE7" w14:textId="77777777" w:rsidR="00522EDE" w:rsidRPr="008B68A9" w:rsidRDefault="008B68A9">
      <w:pPr>
        <w:pStyle w:val="TOC1"/>
        <w:rPr>
          <w:rFonts w:eastAsiaTheme="minorEastAsia"/>
          <w:sz w:val="22"/>
          <w:lang w:eastAsia="en-GB"/>
        </w:rPr>
      </w:pPr>
      <w:hyperlink w:anchor="_Toc466800264" w:history="1">
        <w:r w:rsidR="00522EDE" w:rsidRPr="008B68A9">
          <w:rPr>
            <w:rStyle w:val="Hyperlink"/>
          </w:rPr>
          <w:t>Declaration</w:t>
        </w:r>
        <w:r w:rsidR="00522EDE" w:rsidRPr="008B68A9">
          <w:rPr>
            <w:webHidden/>
          </w:rPr>
          <w:tab/>
        </w:r>
        <w:r w:rsidR="00522EDE" w:rsidRPr="008B68A9">
          <w:rPr>
            <w:webHidden/>
          </w:rPr>
          <w:fldChar w:fldCharType="begin"/>
        </w:r>
        <w:r w:rsidR="00522EDE" w:rsidRPr="008B68A9">
          <w:rPr>
            <w:webHidden/>
          </w:rPr>
          <w:instrText xml:space="preserve"> PAGEREF _Toc466800264 \h </w:instrText>
        </w:r>
        <w:r w:rsidR="00522EDE" w:rsidRPr="008B68A9">
          <w:rPr>
            <w:webHidden/>
          </w:rPr>
        </w:r>
        <w:r w:rsidR="00522EDE" w:rsidRPr="008B68A9">
          <w:rPr>
            <w:webHidden/>
          </w:rPr>
          <w:fldChar w:fldCharType="separate"/>
        </w:r>
        <w:r w:rsidR="00522EDE" w:rsidRPr="008B68A9">
          <w:rPr>
            <w:webHidden/>
          </w:rPr>
          <w:t>ii</w:t>
        </w:r>
        <w:r w:rsidR="00522EDE" w:rsidRPr="008B68A9">
          <w:rPr>
            <w:webHidden/>
          </w:rPr>
          <w:fldChar w:fldCharType="end"/>
        </w:r>
      </w:hyperlink>
    </w:p>
    <w:p w14:paraId="3280A64E" w14:textId="77777777" w:rsidR="00522EDE" w:rsidRPr="008B68A9" w:rsidRDefault="008B68A9">
      <w:pPr>
        <w:pStyle w:val="TOC1"/>
        <w:rPr>
          <w:rFonts w:eastAsiaTheme="minorEastAsia"/>
          <w:sz w:val="22"/>
          <w:lang w:eastAsia="en-GB"/>
        </w:rPr>
      </w:pPr>
      <w:hyperlink w:anchor="_Toc466800265" w:history="1">
        <w:r w:rsidR="00522EDE" w:rsidRPr="008B68A9">
          <w:rPr>
            <w:rStyle w:val="Hyperlink"/>
          </w:rPr>
          <w:t>Statement 1</w:t>
        </w:r>
        <w:r w:rsidR="00522EDE" w:rsidRPr="008B68A9">
          <w:rPr>
            <w:webHidden/>
          </w:rPr>
          <w:tab/>
        </w:r>
        <w:r w:rsidR="00522EDE" w:rsidRPr="008B68A9">
          <w:rPr>
            <w:webHidden/>
          </w:rPr>
          <w:fldChar w:fldCharType="begin"/>
        </w:r>
        <w:r w:rsidR="00522EDE" w:rsidRPr="008B68A9">
          <w:rPr>
            <w:webHidden/>
          </w:rPr>
          <w:instrText xml:space="preserve"> PAGEREF _Toc466800265 \h </w:instrText>
        </w:r>
        <w:r w:rsidR="00522EDE" w:rsidRPr="008B68A9">
          <w:rPr>
            <w:webHidden/>
          </w:rPr>
        </w:r>
        <w:r w:rsidR="00522EDE" w:rsidRPr="008B68A9">
          <w:rPr>
            <w:webHidden/>
          </w:rPr>
          <w:fldChar w:fldCharType="separate"/>
        </w:r>
        <w:r w:rsidR="00522EDE" w:rsidRPr="008B68A9">
          <w:rPr>
            <w:webHidden/>
          </w:rPr>
          <w:t>ii</w:t>
        </w:r>
        <w:r w:rsidR="00522EDE" w:rsidRPr="008B68A9">
          <w:rPr>
            <w:webHidden/>
          </w:rPr>
          <w:fldChar w:fldCharType="end"/>
        </w:r>
      </w:hyperlink>
    </w:p>
    <w:p w14:paraId="0C78BBB5" w14:textId="77777777" w:rsidR="00522EDE" w:rsidRPr="008B68A9" w:rsidRDefault="008B68A9">
      <w:pPr>
        <w:pStyle w:val="TOC1"/>
        <w:rPr>
          <w:rFonts w:eastAsiaTheme="minorEastAsia"/>
          <w:sz w:val="22"/>
          <w:lang w:eastAsia="en-GB"/>
        </w:rPr>
      </w:pPr>
      <w:hyperlink w:anchor="_Toc466800266" w:history="1">
        <w:r w:rsidR="00522EDE" w:rsidRPr="008B68A9">
          <w:rPr>
            <w:rStyle w:val="Hyperlink"/>
          </w:rPr>
          <w:t>Statement 2</w:t>
        </w:r>
        <w:r w:rsidR="00522EDE" w:rsidRPr="008B68A9">
          <w:rPr>
            <w:webHidden/>
          </w:rPr>
          <w:tab/>
        </w:r>
        <w:r w:rsidR="00522EDE" w:rsidRPr="008B68A9">
          <w:rPr>
            <w:webHidden/>
          </w:rPr>
          <w:fldChar w:fldCharType="begin"/>
        </w:r>
        <w:r w:rsidR="00522EDE" w:rsidRPr="008B68A9">
          <w:rPr>
            <w:webHidden/>
          </w:rPr>
          <w:instrText xml:space="preserve"> PAGEREF _Toc466800266 \h </w:instrText>
        </w:r>
        <w:r w:rsidR="00522EDE" w:rsidRPr="008B68A9">
          <w:rPr>
            <w:webHidden/>
          </w:rPr>
        </w:r>
        <w:r w:rsidR="00522EDE" w:rsidRPr="008B68A9">
          <w:rPr>
            <w:webHidden/>
          </w:rPr>
          <w:fldChar w:fldCharType="separate"/>
        </w:r>
        <w:r w:rsidR="00522EDE" w:rsidRPr="008B68A9">
          <w:rPr>
            <w:webHidden/>
          </w:rPr>
          <w:t>ii</w:t>
        </w:r>
        <w:r w:rsidR="00522EDE" w:rsidRPr="008B68A9">
          <w:rPr>
            <w:webHidden/>
          </w:rPr>
          <w:fldChar w:fldCharType="end"/>
        </w:r>
      </w:hyperlink>
    </w:p>
    <w:p w14:paraId="0EC5B92B" w14:textId="77777777" w:rsidR="00522EDE" w:rsidRPr="008B68A9" w:rsidRDefault="008B68A9">
      <w:pPr>
        <w:pStyle w:val="TOC1"/>
        <w:rPr>
          <w:rFonts w:eastAsiaTheme="minorEastAsia"/>
          <w:sz w:val="22"/>
          <w:lang w:eastAsia="en-GB"/>
        </w:rPr>
      </w:pPr>
      <w:hyperlink w:anchor="_Toc466800267" w:history="1">
        <w:r w:rsidR="00522EDE" w:rsidRPr="008B68A9">
          <w:rPr>
            <w:rStyle w:val="Hyperlink"/>
          </w:rPr>
          <w:t>Acknowledgements</w:t>
        </w:r>
        <w:r w:rsidR="00522EDE" w:rsidRPr="008B68A9">
          <w:rPr>
            <w:webHidden/>
          </w:rPr>
          <w:tab/>
        </w:r>
        <w:r w:rsidR="00522EDE" w:rsidRPr="008B68A9">
          <w:rPr>
            <w:webHidden/>
          </w:rPr>
          <w:fldChar w:fldCharType="begin"/>
        </w:r>
        <w:r w:rsidR="00522EDE" w:rsidRPr="008B68A9">
          <w:rPr>
            <w:webHidden/>
          </w:rPr>
          <w:instrText xml:space="preserve"> PAGEREF _Toc466800267 \h </w:instrText>
        </w:r>
        <w:r w:rsidR="00522EDE" w:rsidRPr="008B68A9">
          <w:rPr>
            <w:webHidden/>
          </w:rPr>
        </w:r>
        <w:r w:rsidR="00522EDE" w:rsidRPr="008B68A9">
          <w:rPr>
            <w:webHidden/>
          </w:rPr>
          <w:fldChar w:fldCharType="separate"/>
        </w:r>
        <w:r w:rsidR="00522EDE" w:rsidRPr="008B68A9">
          <w:rPr>
            <w:webHidden/>
          </w:rPr>
          <w:t>iii</w:t>
        </w:r>
        <w:r w:rsidR="00522EDE" w:rsidRPr="008B68A9">
          <w:rPr>
            <w:webHidden/>
          </w:rPr>
          <w:fldChar w:fldCharType="end"/>
        </w:r>
      </w:hyperlink>
    </w:p>
    <w:p w14:paraId="525D52C1" w14:textId="77777777" w:rsidR="00522EDE" w:rsidRPr="008B68A9" w:rsidRDefault="008B68A9">
      <w:pPr>
        <w:pStyle w:val="TOC1"/>
        <w:rPr>
          <w:rFonts w:eastAsiaTheme="minorEastAsia"/>
          <w:sz w:val="22"/>
          <w:lang w:eastAsia="en-GB"/>
        </w:rPr>
      </w:pPr>
      <w:hyperlink w:anchor="_Toc466800268" w:history="1">
        <w:r w:rsidR="00522EDE" w:rsidRPr="008B68A9">
          <w:rPr>
            <w:rStyle w:val="Hyperlink"/>
          </w:rPr>
          <w:t>Index of Tables</w:t>
        </w:r>
        <w:r w:rsidR="00522EDE" w:rsidRPr="008B68A9">
          <w:rPr>
            <w:webHidden/>
          </w:rPr>
          <w:tab/>
        </w:r>
        <w:r w:rsidR="00522EDE" w:rsidRPr="008B68A9">
          <w:rPr>
            <w:webHidden/>
          </w:rPr>
          <w:fldChar w:fldCharType="begin"/>
        </w:r>
        <w:r w:rsidR="00522EDE" w:rsidRPr="008B68A9">
          <w:rPr>
            <w:webHidden/>
          </w:rPr>
          <w:instrText xml:space="preserve"> PAGEREF _Toc466800268 \h </w:instrText>
        </w:r>
        <w:r w:rsidR="00522EDE" w:rsidRPr="008B68A9">
          <w:rPr>
            <w:webHidden/>
          </w:rPr>
        </w:r>
        <w:r w:rsidR="00522EDE" w:rsidRPr="008B68A9">
          <w:rPr>
            <w:webHidden/>
          </w:rPr>
          <w:fldChar w:fldCharType="separate"/>
        </w:r>
        <w:r w:rsidR="00522EDE" w:rsidRPr="008B68A9">
          <w:rPr>
            <w:webHidden/>
          </w:rPr>
          <w:t>x</w:t>
        </w:r>
        <w:r w:rsidR="00522EDE" w:rsidRPr="008B68A9">
          <w:rPr>
            <w:webHidden/>
          </w:rPr>
          <w:fldChar w:fldCharType="end"/>
        </w:r>
      </w:hyperlink>
    </w:p>
    <w:p w14:paraId="613C8F6D" w14:textId="77777777" w:rsidR="00522EDE" w:rsidRPr="008B68A9" w:rsidRDefault="008B68A9">
      <w:pPr>
        <w:pStyle w:val="TOC1"/>
        <w:rPr>
          <w:rFonts w:eastAsiaTheme="minorEastAsia"/>
          <w:sz w:val="22"/>
          <w:lang w:eastAsia="en-GB"/>
        </w:rPr>
      </w:pPr>
      <w:hyperlink w:anchor="_Toc466800269" w:history="1">
        <w:r w:rsidR="00522EDE" w:rsidRPr="008B68A9">
          <w:rPr>
            <w:rStyle w:val="Hyperlink"/>
          </w:rPr>
          <w:t>Index of Charts and Figures</w:t>
        </w:r>
        <w:r w:rsidR="00522EDE" w:rsidRPr="008B68A9">
          <w:rPr>
            <w:webHidden/>
          </w:rPr>
          <w:tab/>
        </w:r>
        <w:r w:rsidR="00522EDE" w:rsidRPr="008B68A9">
          <w:rPr>
            <w:webHidden/>
          </w:rPr>
          <w:fldChar w:fldCharType="begin"/>
        </w:r>
        <w:r w:rsidR="00522EDE" w:rsidRPr="008B68A9">
          <w:rPr>
            <w:webHidden/>
          </w:rPr>
          <w:instrText xml:space="preserve"> PAGEREF _Toc466800269 \h </w:instrText>
        </w:r>
        <w:r w:rsidR="00522EDE" w:rsidRPr="008B68A9">
          <w:rPr>
            <w:webHidden/>
          </w:rPr>
        </w:r>
        <w:r w:rsidR="00522EDE" w:rsidRPr="008B68A9">
          <w:rPr>
            <w:webHidden/>
          </w:rPr>
          <w:fldChar w:fldCharType="separate"/>
        </w:r>
        <w:r w:rsidR="00522EDE" w:rsidRPr="008B68A9">
          <w:rPr>
            <w:webHidden/>
          </w:rPr>
          <w:t>xi</w:t>
        </w:r>
        <w:r w:rsidR="00522EDE" w:rsidRPr="008B68A9">
          <w:rPr>
            <w:webHidden/>
          </w:rPr>
          <w:fldChar w:fldCharType="end"/>
        </w:r>
      </w:hyperlink>
    </w:p>
    <w:p w14:paraId="6B573637" w14:textId="77777777" w:rsidR="00522EDE" w:rsidRPr="008B68A9" w:rsidRDefault="008B68A9">
      <w:pPr>
        <w:pStyle w:val="TOC1"/>
        <w:rPr>
          <w:rFonts w:eastAsiaTheme="minorEastAsia"/>
          <w:sz w:val="22"/>
          <w:lang w:eastAsia="en-GB"/>
        </w:rPr>
      </w:pPr>
      <w:hyperlink w:anchor="_Toc466800270" w:history="1">
        <w:r w:rsidR="00522EDE" w:rsidRPr="008B68A9">
          <w:rPr>
            <w:rStyle w:val="Hyperlink"/>
          </w:rPr>
          <w:t>Glossary of Terms</w:t>
        </w:r>
        <w:r w:rsidR="00522EDE" w:rsidRPr="008B68A9">
          <w:rPr>
            <w:webHidden/>
          </w:rPr>
          <w:tab/>
        </w:r>
        <w:r w:rsidR="00522EDE" w:rsidRPr="008B68A9">
          <w:rPr>
            <w:webHidden/>
          </w:rPr>
          <w:fldChar w:fldCharType="begin"/>
        </w:r>
        <w:r w:rsidR="00522EDE" w:rsidRPr="008B68A9">
          <w:rPr>
            <w:webHidden/>
          </w:rPr>
          <w:instrText xml:space="preserve"> PAGEREF _Toc466800270 \h </w:instrText>
        </w:r>
        <w:r w:rsidR="00522EDE" w:rsidRPr="008B68A9">
          <w:rPr>
            <w:webHidden/>
          </w:rPr>
        </w:r>
        <w:r w:rsidR="00522EDE" w:rsidRPr="008B68A9">
          <w:rPr>
            <w:webHidden/>
          </w:rPr>
          <w:fldChar w:fldCharType="separate"/>
        </w:r>
        <w:r w:rsidR="00522EDE" w:rsidRPr="008B68A9">
          <w:rPr>
            <w:webHidden/>
          </w:rPr>
          <w:t>12</w:t>
        </w:r>
        <w:r w:rsidR="00522EDE" w:rsidRPr="008B68A9">
          <w:rPr>
            <w:webHidden/>
          </w:rPr>
          <w:fldChar w:fldCharType="end"/>
        </w:r>
      </w:hyperlink>
    </w:p>
    <w:p w14:paraId="0BC7D239" w14:textId="77777777" w:rsidR="00522EDE" w:rsidRPr="008B68A9" w:rsidRDefault="008B68A9">
      <w:pPr>
        <w:pStyle w:val="TOC1"/>
        <w:rPr>
          <w:rFonts w:eastAsiaTheme="minorEastAsia"/>
          <w:sz w:val="22"/>
          <w:lang w:eastAsia="en-GB"/>
        </w:rPr>
      </w:pPr>
      <w:hyperlink w:anchor="_Toc466800271" w:history="1">
        <w:r w:rsidR="00522EDE" w:rsidRPr="008B68A9">
          <w:rPr>
            <w:rStyle w:val="Hyperlink"/>
          </w:rPr>
          <w:t>Chapter 1: Setting the scene</w:t>
        </w:r>
        <w:r w:rsidR="00522EDE" w:rsidRPr="008B68A9">
          <w:rPr>
            <w:webHidden/>
          </w:rPr>
          <w:tab/>
        </w:r>
        <w:r w:rsidR="00522EDE" w:rsidRPr="008B68A9">
          <w:rPr>
            <w:webHidden/>
          </w:rPr>
          <w:fldChar w:fldCharType="begin"/>
        </w:r>
        <w:r w:rsidR="00522EDE" w:rsidRPr="008B68A9">
          <w:rPr>
            <w:webHidden/>
          </w:rPr>
          <w:instrText xml:space="preserve"> PAGEREF _Toc466800271 \h </w:instrText>
        </w:r>
        <w:r w:rsidR="00522EDE" w:rsidRPr="008B68A9">
          <w:rPr>
            <w:webHidden/>
          </w:rPr>
        </w:r>
        <w:r w:rsidR="00522EDE" w:rsidRPr="008B68A9">
          <w:rPr>
            <w:webHidden/>
          </w:rPr>
          <w:fldChar w:fldCharType="separate"/>
        </w:r>
        <w:r w:rsidR="00522EDE" w:rsidRPr="008B68A9">
          <w:rPr>
            <w:webHidden/>
          </w:rPr>
          <w:t>16</w:t>
        </w:r>
        <w:r w:rsidR="00522EDE" w:rsidRPr="008B68A9">
          <w:rPr>
            <w:webHidden/>
          </w:rPr>
          <w:fldChar w:fldCharType="end"/>
        </w:r>
      </w:hyperlink>
    </w:p>
    <w:p w14:paraId="0BD87A1A" w14:textId="77777777" w:rsidR="00522EDE" w:rsidRPr="008B68A9" w:rsidRDefault="008B68A9">
      <w:pPr>
        <w:pStyle w:val="TOC2"/>
        <w:rPr>
          <w:rFonts w:eastAsiaTheme="minorEastAsia"/>
          <w:sz w:val="22"/>
          <w:lang w:eastAsia="en-GB"/>
        </w:rPr>
      </w:pPr>
      <w:hyperlink w:anchor="_Toc466800272" w:history="1">
        <w:r w:rsidR="00522EDE" w:rsidRPr="008B68A9">
          <w:rPr>
            <w:rStyle w:val="Hyperlink"/>
          </w:rPr>
          <w:t>1.1 Introduction to the thesis</w:t>
        </w:r>
        <w:r w:rsidR="00522EDE" w:rsidRPr="008B68A9">
          <w:rPr>
            <w:webHidden/>
          </w:rPr>
          <w:tab/>
        </w:r>
        <w:r w:rsidR="00522EDE" w:rsidRPr="008B68A9">
          <w:rPr>
            <w:webHidden/>
          </w:rPr>
          <w:fldChar w:fldCharType="begin"/>
        </w:r>
        <w:r w:rsidR="00522EDE" w:rsidRPr="008B68A9">
          <w:rPr>
            <w:webHidden/>
          </w:rPr>
          <w:instrText xml:space="preserve"> PAGEREF _Toc466800272 \h </w:instrText>
        </w:r>
        <w:r w:rsidR="00522EDE" w:rsidRPr="008B68A9">
          <w:rPr>
            <w:webHidden/>
          </w:rPr>
        </w:r>
        <w:r w:rsidR="00522EDE" w:rsidRPr="008B68A9">
          <w:rPr>
            <w:webHidden/>
          </w:rPr>
          <w:fldChar w:fldCharType="separate"/>
        </w:r>
        <w:r w:rsidR="00522EDE" w:rsidRPr="008B68A9">
          <w:rPr>
            <w:webHidden/>
          </w:rPr>
          <w:t>16</w:t>
        </w:r>
        <w:r w:rsidR="00522EDE" w:rsidRPr="008B68A9">
          <w:rPr>
            <w:webHidden/>
          </w:rPr>
          <w:fldChar w:fldCharType="end"/>
        </w:r>
      </w:hyperlink>
    </w:p>
    <w:p w14:paraId="0AD0DD10" w14:textId="77777777" w:rsidR="00522EDE" w:rsidRPr="008B68A9" w:rsidRDefault="008B68A9">
      <w:pPr>
        <w:pStyle w:val="TOC2"/>
        <w:rPr>
          <w:rFonts w:eastAsiaTheme="minorEastAsia"/>
          <w:sz w:val="22"/>
          <w:lang w:eastAsia="en-GB"/>
        </w:rPr>
      </w:pPr>
      <w:hyperlink w:anchor="_Toc466800273" w:history="1">
        <w:r w:rsidR="00522EDE" w:rsidRPr="008B68A9">
          <w:rPr>
            <w:rStyle w:val="Hyperlink"/>
          </w:rPr>
          <w:t>1.2 Objectives</w:t>
        </w:r>
        <w:r w:rsidR="00522EDE" w:rsidRPr="008B68A9">
          <w:rPr>
            <w:webHidden/>
          </w:rPr>
          <w:tab/>
        </w:r>
        <w:r w:rsidR="00522EDE" w:rsidRPr="008B68A9">
          <w:rPr>
            <w:webHidden/>
          </w:rPr>
          <w:fldChar w:fldCharType="begin"/>
        </w:r>
        <w:r w:rsidR="00522EDE" w:rsidRPr="008B68A9">
          <w:rPr>
            <w:webHidden/>
          </w:rPr>
          <w:instrText xml:space="preserve"> PAGEREF _Toc466800273 \h </w:instrText>
        </w:r>
        <w:r w:rsidR="00522EDE" w:rsidRPr="008B68A9">
          <w:rPr>
            <w:webHidden/>
          </w:rPr>
        </w:r>
        <w:r w:rsidR="00522EDE" w:rsidRPr="008B68A9">
          <w:rPr>
            <w:webHidden/>
          </w:rPr>
          <w:fldChar w:fldCharType="separate"/>
        </w:r>
        <w:r w:rsidR="00522EDE" w:rsidRPr="008B68A9">
          <w:rPr>
            <w:webHidden/>
          </w:rPr>
          <w:t>17</w:t>
        </w:r>
        <w:r w:rsidR="00522EDE" w:rsidRPr="008B68A9">
          <w:rPr>
            <w:webHidden/>
          </w:rPr>
          <w:fldChar w:fldCharType="end"/>
        </w:r>
      </w:hyperlink>
    </w:p>
    <w:p w14:paraId="09BD6956" w14:textId="77777777" w:rsidR="00522EDE" w:rsidRPr="008B68A9" w:rsidRDefault="008B68A9">
      <w:pPr>
        <w:pStyle w:val="TOC2"/>
        <w:rPr>
          <w:rFonts w:eastAsiaTheme="minorEastAsia"/>
          <w:sz w:val="22"/>
          <w:lang w:eastAsia="en-GB"/>
        </w:rPr>
      </w:pPr>
      <w:hyperlink w:anchor="_Toc466800274" w:history="1">
        <w:r w:rsidR="00522EDE" w:rsidRPr="008B68A9">
          <w:rPr>
            <w:rStyle w:val="Hyperlink"/>
          </w:rPr>
          <w:t>1.3 Why study personalisation in mental health?</w:t>
        </w:r>
        <w:r w:rsidR="00522EDE" w:rsidRPr="008B68A9">
          <w:rPr>
            <w:webHidden/>
          </w:rPr>
          <w:tab/>
        </w:r>
        <w:r w:rsidR="00522EDE" w:rsidRPr="008B68A9">
          <w:rPr>
            <w:webHidden/>
          </w:rPr>
          <w:fldChar w:fldCharType="begin"/>
        </w:r>
        <w:r w:rsidR="00522EDE" w:rsidRPr="008B68A9">
          <w:rPr>
            <w:webHidden/>
          </w:rPr>
          <w:instrText xml:space="preserve"> PAGEREF _Toc466800274 \h </w:instrText>
        </w:r>
        <w:r w:rsidR="00522EDE" w:rsidRPr="008B68A9">
          <w:rPr>
            <w:webHidden/>
          </w:rPr>
        </w:r>
        <w:r w:rsidR="00522EDE" w:rsidRPr="008B68A9">
          <w:rPr>
            <w:webHidden/>
          </w:rPr>
          <w:fldChar w:fldCharType="separate"/>
        </w:r>
        <w:r w:rsidR="00522EDE" w:rsidRPr="008B68A9">
          <w:rPr>
            <w:webHidden/>
          </w:rPr>
          <w:t>18</w:t>
        </w:r>
        <w:r w:rsidR="00522EDE" w:rsidRPr="008B68A9">
          <w:rPr>
            <w:webHidden/>
          </w:rPr>
          <w:fldChar w:fldCharType="end"/>
        </w:r>
      </w:hyperlink>
    </w:p>
    <w:p w14:paraId="427EB666" w14:textId="77777777" w:rsidR="00522EDE" w:rsidRPr="008B68A9" w:rsidRDefault="008B68A9">
      <w:pPr>
        <w:pStyle w:val="TOC2"/>
        <w:rPr>
          <w:rFonts w:eastAsiaTheme="minorEastAsia"/>
          <w:sz w:val="22"/>
          <w:lang w:eastAsia="en-GB"/>
        </w:rPr>
      </w:pPr>
      <w:hyperlink w:anchor="_Toc466800275" w:history="1">
        <w:r w:rsidR="00522EDE" w:rsidRPr="008B68A9">
          <w:rPr>
            <w:rStyle w:val="Hyperlink"/>
          </w:rPr>
          <w:t>1.4 Organisation of the thesis</w:t>
        </w:r>
        <w:r w:rsidR="00522EDE" w:rsidRPr="008B68A9">
          <w:rPr>
            <w:webHidden/>
          </w:rPr>
          <w:tab/>
        </w:r>
        <w:r w:rsidR="00522EDE" w:rsidRPr="008B68A9">
          <w:rPr>
            <w:webHidden/>
          </w:rPr>
          <w:fldChar w:fldCharType="begin"/>
        </w:r>
        <w:r w:rsidR="00522EDE" w:rsidRPr="008B68A9">
          <w:rPr>
            <w:webHidden/>
          </w:rPr>
          <w:instrText xml:space="preserve"> PAGEREF _Toc466800275 \h </w:instrText>
        </w:r>
        <w:r w:rsidR="00522EDE" w:rsidRPr="008B68A9">
          <w:rPr>
            <w:webHidden/>
          </w:rPr>
        </w:r>
        <w:r w:rsidR="00522EDE" w:rsidRPr="008B68A9">
          <w:rPr>
            <w:webHidden/>
          </w:rPr>
          <w:fldChar w:fldCharType="separate"/>
        </w:r>
        <w:r w:rsidR="00522EDE" w:rsidRPr="008B68A9">
          <w:rPr>
            <w:webHidden/>
          </w:rPr>
          <w:t>20</w:t>
        </w:r>
        <w:r w:rsidR="00522EDE" w:rsidRPr="008B68A9">
          <w:rPr>
            <w:webHidden/>
          </w:rPr>
          <w:fldChar w:fldCharType="end"/>
        </w:r>
      </w:hyperlink>
    </w:p>
    <w:p w14:paraId="12283CB3" w14:textId="77777777" w:rsidR="00522EDE" w:rsidRPr="008B68A9" w:rsidRDefault="008B68A9">
      <w:pPr>
        <w:pStyle w:val="TOC1"/>
        <w:rPr>
          <w:rFonts w:eastAsiaTheme="minorEastAsia"/>
          <w:sz w:val="22"/>
          <w:lang w:eastAsia="en-GB"/>
        </w:rPr>
      </w:pPr>
      <w:hyperlink w:anchor="_Toc466800276" w:history="1">
        <w:r w:rsidR="00522EDE" w:rsidRPr="008B68A9">
          <w:rPr>
            <w:rStyle w:val="Hyperlink"/>
          </w:rPr>
          <w:t>Chapter 2: Contextualising personalisation</w:t>
        </w:r>
        <w:r w:rsidR="00522EDE" w:rsidRPr="008B68A9">
          <w:rPr>
            <w:webHidden/>
          </w:rPr>
          <w:tab/>
        </w:r>
        <w:r w:rsidR="00522EDE" w:rsidRPr="008B68A9">
          <w:rPr>
            <w:webHidden/>
          </w:rPr>
          <w:fldChar w:fldCharType="begin"/>
        </w:r>
        <w:r w:rsidR="00522EDE" w:rsidRPr="008B68A9">
          <w:rPr>
            <w:webHidden/>
          </w:rPr>
          <w:instrText xml:space="preserve"> PAGEREF _Toc466800276 \h </w:instrText>
        </w:r>
        <w:r w:rsidR="00522EDE" w:rsidRPr="008B68A9">
          <w:rPr>
            <w:webHidden/>
          </w:rPr>
        </w:r>
        <w:r w:rsidR="00522EDE" w:rsidRPr="008B68A9">
          <w:rPr>
            <w:webHidden/>
          </w:rPr>
          <w:fldChar w:fldCharType="separate"/>
        </w:r>
        <w:r w:rsidR="00522EDE" w:rsidRPr="008B68A9">
          <w:rPr>
            <w:webHidden/>
          </w:rPr>
          <w:t>23</w:t>
        </w:r>
        <w:r w:rsidR="00522EDE" w:rsidRPr="008B68A9">
          <w:rPr>
            <w:webHidden/>
          </w:rPr>
          <w:fldChar w:fldCharType="end"/>
        </w:r>
      </w:hyperlink>
    </w:p>
    <w:p w14:paraId="2CAD6A1B" w14:textId="77777777" w:rsidR="00522EDE" w:rsidRPr="008B68A9" w:rsidRDefault="008B68A9">
      <w:pPr>
        <w:pStyle w:val="TOC2"/>
        <w:rPr>
          <w:rFonts w:eastAsiaTheme="minorEastAsia"/>
          <w:sz w:val="22"/>
          <w:lang w:eastAsia="en-GB"/>
        </w:rPr>
      </w:pPr>
      <w:hyperlink w:anchor="_Toc466800277" w:history="1">
        <w:r w:rsidR="00522EDE" w:rsidRPr="008B68A9">
          <w:rPr>
            <w:rStyle w:val="Hyperlink"/>
          </w:rPr>
          <w:t>2.1 Introduction</w:t>
        </w:r>
        <w:r w:rsidR="00522EDE" w:rsidRPr="008B68A9">
          <w:rPr>
            <w:webHidden/>
          </w:rPr>
          <w:tab/>
        </w:r>
        <w:r w:rsidR="00522EDE" w:rsidRPr="008B68A9">
          <w:rPr>
            <w:webHidden/>
          </w:rPr>
          <w:fldChar w:fldCharType="begin"/>
        </w:r>
        <w:r w:rsidR="00522EDE" w:rsidRPr="008B68A9">
          <w:rPr>
            <w:webHidden/>
          </w:rPr>
          <w:instrText xml:space="preserve"> PAGEREF _Toc466800277 \h </w:instrText>
        </w:r>
        <w:r w:rsidR="00522EDE" w:rsidRPr="008B68A9">
          <w:rPr>
            <w:webHidden/>
          </w:rPr>
        </w:r>
        <w:r w:rsidR="00522EDE" w:rsidRPr="008B68A9">
          <w:rPr>
            <w:webHidden/>
          </w:rPr>
          <w:fldChar w:fldCharType="separate"/>
        </w:r>
        <w:r w:rsidR="00522EDE" w:rsidRPr="008B68A9">
          <w:rPr>
            <w:webHidden/>
          </w:rPr>
          <w:t>23</w:t>
        </w:r>
        <w:r w:rsidR="00522EDE" w:rsidRPr="008B68A9">
          <w:rPr>
            <w:webHidden/>
          </w:rPr>
          <w:fldChar w:fldCharType="end"/>
        </w:r>
      </w:hyperlink>
    </w:p>
    <w:p w14:paraId="13CC67CD" w14:textId="77777777" w:rsidR="00522EDE" w:rsidRPr="008B68A9" w:rsidRDefault="008B68A9">
      <w:pPr>
        <w:pStyle w:val="TOC2"/>
        <w:rPr>
          <w:rFonts w:eastAsiaTheme="minorEastAsia"/>
          <w:sz w:val="22"/>
          <w:lang w:eastAsia="en-GB"/>
        </w:rPr>
      </w:pPr>
      <w:hyperlink w:anchor="_Toc466800278" w:history="1">
        <w:r w:rsidR="00522EDE" w:rsidRPr="008B68A9">
          <w:rPr>
            <w:rStyle w:val="Hyperlink"/>
          </w:rPr>
          <w:t>2.2 Defining personalisation</w:t>
        </w:r>
        <w:r w:rsidR="00522EDE" w:rsidRPr="008B68A9">
          <w:rPr>
            <w:webHidden/>
          </w:rPr>
          <w:tab/>
        </w:r>
        <w:r w:rsidR="00522EDE" w:rsidRPr="008B68A9">
          <w:rPr>
            <w:webHidden/>
          </w:rPr>
          <w:fldChar w:fldCharType="begin"/>
        </w:r>
        <w:r w:rsidR="00522EDE" w:rsidRPr="008B68A9">
          <w:rPr>
            <w:webHidden/>
          </w:rPr>
          <w:instrText xml:space="preserve"> PAGEREF _Toc466800278 \h </w:instrText>
        </w:r>
        <w:r w:rsidR="00522EDE" w:rsidRPr="008B68A9">
          <w:rPr>
            <w:webHidden/>
          </w:rPr>
        </w:r>
        <w:r w:rsidR="00522EDE" w:rsidRPr="008B68A9">
          <w:rPr>
            <w:webHidden/>
          </w:rPr>
          <w:fldChar w:fldCharType="separate"/>
        </w:r>
        <w:r w:rsidR="00522EDE" w:rsidRPr="008B68A9">
          <w:rPr>
            <w:webHidden/>
          </w:rPr>
          <w:t>23</w:t>
        </w:r>
        <w:r w:rsidR="00522EDE" w:rsidRPr="008B68A9">
          <w:rPr>
            <w:webHidden/>
          </w:rPr>
          <w:fldChar w:fldCharType="end"/>
        </w:r>
      </w:hyperlink>
    </w:p>
    <w:p w14:paraId="23B6DCB8" w14:textId="77777777" w:rsidR="00522EDE" w:rsidRPr="008B68A9" w:rsidRDefault="008B68A9">
      <w:pPr>
        <w:pStyle w:val="TOC2"/>
        <w:rPr>
          <w:rFonts w:eastAsiaTheme="minorEastAsia"/>
          <w:sz w:val="22"/>
          <w:lang w:eastAsia="en-GB"/>
        </w:rPr>
      </w:pPr>
      <w:hyperlink w:anchor="_Toc466800279" w:history="1">
        <w:r w:rsidR="00522EDE" w:rsidRPr="008B68A9">
          <w:rPr>
            <w:rStyle w:val="Hyperlink"/>
          </w:rPr>
          <w:t>2.3 Origin and development of personalisation</w:t>
        </w:r>
        <w:r w:rsidR="00522EDE" w:rsidRPr="008B68A9">
          <w:rPr>
            <w:webHidden/>
          </w:rPr>
          <w:tab/>
        </w:r>
        <w:r w:rsidR="00522EDE" w:rsidRPr="008B68A9">
          <w:rPr>
            <w:webHidden/>
          </w:rPr>
          <w:fldChar w:fldCharType="begin"/>
        </w:r>
        <w:r w:rsidR="00522EDE" w:rsidRPr="008B68A9">
          <w:rPr>
            <w:webHidden/>
          </w:rPr>
          <w:instrText xml:space="preserve"> PAGEREF _Toc466800279 \h </w:instrText>
        </w:r>
        <w:r w:rsidR="00522EDE" w:rsidRPr="008B68A9">
          <w:rPr>
            <w:webHidden/>
          </w:rPr>
        </w:r>
        <w:r w:rsidR="00522EDE" w:rsidRPr="008B68A9">
          <w:rPr>
            <w:webHidden/>
          </w:rPr>
          <w:fldChar w:fldCharType="separate"/>
        </w:r>
        <w:r w:rsidR="00522EDE" w:rsidRPr="008B68A9">
          <w:rPr>
            <w:webHidden/>
          </w:rPr>
          <w:t>26</w:t>
        </w:r>
        <w:r w:rsidR="00522EDE" w:rsidRPr="008B68A9">
          <w:rPr>
            <w:webHidden/>
          </w:rPr>
          <w:fldChar w:fldCharType="end"/>
        </w:r>
      </w:hyperlink>
    </w:p>
    <w:p w14:paraId="393E4FFE" w14:textId="77777777" w:rsidR="00522EDE" w:rsidRPr="008B68A9" w:rsidRDefault="008B68A9">
      <w:pPr>
        <w:pStyle w:val="TOC2"/>
        <w:rPr>
          <w:rFonts w:eastAsiaTheme="minorEastAsia"/>
          <w:sz w:val="22"/>
          <w:lang w:eastAsia="en-GB"/>
        </w:rPr>
      </w:pPr>
      <w:hyperlink w:anchor="_Toc466800280" w:history="1">
        <w:r w:rsidR="00522EDE" w:rsidRPr="008B68A9">
          <w:rPr>
            <w:rStyle w:val="Hyperlink"/>
          </w:rPr>
          <w:t>2.4 Personalisation as consumerist discourse</w:t>
        </w:r>
        <w:r w:rsidR="00522EDE" w:rsidRPr="008B68A9">
          <w:rPr>
            <w:webHidden/>
          </w:rPr>
          <w:tab/>
        </w:r>
        <w:r w:rsidR="00522EDE" w:rsidRPr="008B68A9">
          <w:rPr>
            <w:webHidden/>
          </w:rPr>
          <w:fldChar w:fldCharType="begin"/>
        </w:r>
        <w:r w:rsidR="00522EDE" w:rsidRPr="008B68A9">
          <w:rPr>
            <w:webHidden/>
          </w:rPr>
          <w:instrText xml:space="preserve"> PAGEREF _Toc466800280 \h </w:instrText>
        </w:r>
        <w:r w:rsidR="00522EDE" w:rsidRPr="008B68A9">
          <w:rPr>
            <w:webHidden/>
          </w:rPr>
        </w:r>
        <w:r w:rsidR="00522EDE" w:rsidRPr="008B68A9">
          <w:rPr>
            <w:webHidden/>
          </w:rPr>
          <w:fldChar w:fldCharType="separate"/>
        </w:r>
        <w:r w:rsidR="00522EDE" w:rsidRPr="008B68A9">
          <w:rPr>
            <w:webHidden/>
          </w:rPr>
          <w:t>31</w:t>
        </w:r>
        <w:r w:rsidR="00522EDE" w:rsidRPr="008B68A9">
          <w:rPr>
            <w:webHidden/>
          </w:rPr>
          <w:fldChar w:fldCharType="end"/>
        </w:r>
      </w:hyperlink>
    </w:p>
    <w:p w14:paraId="268F9240" w14:textId="77777777" w:rsidR="00522EDE" w:rsidRPr="008B68A9" w:rsidRDefault="008B68A9">
      <w:pPr>
        <w:pStyle w:val="TOC2"/>
        <w:rPr>
          <w:rFonts w:eastAsiaTheme="minorEastAsia"/>
          <w:sz w:val="22"/>
          <w:lang w:eastAsia="en-GB"/>
        </w:rPr>
      </w:pPr>
      <w:hyperlink w:anchor="_Toc466800281" w:history="1">
        <w:r w:rsidR="00522EDE" w:rsidRPr="008B68A9">
          <w:rPr>
            <w:rStyle w:val="Hyperlink"/>
          </w:rPr>
          <w:t>2.5 Creating markets or responding to individual need</w:t>
        </w:r>
        <w:r w:rsidR="00522EDE" w:rsidRPr="008B68A9">
          <w:rPr>
            <w:webHidden/>
          </w:rPr>
          <w:tab/>
        </w:r>
        <w:r w:rsidR="00522EDE" w:rsidRPr="008B68A9">
          <w:rPr>
            <w:webHidden/>
          </w:rPr>
          <w:fldChar w:fldCharType="begin"/>
        </w:r>
        <w:r w:rsidR="00522EDE" w:rsidRPr="008B68A9">
          <w:rPr>
            <w:webHidden/>
          </w:rPr>
          <w:instrText xml:space="preserve"> PAGEREF _Toc466800281 \h </w:instrText>
        </w:r>
        <w:r w:rsidR="00522EDE" w:rsidRPr="008B68A9">
          <w:rPr>
            <w:webHidden/>
          </w:rPr>
        </w:r>
        <w:r w:rsidR="00522EDE" w:rsidRPr="008B68A9">
          <w:rPr>
            <w:webHidden/>
          </w:rPr>
          <w:fldChar w:fldCharType="separate"/>
        </w:r>
        <w:r w:rsidR="00522EDE" w:rsidRPr="008B68A9">
          <w:rPr>
            <w:webHidden/>
          </w:rPr>
          <w:t>34</w:t>
        </w:r>
        <w:r w:rsidR="00522EDE" w:rsidRPr="008B68A9">
          <w:rPr>
            <w:webHidden/>
          </w:rPr>
          <w:fldChar w:fldCharType="end"/>
        </w:r>
      </w:hyperlink>
    </w:p>
    <w:p w14:paraId="6CEA65F5" w14:textId="77777777" w:rsidR="00522EDE" w:rsidRPr="008B68A9" w:rsidRDefault="008B68A9">
      <w:pPr>
        <w:pStyle w:val="TOC2"/>
        <w:rPr>
          <w:rFonts w:eastAsiaTheme="minorEastAsia"/>
          <w:sz w:val="22"/>
          <w:lang w:eastAsia="en-GB"/>
        </w:rPr>
      </w:pPr>
      <w:hyperlink w:anchor="_Toc466800282" w:history="1">
        <w:r w:rsidR="00522EDE" w:rsidRPr="008B68A9">
          <w:rPr>
            <w:rStyle w:val="Hyperlink"/>
          </w:rPr>
          <w:t>2.6 The persistent popularity of personalisation in a climate of austerity</w:t>
        </w:r>
        <w:r w:rsidR="00522EDE" w:rsidRPr="008B68A9">
          <w:rPr>
            <w:webHidden/>
          </w:rPr>
          <w:tab/>
        </w:r>
        <w:r w:rsidR="00522EDE" w:rsidRPr="008B68A9">
          <w:rPr>
            <w:webHidden/>
          </w:rPr>
          <w:fldChar w:fldCharType="begin"/>
        </w:r>
        <w:r w:rsidR="00522EDE" w:rsidRPr="008B68A9">
          <w:rPr>
            <w:webHidden/>
          </w:rPr>
          <w:instrText xml:space="preserve"> PAGEREF _Toc466800282 \h </w:instrText>
        </w:r>
        <w:r w:rsidR="00522EDE" w:rsidRPr="008B68A9">
          <w:rPr>
            <w:webHidden/>
          </w:rPr>
        </w:r>
        <w:r w:rsidR="00522EDE" w:rsidRPr="008B68A9">
          <w:rPr>
            <w:webHidden/>
          </w:rPr>
          <w:fldChar w:fldCharType="separate"/>
        </w:r>
        <w:r w:rsidR="00522EDE" w:rsidRPr="008B68A9">
          <w:rPr>
            <w:webHidden/>
          </w:rPr>
          <w:t>37</w:t>
        </w:r>
        <w:r w:rsidR="00522EDE" w:rsidRPr="008B68A9">
          <w:rPr>
            <w:webHidden/>
          </w:rPr>
          <w:fldChar w:fldCharType="end"/>
        </w:r>
      </w:hyperlink>
    </w:p>
    <w:p w14:paraId="7756577F" w14:textId="77777777" w:rsidR="00522EDE" w:rsidRPr="008B68A9" w:rsidRDefault="008B68A9">
      <w:pPr>
        <w:pStyle w:val="TOC2"/>
        <w:rPr>
          <w:rFonts w:eastAsiaTheme="minorEastAsia"/>
          <w:sz w:val="22"/>
          <w:lang w:eastAsia="en-GB"/>
        </w:rPr>
      </w:pPr>
      <w:hyperlink w:anchor="_Toc466800283" w:history="1">
        <w:r w:rsidR="00522EDE" w:rsidRPr="008B68A9">
          <w:rPr>
            <w:rStyle w:val="Hyperlink"/>
          </w:rPr>
          <w:t>2.7 Professional asymmetry, co-production or a new script</w:t>
        </w:r>
        <w:r w:rsidR="00522EDE" w:rsidRPr="008B68A9">
          <w:rPr>
            <w:webHidden/>
          </w:rPr>
          <w:tab/>
        </w:r>
        <w:r w:rsidR="00522EDE" w:rsidRPr="008B68A9">
          <w:rPr>
            <w:webHidden/>
          </w:rPr>
          <w:fldChar w:fldCharType="begin"/>
        </w:r>
        <w:r w:rsidR="00522EDE" w:rsidRPr="008B68A9">
          <w:rPr>
            <w:webHidden/>
          </w:rPr>
          <w:instrText xml:space="preserve"> PAGEREF _Toc466800283 \h </w:instrText>
        </w:r>
        <w:r w:rsidR="00522EDE" w:rsidRPr="008B68A9">
          <w:rPr>
            <w:webHidden/>
          </w:rPr>
        </w:r>
        <w:r w:rsidR="00522EDE" w:rsidRPr="008B68A9">
          <w:rPr>
            <w:webHidden/>
          </w:rPr>
          <w:fldChar w:fldCharType="separate"/>
        </w:r>
        <w:r w:rsidR="00522EDE" w:rsidRPr="008B68A9">
          <w:rPr>
            <w:webHidden/>
          </w:rPr>
          <w:t>39</w:t>
        </w:r>
        <w:r w:rsidR="00522EDE" w:rsidRPr="008B68A9">
          <w:rPr>
            <w:webHidden/>
          </w:rPr>
          <w:fldChar w:fldCharType="end"/>
        </w:r>
      </w:hyperlink>
    </w:p>
    <w:p w14:paraId="466787C4" w14:textId="77777777" w:rsidR="00522EDE" w:rsidRPr="008B68A9" w:rsidRDefault="008B68A9">
      <w:pPr>
        <w:pStyle w:val="TOC2"/>
        <w:rPr>
          <w:rFonts w:eastAsiaTheme="minorEastAsia"/>
          <w:sz w:val="22"/>
          <w:lang w:eastAsia="en-GB"/>
        </w:rPr>
      </w:pPr>
      <w:hyperlink w:anchor="_Toc466800284" w:history="1">
        <w:r w:rsidR="00522EDE" w:rsidRPr="008B68A9">
          <w:rPr>
            <w:rStyle w:val="Hyperlink"/>
          </w:rPr>
          <w:t>2.8 Professionals resisting the tide or being disrupted?</w:t>
        </w:r>
        <w:r w:rsidR="00522EDE" w:rsidRPr="008B68A9">
          <w:rPr>
            <w:webHidden/>
          </w:rPr>
          <w:tab/>
        </w:r>
        <w:r w:rsidR="00522EDE" w:rsidRPr="008B68A9">
          <w:rPr>
            <w:webHidden/>
          </w:rPr>
          <w:fldChar w:fldCharType="begin"/>
        </w:r>
        <w:r w:rsidR="00522EDE" w:rsidRPr="008B68A9">
          <w:rPr>
            <w:webHidden/>
          </w:rPr>
          <w:instrText xml:space="preserve"> PAGEREF _Toc466800284 \h </w:instrText>
        </w:r>
        <w:r w:rsidR="00522EDE" w:rsidRPr="008B68A9">
          <w:rPr>
            <w:webHidden/>
          </w:rPr>
        </w:r>
        <w:r w:rsidR="00522EDE" w:rsidRPr="008B68A9">
          <w:rPr>
            <w:webHidden/>
          </w:rPr>
          <w:fldChar w:fldCharType="separate"/>
        </w:r>
        <w:r w:rsidR="00522EDE" w:rsidRPr="008B68A9">
          <w:rPr>
            <w:webHidden/>
          </w:rPr>
          <w:t>42</w:t>
        </w:r>
        <w:r w:rsidR="00522EDE" w:rsidRPr="008B68A9">
          <w:rPr>
            <w:webHidden/>
          </w:rPr>
          <w:fldChar w:fldCharType="end"/>
        </w:r>
      </w:hyperlink>
    </w:p>
    <w:p w14:paraId="0CD041F3" w14:textId="77777777" w:rsidR="00522EDE" w:rsidRPr="008B68A9" w:rsidRDefault="008B68A9">
      <w:pPr>
        <w:pStyle w:val="TOC2"/>
        <w:rPr>
          <w:rFonts w:eastAsiaTheme="minorEastAsia"/>
          <w:sz w:val="22"/>
          <w:lang w:eastAsia="en-GB"/>
        </w:rPr>
      </w:pPr>
      <w:hyperlink w:anchor="_Toc466800285" w:history="1">
        <w:r w:rsidR="00522EDE" w:rsidRPr="008B68A9">
          <w:rPr>
            <w:rStyle w:val="Hyperlink"/>
          </w:rPr>
          <w:t>2.9 Power and control through personalisation in mental health</w:t>
        </w:r>
        <w:r w:rsidR="00522EDE" w:rsidRPr="008B68A9">
          <w:rPr>
            <w:webHidden/>
          </w:rPr>
          <w:tab/>
        </w:r>
        <w:r w:rsidR="00522EDE" w:rsidRPr="008B68A9">
          <w:rPr>
            <w:webHidden/>
          </w:rPr>
          <w:fldChar w:fldCharType="begin"/>
        </w:r>
        <w:r w:rsidR="00522EDE" w:rsidRPr="008B68A9">
          <w:rPr>
            <w:webHidden/>
          </w:rPr>
          <w:instrText xml:space="preserve"> PAGEREF _Toc466800285 \h </w:instrText>
        </w:r>
        <w:r w:rsidR="00522EDE" w:rsidRPr="008B68A9">
          <w:rPr>
            <w:webHidden/>
          </w:rPr>
        </w:r>
        <w:r w:rsidR="00522EDE" w:rsidRPr="008B68A9">
          <w:rPr>
            <w:webHidden/>
          </w:rPr>
          <w:fldChar w:fldCharType="separate"/>
        </w:r>
        <w:r w:rsidR="00522EDE" w:rsidRPr="008B68A9">
          <w:rPr>
            <w:webHidden/>
          </w:rPr>
          <w:t>44</w:t>
        </w:r>
        <w:r w:rsidR="00522EDE" w:rsidRPr="008B68A9">
          <w:rPr>
            <w:webHidden/>
          </w:rPr>
          <w:fldChar w:fldCharType="end"/>
        </w:r>
      </w:hyperlink>
    </w:p>
    <w:p w14:paraId="2C7EAF4A" w14:textId="77777777" w:rsidR="00522EDE" w:rsidRPr="008B68A9" w:rsidRDefault="008B68A9">
      <w:pPr>
        <w:pStyle w:val="TOC2"/>
        <w:rPr>
          <w:rFonts w:eastAsiaTheme="minorEastAsia"/>
          <w:sz w:val="22"/>
          <w:lang w:eastAsia="en-GB"/>
        </w:rPr>
      </w:pPr>
      <w:hyperlink w:anchor="_Toc466800286" w:history="1">
        <w:r w:rsidR="00522EDE" w:rsidRPr="008B68A9">
          <w:rPr>
            <w:rStyle w:val="Hyperlink"/>
          </w:rPr>
          <w:t>2.10 Personalisation as a means to support recovery</w:t>
        </w:r>
        <w:r w:rsidR="00522EDE" w:rsidRPr="008B68A9">
          <w:rPr>
            <w:webHidden/>
          </w:rPr>
          <w:tab/>
        </w:r>
        <w:r w:rsidR="00522EDE" w:rsidRPr="008B68A9">
          <w:rPr>
            <w:webHidden/>
          </w:rPr>
          <w:fldChar w:fldCharType="begin"/>
        </w:r>
        <w:r w:rsidR="00522EDE" w:rsidRPr="008B68A9">
          <w:rPr>
            <w:webHidden/>
          </w:rPr>
          <w:instrText xml:space="preserve"> PAGEREF _Toc466800286 \h </w:instrText>
        </w:r>
        <w:r w:rsidR="00522EDE" w:rsidRPr="008B68A9">
          <w:rPr>
            <w:webHidden/>
          </w:rPr>
        </w:r>
        <w:r w:rsidR="00522EDE" w:rsidRPr="008B68A9">
          <w:rPr>
            <w:webHidden/>
          </w:rPr>
          <w:fldChar w:fldCharType="separate"/>
        </w:r>
        <w:r w:rsidR="00522EDE" w:rsidRPr="008B68A9">
          <w:rPr>
            <w:webHidden/>
          </w:rPr>
          <w:t>46</w:t>
        </w:r>
        <w:r w:rsidR="00522EDE" w:rsidRPr="008B68A9">
          <w:rPr>
            <w:webHidden/>
          </w:rPr>
          <w:fldChar w:fldCharType="end"/>
        </w:r>
      </w:hyperlink>
    </w:p>
    <w:p w14:paraId="13178393" w14:textId="77777777" w:rsidR="00522EDE" w:rsidRPr="008B68A9" w:rsidRDefault="008B68A9">
      <w:pPr>
        <w:pStyle w:val="TOC2"/>
        <w:rPr>
          <w:rFonts w:eastAsiaTheme="minorEastAsia"/>
          <w:sz w:val="22"/>
          <w:lang w:eastAsia="en-GB"/>
        </w:rPr>
      </w:pPr>
      <w:hyperlink w:anchor="_Toc466800287" w:history="1">
        <w:r w:rsidR="00522EDE" w:rsidRPr="008B68A9">
          <w:rPr>
            <w:rStyle w:val="Hyperlink"/>
          </w:rPr>
          <w:t>2.11 Brokerage, co-production and personalisation</w:t>
        </w:r>
        <w:r w:rsidR="00522EDE" w:rsidRPr="008B68A9">
          <w:rPr>
            <w:webHidden/>
          </w:rPr>
          <w:tab/>
        </w:r>
        <w:r w:rsidR="00522EDE" w:rsidRPr="008B68A9">
          <w:rPr>
            <w:webHidden/>
          </w:rPr>
          <w:fldChar w:fldCharType="begin"/>
        </w:r>
        <w:r w:rsidR="00522EDE" w:rsidRPr="008B68A9">
          <w:rPr>
            <w:webHidden/>
          </w:rPr>
          <w:instrText xml:space="preserve"> PAGEREF _Toc466800287 \h </w:instrText>
        </w:r>
        <w:r w:rsidR="00522EDE" w:rsidRPr="008B68A9">
          <w:rPr>
            <w:webHidden/>
          </w:rPr>
        </w:r>
        <w:r w:rsidR="00522EDE" w:rsidRPr="008B68A9">
          <w:rPr>
            <w:webHidden/>
          </w:rPr>
          <w:fldChar w:fldCharType="separate"/>
        </w:r>
        <w:r w:rsidR="00522EDE" w:rsidRPr="008B68A9">
          <w:rPr>
            <w:webHidden/>
          </w:rPr>
          <w:t>48</w:t>
        </w:r>
        <w:r w:rsidR="00522EDE" w:rsidRPr="008B68A9">
          <w:rPr>
            <w:webHidden/>
          </w:rPr>
          <w:fldChar w:fldCharType="end"/>
        </w:r>
      </w:hyperlink>
    </w:p>
    <w:p w14:paraId="081F6224" w14:textId="77777777" w:rsidR="00522EDE" w:rsidRPr="008B68A9" w:rsidRDefault="008B68A9">
      <w:pPr>
        <w:pStyle w:val="TOC1"/>
        <w:rPr>
          <w:rFonts w:eastAsiaTheme="minorEastAsia"/>
          <w:sz w:val="22"/>
          <w:lang w:eastAsia="en-GB"/>
        </w:rPr>
      </w:pPr>
      <w:hyperlink w:anchor="_Toc466800288" w:history="1">
        <w:r w:rsidR="00522EDE" w:rsidRPr="008B68A9">
          <w:rPr>
            <w:rStyle w:val="Hyperlink"/>
          </w:rPr>
          <w:t>Chapter 3: Reviewing the literature of personalisation</w:t>
        </w:r>
        <w:r w:rsidR="00522EDE" w:rsidRPr="008B68A9">
          <w:rPr>
            <w:webHidden/>
          </w:rPr>
          <w:tab/>
        </w:r>
        <w:r w:rsidR="00522EDE" w:rsidRPr="008B68A9">
          <w:rPr>
            <w:webHidden/>
          </w:rPr>
          <w:fldChar w:fldCharType="begin"/>
        </w:r>
        <w:r w:rsidR="00522EDE" w:rsidRPr="008B68A9">
          <w:rPr>
            <w:webHidden/>
          </w:rPr>
          <w:instrText xml:space="preserve"> PAGEREF _Toc466800288 \h </w:instrText>
        </w:r>
        <w:r w:rsidR="00522EDE" w:rsidRPr="008B68A9">
          <w:rPr>
            <w:webHidden/>
          </w:rPr>
        </w:r>
        <w:r w:rsidR="00522EDE" w:rsidRPr="008B68A9">
          <w:rPr>
            <w:webHidden/>
          </w:rPr>
          <w:fldChar w:fldCharType="separate"/>
        </w:r>
        <w:r w:rsidR="00522EDE" w:rsidRPr="008B68A9">
          <w:rPr>
            <w:webHidden/>
          </w:rPr>
          <w:t>56</w:t>
        </w:r>
        <w:r w:rsidR="00522EDE" w:rsidRPr="008B68A9">
          <w:rPr>
            <w:webHidden/>
          </w:rPr>
          <w:fldChar w:fldCharType="end"/>
        </w:r>
      </w:hyperlink>
    </w:p>
    <w:p w14:paraId="3704BA59" w14:textId="77777777" w:rsidR="00522EDE" w:rsidRPr="008B68A9" w:rsidRDefault="008B68A9">
      <w:pPr>
        <w:pStyle w:val="TOC2"/>
        <w:rPr>
          <w:rFonts w:eastAsiaTheme="minorEastAsia"/>
          <w:sz w:val="22"/>
          <w:lang w:eastAsia="en-GB"/>
        </w:rPr>
      </w:pPr>
      <w:hyperlink w:anchor="_Toc466800289" w:history="1">
        <w:r w:rsidR="00522EDE" w:rsidRPr="008B68A9">
          <w:rPr>
            <w:rStyle w:val="Hyperlink"/>
          </w:rPr>
          <w:t>3.1 Introduction</w:t>
        </w:r>
        <w:r w:rsidR="00522EDE" w:rsidRPr="008B68A9">
          <w:rPr>
            <w:webHidden/>
          </w:rPr>
          <w:tab/>
        </w:r>
        <w:r w:rsidR="00522EDE" w:rsidRPr="008B68A9">
          <w:rPr>
            <w:webHidden/>
          </w:rPr>
          <w:fldChar w:fldCharType="begin"/>
        </w:r>
        <w:r w:rsidR="00522EDE" w:rsidRPr="008B68A9">
          <w:rPr>
            <w:webHidden/>
          </w:rPr>
          <w:instrText xml:space="preserve"> PAGEREF _Toc466800289 \h </w:instrText>
        </w:r>
        <w:r w:rsidR="00522EDE" w:rsidRPr="008B68A9">
          <w:rPr>
            <w:webHidden/>
          </w:rPr>
        </w:r>
        <w:r w:rsidR="00522EDE" w:rsidRPr="008B68A9">
          <w:rPr>
            <w:webHidden/>
          </w:rPr>
          <w:fldChar w:fldCharType="separate"/>
        </w:r>
        <w:r w:rsidR="00522EDE" w:rsidRPr="008B68A9">
          <w:rPr>
            <w:webHidden/>
          </w:rPr>
          <w:t>56</w:t>
        </w:r>
        <w:r w:rsidR="00522EDE" w:rsidRPr="008B68A9">
          <w:rPr>
            <w:webHidden/>
          </w:rPr>
          <w:fldChar w:fldCharType="end"/>
        </w:r>
      </w:hyperlink>
    </w:p>
    <w:p w14:paraId="4B6DB5CF" w14:textId="77777777" w:rsidR="00522EDE" w:rsidRPr="008B68A9" w:rsidRDefault="008B68A9">
      <w:pPr>
        <w:pStyle w:val="TOC2"/>
        <w:rPr>
          <w:rFonts w:eastAsiaTheme="minorEastAsia"/>
          <w:sz w:val="22"/>
          <w:lang w:eastAsia="en-GB"/>
        </w:rPr>
      </w:pPr>
      <w:hyperlink w:anchor="_Toc466800290" w:history="1">
        <w:r w:rsidR="00522EDE" w:rsidRPr="008B68A9">
          <w:rPr>
            <w:rStyle w:val="Hyperlink"/>
          </w:rPr>
          <w:t>3.2 Why personalisation? Why now?</w:t>
        </w:r>
        <w:r w:rsidR="00522EDE" w:rsidRPr="008B68A9">
          <w:rPr>
            <w:webHidden/>
          </w:rPr>
          <w:tab/>
        </w:r>
        <w:r w:rsidR="00522EDE" w:rsidRPr="008B68A9">
          <w:rPr>
            <w:webHidden/>
          </w:rPr>
          <w:fldChar w:fldCharType="begin"/>
        </w:r>
        <w:r w:rsidR="00522EDE" w:rsidRPr="008B68A9">
          <w:rPr>
            <w:webHidden/>
          </w:rPr>
          <w:instrText xml:space="preserve"> PAGEREF _Toc466800290 \h </w:instrText>
        </w:r>
        <w:r w:rsidR="00522EDE" w:rsidRPr="008B68A9">
          <w:rPr>
            <w:webHidden/>
          </w:rPr>
        </w:r>
        <w:r w:rsidR="00522EDE" w:rsidRPr="008B68A9">
          <w:rPr>
            <w:webHidden/>
          </w:rPr>
          <w:fldChar w:fldCharType="separate"/>
        </w:r>
        <w:r w:rsidR="00522EDE" w:rsidRPr="008B68A9">
          <w:rPr>
            <w:webHidden/>
          </w:rPr>
          <w:t>56</w:t>
        </w:r>
        <w:r w:rsidR="00522EDE" w:rsidRPr="008B68A9">
          <w:rPr>
            <w:webHidden/>
          </w:rPr>
          <w:fldChar w:fldCharType="end"/>
        </w:r>
      </w:hyperlink>
    </w:p>
    <w:p w14:paraId="4AE498FF" w14:textId="77777777" w:rsidR="00522EDE" w:rsidRPr="008B68A9" w:rsidRDefault="008B68A9">
      <w:pPr>
        <w:pStyle w:val="TOC2"/>
        <w:rPr>
          <w:rFonts w:eastAsiaTheme="minorEastAsia"/>
          <w:sz w:val="22"/>
          <w:lang w:eastAsia="en-GB"/>
        </w:rPr>
      </w:pPr>
      <w:hyperlink w:anchor="_Toc466800291" w:history="1">
        <w:r w:rsidR="00522EDE" w:rsidRPr="008B68A9">
          <w:rPr>
            <w:rStyle w:val="Hyperlink"/>
          </w:rPr>
          <w:t>3.3 Interpreting personalisation</w:t>
        </w:r>
        <w:r w:rsidR="00522EDE" w:rsidRPr="008B68A9">
          <w:rPr>
            <w:webHidden/>
          </w:rPr>
          <w:tab/>
        </w:r>
        <w:r w:rsidR="00522EDE" w:rsidRPr="008B68A9">
          <w:rPr>
            <w:webHidden/>
          </w:rPr>
          <w:fldChar w:fldCharType="begin"/>
        </w:r>
        <w:r w:rsidR="00522EDE" w:rsidRPr="008B68A9">
          <w:rPr>
            <w:webHidden/>
          </w:rPr>
          <w:instrText xml:space="preserve"> PAGEREF _Toc466800291 \h </w:instrText>
        </w:r>
        <w:r w:rsidR="00522EDE" w:rsidRPr="008B68A9">
          <w:rPr>
            <w:webHidden/>
          </w:rPr>
        </w:r>
        <w:r w:rsidR="00522EDE" w:rsidRPr="008B68A9">
          <w:rPr>
            <w:webHidden/>
          </w:rPr>
          <w:fldChar w:fldCharType="separate"/>
        </w:r>
        <w:r w:rsidR="00522EDE" w:rsidRPr="008B68A9">
          <w:rPr>
            <w:webHidden/>
          </w:rPr>
          <w:t>57</w:t>
        </w:r>
        <w:r w:rsidR="00522EDE" w:rsidRPr="008B68A9">
          <w:rPr>
            <w:webHidden/>
          </w:rPr>
          <w:fldChar w:fldCharType="end"/>
        </w:r>
      </w:hyperlink>
    </w:p>
    <w:p w14:paraId="3ECE3D76" w14:textId="77777777" w:rsidR="00522EDE" w:rsidRPr="008B68A9" w:rsidRDefault="008B68A9">
      <w:pPr>
        <w:pStyle w:val="TOC2"/>
        <w:rPr>
          <w:rFonts w:eastAsiaTheme="minorEastAsia"/>
          <w:sz w:val="22"/>
          <w:lang w:eastAsia="en-GB"/>
        </w:rPr>
      </w:pPr>
      <w:hyperlink w:anchor="_Toc466800292" w:history="1">
        <w:r w:rsidR="00522EDE" w:rsidRPr="008B68A9">
          <w:rPr>
            <w:rStyle w:val="Hyperlink"/>
          </w:rPr>
          <w:t>3.4 International perspectives of personalisation</w:t>
        </w:r>
        <w:r w:rsidR="00522EDE" w:rsidRPr="008B68A9">
          <w:rPr>
            <w:webHidden/>
          </w:rPr>
          <w:tab/>
        </w:r>
        <w:r w:rsidR="00522EDE" w:rsidRPr="008B68A9">
          <w:rPr>
            <w:webHidden/>
          </w:rPr>
          <w:fldChar w:fldCharType="begin"/>
        </w:r>
        <w:r w:rsidR="00522EDE" w:rsidRPr="008B68A9">
          <w:rPr>
            <w:webHidden/>
          </w:rPr>
          <w:instrText xml:space="preserve"> PAGEREF _Toc466800292 \h </w:instrText>
        </w:r>
        <w:r w:rsidR="00522EDE" w:rsidRPr="008B68A9">
          <w:rPr>
            <w:webHidden/>
          </w:rPr>
        </w:r>
        <w:r w:rsidR="00522EDE" w:rsidRPr="008B68A9">
          <w:rPr>
            <w:webHidden/>
          </w:rPr>
          <w:fldChar w:fldCharType="separate"/>
        </w:r>
        <w:r w:rsidR="00522EDE" w:rsidRPr="008B68A9">
          <w:rPr>
            <w:webHidden/>
          </w:rPr>
          <w:t>67</w:t>
        </w:r>
        <w:r w:rsidR="00522EDE" w:rsidRPr="008B68A9">
          <w:rPr>
            <w:webHidden/>
          </w:rPr>
          <w:fldChar w:fldCharType="end"/>
        </w:r>
      </w:hyperlink>
    </w:p>
    <w:p w14:paraId="0918B502" w14:textId="77777777" w:rsidR="00522EDE" w:rsidRPr="008B68A9" w:rsidRDefault="008B68A9">
      <w:pPr>
        <w:pStyle w:val="TOC2"/>
        <w:rPr>
          <w:rFonts w:eastAsiaTheme="minorEastAsia"/>
          <w:sz w:val="22"/>
          <w:lang w:eastAsia="en-GB"/>
        </w:rPr>
      </w:pPr>
      <w:hyperlink w:anchor="_Toc466800293" w:history="1">
        <w:r w:rsidR="00522EDE" w:rsidRPr="008B68A9">
          <w:rPr>
            <w:rStyle w:val="Hyperlink"/>
          </w:rPr>
          <w:t>3.5 Personalisation and mental health: the UK literature</w:t>
        </w:r>
        <w:r w:rsidR="00522EDE" w:rsidRPr="008B68A9">
          <w:rPr>
            <w:webHidden/>
          </w:rPr>
          <w:tab/>
        </w:r>
        <w:r w:rsidR="00522EDE" w:rsidRPr="008B68A9">
          <w:rPr>
            <w:webHidden/>
          </w:rPr>
          <w:fldChar w:fldCharType="begin"/>
        </w:r>
        <w:r w:rsidR="00522EDE" w:rsidRPr="008B68A9">
          <w:rPr>
            <w:webHidden/>
          </w:rPr>
          <w:instrText xml:space="preserve"> PAGEREF _Toc466800293 \h </w:instrText>
        </w:r>
        <w:r w:rsidR="00522EDE" w:rsidRPr="008B68A9">
          <w:rPr>
            <w:webHidden/>
          </w:rPr>
        </w:r>
        <w:r w:rsidR="00522EDE" w:rsidRPr="008B68A9">
          <w:rPr>
            <w:webHidden/>
          </w:rPr>
          <w:fldChar w:fldCharType="separate"/>
        </w:r>
        <w:r w:rsidR="00522EDE" w:rsidRPr="008B68A9">
          <w:rPr>
            <w:webHidden/>
          </w:rPr>
          <w:t>79</w:t>
        </w:r>
        <w:r w:rsidR="00522EDE" w:rsidRPr="008B68A9">
          <w:rPr>
            <w:webHidden/>
          </w:rPr>
          <w:fldChar w:fldCharType="end"/>
        </w:r>
      </w:hyperlink>
    </w:p>
    <w:p w14:paraId="13E4B8BD" w14:textId="77777777" w:rsidR="00522EDE" w:rsidRPr="008B68A9" w:rsidRDefault="008B68A9">
      <w:pPr>
        <w:pStyle w:val="TOC2"/>
        <w:rPr>
          <w:rFonts w:eastAsiaTheme="minorEastAsia"/>
          <w:sz w:val="22"/>
          <w:lang w:eastAsia="en-GB"/>
        </w:rPr>
      </w:pPr>
      <w:hyperlink w:anchor="_Toc466800294" w:history="1">
        <w:r w:rsidR="00522EDE" w:rsidRPr="008B68A9">
          <w:rPr>
            <w:rStyle w:val="Hyperlink"/>
          </w:rPr>
          <w:t>3.6 Conclusion</w:t>
        </w:r>
        <w:r w:rsidR="00522EDE" w:rsidRPr="008B68A9">
          <w:rPr>
            <w:webHidden/>
          </w:rPr>
          <w:tab/>
        </w:r>
        <w:r w:rsidR="00522EDE" w:rsidRPr="008B68A9">
          <w:rPr>
            <w:webHidden/>
          </w:rPr>
          <w:fldChar w:fldCharType="begin"/>
        </w:r>
        <w:r w:rsidR="00522EDE" w:rsidRPr="008B68A9">
          <w:rPr>
            <w:webHidden/>
          </w:rPr>
          <w:instrText xml:space="preserve"> PAGEREF _Toc466800294 \h </w:instrText>
        </w:r>
        <w:r w:rsidR="00522EDE" w:rsidRPr="008B68A9">
          <w:rPr>
            <w:webHidden/>
          </w:rPr>
        </w:r>
        <w:r w:rsidR="00522EDE" w:rsidRPr="008B68A9">
          <w:rPr>
            <w:webHidden/>
          </w:rPr>
          <w:fldChar w:fldCharType="separate"/>
        </w:r>
        <w:r w:rsidR="00522EDE" w:rsidRPr="008B68A9">
          <w:rPr>
            <w:webHidden/>
          </w:rPr>
          <w:t>84</w:t>
        </w:r>
        <w:r w:rsidR="00522EDE" w:rsidRPr="008B68A9">
          <w:rPr>
            <w:webHidden/>
          </w:rPr>
          <w:fldChar w:fldCharType="end"/>
        </w:r>
      </w:hyperlink>
    </w:p>
    <w:p w14:paraId="488FE82D" w14:textId="77777777" w:rsidR="00522EDE" w:rsidRPr="008B68A9" w:rsidRDefault="008B68A9">
      <w:pPr>
        <w:pStyle w:val="TOC1"/>
        <w:rPr>
          <w:rFonts w:eastAsiaTheme="minorEastAsia"/>
          <w:sz w:val="22"/>
          <w:lang w:eastAsia="en-GB"/>
        </w:rPr>
      </w:pPr>
      <w:hyperlink w:anchor="_Toc466800295" w:history="1">
        <w:r w:rsidR="00522EDE" w:rsidRPr="008B68A9">
          <w:rPr>
            <w:rStyle w:val="Hyperlink"/>
          </w:rPr>
          <w:t>Chapter 4: Methodology</w:t>
        </w:r>
        <w:r w:rsidR="00522EDE" w:rsidRPr="008B68A9">
          <w:rPr>
            <w:webHidden/>
          </w:rPr>
          <w:tab/>
        </w:r>
        <w:r w:rsidR="00522EDE" w:rsidRPr="008B68A9">
          <w:rPr>
            <w:webHidden/>
          </w:rPr>
          <w:fldChar w:fldCharType="begin"/>
        </w:r>
        <w:r w:rsidR="00522EDE" w:rsidRPr="008B68A9">
          <w:rPr>
            <w:webHidden/>
          </w:rPr>
          <w:instrText xml:space="preserve"> PAGEREF _Toc466800295 \h </w:instrText>
        </w:r>
        <w:r w:rsidR="00522EDE" w:rsidRPr="008B68A9">
          <w:rPr>
            <w:webHidden/>
          </w:rPr>
        </w:r>
        <w:r w:rsidR="00522EDE" w:rsidRPr="008B68A9">
          <w:rPr>
            <w:webHidden/>
          </w:rPr>
          <w:fldChar w:fldCharType="separate"/>
        </w:r>
        <w:r w:rsidR="00522EDE" w:rsidRPr="008B68A9">
          <w:rPr>
            <w:webHidden/>
          </w:rPr>
          <w:t>85</w:t>
        </w:r>
        <w:r w:rsidR="00522EDE" w:rsidRPr="008B68A9">
          <w:rPr>
            <w:webHidden/>
          </w:rPr>
          <w:fldChar w:fldCharType="end"/>
        </w:r>
      </w:hyperlink>
    </w:p>
    <w:p w14:paraId="53CAE50E" w14:textId="77777777" w:rsidR="00522EDE" w:rsidRPr="008B68A9" w:rsidRDefault="008B68A9">
      <w:pPr>
        <w:pStyle w:val="TOC2"/>
        <w:rPr>
          <w:rFonts w:eastAsiaTheme="minorEastAsia"/>
          <w:sz w:val="22"/>
          <w:lang w:eastAsia="en-GB"/>
        </w:rPr>
      </w:pPr>
      <w:hyperlink w:anchor="_Toc466800296" w:history="1">
        <w:r w:rsidR="00522EDE" w:rsidRPr="008B68A9">
          <w:rPr>
            <w:rStyle w:val="Hyperlink"/>
          </w:rPr>
          <w:t>4.1 Introduction</w:t>
        </w:r>
        <w:r w:rsidR="00522EDE" w:rsidRPr="008B68A9">
          <w:rPr>
            <w:webHidden/>
          </w:rPr>
          <w:tab/>
        </w:r>
        <w:r w:rsidR="00522EDE" w:rsidRPr="008B68A9">
          <w:rPr>
            <w:webHidden/>
          </w:rPr>
          <w:fldChar w:fldCharType="begin"/>
        </w:r>
        <w:r w:rsidR="00522EDE" w:rsidRPr="008B68A9">
          <w:rPr>
            <w:webHidden/>
          </w:rPr>
          <w:instrText xml:space="preserve"> PAGEREF _Toc466800296 \h </w:instrText>
        </w:r>
        <w:r w:rsidR="00522EDE" w:rsidRPr="008B68A9">
          <w:rPr>
            <w:webHidden/>
          </w:rPr>
        </w:r>
        <w:r w:rsidR="00522EDE" w:rsidRPr="008B68A9">
          <w:rPr>
            <w:webHidden/>
          </w:rPr>
          <w:fldChar w:fldCharType="separate"/>
        </w:r>
        <w:r w:rsidR="00522EDE" w:rsidRPr="008B68A9">
          <w:rPr>
            <w:webHidden/>
          </w:rPr>
          <w:t>85</w:t>
        </w:r>
        <w:r w:rsidR="00522EDE" w:rsidRPr="008B68A9">
          <w:rPr>
            <w:webHidden/>
          </w:rPr>
          <w:fldChar w:fldCharType="end"/>
        </w:r>
      </w:hyperlink>
    </w:p>
    <w:p w14:paraId="29C23AB4" w14:textId="77777777" w:rsidR="00522EDE" w:rsidRPr="008B68A9" w:rsidRDefault="008B68A9">
      <w:pPr>
        <w:pStyle w:val="TOC3"/>
        <w:rPr>
          <w:rFonts w:eastAsiaTheme="minorEastAsia"/>
          <w:sz w:val="22"/>
          <w:lang w:eastAsia="en-GB"/>
        </w:rPr>
      </w:pPr>
      <w:hyperlink w:anchor="_Toc466800297" w:history="1">
        <w:r w:rsidR="00522EDE" w:rsidRPr="008B68A9">
          <w:rPr>
            <w:rStyle w:val="Hyperlink"/>
          </w:rPr>
          <w:t>4.1.1 The socially constructed nature of things</w:t>
        </w:r>
        <w:r w:rsidR="00522EDE" w:rsidRPr="008B68A9">
          <w:rPr>
            <w:webHidden/>
          </w:rPr>
          <w:tab/>
        </w:r>
        <w:r w:rsidR="00522EDE" w:rsidRPr="008B68A9">
          <w:rPr>
            <w:webHidden/>
          </w:rPr>
          <w:fldChar w:fldCharType="begin"/>
        </w:r>
        <w:r w:rsidR="00522EDE" w:rsidRPr="008B68A9">
          <w:rPr>
            <w:webHidden/>
          </w:rPr>
          <w:instrText xml:space="preserve"> PAGEREF _Toc466800297 \h </w:instrText>
        </w:r>
        <w:r w:rsidR="00522EDE" w:rsidRPr="008B68A9">
          <w:rPr>
            <w:webHidden/>
          </w:rPr>
        </w:r>
        <w:r w:rsidR="00522EDE" w:rsidRPr="008B68A9">
          <w:rPr>
            <w:webHidden/>
          </w:rPr>
          <w:fldChar w:fldCharType="separate"/>
        </w:r>
        <w:r w:rsidR="00522EDE" w:rsidRPr="008B68A9">
          <w:rPr>
            <w:webHidden/>
          </w:rPr>
          <w:t>86</w:t>
        </w:r>
        <w:r w:rsidR="00522EDE" w:rsidRPr="008B68A9">
          <w:rPr>
            <w:webHidden/>
          </w:rPr>
          <w:fldChar w:fldCharType="end"/>
        </w:r>
      </w:hyperlink>
    </w:p>
    <w:p w14:paraId="1B52E575" w14:textId="77777777" w:rsidR="00522EDE" w:rsidRPr="008B68A9" w:rsidRDefault="008B68A9">
      <w:pPr>
        <w:pStyle w:val="TOC3"/>
        <w:rPr>
          <w:rFonts w:eastAsiaTheme="minorEastAsia"/>
          <w:sz w:val="22"/>
          <w:lang w:eastAsia="en-GB"/>
        </w:rPr>
      </w:pPr>
      <w:hyperlink w:anchor="_Toc466800298" w:history="1">
        <w:r w:rsidR="00522EDE" w:rsidRPr="008B68A9">
          <w:rPr>
            <w:rStyle w:val="Hyperlink"/>
          </w:rPr>
          <w:t>4.1.2 Navigating social constructionism</w:t>
        </w:r>
        <w:r w:rsidR="00522EDE" w:rsidRPr="008B68A9">
          <w:rPr>
            <w:webHidden/>
          </w:rPr>
          <w:tab/>
        </w:r>
        <w:r w:rsidR="00522EDE" w:rsidRPr="008B68A9">
          <w:rPr>
            <w:webHidden/>
          </w:rPr>
          <w:fldChar w:fldCharType="begin"/>
        </w:r>
        <w:r w:rsidR="00522EDE" w:rsidRPr="008B68A9">
          <w:rPr>
            <w:webHidden/>
          </w:rPr>
          <w:instrText xml:space="preserve"> PAGEREF _Toc466800298 \h </w:instrText>
        </w:r>
        <w:r w:rsidR="00522EDE" w:rsidRPr="008B68A9">
          <w:rPr>
            <w:webHidden/>
          </w:rPr>
        </w:r>
        <w:r w:rsidR="00522EDE" w:rsidRPr="008B68A9">
          <w:rPr>
            <w:webHidden/>
          </w:rPr>
          <w:fldChar w:fldCharType="separate"/>
        </w:r>
        <w:r w:rsidR="00522EDE" w:rsidRPr="008B68A9">
          <w:rPr>
            <w:webHidden/>
          </w:rPr>
          <w:t>89</w:t>
        </w:r>
        <w:r w:rsidR="00522EDE" w:rsidRPr="008B68A9">
          <w:rPr>
            <w:webHidden/>
          </w:rPr>
          <w:fldChar w:fldCharType="end"/>
        </w:r>
      </w:hyperlink>
    </w:p>
    <w:p w14:paraId="563979B7" w14:textId="77777777" w:rsidR="00522EDE" w:rsidRPr="008B68A9" w:rsidRDefault="008B68A9">
      <w:pPr>
        <w:pStyle w:val="TOC3"/>
        <w:rPr>
          <w:rFonts w:eastAsiaTheme="minorEastAsia"/>
          <w:sz w:val="22"/>
          <w:lang w:eastAsia="en-GB"/>
        </w:rPr>
      </w:pPr>
      <w:hyperlink w:anchor="_Toc466800299" w:history="1">
        <w:r w:rsidR="00522EDE" w:rsidRPr="008B68A9">
          <w:rPr>
            <w:rStyle w:val="Hyperlink"/>
          </w:rPr>
          <w:t>4.1.3 Drawing on Gergen and Gergen’s narrative of self</w:t>
        </w:r>
        <w:r w:rsidR="00522EDE" w:rsidRPr="008B68A9">
          <w:rPr>
            <w:webHidden/>
          </w:rPr>
          <w:tab/>
        </w:r>
        <w:r w:rsidR="00522EDE" w:rsidRPr="008B68A9">
          <w:rPr>
            <w:webHidden/>
          </w:rPr>
          <w:fldChar w:fldCharType="begin"/>
        </w:r>
        <w:r w:rsidR="00522EDE" w:rsidRPr="008B68A9">
          <w:rPr>
            <w:webHidden/>
          </w:rPr>
          <w:instrText xml:space="preserve"> PAGEREF _Toc466800299 \h </w:instrText>
        </w:r>
        <w:r w:rsidR="00522EDE" w:rsidRPr="008B68A9">
          <w:rPr>
            <w:webHidden/>
          </w:rPr>
        </w:r>
        <w:r w:rsidR="00522EDE" w:rsidRPr="008B68A9">
          <w:rPr>
            <w:webHidden/>
          </w:rPr>
          <w:fldChar w:fldCharType="separate"/>
        </w:r>
        <w:r w:rsidR="00522EDE" w:rsidRPr="008B68A9">
          <w:rPr>
            <w:webHidden/>
          </w:rPr>
          <w:t>91</w:t>
        </w:r>
        <w:r w:rsidR="00522EDE" w:rsidRPr="008B68A9">
          <w:rPr>
            <w:webHidden/>
          </w:rPr>
          <w:fldChar w:fldCharType="end"/>
        </w:r>
      </w:hyperlink>
    </w:p>
    <w:p w14:paraId="75FF54DE" w14:textId="77777777" w:rsidR="00522EDE" w:rsidRPr="008B68A9" w:rsidRDefault="008B68A9">
      <w:pPr>
        <w:pStyle w:val="TOC3"/>
        <w:rPr>
          <w:rFonts w:eastAsiaTheme="minorEastAsia"/>
          <w:sz w:val="22"/>
          <w:lang w:eastAsia="en-GB"/>
        </w:rPr>
      </w:pPr>
      <w:hyperlink w:anchor="_Toc466800300" w:history="1">
        <w:r w:rsidR="00522EDE" w:rsidRPr="008B68A9">
          <w:rPr>
            <w:rStyle w:val="Hyperlink"/>
          </w:rPr>
          <w:t>4.1.4 Constructing mental health</w:t>
        </w:r>
        <w:r w:rsidR="00522EDE" w:rsidRPr="008B68A9">
          <w:rPr>
            <w:webHidden/>
          </w:rPr>
          <w:tab/>
        </w:r>
        <w:r w:rsidR="00522EDE" w:rsidRPr="008B68A9">
          <w:rPr>
            <w:webHidden/>
          </w:rPr>
          <w:fldChar w:fldCharType="begin"/>
        </w:r>
        <w:r w:rsidR="00522EDE" w:rsidRPr="008B68A9">
          <w:rPr>
            <w:webHidden/>
          </w:rPr>
          <w:instrText xml:space="preserve"> PAGEREF _Toc466800300 \h </w:instrText>
        </w:r>
        <w:r w:rsidR="00522EDE" w:rsidRPr="008B68A9">
          <w:rPr>
            <w:webHidden/>
          </w:rPr>
        </w:r>
        <w:r w:rsidR="00522EDE" w:rsidRPr="008B68A9">
          <w:rPr>
            <w:webHidden/>
          </w:rPr>
          <w:fldChar w:fldCharType="separate"/>
        </w:r>
        <w:r w:rsidR="00522EDE" w:rsidRPr="008B68A9">
          <w:rPr>
            <w:webHidden/>
          </w:rPr>
          <w:t>92</w:t>
        </w:r>
        <w:r w:rsidR="00522EDE" w:rsidRPr="008B68A9">
          <w:rPr>
            <w:webHidden/>
          </w:rPr>
          <w:fldChar w:fldCharType="end"/>
        </w:r>
      </w:hyperlink>
    </w:p>
    <w:p w14:paraId="5F67BE5C" w14:textId="77777777" w:rsidR="00522EDE" w:rsidRPr="008B68A9" w:rsidRDefault="008B68A9">
      <w:pPr>
        <w:pStyle w:val="TOC3"/>
        <w:rPr>
          <w:rFonts w:eastAsiaTheme="minorEastAsia"/>
          <w:sz w:val="22"/>
          <w:lang w:eastAsia="en-GB"/>
        </w:rPr>
      </w:pPr>
      <w:hyperlink w:anchor="_Toc466800301" w:history="1">
        <w:r w:rsidR="00522EDE" w:rsidRPr="008B68A9">
          <w:rPr>
            <w:rStyle w:val="Hyperlink"/>
          </w:rPr>
          <w:t>4.1.5 Conventions of warrant</w:t>
        </w:r>
        <w:r w:rsidR="00522EDE" w:rsidRPr="008B68A9">
          <w:rPr>
            <w:webHidden/>
          </w:rPr>
          <w:tab/>
        </w:r>
        <w:r w:rsidR="00522EDE" w:rsidRPr="008B68A9">
          <w:rPr>
            <w:webHidden/>
          </w:rPr>
          <w:fldChar w:fldCharType="begin"/>
        </w:r>
        <w:r w:rsidR="00522EDE" w:rsidRPr="008B68A9">
          <w:rPr>
            <w:webHidden/>
          </w:rPr>
          <w:instrText xml:space="preserve"> PAGEREF _Toc466800301 \h </w:instrText>
        </w:r>
        <w:r w:rsidR="00522EDE" w:rsidRPr="008B68A9">
          <w:rPr>
            <w:webHidden/>
          </w:rPr>
        </w:r>
        <w:r w:rsidR="00522EDE" w:rsidRPr="008B68A9">
          <w:rPr>
            <w:webHidden/>
          </w:rPr>
          <w:fldChar w:fldCharType="separate"/>
        </w:r>
        <w:r w:rsidR="00522EDE" w:rsidRPr="008B68A9">
          <w:rPr>
            <w:webHidden/>
          </w:rPr>
          <w:t>96</w:t>
        </w:r>
        <w:r w:rsidR="00522EDE" w:rsidRPr="008B68A9">
          <w:rPr>
            <w:webHidden/>
          </w:rPr>
          <w:fldChar w:fldCharType="end"/>
        </w:r>
      </w:hyperlink>
    </w:p>
    <w:p w14:paraId="29FEB70D" w14:textId="77777777" w:rsidR="00522EDE" w:rsidRPr="008B68A9" w:rsidRDefault="008B68A9">
      <w:pPr>
        <w:pStyle w:val="TOC2"/>
        <w:rPr>
          <w:rFonts w:eastAsiaTheme="minorEastAsia"/>
          <w:sz w:val="22"/>
          <w:lang w:eastAsia="en-GB"/>
        </w:rPr>
      </w:pPr>
      <w:hyperlink w:anchor="_Toc466800302" w:history="1">
        <w:r w:rsidR="00522EDE" w:rsidRPr="008B68A9">
          <w:rPr>
            <w:rStyle w:val="Hyperlink"/>
          </w:rPr>
          <w:t>4.2 Study design</w:t>
        </w:r>
        <w:r w:rsidR="00522EDE" w:rsidRPr="008B68A9">
          <w:rPr>
            <w:webHidden/>
          </w:rPr>
          <w:tab/>
        </w:r>
        <w:r w:rsidR="00522EDE" w:rsidRPr="008B68A9">
          <w:rPr>
            <w:webHidden/>
          </w:rPr>
          <w:fldChar w:fldCharType="begin"/>
        </w:r>
        <w:r w:rsidR="00522EDE" w:rsidRPr="008B68A9">
          <w:rPr>
            <w:webHidden/>
          </w:rPr>
          <w:instrText xml:space="preserve"> PAGEREF _Toc466800302 \h </w:instrText>
        </w:r>
        <w:r w:rsidR="00522EDE" w:rsidRPr="008B68A9">
          <w:rPr>
            <w:webHidden/>
          </w:rPr>
        </w:r>
        <w:r w:rsidR="00522EDE" w:rsidRPr="008B68A9">
          <w:rPr>
            <w:webHidden/>
          </w:rPr>
          <w:fldChar w:fldCharType="separate"/>
        </w:r>
        <w:r w:rsidR="00522EDE" w:rsidRPr="008B68A9">
          <w:rPr>
            <w:webHidden/>
          </w:rPr>
          <w:t>97</w:t>
        </w:r>
        <w:r w:rsidR="00522EDE" w:rsidRPr="008B68A9">
          <w:rPr>
            <w:webHidden/>
          </w:rPr>
          <w:fldChar w:fldCharType="end"/>
        </w:r>
      </w:hyperlink>
    </w:p>
    <w:p w14:paraId="2BC12938" w14:textId="77777777" w:rsidR="00522EDE" w:rsidRPr="008B68A9" w:rsidRDefault="008B68A9">
      <w:pPr>
        <w:pStyle w:val="TOC3"/>
        <w:rPr>
          <w:rFonts w:eastAsiaTheme="minorEastAsia"/>
          <w:sz w:val="22"/>
          <w:lang w:eastAsia="en-GB"/>
        </w:rPr>
      </w:pPr>
      <w:hyperlink w:anchor="_Toc466800303" w:history="1">
        <w:r w:rsidR="00522EDE" w:rsidRPr="008B68A9">
          <w:rPr>
            <w:rStyle w:val="Hyperlink"/>
          </w:rPr>
          <w:t>4.2.1 Processes</w:t>
        </w:r>
        <w:r w:rsidR="00522EDE" w:rsidRPr="008B68A9">
          <w:rPr>
            <w:webHidden/>
          </w:rPr>
          <w:tab/>
        </w:r>
        <w:r w:rsidR="00522EDE" w:rsidRPr="008B68A9">
          <w:rPr>
            <w:webHidden/>
          </w:rPr>
          <w:fldChar w:fldCharType="begin"/>
        </w:r>
        <w:r w:rsidR="00522EDE" w:rsidRPr="008B68A9">
          <w:rPr>
            <w:webHidden/>
          </w:rPr>
          <w:instrText xml:space="preserve"> PAGEREF _Toc466800303 \h </w:instrText>
        </w:r>
        <w:r w:rsidR="00522EDE" w:rsidRPr="008B68A9">
          <w:rPr>
            <w:webHidden/>
          </w:rPr>
        </w:r>
        <w:r w:rsidR="00522EDE" w:rsidRPr="008B68A9">
          <w:rPr>
            <w:webHidden/>
          </w:rPr>
          <w:fldChar w:fldCharType="separate"/>
        </w:r>
        <w:r w:rsidR="00522EDE" w:rsidRPr="008B68A9">
          <w:rPr>
            <w:webHidden/>
          </w:rPr>
          <w:t>98</w:t>
        </w:r>
        <w:r w:rsidR="00522EDE" w:rsidRPr="008B68A9">
          <w:rPr>
            <w:webHidden/>
          </w:rPr>
          <w:fldChar w:fldCharType="end"/>
        </w:r>
      </w:hyperlink>
    </w:p>
    <w:p w14:paraId="2C57055D" w14:textId="77777777" w:rsidR="00522EDE" w:rsidRPr="008B68A9" w:rsidRDefault="008B68A9">
      <w:pPr>
        <w:pStyle w:val="TOC3"/>
        <w:rPr>
          <w:rFonts w:eastAsiaTheme="minorEastAsia"/>
          <w:sz w:val="22"/>
          <w:lang w:eastAsia="en-GB"/>
        </w:rPr>
      </w:pPr>
      <w:hyperlink w:anchor="_Toc466800304" w:history="1">
        <w:r w:rsidR="00522EDE" w:rsidRPr="008B68A9">
          <w:rPr>
            <w:rStyle w:val="Hyperlink"/>
          </w:rPr>
          <w:t>4.2.2 Using narrative in this study</w:t>
        </w:r>
        <w:r w:rsidR="00522EDE" w:rsidRPr="008B68A9">
          <w:rPr>
            <w:webHidden/>
          </w:rPr>
          <w:tab/>
        </w:r>
        <w:r w:rsidR="00522EDE" w:rsidRPr="008B68A9">
          <w:rPr>
            <w:webHidden/>
          </w:rPr>
          <w:fldChar w:fldCharType="begin"/>
        </w:r>
        <w:r w:rsidR="00522EDE" w:rsidRPr="008B68A9">
          <w:rPr>
            <w:webHidden/>
          </w:rPr>
          <w:instrText xml:space="preserve"> PAGEREF _Toc466800304 \h </w:instrText>
        </w:r>
        <w:r w:rsidR="00522EDE" w:rsidRPr="008B68A9">
          <w:rPr>
            <w:webHidden/>
          </w:rPr>
        </w:r>
        <w:r w:rsidR="00522EDE" w:rsidRPr="008B68A9">
          <w:rPr>
            <w:webHidden/>
          </w:rPr>
          <w:fldChar w:fldCharType="separate"/>
        </w:r>
        <w:r w:rsidR="00522EDE" w:rsidRPr="008B68A9">
          <w:rPr>
            <w:webHidden/>
          </w:rPr>
          <w:t>99</w:t>
        </w:r>
        <w:r w:rsidR="00522EDE" w:rsidRPr="008B68A9">
          <w:rPr>
            <w:webHidden/>
          </w:rPr>
          <w:fldChar w:fldCharType="end"/>
        </w:r>
      </w:hyperlink>
    </w:p>
    <w:p w14:paraId="21758738" w14:textId="77777777" w:rsidR="00522EDE" w:rsidRPr="008B68A9" w:rsidRDefault="008B68A9">
      <w:pPr>
        <w:pStyle w:val="TOC3"/>
        <w:rPr>
          <w:rFonts w:eastAsiaTheme="minorEastAsia"/>
          <w:sz w:val="22"/>
          <w:lang w:eastAsia="en-GB"/>
        </w:rPr>
      </w:pPr>
      <w:hyperlink w:anchor="_Toc466800305" w:history="1">
        <w:r w:rsidR="00522EDE" w:rsidRPr="008B68A9">
          <w:rPr>
            <w:rStyle w:val="Hyperlink"/>
          </w:rPr>
          <w:t>4.2.3 Stories, narrative structure and temporality</w:t>
        </w:r>
        <w:r w:rsidR="00522EDE" w:rsidRPr="008B68A9">
          <w:rPr>
            <w:webHidden/>
          </w:rPr>
          <w:tab/>
        </w:r>
        <w:r w:rsidR="00522EDE" w:rsidRPr="008B68A9">
          <w:rPr>
            <w:webHidden/>
          </w:rPr>
          <w:fldChar w:fldCharType="begin"/>
        </w:r>
        <w:r w:rsidR="00522EDE" w:rsidRPr="008B68A9">
          <w:rPr>
            <w:webHidden/>
          </w:rPr>
          <w:instrText xml:space="preserve"> PAGEREF _Toc466800305 \h </w:instrText>
        </w:r>
        <w:r w:rsidR="00522EDE" w:rsidRPr="008B68A9">
          <w:rPr>
            <w:webHidden/>
          </w:rPr>
        </w:r>
        <w:r w:rsidR="00522EDE" w:rsidRPr="008B68A9">
          <w:rPr>
            <w:webHidden/>
          </w:rPr>
          <w:fldChar w:fldCharType="separate"/>
        </w:r>
        <w:r w:rsidR="00522EDE" w:rsidRPr="008B68A9">
          <w:rPr>
            <w:webHidden/>
          </w:rPr>
          <w:t>100</w:t>
        </w:r>
        <w:r w:rsidR="00522EDE" w:rsidRPr="008B68A9">
          <w:rPr>
            <w:webHidden/>
          </w:rPr>
          <w:fldChar w:fldCharType="end"/>
        </w:r>
      </w:hyperlink>
    </w:p>
    <w:p w14:paraId="34D13F4B" w14:textId="77777777" w:rsidR="00522EDE" w:rsidRPr="008B68A9" w:rsidRDefault="008B68A9">
      <w:pPr>
        <w:pStyle w:val="TOC3"/>
        <w:rPr>
          <w:rFonts w:eastAsiaTheme="minorEastAsia"/>
          <w:sz w:val="22"/>
          <w:lang w:eastAsia="en-GB"/>
        </w:rPr>
      </w:pPr>
      <w:hyperlink w:anchor="_Toc466800306" w:history="1">
        <w:r w:rsidR="00522EDE" w:rsidRPr="008B68A9">
          <w:rPr>
            <w:rStyle w:val="Hyperlink"/>
          </w:rPr>
          <w:t>4.2.4 Narrative trajectory</w:t>
        </w:r>
        <w:r w:rsidR="00522EDE" w:rsidRPr="008B68A9">
          <w:rPr>
            <w:webHidden/>
          </w:rPr>
          <w:tab/>
        </w:r>
        <w:r w:rsidR="00522EDE" w:rsidRPr="008B68A9">
          <w:rPr>
            <w:webHidden/>
          </w:rPr>
          <w:fldChar w:fldCharType="begin"/>
        </w:r>
        <w:r w:rsidR="00522EDE" w:rsidRPr="008B68A9">
          <w:rPr>
            <w:webHidden/>
          </w:rPr>
          <w:instrText xml:space="preserve"> PAGEREF _Toc466800306 \h </w:instrText>
        </w:r>
        <w:r w:rsidR="00522EDE" w:rsidRPr="008B68A9">
          <w:rPr>
            <w:webHidden/>
          </w:rPr>
        </w:r>
        <w:r w:rsidR="00522EDE" w:rsidRPr="008B68A9">
          <w:rPr>
            <w:webHidden/>
          </w:rPr>
          <w:fldChar w:fldCharType="separate"/>
        </w:r>
        <w:r w:rsidR="00522EDE" w:rsidRPr="008B68A9">
          <w:rPr>
            <w:webHidden/>
          </w:rPr>
          <w:t>104</w:t>
        </w:r>
        <w:r w:rsidR="00522EDE" w:rsidRPr="008B68A9">
          <w:rPr>
            <w:webHidden/>
          </w:rPr>
          <w:fldChar w:fldCharType="end"/>
        </w:r>
      </w:hyperlink>
    </w:p>
    <w:p w14:paraId="5A75F2D1" w14:textId="77777777" w:rsidR="00522EDE" w:rsidRPr="008B68A9" w:rsidRDefault="008B68A9">
      <w:pPr>
        <w:pStyle w:val="TOC3"/>
        <w:rPr>
          <w:rFonts w:eastAsiaTheme="minorEastAsia"/>
          <w:sz w:val="22"/>
          <w:lang w:eastAsia="en-GB"/>
        </w:rPr>
      </w:pPr>
      <w:hyperlink w:anchor="_Toc466800307" w:history="1">
        <w:r w:rsidR="00522EDE" w:rsidRPr="008B68A9">
          <w:rPr>
            <w:rStyle w:val="Hyperlink"/>
          </w:rPr>
          <w:t>4.2.5 Contingent and moral narratives</w:t>
        </w:r>
        <w:r w:rsidR="00522EDE" w:rsidRPr="008B68A9">
          <w:rPr>
            <w:webHidden/>
          </w:rPr>
          <w:tab/>
        </w:r>
        <w:r w:rsidR="00522EDE" w:rsidRPr="008B68A9">
          <w:rPr>
            <w:webHidden/>
          </w:rPr>
          <w:fldChar w:fldCharType="begin"/>
        </w:r>
        <w:r w:rsidR="00522EDE" w:rsidRPr="008B68A9">
          <w:rPr>
            <w:webHidden/>
          </w:rPr>
          <w:instrText xml:space="preserve"> PAGEREF _Toc466800307 \h </w:instrText>
        </w:r>
        <w:r w:rsidR="00522EDE" w:rsidRPr="008B68A9">
          <w:rPr>
            <w:webHidden/>
          </w:rPr>
        </w:r>
        <w:r w:rsidR="00522EDE" w:rsidRPr="008B68A9">
          <w:rPr>
            <w:webHidden/>
          </w:rPr>
          <w:fldChar w:fldCharType="separate"/>
        </w:r>
        <w:r w:rsidR="00522EDE" w:rsidRPr="008B68A9">
          <w:rPr>
            <w:webHidden/>
          </w:rPr>
          <w:t>105</w:t>
        </w:r>
        <w:r w:rsidR="00522EDE" w:rsidRPr="008B68A9">
          <w:rPr>
            <w:webHidden/>
          </w:rPr>
          <w:fldChar w:fldCharType="end"/>
        </w:r>
      </w:hyperlink>
    </w:p>
    <w:p w14:paraId="79F11C35" w14:textId="77777777" w:rsidR="00522EDE" w:rsidRPr="008B68A9" w:rsidRDefault="008B68A9">
      <w:pPr>
        <w:pStyle w:val="TOC3"/>
        <w:rPr>
          <w:rFonts w:eastAsiaTheme="minorEastAsia"/>
          <w:sz w:val="22"/>
          <w:lang w:eastAsia="en-GB"/>
        </w:rPr>
      </w:pPr>
      <w:hyperlink w:anchor="_Toc466800308" w:history="1">
        <w:r w:rsidR="00522EDE" w:rsidRPr="008B68A9">
          <w:rPr>
            <w:rStyle w:val="Hyperlink"/>
          </w:rPr>
          <w:t>4.2.6 Positioning theory in the method</w:t>
        </w:r>
        <w:r w:rsidR="00522EDE" w:rsidRPr="008B68A9">
          <w:rPr>
            <w:webHidden/>
          </w:rPr>
          <w:tab/>
        </w:r>
        <w:r w:rsidR="00522EDE" w:rsidRPr="008B68A9">
          <w:rPr>
            <w:webHidden/>
          </w:rPr>
          <w:fldChar w:fldCharType="begin"/>
        </w:r>
        <w:r w:rsidR="00522EDE" w:rsidRPr="008B68A9">
          <w:rPr>
            <w:webHidden/>
          </w:rPr>
          <w:instrText xml:space="preserve"> PAGEREF _Toc466800308 \h </w:instrText>
        </w:r>
        <w:r w:rsidR="00522EDE" w:rsidRPr="008B68A9">
          <w:rPr>
            <w:webHidden/>
          </w:rPr>
        </w:r>
        <w:r w:rsidR="00522EDE" w:rsidRPr="008B68A9">
          <w:rPr>
            <w:webHidden/>
          </w:rPr>
          <w:fldChar w:fldCharType="separate"/>
        </w:r>
        <w:r w:rsidR="00522EDE" w:rsidRPr="008B68A9">
          <w:rPr>
            <w:webHidden/>
          </w:rPr>
          <w:t>106</w:t>
        </w:r>
        <w:r w:rsidR="00522EDE" w:rsidRPr="008B68A9">
          <w:rPr>
            <w:webHidden/>
          </w:rPr>
          <w:fldChar w:fldCharType="end"/>
        </w:r>
      </w:hyperlink>
    </w:p>
    <w:p w14:paraId="31D406C1" w14:textId="77777777" w:rsidR="00522EDE" w:rsidRPr="008B68A9" w:rsidRDefault="008B68A9">
      <w:pPr>
        <w:pStyle w:val="TOC3"/>
        <w:rPr>
          <w:rFonts w:eastAsiaTheme="minorEastAsia"/>
          <w:sz w:val="22"/>
          <w:lang w:eastAsia="en-GB"/>
        </w:rPr>
      </w:pPr>
      <w:hyperlink w:anchor="_Toc466800309" w:history="1">
        <w:r w:rsidR="00522EDE" w:rsidRPr="008B68A9">
          <w:rPr>
            <w:rStyle w:val="Hyperlink"/>
          </w:rPr>
          <w:t>4.2.7 Story-line</w:t>
        </w:r>
        <w:r w:rsidR="00522EDE" w:rsidRPr="008B68A9">
          <w:rPr>
            <w:webHidden/>
          </w:rPr>
          <w:tab/>
        </w:r>
        <w:r w:rsidR="00522EDE" w:rsidRPr="008B68A9">
          <w:rPr>
            <w:webHidden/>
          </w:rPr>
          <w:fldChar w:fldCharType="begin"/>
        </w:r>
        <w:r w:rsidR="00522EDE" w:rsidRPr="008B68A9">
          <w:rPr>
            <w:webHidden/>
          </w:rPr>
          <w:instrText xml:space="preserve"> PAGEREF _Toc466800309 \h </w:instrText>
        </w:r>
        <w:r w:rsidR="00522EDE" w:rsidRPr="008B68A9">
          <w:rPr>
            <w:webHidden/>
          </w:rPr>
        </w:r>
        <w:r w:rsidR="00522EDE" w:rsidRPr="008B68A9">
          <w:rPr>
            <w:webHidden/>
          </w:rPr>
          <w:fldChar w:fldCharType="separate"/>
        </w:r>
        <w:r w:rsidR="00522EDE" w:rsidRPr="008B68A9">
          <w:rPr>
            <w:webHidden/>
          </w:rPr>
          <w:t>108</w:t>
        </w:r>
        <w:r w:rsidR="00522EDE" w:rsidRPr="008B68A9">
          <w:rPr>
            <w:webHidden/>
          </w:rPr>
          <w:fldChar w:fldCharType="end"/>
        </w:r>
      </w:hyperlink>
    </w:p>
    <w:p w14:paraId="2E13EA5D" w14:textId="77777777" w:rsidR="00522EDE" w:rsidRPr="008B68A9" w:rsidRDefault="008B68A9">
      <w:pPr>
        <w:pStyle w:val="TOC3"/>
        <w:rPr>
          <w:rFonts w:eastAsiaTheme="minorEastAsia"/>
          <w:sz w:val="22"/>
          <w:lang w:eastAsia="en-GB"/>
        </w:rPr>
      </w:pPr>
      <w:hyperlink w:anchor="_Toc466800310" w:history="1">
        <w:r w:rsidR="00522EDE" w:rsidRPr="008B68A9">
          <w:rPr>
            <w:rStyle w:val="Hyperlink"/>
          </w:rPr>
          <w:t>4.2.8 Coding narrative</w:t>
        </w:r>
        <w:r w:rsidR="00522EDE" w:rsidRPr="008B68A9">
          <w:rPr>
            <w:webHidden/>
          </w:rPr>
          <w:tab/>
        </w:r>
        <w:r w:rsidR="00522EDE" w:rsidRPr="008B68A9">
          <w:rPr>
            <w:webHidden/>
          </w:rPr>
          <w:fldChar w:fldCharType="begin"/>
        </w:r>
        <w:r w:rsidR="00522EDE" w:rsidRPr="008B68A9">
          <w:rPr>
            <w:webHidden/>
          </w:rPr>
          <w:instrText xml:space="preserve"> PAGEREF _Toc466800310 \h </w:instrText>
        </w:r>
        <w:r w:rsidR="00522EDE" w:rsidRPr="008B68A9">
          <w:rPr>
            <w:webHidden/>
          </w:rPr>
        </w:r>
        <w:r w:rsidR="00522EDE" w:rsidRPr="008B68A9">
          <w:rPr>
            <w:webHidden/>
          </w:rPr>
          <w:fldChar w:fldCharType="separate"/>
        </w:r>
        <w:r w:rsidR="00522EDE" w:rsidRPr="008B68A9">
          <w:rPr>
            <w:webHidden/>
          </w:rPr>
          <w:t>110</w:t>
        </w:r>
        <w:r w:rsidR="00522EDE" w:rsidRPr="008B68A9">
          <w:rPr>
            <w:webHidden/>
          </w:rPr>
          <w:fldChar w:fldCharType="end"/>
        </w:r>
      </w:hyperlink>
    </w:p>
    <w:p w14:paraId="4D12B9DE" w14:textId="77777777" w:rsidR="00522EDE" w:rsidRPr="008B68A9" w:rsidRDefault="008B68A9">
      <w:pPr>
        <w:pStyle w:val="TOC3"/>
        <w:rPr>
          <w:rFonts w:eastAsiaTheme="minorEastAsia"/>
          <w:sz w:val="22"/>
          <w:lang w:eastAsia="en-GB"/>
        </w:rPr>
      </w:pPr>
      <w:hyperlink w:anchor="_Toc466800311" w:history="1">
        <w:r w:rsidR="00522EDE" w:rsidRPr="008B68A9">
          <w:rPr>
            <w:rStyle w:val="Hyperlink"/>
          </w:rPr>
          <w:t>4.2.9 Visualising narrative as an aid</w:t>
        </w:r>
        <w:r w:rsidR="00522EDE" w:rsidRPr="008B68A9">
          <w:rPr>
            <w:webHidden/>
          </w:rPr>
          <w:tab/>
        </w:r>
        <w:r w:rsidR="00522EDE" w:rsidRPr="008B68A9">
          <w:rPr>
            <w:webHidden/>
          </w:rPr>
          <w:fldChar w:fldCharType="begin"/>
        </w:r>
        <w:r w:rsidR="00522EDE" w:rsidRPr="008B68A9">
          <w:rPr>
            <w:webHidden/>
          </w:rPr>
          <w:instrText xml:space="preserve"> PAGEREF _Toc466800311 \h </w:instrText>
        </w:r>
        <w:r w:rsidR="00522EDE" w:rsidRPr="008B68A9">
          <w:rPr>
            <w:webHidden/>
          </w:rPr>
        </w:r>
        <w:r w:rsidR="00522EDE" w:rsidRPr="008B68A9">
          <w:rPr>
            <w:webHidden/>
          </w:rPr>
          <w:fldChar w:fldCharType="separate"/>
        </w:r>
        <w:r w:rsidR="00522EDE" w:rsidRPr="008B68A9">
          <w:rPr>
            <w:webHidden/>
          </w:rPr>
          <w:t>112</w:t>
        </w:r>
        <w:r w:rsidR="00522EDE" w:rsidRPr="008B68A9">
          <w:rPr>
            <w:webHidden/>
          </w:rPr>
          <w:fldChar w:fldCharType="end"/>
        </w:r>
      </w:hyperlink>
    </w:p>
    <w:p w14:paraId="62714972" w14:textId="77777777" w:rsidR="00522EDE" w:rsidRPr="008B68A9" w:rsidRDefault="008B68A9">
      <w:pPr>
        <w:pStyle w:val="TOC3"/>
        <w:rPr>
          <w:rFonts w:eastAsiaTheme="minorEastAsia"/>
          <w:sz w:val="22"/>
          <w:lang w:eastAsia="en-GB"/>
        </w:rPr>
      </w:pPr>
      <w:hyperlink w:anchor="_Toc466800312" w:history="1">
        <w:r w:rsidR="00522EDE" w:rsidRPr="008B68A9">
          <w:rPr>
            <w:rStyle w:val="Hyperlink"/>
          </w:rPr>
          <w:t>4.2.10 Data handling and storage</w:t>
        </w:r>
        <w:r w:rsidR="00522EDE" w:rsidRPr="008B68A9">
          <w:rPr>
            <w:webHidden/>
          </w:rPr>
          <w:tab/>
        </w:r>
        <w:r w:rsidR="00522EDE" w:rsidRPr="008B68A9">
          <w:rPr>
            <w:webHidden/>
          </w:rPr>
          <w:fldChar w:fldCharType="begin"/>
        </w:r>
        <w:r w:rsidR="00522EDE" w:rsidRPr="008B68A9">
          <w:rPr>
            <w:webHidden/>
          </w:rPr>
          <w:instrText xml:space="preserve"> PAGEREF _Toc466800312 \h </w:instrText>
        </w:r>
        <w:r w:rsidR="00522EDE" w:rsidRPr="008B68A9">
          <w:rPr>
            <w:webHidden/>
          </w:rPr>
        </w:r>
        <w:r w:rsidR="00522EDE" w:rsidRPr="008B68A9">
          <w:rPr>
            <w:webHidden/>
          </w:rPr>
          <w:fldChar w:fldCharType="separate"/>
        </w:r>
        <w:r w:rsidR="00522EDE" w:rsidRPr="008B68A9">
          <w:rPr>
            <w:webHidden/>
          </w:rPr>
          <w:t>113</w:t>
        </w:r>
        <w:r w:rsidR="00522EDE" w:rsidRPr="008B68A9">
          <w:rPr>
            <w:webHidden/>
          </w:rPr>
          <w:fldChar w:fldCharType="end"/>
        </w:r>
      </w:hyperlink>
    </w:p>
    <w:p w14:paraId="2F1B856A" w14:textId="77777777" w:rsidR="00522EDE" w:rsidRPr="008B68A9" w:rsidRDefault="008B68A9">
      <w:pPr>
        <w:pStyle w:val="TOC2"/>
        <w:rPr>
          <w:rFonts w:eastAsiaTheme="minorEastAsia"/>
          <w:sz w:val="22"/>
          <w:lang w:eastAsia="en-GB"/>
        </w:rPr>
      </w:pPr>
      <w:hyperlink w:anchor="_Toc466800313" w:history="1">
        <w:r w:rsidR="00522EDE" w:rsidRPr="008B68A9">
          <w:rPr>
            <w:rStyle w:val="Hyperlink"/>
          </w:rPr>
          <w:t>4.3 Recognising challenges of narrative</w:t>
        </w:r>
        <w:r w:rsidR="00522EDE" w:rsidRPr="008B68A9">
          <w:rPr>
            <w:webHidden/>
          </w:rPr>
          <w:tab/>
        </w:r>
        <w:r w:rsidR="00522EDE" w:rsidRPr="008B68A9">
          <w:rPr>
            <w:webHidden/>
          </w:rPr>
          <w:fldChar w:fldCharType="begin"/>
        </w:r>
        <w:r w:rsidR="00522EDE" w:rsidRPr="008B68A9">
          <w:rPr>
            <w:webHidden/>
          </w:rPr>
          <w:instrText xml:space="preserve"> PAGEREF _Toc466800313 \h </w:instrText>
        </w:r>
        <w:r w:rsidR="00522EDE" w:rsidRPr="008B68A9">
          <w:rPr>
            <w:webHidden/>
          </w:rPr>
        </w:r>
        <w:r w:rsidR="00522EDE" w:rsidRPr="008B68A9">
          <w:rPr>
            <w:webHidden/>
          </w:rPr>
          <w:fldChar w:fldCharType="separate"/>
        </w:r>
        <w:r w:rsidR="00522EDE" w:rsidRPr="008B68A9">
          <w:rPr>
            <w:webHidden/>
          </w:rPr>
          <w:t>113</w:t>
        </w:r>
        <w:r w:rsidR="00522EDE" w:rsidRPr="008B68A9">
          <w:rPr>
            <w:webHidden/>
          </w:rPr>
          <w:fldChar w:fldCharType="end"/>
        </w:r>
      </w:hyperlink>
    </w:p>
    <w:p w14:paraId="4DD9F5AB" w14:textId="77777777" w:rsidR="00522EDE" w:rsidRPr="008B68A9" w:rsidRDefault="008B68A9">
      <w:pPr>
        <w:pStyle w:val="TOC3"/>
        <w:rPr>
          <w:rFonts w:eastAsiaTheme="minorEastAsia"/>
          <w:sz w:val="22"/>
          <w:lang w:eastAsia="en-GB"/>
        </w:rPr>
      </w:pPr>
      <w:hyperlink w:anchor="_Toc466800314" w:history="1">
        <w:r w:rsidR="00522EDE" w:rsidRPr="008B68A9">
          <w:rPr>
            <w:rStyle w:val="Hyperlink"/>
          </w:rPr>
          <w:t>4.3.1 Validity in narrative and social constructionism</w:t>
        </w:r>
        <w:r w:rsidR="00522EDE" w:rsidRPr="008B68A9">
          <w:rPr>
            <w:webHidden/>
          </w:rPr>
          <w:tab/>
        </w:r>
        <w:r w:rsidR="00522EDE" w:rsidRPr="008B68A9">
          <w:rPr>
            <w:webHidden/>
          </w:rPr>
          <w:fldChar w:fldCharType="begin"/>
        </w:r>
        <w:r w:rsidR="00522EDE" w:rsidRPr="008B68A9">
          <w:rPr>
            <w:webHidden/>
          </w:rPr>
          <w:instrText xml:space="preserve"> PAGEREF _Toc466800314 \h </w:instrText>
        </w:r>
        <w:r w:rsidR="00522EDE" w:rsidRPr="008B68A9">
          <w:rPr>
            <w:webHidden/>
          </w:rPr>
        </w:r>
        <w:r w:rsidR="00522EDE" w:rsidRPr="008B68A9">
          <w:rPr>
            <w:webHidden/>
          </w:rPr>
          <w:fldChar w:fldCharType="separate"/>
        </w:r>
        <w:r w:rsidR="00522EDE" w:rsidRPr="008B68A9">
          <w:rPr>
            <w:webHidden/>
          </w:rPr>
          <w:t>114</w:t>
        </w:r>
        <w:r w:rsidR="00522EDE" w:rsidRPr="008B68A9">
          <w:rPr>
            <w:webHidden/>
          </w:rPr>
          <w:fldChar w:fldCharType="end"/>
        </w:r>
      </w:hyperlink>
    </w:p>
    <w:p w14:paraId="3DB289DF" w14:textId="77777777" w:rsidR="00522EDE" w:rsidRPr="008B68A9" w:rsidRDefault="008B68A9">
      <w:pPr>
        <w:pStyle w:val="TOC3"/>
        <w:rPr>
          <w:rFonts w:eastAsiaTheme="minorEastAsia"/>
          <w:sz w:val="22"/>
          <w:lang w:eastAsia="en-GB"/>
        </w:rPr>
      </w:pPr>
      <w:hyperlink w:anchor="_Toc466800315" w:history="1">
        <w:r w:rsidR="00522EDE" w:rsidRPr="008B68A9">
          <w:rPr>
            <w:rStyle w:val="Hyperlink"/>
          </w:rPr>
          <w:t>4.3.2 Addressing facsimile and romanticism in narrative</w:t>
        </w:r>
        <w:r w:rsidR="00522EDE" w:rsidRPr="008B68A9">
          <w:rPr>
            <w:webHidden/>
          </w:rPr>
          <w:tab/>
        </w:r>
        <w:r w:rsidR="00522EDE" w:rsidRPr="008B68A9">
          <w:rPr>
            <w:webHidden/>
          </w:rPr>
          <w:fldChar w:fldCharType="begin"/>
        </w:r>
        <w:r w:rsidR="00522EDE" w:rsidRPr="008B68A9">
          <w:rPr>
            <w:webHidden/>
          </w:rPr>
          <w:instrText xml:space="preserve"> PAGEREF _Toc466800315 \h </w:instrText>
        </w:r>
        <w:r w:rsidR="00522EDE" w:rsidRPr="008B68A9">
          <w:rPr>
            <w:webHidden/>
          </w:rPr>
        </w:r>
        <w:r w:rsidR="00522EDE" w:rsidRPr="008B68A9">
          <w:rPr>
            <w:webHidden/>
          </w:rPr>
          <w:fldChar w:fldCharType="separate"/>
        </w:r>
        <w:r w:rsidR="00522EDE" w:rsidRPr="008B68A9">
          <w:rPr>
            <w:webHidden/>
          </w:rPr>
          <w:t>115</w:t>
        </w:r>
        <w:r w:rsidR="00522EDE" w:rsidRPr="008B68A9">
          <w:rPr>
            <w:webHidden/>
          </w:rPr>
          <w:fldChar w:fldCharType="end"/>
        </w:r>
      </w:hyperlink>
    </w:p>
    <w:p w14:paraId="0560074F" w14:textId="77777777" w:rsidR="00522EDE" w:rsidRPr="008B68A9" w:rsidRDefault="008B68A9">
      <w:pPr>
        <w:pStyle w:val="TOC3"/>
        <w:rPr>
          <w:rFonts w:eastAsiaTheme="minorEastAsia"/>
          <w:sz w:val="22"/>
          <w:lang w:eastAsia="en-GB"/>
        </w:rPr>
      </w:pPr>
      <w:hyperlink w:anchor="_Toc466800316" w:history="1">
        <w:r w:rsidR="00522EDE" w:rsidRPr="008B68A9">
          <w:rPr>
            <w:rStyle w:val="Hyperlink"/>
          </w:rPr>
          <w:t>4.3.3 Discourse</w:t>
        </w:r>
        <w:r w:rsidR="00522EDE" w:rsidRPr="008B68A9">
          <w:rPr>
            <w:webHidden/>
          </w:rPr>
          <w:tab/>
        </w:r>
        <w:r w:rsidR="00522EDE" w:rsidRPr="008B68A9">
          <w:rPr>
            <w:webHidden/>
          </w:rPr>
          <w:fldChar w:fldCharType="begin"/>
        </w:r>
        <w:r w:rsidR="00522EDE" w:rsidRPr="008B68A9">
          <w:rPr>
            <w:webHidden/>
          </w:rPr>
          <w:instrText xml:space="preserve"> PAGEREF _Toc466800316 \h </w:instrText>
        </w:r>
        <w:r w:rsidR="00522EDE" w:rsidRPr="008B68A9">
          <w:rPr>
            <w:webHidden/>
          </w:rPr>
        </w:r>
        <w:r w:rsidR="00522EDE" w:rsidRPr="008B68A9">
          <w:rPr>
            <w:webHidden/>
          </w:rPr>
          <w:fldChar w:fldCharType="separate"/>
        </w:r>
        <w:r w:rsidR="00522EDE" w:rsidRPr="008B68A9">
          <w:rPr>
            <w:webHidden/>
          </w:rPr>
          <w:t>117</w:t>
        </w:r>
        <w:r w:rsidR="00522EDE" w:rsidRPr="008B68A9">
          <w:rPr>
            <w:webHidden/>
          </w:rPr>
          <w:fldChar w:fldCharType="end"/>
        </w:r>
      </w:hyperlink>
    </w:p>
    <w:p w14:paraId="50050643" w14:textId="77777777" w:rsidR="00522EDE" w:rsidRPr="008B68A9" w:rsidRDefault="008B68A9">
      <w:pPr>
        <w:pStyle w:val="TOC3"/>
        <w:rPr>
          <w:rFonts w:eastAsiaTheme="minorEastAsia"/>
          <w:sz w:val="22"/>
          <w:lang w:eastAsia="en-GB"/>
        </w:rPr>
      </w:pPr>
      <w:hyperlink w:anchor="_Toc466800317" w:history="1">
        <w:r w:rsidR="00522EDE" w:rsidRPr="008B68A9">
          <w:rPr>
            <w:rStyle w:val="Hyperlink"/>
          </w:rPr>
          <w:t>4.3.4 Reflexivity</w:t>
        </w:r>
        <w:r w:rsidR="00522EDE" w:rsidRPr="008B68A9">
          <w:rPr>
            <w:webHidden/>
          </w:rPr>
          <w:tab/>
        </w:r>
        <w:r w:rsidR="00522EDE" w:rsidRPr="008B68A9">
          <w:rPr>
            <w:webHidden/>
          </w:rPr>
          <w:fldChar w:fldCharType="begin"/>
        </w:r>
        <w:r w:rsidR="00522EDE" w:rsidRPr="008B68A9">
          <w:rPr>
            <w:webHidden/>
          </w:rPr>
          <w:instrText xml:space="preserve"> PAGEREF _Toc466800317 \h </w:instrText>
        </w:r>
        <w:r w:rsidR="00522EDE" w:rsidRPr="008B68A9">
          <w:rPr>
            <w:webHidden/>
          </w:rPr>
        </w:r>
        <w:r w:rsidR="00522EDE" w:rsidRPr="008B68A9">
          <w:rPr>
            <w:webHidden/>
          </w:rPr>
          <w:fldChar w:fldCharType="separate"/>
        </w:r>
        <w:r w:rsidR="00522EDE" w:rsidRPr="008B68A9">
          <w:rPr>
            <w:webHidden/>
          </w:rPr>
          <w:t>118</w:t>
        </w:r>
        <w:r w:rsidR="00522EDE" w:rsidRPr="008B68A9">
          <w:rPr>
            <w:webHidden/>
          </w:rPr>
          <w:fldChar w:fldCharType="end"/>
        </w:r>
      </w:hyperlink>
    </w:p>
    <w:p w14:paraId="6BCE2AC1" w14:textId="77777777" w:rsidR="00522EDE" w:rsidRPr="008B68A9" w:rsidRDefault="008B68A9">
      <w:pPr>
        <w:pStyle w:val="TOC1"/>
        <w:rPr>
          <w:rFonts w:eastAsiaTheme="minorEastAsia"/>
          <w:sz w:val="22"/>
          <w:lang w:eastAsia="en-GB"/>
        </w:rPr>
      </w:pPr>
      <w:hyperlink w:anchor="_Toc466800318" w:history="1">
        <w:r w:rsidR="00522EDE" w:rsidRPr="008B68A9">
          <w:rPr>
            <w:rStyle w:val="Hyperlink"/>
          </w:rPr>
          <w:t>Chapter 5: The North West Personalisation studies</w:t>
        </w:r>
        <w:r w:rsidR="00522EDE" w:rsidRPr="008B68A9">
          <w:rPr>
            <w:webHidden/>
          </w:rPr>
          <w:tab/>
        </w:r>
        <w:r w:rsidR="00522EDE" w:rsidRPr="008B68A9">
          <w:rPr>
            <w:webHidden/>
          </w:rPr>
          <w:fldChar w:fldCharType="begin"/>
        </w:r>
        <w:r w:rsidR="00522EDE" w:rsidRPr="008B68A9">
          <w:rPr>
            <w:webHidden/>
          </w:rPr>
          <w:instrText xml:space="preserve"> PAGEREF _Toc466800318 \h </w:instrText>
        </w:r>
        <w:r w:rsidR="00522EDE" w:rsidRPr="008B68A9">
          <w:rPr>
            <w:webHidden/>
          </w:rPr>
        </w:r>
        <w:r w:rsidR="00522EDE" w:rsidRPr="008B68A9">
          <w:rPr>
            <w:webHidden/>
          </w:rPr>
          <w:fldChar w:fldCharType="separate"/>
        </w:r>
        <w:r w:rsidR="00522EDE" w:rsidRPr="008B68A9">
          <w:rPr>
            <w:webHidden/>
          </w:rPr>
          <w:t>120</w:t>
        </w:r>
        <w:r w:rsidR="00522EDE" w:rsidRPr="008B68A9">
          <w:rPr>
            <w:webHidden/>
          </w:rPr>
          <w:fldChar w:fldCharType="end"/>
        </w:r>
      </w:hyperlink>
    </w:p>
    <w:p w14:paraId="5F4B15F6" w14:textId="77777777" w:rsidR="00522EDE" w:rsidRPr="008B68A9" w:rsidRDefault="008B68A9">
      <w:pPr>
        <w:pStyle w:val="TOC2"/>
        <w:rPr>
          <w:rFonts w:eastAsiaTheme="minorEastAsia"/>
          <w:sz w:val="22"/>
          <w:lang w:eastAsia="en-GB"/>
        </w:rPr>
      </w:pPr>
      <w:hyperlink w:anchor="_Toc466800319" w:history="1">
        <w:r w:rsidR="00522EDE" w:rsidRPr="008B68A9">
          <w:rPr>
            <w:rStyle w:val="Hyperlink"/>
          </w:rPr>
          <w:t>5.1 Introduction</w:t>
        </w:r>
        <w:r w:rsidR="00522EDE" w:rsidRPr="008B68A9">
          <w:rPr>
            <w:webHidden/>
          </w:rPr>
          <w:tab/>
        </w:r>
        <w:r w:rsidR="00522EDE" w:rsidRPr="008B68A9">
          <w:rPr>
            <w:webHidden/>
          </w:rPr>
          <w:fldChar w:fldCharType="begin"/>
        </w:r>
        <w:r w:rsidR="00522EDE" w:rsidRPr="008B68A9">
          <w:rPr>
            <w:webHidden/>
          </w:rPr>
          <w:instrText xml:space="preserve"> PAGEREF _Toc466800319 \h </w:instrText>
        </w:r>
        <w:r w:rsidR="00522EDE" w:rsidRPr="008B68A9">
          <w:rPr>
            <w:webHidden/>
          </w:rPr>
        </w:r>
        <w:r w:rsidR="00522EDE" w:rsidRPr="008B68A9">
          <w:rPr>
            <w:webHidden/>
          </w:rPr>
          <w:fldChar w:fldCharType="separate"/>
        </w:r>
        <w:r w:rsidR="00522EDE" w:rsidRPr="008B68A9">
          <w:rPr>
            <w:webHidden/>
          </w:rPr>
          <w:t>120</w:t>
        </w:r>
        <w:r w:rsidR="00522EDE" w:rsidRPr="008B68A9">
          <w:rPr>
            <w:webHidden/>
          </w:rPr>
          <w:fldChar w:fldCharType="end"/>
        </w:r>
      </w:hyperlink>
    </w:p>
    <w:p w14:paraId="5E967547" w14:textId="77777777" w:rsidR="00522EDE" w:rsidRPr="008B68A9" w:rsidRDefault="008B68A9">
      <w:pPr>
        <w:pStyle w:val="TOC3"/>
        <w:rPr>
          <w:rFonts w:eastAsiaTheme="minorEastAsia"/>
          <w:sz w:val="22"/>
          <w:lang w:eastAsia="en-GB"/>
        </w:rPr>
      </w:pPr>
      <w:hyperlink w:anchor="_Toc466800320" w:history="1">
        <w:r w:rsidR="00522EDE" w:rsidRPr="008B68A9">
          <w:rPr>
            <w:rStyle w:val="Hyperlink"/>
          </w:rPr>
          <w:t>5.1.1 Responding to bias</w:t>
        </w:r>
        <w:r w:rsidR="00522EDE" w:rsidRPr="008B68A9">
          <w:rPr>
            <w:webHidden/>
          </w:rPr>
          <w:tab/>
        </w:r>
        <w:r w:rsidR="00522EDE" w:rsidRPr="008B68A9">
          <w:rPr>
            <w:webHidden/>
          </w:rPr>
          <w:fldChar w:fldCharType="begin"/>
        </w:r>
        <w:r w:rsidR="00522EDE" w:rsidRPr="008B68A9">
          <w:rPr>
            <w:webHidden/>
          </w:rPr>
          <w:instrText xml:space="preserve"> PAGEREF _Toc466800320 \h </w:instrText>
        </w:r>
        <w:r w:rsidR="00522EDE" w:rsidRPr="008B68A9">
          <w:rPr>
            <w:webHidden/>
          </w:rPr>
        </w:r>
        <w:r w:rsidR="00522EDE" w:rsidRPr="008B68A9">
          <w:rPr>
            <w:webHidden/>
          </w:rPr>
          <w:fldChar w:fldCharType="separate"/>
        </w:r>
        <w:r w:rsidR="00522EDE" w:rsidRPr="008B68A9">
          <w:rPr>
            <w:webHidden/>
          </w:rPr>
          <w:t>121</w:t>
        </w:r>
        <w:r w:rsidR="00522EDE" w:rsidRPr="008B68A9">
          <w:rPr>
            <w:webHidden/>
          </w:rPr>
          <w:fldChar w:fldCharType="end"/>
        </w:r>
      </w:hyperlink>
    </w:p>
    <w:p w14:paraId="4D1E08BF" w14:textId="77777777" w:rsidR="00522EDE" w:rsidRPr="008B68A9" w:rsidRDefault="008B68A9">
      <w:pPr>
        <w:pStyle w:val="TOC2"/>
        <w:rPr>
          <w:rFonts w:eastAsiaTheme="minorEastAsia"/>
          <w:sz w:val="22"/>
          <w:lang w:eastAsia="en-GB"/>
        </w:rPr>
      </w:pPr>
      <w:hyperlink w:anchor="_Toc466800321" w:history="1">
        <w:r w:rsidR="00522EDE" w:rsidRPr="008B68A9">
          <w:rPr>
            <w:rStyle w:val="Hyperlink"/>
          </w:rPr>
          <w:t>5.2 Research settings</w:t>
        </w:r>
        <w:r w:rsidR="00522EDE" w:rsidRPr="008B68A9">
          <w:rPr>
            <w:webHidden/>
          </w:rPr>
          <w:tab/>
        </w:r>
        <w:r w:rsidR="00522EDE" w:rsidRPr="008B68A9">
          <w:rPr>
            <w:webHidden/>
          </w:rPr>
          <w:fldChar w:fldCharType="begin"/>
        </w:r>
        <w:r w:rsidR="00522EDE" w:rsidRPr="008B68A9">
          <w:rPr>
            <w:webHidden/>
          </w:rPr>
          <w:instrText xml:space="preserve"> PAGEREF _Toc466800321 \h </w:instrText>
        </w:r>
        <w:r w:rsidR="00522EDE" w:rsidRPr="008B68A9">
          <w:rPr>
            <w:webHidden/>
          </w:rPr>
        </w:r>
        <w:r w:rsidR="00522EDE" w:rsidRPr="008B68A9">
          <w:rPr>
            <w:webHidden/>
          </w:rPr>
          <w:fldChar w:fldCharType="separate"/>
        </w:r>
        <w:r w:rsidR="00522EDE" w:rsidRPr="008B68A9">
          <w:rPr>
            <w:webHidden/>
          </w:rPr>
          <w:t>121</w:t>
        </w:r>
        <w:r w:rsidR="00522EDE" w:rsidRPr="008B68A9">
          <w:rPr>
            <w:webHidden/>
          </w:rPr>
          <w:fldChar w:fldCharType="end"/>
        </w:r>
      </w:hyperlink>
    </w:p>
    <w:p w14:paraId="14426D11" w14:textId="77777777" w:rsidR="00522EDE" w:rsidRPr="008B68A9" w:rsidRDefault="008B68A9">
      <w:pPr>
        <w:pStyle w:val="TOC3"/>
        <w:rPr>
          <w:rFonts w:eastAsiaTheme="minorEastAsia"/>
          <w:sz w:val="22"/>
          <w:lang w:eastAsia="en-GB"/>
        </w:rPr>
      </w:pPr>
      <w:hyperlink w:anchor="_Toc466800322" w:history="1">
        <w:r w:rsidR="00522EDE" w:rsidRPr="008B68A9">
          <w:rPr>
            <w:rStyle w:val="Hyperlink"/>
          </w:rPr>
          <w:t>5.2.1 A statement on ethics</w:t>
        </w:r>
        <w:r w:rsidR="00522EDE" w:rsidRPr="008B68A9">
          <w:rPr>
            <w:webHidden/>
          </w:rPr>
          <w:tab/>
        </w:r>
        <w:r w:rsidR="00522EDE" w:rsidRPr="008B68A9">
          <w:rPr>
            <w:webHidden/>
          </w:rPr>
          <w:fldChar w:fldCharType="begin"/>
        </w:r>
        <w:r w:rsidR="00522EDE" w:rsidRPr="008B68A9">
          <w:rPr>
            <w:webHidden/>
          </w:rPr>
          <w:instrText xml:space="preserve"> PAGEREF _Toc466800322 \h </w:instrText>
        </w:r>
        <w:r w:rsidR="00522EDE" w:rsidRPr="008B68A9">
          <w:rPr>
            <w:webHidden/>
          </w:rPr>
        </w:r>
        <w:r w:rsidR="00522EDE" w:rsidRPr="008B68A9">
          <w:rPr>
            <w:webHidden/>
          </w:rPr>
          <w:fldChar w:fldCharType="separate"/>
        </w:r>
        <w:r w:rsidR="00522EDE" w:rsidRPr="008B68A9">
          <w:rPr>
            <w:webHidden/>
          </w:rPr>
          <w:t>123</w:t>
        </w:r>
        <w:r w:rsidR="00522EDE" w:rsidRPr="008B68A9">
          <w:rPr>
            <w:webHidden/>
          </w:rPr>
          <w:fldChar w:fldCharType="end"/>
        </w:r>
      </w:hyperlink>
    </w:p>
    <w:p w14:paraId="535EEB4F" w14:textId="77777777" w:rsidR="00522EDE" w:rsidRPr="008B68A9" w:rsidRDefault="008B68A9">
      <w:pPr>
        <w:pStyle w:val="TOC2"/>
        <w:rPr>
          <w:rFonts w:eastAsiaTheme="minorEastAsia"/>
          <w:sz w:val="22"/>
          <w:lang w:eastAsia="en-GB"/>
        </w:rPr>
      </w:pPr>
      <w:hyperlink w:anchor="_Toc466800323" w:history="1">
        <w:r w:rsidR="00522EDE" w:rsidRPr="008B68A9">
          <w:rPr>
            <w:rStyle w:val="Hyperlink"/>
          </w:rPr>
          <w:t>5.3 Study 1: A pilot study exploring the use of individual recovery budgets across mental health early intervention teams in a North West city</w:t>
        </w:r>
        <w:r w:rsidR="00522EDE" w:rsidRPr="008B68A9">
          <w:rPr>
            <w:webHidden/>
          </w:rPr>
          <w:tab/>
        </w:r>
        <w:r w:rsidR="00522EDE" w:rsidRPr="008B68A9">
          <w:rPr>
            <w:webHidden/>
          </w:rPr>
          <w:fldChar w:fldCharType="begin"/>
        </w:r>
        <w:r w:rsidR="00522EDE" w:rsidRPr="008B68A9">
          <w:rPr>
            <w:webHidden/>
          </w:rPr>
          <w:instrText xml:space="preserve"> PAGEREF _Toc466800323 \h </w:instrText>
        </w:r>
        <w:r w:rsidR="00522EDE" w:rsidRPr="008B68A9">
          <w:rPr>
            <w:webHidden/>
          </w:rPr>
        </w:r>
        <w:r w:rsidR="00522EDE" w:rsidRPr="008B68A9">
          <w:rPr>
            <w:webHidden/>
          </w:rPr>
          <w:fldChar w:fldCharType="separate"/>
        </w:r>
        <w:r w:rsidR="00522EDE" w:rsidRPr="008B68A9">
          <w:rPr>
            <w:webHidden/>
          </w:rPr>
          <w:t>124</w:t>
        </w:r>
        <w:r w:rsidR="00522EDE" w:rsidRPr="008B68A9">
          <w:rPr>
            <w:webHidden/>
          </w:rPr>
          <w:fldChar w:fldCharType="end"/>
        </w:r>
      </w:hyperlink>
    </w:p>
    <w:p w14:paraId="7B761022" w14:textId="77777777" w:rsidR="00522EDE" w:rsidRPr="008B68A9" w:rsidRDefault="008B68A9">
      <w:pPr>
        <w:pStyle w:val="TOC3"/>
        <w:rPr>
          <w:rFonts w:eastAsiaTheme="minorEastAsia"/>
          <w:sz w:val="22"/>
          <w:lang w:eastAsia="en-GB"/>
        </w:rPr>
      </w:pPr>
      <w:hyperlink w:anchor="_Toc466800324" w:history="1">
        <w:r w:rsidR="00522EDE" w:rsidRPr="008B68A9">
          <w:rPr>
            <w:rStyle w:val="Hyperlink"/>
          </w:rPr>
          <w:t>5.3.1 Summary</w:t>
        </w:r>
        <w:r w:rsidR="00522EDE" w:rsidRPr="008B68A9">
          <w:rPr>
            <w:webHidden/>
          </w:rPr>
          <w:tab/>
        </w:r>
        <w:r w:rsidR="00522EDE" w:rsidRPr="008B68A9">
          <w:rPr>
            <w:webHidden/>
          </w:rPr>
          <w:fldChar w:fldCharType="begin"/>
        </w:r>
        <w:r w:rsidR="00522EDE" w:rsidRPr="008B68A9">
          <w:rPr>
            <w:webHidden/>
          </w:rPr>
          <w:instrText xml:space="preserve"> PAGEREF _Toc466800324 \h </w:instrText>
        </w:r>
        <w:r w:rsidR="00522EDE" w:rsidRPr="008B68A9">
          <w:rPr>
            <w:webHidden/>
          </w:rPr>
        </w:r>
        <w:r w:rsidR="00522EDE" w:rsidRPr="008B68A9">
          <w:rPr>
            <w:webHidden/>
          </w:rPr>
          <w:fldChar w:fldCharType="separate"/>
        </w:r>
        <w:r w:rsidR="00522EDE" w:rsidRPr="008B68A9">
          <w:rPr>
            <w:webHidden/>
          </w:rPr>
          <w:t>124</w:t>
        </w:r>
        <w:r w:rsidR="00522EDE" w:rsidRPr="008B68A9">
          <w:rPr>
            <w:webHidden/>
          </w:rPr>
          <w:fldChar w:fldCharType="end"/>
        </w:r>
      </w:hyperlink>
    </w:p>
    <w:p w14:paraId="7B55F1C4" w14:textId="77777777" w:rsidR="00522EDE" w:rsidRPr="008B68A9" w:rsidRDefault="008B68A9">
      <w:pPr>
        <w:pStyle w:val="TOC3"/>
        <w:rPr>
          <w:rFonts w:eastAsiaTheme="minorEastAsia"/>
          <w:sz w:val="22"/>
          <w:lang w:eastAsia="en-GB"/>
        </w:rPr>
      </w:pPr>
      <w:hyperlink w:anchor="_Toc466800325" w:history="1">
        <w:r w:rsidR="00522EDE" w:rsidRPr="008B68A9">
          <w:rPr>
            <w:rStyle w:val="Hyperlink"/>
          </w:rPr>
          <w:t>5.3.2 Aims of evaluation</w:t>
        </w:r>
        <w:r w:rsidR="00522EDE" w:rsidRPr="008B68A9">
          <w:rPr>
            <w:webHidden/>
          </w:rPr>
          <w:tab/>
        </w:r>
        <w:r w:rsidR="00522EDE" w:rsidRPr="008B68A9">
          <w:rPr>
            <w:webHidden/>
          </w:rPr>
          <w:fldChar w:fldCharType="begin"/>
        </w:r>
        <w:r w:rsidR="00522EDE" w:rsidRPr="008B68A9">
          <w:rPr>
            <w:webHidden/>
          </w:rPr>
          <w:instrText xml:space="preserve"> PAGEREF _Toc466800325 \h </w:instrText>
        </w:r>
        <w:r w:rsidR="00522EDE" w:rsidRPr="008B68A9">
          <w:rPr>
            <w:webHidden/>
          </w:rPr>
        </w:r>
        <w:r w:rsidR="00522EDE" w:rsidRPr="008B68A9">
          <w:rPr>
            <w:webHidden/>
          </w:rPr>
          <w:fldChar w:fldCharType="separate"/>
        </w:r>
        <w:r w:rsidR="00522EDE" w:rsidRPr="008B68A9">
          <w:rPr>
            <w:webHidden/>
          </w:rPr>
          <w:t>124</w:t>
        </w:r>
        <w:r w:rsidR="00522EDE" w:rsidRPr="008B68A9">
          <w:rPr>
            <w:webHidden/>
          </w:rPr>
          <w:fldChar w:fldCharType="end"/>
        </w:r>
      </w:hyperlink>
    </w:p>
    <w:p w14:paraId="2B28F181" w14:textId="77777777" w:rsidR="00522EDE" w:rsidRPr="008B68A9" w:rsidRDefault="008B68A9">
      <w:pPr>
        <w:pStyle w:val="TOC3"/>
        <w:rPr>
          <w:rFonts w:eastAsiaTheme="minorEastAsia"/>
          <w:sz w:val="22"/>
          <w:lang w:eastAsia="en-GB"/>
        </w:rPr>
      </w:pPr>
      <w:hyperlink w:anchor="_Toc466800326" w:history="1">
        <w:r w:rsidR="00522EDE" w:rsidRPr="008B68A9">
          <w:rPr>
            <w:rStyle w:val="Hyperlink"/>
          </w:rPr>
          <w:t>5.3.3 Method</w:t>
        </w:r>
        <w:r w:rsidR="00522EDE" w:rsidRPr="008B68A9">
          <w:rPr>
            <w:webHidden/>
          </w:rPr>
          <w:tab/>
        </w:r>
        <w:r w:rsidR="00522EDE" w:rsidRPr="008B68A9">
          <w:rPr>
            <w:webHidden/>
          </w:rPr>
          <w:fldChar w:fldCharType="begin"/>
        </w:r>
        <w:r w:rsidR="00522EDE" w:rsidRPr="008B68A9">
          <w:rPr>
            <w:webHidden/>
          </w:rPr>
          <w:instrText xml:space="preserve"> PAGEREF _Toc466800326 \h </w:instrText>
        </w:r>
        <w:r w:rsidR="00522EDE" w:rsidRPr="008B68A9">
          <w:rPr>
            <w:webHidden/>
          </w:rPr>
        </w:r>
        <w:r w:rsidR="00522EDE" w:rsidRPr="008B68A9">
          <w:rPr>
            <w:webHidden/>
          </w:rPr>
          <w:fldChar w:fldCharType="separate"/>
        </w:r>
        <w:r w:rsidR="00522EDE" w:rsidRPr="008B68A9">
          <w:rPr>
            <w:webHidden/>
          </w:rPr>
          <w:t>125</w:t>
        </w:r>
        <w:r w:rsidR="00522EDE" w:rsidRPr="008B68A9">
          <w:rPr>
            <w:webHidden/>
          </w:rPr>
          <w:fldChar w:fldCharType="end"/>
        </w:r>
      </w:hyperlink>
    </w:p>
    <w:p w14:paraId="5CC59ABC" w14:textId="77777777" w:rsidR="00522EDE" w:rsidRPr="008B68A9" w:rsidRDefault="008B68A9">
      <w:pPr>
        <w:pStyle w:val="TOC3"/>
        <w:rPr>
          <w:rFonts w:eastAsiaTheme="minorEastAsia"/>
          <w:sz w:val="22"/>
          <w:lang w:eastAsia="en-GB"/>
        </w:rPr>
      </w:pPr>
      <w:hyperlink w:anchor="_Toc466800327" w:history="1">
        <w:r w:rsidR="00522EDE" w:rsidRPr="008B68A9">
          <w:rPr>
            <w:rStyle w:val="Hyperlink"/>
          </w:rPr>
          <w:t>5.3.4 Sample</w:t>
        </w:r>
        <w:r w:rsidR="00522EDE" w:rsidRPr="008B68A9">
          <w:rPr>
            <w:webHidden/>
          </w:rPr>
          <w:tab/>
        </w:r>
        <w:r w:rsidR="00522EDE" w:rsidRPr="008B68A9">
          <w:rPr>
            <w:webHidden/>
          </w:rPr>
          <w:fldChar w:fldCharType="begin"/>
        </w:r>
        <w:r w:rsidR="00522EDE" w:rsidRPr="008B68A9">
          <w:rPr>
            <w:webHidden/>
          </w:rPr>
          <w:instrText xml:space="preserve"> PAGEREF _Toc466800327 \h </w:instrText>
        </w:r>
        <w:r w:rsidR="00522EDE" w:rsidRPr="008B68A9">
          <w:rPr>
            <w:webHidden/>
          </w:rPr>
        </w:r>
        <w:r w:rsidR="00522EDE" w:rsidRPr="008B68A9">
          <w:rPr>
            <w:webHidden/>
          </w:rPr>
          <w:fldChar w:fldCharType="separate"/>
        </w:r>
        <w:r w:rsidR="00522EDE" w:rsidRPr="008B68A9">
          <w:rPr>
            <w:webHidden/>
          </w:rPr>
          <w:t>125</w:t>
        </w:r>
        <w:r w:rsidR="00522EDE" w:rsidRPr="008B68A9">
          <w:rPr>
            <w:webHidden/>
          </w:rPr>
          <w:fldChar w:fldCharType="end"/>
        </w:r>
      </w:hyperlink>
    </w:p>
    <w:p w14:paraId="23CDF2F8" w14:textId="77777777" w:rsidR="00522EDE" w:rsidRPr="008B68A9" w:rsidRDefault="008B68A9">
      <w:pPr>
        <w:pStyle w:val="TOC3"/>
        <w:rPr>
          <w:rFonts w:eastAsiaTheme="minorEastAsia"/>
          <w:sz w:val="22"/>
          <w:lang w:eastAsia="en-GB"/>
        </w:rPr>
      </w:pPr>
      <w:hyperlink w:anchor="_Toc466800328" w:history="1">
        <w:r w:rsidR="00522EDE" w:rsidRPr="008B68A9">
          <w:rPr>
            <w:rStyle w:val="Hyperlink"/>
          </w:rPr>
          <w:t>5.3.5 Outcomes for IRB recipients</w:t>
        </w:r>
        <w:r w:rsidR="00522EDE" w:rsidRPr="008B68A9">
          <w:rPr>
            <w:webHidden/>
          </w:rPr>
          <w:tab/>
        </w:r>
        <w:r w:rsidR="00522EDE" w:rsidRPr="008B68A9">
          <w:rPr>
            <w:webHidden/>
          </w:rPr>
          <w:fldChar w:fldCharType="begin"/>
        </w:r>
        <w:r w:rsidR="00522EDE" w:rsidRPr="008B68A9">
          <w:rPr>
            <w:webHidden/>
          </w:rPr>
          <w:instrText xml:space="preserve"> PAGEREF _Toc466800328 \h </w:instrText>
        </w:r>
        <w:r w:rsidR="00522EDE" w:rsidRPr="008B68A9">
          <w:rPr>
            <w:webHidden/>
          </w:rPr>
        </w:r>
        <w:r w:rsidR="00522EDE" w:rsidRPr="008B68A9">
          <w:rPr>
            <w:webHidden/>
          </w:rPr>
          <w:fldChar w:fldCharType="separate"/>
        </w:r>
        <w:r w:rsidR="00522EDE" w:rsidRPr="008B68A9">
          <w:rPr>
            <w:webHidden/>
          </w:rPr>
          <w:t>125</w:t>
        </w:r>
        <w:r w:rsidR="00522EDE" w:rsidRPr="008B68A9">
          <w:rPr>
            <w:webHidden/>
          </w:rPr>
          <w:fldChar w:fldCharType="end"/>
        </w:r>
      </w:hyperlink>
    </w:p>
    <w:p w14:paraId="2EEED150" w14:textId="77777777" w:rsidR="00522EDE" w:rsidRPr="008B68A9" w:rsidRDefault="008B68A9">
      <w:pPr>
        <w:pStyle w:val="TOC3"/>
        <w:rPr>
          <w:rFonts w:eastAsiaTheme="minorEastAsia"/>
          <w:sz w:val="22"/>
          <w:lang w:eastAsia="en-GB"/>
        </w:rPr>
      </w:pPr>
      <w:hyperlink w:anchor="_Toc466800329" w:history="1">
        <w:r w:rsidR="00522EDE" w:rsidRPr="008B68A9">
          <w:rPr>
            <w:rStyle w:val="Hyperlink"/>
          </w:rPr>
          <w:t>5.3.6 Practitioner experience: The impact of IRBs on ways of working</w:t>
        </w:r>
        <w:r w:rsidR="00522EDE" w:rsidRPr="008B68A9">
          <w:rPr>
            <w:webHidden/>
          </w:rPr>
          <w:tab/>
        </w:r>
        <w:r w:rsidR="00522EDE" w:rsidRPr="008B68A9">
          <w:rPr>
            <w:webHidden/>
          </w:rPr>
          <w:fldChar w:fldCharType="begin"/>
        </w:r>
        <w:r w:rsidR="00522EDE" w:rsidRPr="008B68A9">
          <w:rPr>
            <w:webHidden/>
          </w:rPr>
          <w:instrText xml:space="preserve"> PAGEREF _Toc466800329 \h </w:instrText>
        </w:r>
        <w:r w:rsidR="00522EDE" w:rsidRPr="008B68A9">
          <w:rPr>
            <w:webHidden/>
          </w:rPr>
        </w:r>
        <w:r w:rsidR="00522EDE" w:rsidRPr="008B68A9">
          <w:rPr>
            <w:webHidden/>
          </w:rPr>
          <w:fldChar w:fldCharType="separate"/>
        </w:r>
        <w:r w:rsidR="00522EDE" w:rsidRPr="008B68A9">
          <w:rPr>
            <w:webHidden/>
          </w:rPr>
          <w:t>126</w:t>
        </w:r>
        <w:r w:rsidR="00522EDE" w:rsidRPr="008B68A9">
          <w:rPr>
            <w:webHidden/>
          </w:rPr>
          <w:fldChar w:fldCharType="end"/>
        </w:r>
      </w:hyperlink>
    </w:p>
    <w:p w14:paraId="1AE0ACE7" w14:textId="77777777" w:rsidR="00522EDE" w:rsidRPr="008B68A9" w:rsidRDefault="008B68A9">
      <w:pPr>
        <w:pStyle w:val="TOC3"/>
        <w:rPr>
          <w:rFonts w:eastAsiaTheme="minorEastAsia"/>
          <w:sz w:val="22"/>
          <w:lang w:eastAsia="en-GB"/>
        </w:rPr>
      </w:pPr>
      <w:hyperlink w:anchor="_Toc466800330" w:history="1">
        <w:r w:rsidR="00522EDE" w:rsidRPr="008B68A9">
          <w:rPr>
            <w:rStyle w:val="Hyperlink"/>
          </w:rPr>
          <w:t>5.3.7 Commentary and reflexivity</w:t>
        </w:r>
        <w:r w:rsidR="00522EDE" w:rsidRPr="008B68A9">
          <w:rPr>
            <w:webHidden/>
          </w:rPr>
          <w:tab/>
        </w:r>
        <w:r w:rsidR="00522EDE" w:rsidRPr="008B68A9">
          <w:rPr>
            <w:webHidden/>
          </w:rPr>
          <w:fldChar w:fldCharType="begin"/>
        </w:r>
        <w:r w:rsidR="00522EDE" w:rsidRPr="008B68A9">
          <w:rPr>
            <w:webHidden/>
          </w:rPr>
          <w:instrText xml:space="preserve"> PAGEREF _Toc466800330 \h </w:instrText>
        </w:r>
        <w:r w:rsidR="00522EDE" w:rsidRPr="008B68A9">
          <w:rPr>
            <w:webHidden/>
          </w:rPr>
        </w:r>
        <w:r w:rsidR="00522EDE" w:rsidRPr="008B68A9">
          <w:rPr>
            <w:webHidden/>
          </w:rPr>
          <w:fldChar w:fldCharType="separate"/>
        </w:r>
        <w:r w:rsidR="00522EDE" w:rsidRPr="008B68A9">
          <w:rPr>
            <w:webHidden/>
          </w:rPr>
          <w:t>128</w:t>
        </w:r>
        <w:r w:rsidR="00522EDE" w:rsidRPr="008B68A9">
          <w:rPr>
            <w:webHidden/>
          </w:rPr>
          <w:fldChar w:fldCharType="end"/>
        </w:r>
      </w:hyperlink>
    </w:p>
    <w:p w14:paraId="3855CE4B" w14:textId="77777777" w:rsidR="00522EDE" w:rsidRPr="008B68A9" w:rsidRDefault="008B68A9">
      <w:pPr>
        <w:pStyle w:val="TOC2"/>
        <w:rPr>
          <w:rFonts w:eastAsiaTheme="minorEastAsia"/>
          <w:sz w:val="22"/>
          <w:lang w:eastAsia="en-GB"/>
        </w:rPr>
      </w:pPr>
      <w:hyperlink w:anchor="_Toc466800331" w:history="1">
        <w:r w:rsidR="00522EDE" w:rsidRPr="008B68A9">
          <w:rPr>
            <w:rStyle w:val="Hyperlink"/>
          </w:rPr>
          <w:t>5.4 Study 2: A pilot study evaluation exploring the implementation of self-directed support and brokerage in a North West Metropolitan Council</w:t>
        </w:r>
        <w:r w:rsidR="00522EDE" w:rsidRPr="008B68A9">
          <w:rPr>
            <w:webHidden/>
          </w:rPr>
          <w:tab/>
        </w:r>
        <w:r w:rsidR="00522EDE" w:rsidRPr="008B68A9">
          <w:rPr>
            <w:webHidden/>
          </w:rPr>
          <w:fldChar w:fldCharType="begin"/>
        </w:r>
        <w:r w:rsidR="00522EDE" w:rsidRPr="008B68A9">
          <w:rPr>
            <w:webHidden/>
          </w:rPr>
          <w:instrText xml:space="preserve"> PAGEREF _Toc466800331 \h </w:instrText>
        </w:r>
        <w:r w:rsidR="00522EDE" w:rsidRPr="008B68A9">
          <w:rPr>
            <w:webHidden/>
          </w:rPr>
        </w:r>
        <w:r w:rsidR="00522EDE" w:rsidRPr="008B68A9">
          <w:rPr>
            <w:webHidden/>
          </w:rPr>
          <w:fldChar w:fldCharType="separate"/>
        </w:r>
        <w:r w:rsidR="00522EDE" w:rsidRPr="008B68A9">
          <w:rPr>
            <w:webHidden/>
          </w:rPr>
          <w:t>130</w:t>
        </w:r>
        <w:r w:rsidR="00522EDE" w:rsidRPr="008B68A9">
          <w:rPr>
            <w:webHidden/>
          </w:rPr>
          <w:fldChar w:fldCharType="end"/>
        </w:r>
      </w:hyperlink>
    </w:p>
    <w:p w14:paraId="4ED7EBD0" w14:textId="77777777" w:rsidR="00522EDE" w:rsidRPr="008B68A9" w:rsidRDefault="008B68A9">
      <w:pPr>
        <w:pStyle w:val="TOC3"/>
        <w:rPr>
          <w:rFonts w:eastAsiaTheme="minorEastAsia"/>
          <w:sz w:val="22"/>
          <w:lang w:eastAsia="en-GB"/>
        </w:rPr>
      </w:pPr>
      <w:hyperlink w:anchor="_Toc466800332" w:history="1">
        <w:r w:rsidR="00522EDE" w:rsidRPr="008B68A9">
          <w:rPr>
            <w:rStyle w:val="Hyperlink"/>
          </w:rPr>
          <w:t>5.4.1 Summary of evaluation</w:t>
        </w:r>
        <w:r w:rsidR="00522EDE" w:rsidRPr="008B68A9">
          <w:rPr>
            <w:webHidden/>
          </w:rPr>
          <w:tab/>
        </w:r>
        <w:r w:rsidR="00522EDE" w:rsidRPr="008B68A9">
          <w:rPr>
            <w:webHidden/>
          </w:rPr>
          <w:fldChar w:fldCharType="begin"/>
        </w:r>
        <w:r w:rsidR="00522EDE" w:rsidRPr="008B68A9">
          <w:rPr>
            <w:webHidden/>
          </w:rPr>
          <w:instrText xml:space="preserve"> PAGEREF _Toc466800332 \h </w:instrText>
        </w:r>
        <w:r w:rsidR="00522EDE" w:rsidRPr="008B68A9">
          <w:rPr>
            <w:webHidden/>
          </w:rPr>
        </w:r>
        <w:r w:rsidR="00522EDE" w:rsidRPr="008B68A9">
          <w:rPr>
            <w:webHidden/>
          </w:rPr>
          <w:fldChar w:fldCharType="separate"/>
        </w:r>
        <w:r w:rsidR="00522EDE" w:rsidRPr="008B68A9">
          <w:rPr>
            <w:webHidden/>
          </w:rPr>
          <w:t>130</w:t>
        </w:r>
        <w:r w:rsidR="00522EDE" w:rsidRPr="008B68A9">
          <w:rPr>
            <w:webHidden/>
          </w:rPr>
          <w:fldChar w:fldCharType="end"/>
        </w:r>
      </w:hyperlink>
    </w:p>
    <w:p w14:paraId="4C7E58DD" w14:textId="77777777" w:rsidR="00522EDE" w:rsidRPr="008B68A9" w:rsidRDefault="008B68A9">
      <w:pPr>
        <w:pStyle w:val="TOC3"/>
        <w:rPr>
          <w:rFonts w:eastAsiaTheme="minorEastAsia"/>
          <w:sz w:val="22"/>
          <w:lang w:eastAsia="en-GB"/>
        </w:rPr>
      </w:pPr>
      <w:hyperlink w:anchor="_Toc466800333" w:history="1">
        <w:r w:rsidR="00522EDE" w:rsidRPr="008B68A9">
          <w:rPr>
            <w:rStyle w:val="Hyperlink"/>
          </w:rPr>
          <w:t>5.4.2 Aims</w:t>
        </w:r>
        <w:r w:rsidR="00522EDE" w:rsidRPr="008B68A9">
          <w:rPr>
            <w:webHidden/>
          </w:rPr>
          <w:tab/>
        </w:r>
        <w:r w:rsidR="00522EDE" w:rsidRPr="008B68A9">
          <w:rPr>
            <w:webHidden/>
          </w:rPr>
          <w:fldChar w:fldCharType="begin"/>
        </w:r>
        <w:r w:rsidR="00522EDE" w:rsidRPr="008B68A9">
          <w:rPr>
            <w:webHidden/>
          </w:rPr>
          <w:instrText xml:space="preserve"> PAGEREF _Toc466800333 \h </w:instrText>
        </w:r>
        <w:r w:rsidR="00522EDE" w:rsidRPr="008B68A9">
          <w:rPr>
            <w:webHidden/>
          </w:rPr>
        </w:r>
        <w:r w:rsidR="00522EDE" w:rsidRPr="008B68A9">
          <w:rPr>
            <w:webHidden/>
          </w:rPr>
          <w:fldChar w:fldCharType="separate"/>
        </w:r>
        <w:r w:rsidR="00522EDE" w:rsidRPr="008B68A9">
          <w:rPr>
            <w:webHidden/>
          </w:rPr>
          <w:t>130</w:t>
        </w:r>
        <w:r w:rsidR="00522EDE" w:rsidRPr="008B68A9">
          <w:rPr>
            <w:webHidden/>
          </w:rPr>
          <w:fldChar w:fldCharType="end"/>
        </w:r>
      </w:hyperlink>
    </w:p>
    <w:p w14:paraId="2623E902" w14:textId="77777777" w:rsidR="00522EDE" w:rsidRPr="008B68A9" w:rsidRDefault="008B68A9">
      <w:pPr>
        <w:pStyle w:val="TOC3"/>
        <w:rPr>
          <w:rFonts w:eastAsiaTheme="minorEastAsia"/>
          <w:sz w:val="22"/>
          <w:lang w:eastAsia="en-GB"/>
        </w:rPr>
      </w:pPr>
      <w:hyperlink w:anchor="_Toc466800334" w:history="1">
        <w:r w:rsidR="00522EDE" w:rsidRPr="008B68A9">
          <w:rPr>
            <w:rStyle w:val="Hyperlink"/>
          </w:rPr>
          <w:t>5.4.3 Method</w:t>
        </w:r>
        <w:r w:rsidR="00522EDE" w:rsidRPr="008B68A9">
          <w:rPr>
            <w:webHidden/>
          </w:rPr>
          <w:tab/>
        </w:r>
        <w:r w:rsidR="00522EDE" w:rsidRPr="008B68A9">
          <w:rPr>
            <w:webHidden/>
          </w:rPr>
          <w:fldChar w:fldCharType="begin"/>
        </w:r>
        <w:r w:rsidR="00522EDE" w:rsidRPr="008B68A9">
          <w:rPr>
            <w:webHidden/>
          </w:rPr>
          <w:instrText xml:space="preserve"> PAGEREF _Toc466800334 \h </w:instrText>
        </w:r>
        <w:r w:rsidR="00522EDE" w:rsidRPr="008B68A9">
          <w:rPr>
            <w:webHidden/>
          </w:rPr>
        </w:r>
        <w:r w:rsidR="00522EDE" w:rsidRPr="008B68A9">
          <w:rPr>
            <w:webHidden/>
          </w:rPr>
          <w:fldChar w:fldCharType="separate"/>
        </w:r>
        <w:r w:rsidR="00522EDE" w:rsidRPr="008B68A9">
          <w:rPr>
            <w:webHidden/>
          </w:rPr>
          <w:t>130</w:t>
        </w:r>
        <w:r w:rsidR="00522EDE" w:rsidRPr="008B68A9">
          <w:rPr>
            <w:webHidden/>
          </w:rPr>
          <w:fldChar w:fldCharType="end"/>
        </w:r>
      </w:hyperlink>
    </w:p>
    <w:p w14:paraId="4AAEB995" w14:textId="77777777" w:rsidR="00522EDE" w:rsidRPr="008B68A9" w:rsidRDefault="008B68A9">
      <w:pPr>
        <w:pStyle w:val="TOC3"/>
        <w:rPr>
          <w:rFonts w:eastAsiaTheme="minorEastAsia"/>
          <w:sz w:val="22"/>
          <w:lang w:eastAsia="en-GB"/>
        </w:rPr>
      </w:pPr>
      <w:hyperlink w:anchor="_Toc466800335" w:history="1">
        <w:r w:rsidR="00522EDE" w:rsidRPr="008B68A9">
          <w:rPr>
            <w:rStyle w:val="Hyperlink"/>
          </w:rPr>
          <w:t>5.4.4 Examining brokerage</w:t>
        </w:r>
        <w:r w:rsidR="00522EDE" w:rsidRPr="008B68A9">
          <w:rPr>
            <w:webHidden/>
          </w:rPr>
          <w:tab/>
        </w:r>
        <w:r w:rsidR="00522EDE" w:rsidRPr="008B68A9">
          <w:rPr>
            <w:webHidden/>
          </w:rPr>
          <w:fldChar w:fldCharType="begin"/>
        </w:r>
        <w:r w:rsidR="00522EDE" w:rsidRPr="008B68A9">
          <w:rPr>
            <w:webHidden/>
          </w:rPr>
          <w:instrText xml:space="preserve"> PAGEREF _Toc466800335 \h </w:instrText>
        </w:r>
        <w:r w:rsidR="00522EDE" w:rsidRPr="008B68A9">
          <w:rPr>
            <w:webHidden/>
          </w:rPr>
        </w:r>
        <w:r w:rsidR="00522EDE" w:rsidRPr="008B68A9">
          <w:rPr>
            <w:webHidden/>
          </w:rPr>
          <w:fldChar w:fldCharType="separate"/>
        </w:r>
        <w:r w:rsidR="00522EDE" w:rsidRPr="008B68A9">
          <w:rPr>
            <w:webHidden/>
          </w:rPr>
          <w:t>131</w:t>
        </w:r>
        <w:r w:rsidR="00522EDE" w:rsidRPr="008B68A9">
          <w:rPr>
            <w:webHidden/>
          </w:rPr>
          <w:fldChar w:fldCharType="end"/>
        </w:r>
      </w:hyperlink>
    </w:p>
    <w:p w14:paraId="2C126A63" w14:textId="77777777" w:rsidR="00522EDE" w:rsidRPr="008B68A9" w:rsidRDefault="008B68A9">
      <w:pPr>
        <w:pStyle w:val="TOC3"/>
        <w:rPr>
          <w:rFonts w:eastAsiaTheme="minorEastAsia"/>
          <w:sz w:val="22"/>
          <w:lang w:eastAsia="en-GB"/>
        </w:rPr>
      </w:pPr>
      <w:hyperlink w:anchor="_Toc466800336" w:history="1">
        <w:r w:rsidR="00522EDE" w:rsidRPr="008B68A9">
          <w:rPr>
            <w:rStyle w:val="Hyperlink"/>
          </w:rPr>
          <w:t>5.4.5 Findings and discussion</w:t>
        </w:r>
        <w:r w:rsidR="00522EDE" w:rsidRPr="008B68A9">
          <w:rPr>
            <w:webHidden/>
          </w:rPr>
          <w:tab/>
        </w:r>
        <w:r w:rsidR="00522EDE" w:rsidRPr="008B68A9">
          <w:rPr>
            <w:webHidden/>
          </w:rPr>
          <w:fldChar w:fldCharType="begin"/>
        </w:r>
        <w:r w:rsidR="00522EDE" w:rsidRPr="008B68A9">
          <w:rPr>
            <w:webHidden/>
          </w:rPr>
          <w:instrText xml:space="preserve"> PAGEREF _Toc466800336 \h </w:instrText>
        </w:r>
        <w:r w:rsidR="00522EDE" w:rsidRPr="008B68A9">
          <w:rPr>
            <w:webHidden/>
          </w:rPr>
        </w:r>
        <w:r w:rsidR="00522EDE" w:rsidRPr="008B68A9">
          <w:rPr>
            <w:webHidden/>
          </w:rPr>
          <w:fldChar w:fldCharType="separate"/>
        </w:r>
        <w:r w:rsidR="00522EDE" w:rsidRPr="008B68A9">
          <w:rPr>
            <w:webHidden/>
          </w:rPr>
          <w:t>132</w:t>
        </w:r>
        <w:r w:rsidR="00522EDE" w:rsidRPr="008B68A9">
          <w:rPr>
            <w:webHidden/>
          </w:rPr>
          <w:fldChar w:fldCharType="end"/>
        </w:r>
      </w:hyperlink>
    </w:p>
    <w:p w14:paraId="598828F6" w14:textId="77777777" w:rsidR="00522EDE" w:rsidRPr="008B68A9" w:rsidRDefault="008B68A9">
      <w:pPr>
        <w:pStyle w:val="TOC3"/>
        <w:rPr>
          <w:rFonts w:eastAsiaTheme="minorEastAsia"/>
          <w:sz w:val="22"/>
          <w:lang w:eastAsia="en-GB"/>
        </w:rPr>
      </w:pPr>
      <w:hyperlink w:anchor="_Toc466800337" w:history="1">
        <w:r w:rsidR="00522EDE" w:rsidRPr="008B68A9">
          <w:rPr>
            <w:rStyle w:val="Hyperlink"/>
          </w:rPr>
          <w:t>5.4.6 Practitioner focus group</w:t>
        </w:r>
        <w:r w:rsidR="00522EDE" w:rsidRPr="008B68A9">
          <w:rPr>
            <w:webHidden/>
          </w:rPr>
          <w:tab/>
        </w:r>
        <w:r w:rsidR="00522EDE" w:rsidRPr="008B68A9">
          <w:rPr>
            <w:webHidden/>
          </w:rPr>
          <w:fldChar w:fldCharType="begin"/>
        </w:r>
        <w:r w:rsidR="00522EDE" w:rsidRPr="008B68A9">
          <w:rPr>
            <w:webHidden/>
          </w:rPr>
          <w:instrText xml:space="preserve"> PAGEREF _Toc466800337 \h </w:instrText>
        </w:r>
        <w:r w:rsidR="00522EDE" w:rsidRPr="008B68A9">
          <w:rPr>
            <w:webHidden/>
          </w:rPr>
        </w:r>
        <w:r w:rsidR="00522EDE" w:rsidRPr="008B68A9">
          <w:rPr>
            <w:webHidden/>
          </w:rPr>
          <w:fldChar w:fldCharType="separate"/>
        </w:r>
        <w:r w:rsidR="00522EDE" w:rsidRPr="008B68A9">
          <w:rPr>
            <w:webHidden/>
          </w:rPr>
          <w:t>133</w:t>
        </w:r>
        <w:r w:rsidR="00522EDE" w:rsidRPr="008B68A9">
          <w:rPr>
            <w:webHidden/>
          </w:rPr>
          <w:fldChar w:fldCharType="end"/>
        </w:r>
      </w:hyperlink>
    </w:p>
    <w:p w14:paraId="57984CC4" w14:textId="77777777" w:rsidR="00522EDE" w:rsidRPr="008B68A9" w:rsidRDefault="008B68A9">
      <w:pPr>
        <w:pStyle w:val="TOC3"/>
        <w:rPr>
          <w:rFonts w:eastAsiaTheme="minorEastAsia"/>
          <w:sz w:val="22"/>
          <w:lang w:eastAsia="en-GB"/>
        </w:rPr>
      </w:pPr>
      <w:hyperlink w:anchor="_Toc466800338" w:history="1">
        <w:r w:rsidR="00522EDE" w:rsidRPr="008B68A9">
          <w:rPr>
            <w:rStyle w:val="Hyperlink"/>
          </w:rPr>
          <w:t>5.4.7 Positive and negative experiences</w:t>
        </w:r>
        <w:r w:rsidR="00522EDE" w:rsidRPr="008B68A9">
          <w:rPr>
            <w:webHidden/>
          </w:rPr>
          <w:tab/>
        </w:r>
        <w:r w:rsidR="00522EDE" w:rsidRPr="008B68A9">
          <w:rPr>
            <w:webHidden/>
          </w:rPr>
          <w:fldChar w:fldCharType="begin"/>
        </w:r>
        <w:r w:rsidR="00522EDE" w:rsidRPr="008B68A9">
          <w:rPr>
            <w:webHidden/>
          </w:rPr>
          <w:instrText xml:space="preserve"> PAGEREF _Toc466800338 \h </w:instrText>
        </w:r>
        <w:r w:rsidR="00522EDE" w:rsidRPr="008B68A9">
          <w:rPr>
            <w:webHidden/>
          </w:rPr>
        </w:r>
        <w:r w:rsidR="00522EDE" w:rsidRPr="008B68A9">
          <w:rPr>
            <w:webHidden/>
          </w:rPr>
          <w:fldChar w:fldCharType="separate"/>
        </w:r>
        <w:r w:rsidR="00522EDE" w:rsidRPr="008B68A9">
          <w:rPr>
            <w:webHidden/>
          </w:rPr>
          <w:t>133</w:t>
        </w:r>
        <w:r w:rsidR="00522EDE" w:rsidRPr="008B68A9">
          <w:rPr>
            <w:webHidden/>
          </w:rPr>
          <w:fldChar w:fldCharType="end"/>
        </w:r>
      </w:hyperlink>
    </w:p>
    <w:p w14:paraId="08C5EE85" w14:textId="77777777" w:rsidR="00522EDE" w:rsidRPr="008B68A9" w:rsidRDefault="008B68A9">
      <w:pPr>
        <w:pStyle w:val="TOC3"/>
        <w:rPr>
          <w:rFonts w:eastAsiaTheme="minorEastAsia"/>
          <w:sz w:val="22"/>
          <w:lang w:eastAsia="en-GB"/>
        </w:rPr>
      </w:pPr>
      <w:hyperlink w:anchor="_Toc466800339" w:history="1">
        <w:r w:rsidR="00522EDE" w:rsidRPr="008B68A9">
          <w:rPr>
            <w:rStyle w:val="Hyperlink"/>
          </w:rPr>
          <w:t>5.4.8 External brokerage</w:t>
        </w:r>
        <w:r w:rsidR="00522EDE" w:rsidRPr="008B68A9">
          <w:rPr>
            <w:webHidden/>
          </w:rPr>
          <w:tab/>
        </w:r>
        <w:r w:rsidR="00522EDE" w:rsidRPr="008B68A9">
          <w:rPr>
            <w:webHidden/>
          </w:rPr>
          <w:fldChar w:fldCharType="begin"/>
        </w:r>
        <w:r w:rsidR="00522EDE" w:rsidRPr="008B68A9">
          <w:rPr>
            <w:webHidden/>
          </w:rPr>
          <w:instrText xml:space="preserve"> PAGEREF _Toc466800339 \h </w:instrText>
        </w:r>
        <w:r w:rsidR="00522EDE" w:rsidRPr="008B68A9">
          <w:rPr>
            <w:webHidden/>
          </w:rPr>
        </w:r>
        <w:r w:rsidR="00522EDE" w:rsidRPr="008B68A9">
          <w:rPr>
            <w:webHidden/>
          </w:rPr>
          <w:fldChar w:fldCharType="separate"/>
        </w:r>
        <w:r w:rsidR="00522EDE" w:rsidRPr="008B68A9">
          <w:rPr>
            <w:webHidden/>
          </w:rPr>
          <w:t>134</w:t>
        </w:r>
        <w:r w:rsidR="00522EDE" w:rsidRPr="008B68A9">
          <w:rPr>
            <w:webHidden/>
          </w:rPr>
          <w:fldChar w:fldCharType="end"/>
        </w:r>
      </w:hyperlink>
    </w:p>
    <w:p w14:paraId="2C5C2CB3" w14:textId="77777777" w:rsidR="00522EDE" w:rsidRPr="008B68A9" w:rsidRDefault="008B68A9">
      <w:pPr>
        <w:pStyle w:val="TOC3"/>
        <w:rPr>
          <w:rFonts w:eastAsiaTheme="minorEastAsia"/>
          <w:sz w:val="22"/>
          <w:lang w:eastAsia="en-GB"/>
        </w:rPr>
      </w:pPr>
      <w:hyperlink w:anchor="_Toc466800340" w:history="1">
        <w:r w:rsidR="00522EDE" w:rsidRPr="008B68A9">
          <w:rPr>
            <w:rStyle w:val="Hyperlink"/>
          </w:rPr>
          <w:t>5.4.9 Internal broker</w:t>
        </w:r>
        <w:r w:rsidR="00522EDE" w:rsidRPr="008B68A9">
          <w:rPr>
            <w:webHidden/>
          </w:rPr>
          <w:tab/>
        </w:r>
        <w:r w:rsidR="00522EDE" w:rsidRPr="008B68A9">
          <w:rPr>
            <w:webHidden/>
          </w:rPr>
          <w:fldChar w:fldCharType="begin"/>
        </w:r>
        <w:r w:rsidR="00522EDE" w:rsidRPr="008B68A9">
          <w:rPr>
            <w:webHidden/>
          </w:rPr>
          <w:instrText xml:space="preserve"> PAGEREF _Toc466800340 \h </w:instrText>
        </w:r>
        <w:r w:rsidR="00522EDE" w:rsidRPr="008B68A9">
          <w:rPr>
            <w:webHidden/>
          </w:rPr>
        </w:r>
        <w:r w:rsidR="00522EDE" w:rsidRPr="008B68A9">
          <w:rPr>
            <w:webHidden/>
          </w:rPr>
          <w:fldChar w:fldCharType="separate"/>
        </w:r>
        <w:r w:rsidR="00522EDE" w:rsidRPr="008B68A9">
          <w:rPr>
            <w:webHidden/>
          </w:rPr>
          <w:t>135</w:t>
        </w:r>
        <w:r w:rsidR="00522EDE" w:rsidRPr="008B68A9">
          <w:rPr>
            <w:webHidden/>
          </w:rPr>
          <w:fldChar w:fldCharType="end"/>
        </w:r>
      </w:hyperlink>
    </w:p>
    <w:p w14:paraId="672B9455" w14:textId="77777777" w:rsidR="00522EDE" w:rsidRPr="008B68A9" w:rsidRDefault="008B68A9">
      <w:pPr>
        <w:pStyle w:val="TOC3"/>
        <w:rPr>
          <w:rFonts w:eastAsiaTheme="minorEastAsia"/>
          <w:sz w:val="22"/>
          <w:lang w:eastAsia="en-GB"/>
        </w:rPr>
      </w:pPr>
      <w:hyperlink w:anchor="_Toc466800341" w:history="1">
        <w:r w:rsidR="00522EDE" w:rsidRPr="008B68A9">
          <w:rPr>
            <w:rStyle w:val="Hyperlink"/>
          </w:rPr>
          <w:t>5.4.10 Peer brokerage</w:t>
        </w:r>
        <w:r w:rsidR="00522EDE" w:rsidRPr="008B68A9">
          <w:rPr>
            <w:webHidden/>
          </w:rPr>
          <w:tab/>
        </w:r>
        <w:r w:rsidR="00522EDE" w:rsidRPr="008B68A9">
          <w:rPr>
            <w:webHidden/>
          </w:rPr>
          <w:fldChar w:fldCharType="begin"/>
        </w:r>
        <w:r w:rsidR="00522EDE" w:rsidRPr="008B68A9">
          <w:rPr>
            <w:webHidden/>
          </w:rPr>
          <w:instrText xml:space="preserve"> PAGEREF _Toc466800341 \h </w:instrText>
        </w:r>
        <w:r w:rsidR="00522EDE" w:rsidRPr="008B68A9">
          <w:rPr>
            <w:webHidden/>
          </w:rPr>
        </w:r>
        <w:r w:rsidR="00522EDE" w:rsidRPr="008B68A9">
          <w:rPr>
            <w:webHidden/>
          </w:rPr>
          <w:fldChar w:fldCharType="separate"/>
        </w:r>
        <w:r w:rsidR="00522EDE" w:rsidRPr="008B68A9">
          <w:rPr>
            <w:webHidden/>
          </w:rPr>
          <w:t>136</w:t>
        </w:r>
        <w:r w:rsidR="00522EDE" w:rsidRPr="008B68A9">
          <w:rPr>
            <w:webHidden/>
          </w:rPr>
          <w:fldChar w:fldCharType="end"/>
        </w:r>
      </w:hyperlink>
    </w:p>
    <w:p w14:paraId="0DE681C2" w14:textId="77777777" w:rsidR="00522EDE" w:rsidRPr="008B68A9" w:rsidRDefault="008B68A9">
      <w:pPr>
        <w:pStyle w:val="TOC3"/>
        <w:rPr>
          <w:rFonts w:eastAsiaTheme="minorEastAsia"/>
          <w:sz w:val="22"/>
          <w:lang w:eastAsia="en-GB"/>
        </w:rPr>
      </w:pPr>
      <w:hyperlink w:anchor="_Toc466800342" w:history="1">
        <w:r w:rsidR="00522EDE" w:rsidRPr="008B68A9">
          <w:rPr>
            <w:rStyle w:val="Hyperlink"/>
          </w:rPr>
          <w:t>5.4.11 Demographic: referral route: process data and spend patterns</w:t>
        </w:r>
        <w:r w:rsidR="00522EDE" w:rsidRPr="008B68A9">
          <w:rPr>
            <w:webHidden/>
          </w:rPr>
          <w:tab/>
        </w:r>
        <w:r w:rsidR="00522EDE" w:rsidRPr="008B68A9">
          <w:rPr>
            <w:webHidden/>
          </w:rPr>
          <w:fldChar w:fldCharType="begin"/>
        </w:r>
        <w:r w:rsidR="00522EDE" w:rsidRPr="008B68A9">
          <w:rPr>
            <w:webHidden/>
          </w:rPr>
          <w:instrText xml:space="preserve"> PAGEREF _Toc466800342 \h </w:instrText>
        </w:r>
        <w:r w:rsidR="00522EDE" w:rsidRPr="008B68A9">
          <w:rPr>
            <w:webHidden/>
          </w:rPr>
        </w:r>
        <w:r w:rsidR="00522EDE" w:rsidRPr="008B68A9">
          <w:rPr>
            <w:webHidden/>
          </w:rPr>
          <w:fldChar w:fldCharType="separate"/>
        </w:r>
        <w:r w:rsidR="00522EDE" w:rsidRPr="008B68A9">
          <w:rPr>
            <w:webHidden/>
          </w:rPr>
          <w:t>136</w:t>
        </w:r>
        <w:r w:rsidR="00522EDE" w:rsidRPr="008B68A9">
          <w:rPr>
            <w:webHidden/>
          </w:rPr>
          <w:fldChar w:fldCharType="end"/>
        </w:r>
      </w:hyperlink>
    </w:p>
    <w:p w14:paraId="5F0CB323" w14:textId="77777777" w:rsidR="00522EDE" w:rsidRPr="008B68A9" w:rsidRDefault="008B68A9">
      <w:pPr>
        <w:pStyle w:val="TOC3"/>
        <w:rPr>
          <w:rFonts w:eastAsiaTheme="minorEastAsia"/>
          <w:sz w:val="22"/>
          <w:lang w:eastAsia="en-GB"/>
        </w:rPr>
      </w:pPr>
      <w:hyperlink w:anchor="_Toc466800343" w:history="1">
        <w:r w:rsidR="00522EDE" w:rsidRPr="008B68A9">
          <w:rPr>
            <w:rStyle w:val="Hyperlink"/>
          </w:rPr>
          <w:t>5.4.12 Self-directed support spent patterns</w:t>
        </w:r>
        <w:r w:rsidR="00522EDE" w:rsidRPr="008B68A9">
          <w:rPr>
            <w:webHidden/>
          </w:rPr>
          <w:tab/>
        </w:r>
        <w:r w:rsidR="00522EDE" w:rsidRPr="008B68A9">
          <w:rPr>
            <w:webHidden/>
          </w:rPr>
          <w:fldChar w:fldCharType="begin"/>
        </w:r>
        <w:r w:rsidR="00522EDE" w:rsidRPr="008B68A9">
          <w:rPr>
            <w:webHidden/>
          </w:rPr>
          <w:instrText xml:space="preserve"> PAGEREF _Toc466800343 \h </w:instrText>
        </w:r>
        <w:r w:rsidR="00522EDE" w:rsidRPr="008B68A9">
          <w:rPr>
            <w:webHidden/>
          </w:rPr>
        </w:r>
        <w:r w:rsidR="00522EDE" w:rsidRPr="008B68A9">
          <w:rPr>
            <w:webHidden/>
          </w:rPr>
          <w:fldChar w:fldCharType="separate"/>
        </w:r>
        <w:r w:rsidR="00522EDE" w:rsidRPr="008B68A9">
          <w:rPr>
            <w:webHidden/>
          </w:rPr>
          <w:t>138</w:t>
        </w:r>
        <w:r w:rsidR="00522EDE" w:rsidRPr="008B68A9">
          <w:rPr>
            <w:webHidden/>
          </w:rPr>
          <w:fldChar w:fldCharType="end"/>
        </w:r>
      </w:hyperlink>
    </w:p>
    <w:p w14:paraId="05412062" w14:textId="77777777" w:rsidR="00522EDE" w:rsidRPr="008B68A9" w:rsidRDefault="008B68A9">
      <w:pPr>
        <w:pStyle w:val="TOC3"/>
        <w:rPr>
          <w:rFonts w:eastAsiaTheme="minorEastAsia"/>
          <w:sz w:val="22"/>
          <w:lang w:eastAsia="en-GB"/>
        </w:rPr>
      </w:pPr>
      <w:hyperlink w:anchor="_Toc466800344" w:history="1">
        <w:r w:rsidR="00522EDE" w:rsidRPr="008B68A9">
          <w:rPr>
            <w:rStyle w:val="Hyperlink"/>
          </w:rPr>
          <w:t>5.4.13 Commentary and reflexivity</w:t>
        </w:r>
        <w:r w:rsidR="00522EDE" w:rsidRPr="008B68A9">
          <w:rPr>
            <w:webHidden/>
          </w:rPr>
          <w:tab/>
        </w:r>
        <w:r w:rsidR="00522EDE" w:rsidRPr="008B68A9">
          <w:rPr>
            <w:webHidden/>
          </w:rPr>
          <w:fldChar w:fldCharType="begin"/>
        </w:r>
        <w:r w:rsidR="00522EDE" w:rsidRPr="008B68A9">
          <w:rPr>
            <w:webHidden/>
          </w:rPr>
          <w:instrText xml:space="preserve"> PAGEREF _Toc466800344 \h </w:instrText>
        </w:r>
        <w:r w:rsidR="00522EDE" w:rsidRPr="008B68A9">
          <w:rPr>
            <w:webHidden/>
          </w:rPr>
        </w:r>
        <w:r w:rsidR="00522EDE" w:rsidRPr="008B68A9">
          <w:rPr>
            <w:webHidden/>
          </w:rPr>
          <w:fldChar w:fldCharType="separate"/>
        </w:r>
        <w:r w:rsidR="00522EDE" w:rsidRPr="008B68A9">
          <w:rPr>
            <w:webHidden/>
          </w:rPr>
          <w:t>139</w:t>
        </w:r>
        <w:r w:rsidR="00522EDE" w:rsidRPr="008B68A9">
          <w:rPr>
            <w:webHidden/>
          </w:rPr>
          <w:fldChar w:fldCharType="end"/>
        </w:r>
      </w:hyperlink>
    </w:p>
    <w:p w14:paraId="2E83FAD6" w14:textId="77777777" w:rsidR="00522EDE" w:rsidRPr="008B68A9" w:rsidRDefault="008B68A9">
      <w:pPr>
        <w:pStyle w:val="TOC2"/>
        <w:rPr>
          <w:rFonts w:eastAsiaTheme="minorEastAsia"/>
          <w:sz w:val="22"/>
          <w:lang w:eastAsia="en-GB"/>
        </w:rPr>
      </w:pPr>
      <w:hyperlink w:anchor="_Toc466800345" w:history="1">
        <w:r w:rsidR="00522EDE" w:rsidRPr="008B68A9">
          <w:rPr>
            <w:rStyle w:val="Hyperlink"/>
          </w:rPr>
          <w:t>5.5 Study 3: Exploring the use of individual budgets in a North West Metropolitan Council</w:t>
        </w:r>
        <w:r w:rsidR="00522EDE" w:rsidRPr="008B68A9">
          <w:rPr>
            <w:webHidden/>
          </w:rPr>
          <w:tab/>
        </w:r>
        <w:r w:rsidR="00522EDE" w:rsidRPr="008B68A9">
          <w:rPr>
            <w:webHidden/>
          </w:rPr>
          <w:fldChar w:fldCharType="begin"/>
        </w:r>
        <w:r w:rsidR="00522EDE" w:rsidRPr="008B68A9">
          <w:rPr>
            <w:webHidden/>
          </w:rPr>
          <w:instrText xml:space="preserve"> PAGEREF _Toc466800345 \h </w:instrText>
        </w:r>
        <w:r w:rsidR="00522EDE" w:rsidRPr="008B68A9">
          <w:rPr>
            <w:webHidden/>
          </w:rPr>
        </w:r>
        <w:r w:rsidR="00522EDE" w:rsidRPr="008B68A9">
          <w:rPr>
            <w:webHidden/>
          </w:rPr>
          <w:fldChar w:fldCharType="separate"/>
        </w:r>
        <w:r w:rsidR="00522EDE" w:rsidRPr="008B68A9">
          <w:rPr>
            <w:webHidden/>
          </w:rPr>
          <w:t>140</w:t>
        </w:r>
        <w:r w:rsidR="00522EDE" w:rsidRPr="008B68A9">
          <w:rPr>
            <w:webHidden/>
          </w:rPr>
          <w:fldChar w:fldCharType="end"/>
        </w:r>
      </w:hyperlink>
    </w:p>
    <w:p w14:paraId="183AB62B" w14:textId="77777777" w:rsidR="00522EDE" w:rsidRPr="008B68A9" w:rsidRDefault="008B68A9">
      <w:pPr>
        <w:pStyle w:val="TOC3"/>
        <w:rPr>
          <w:rFonts w:eastAsiaTheme="minorEastAsia"/>
          <w:sz w:val="22"/>
          <w:lang w:eastAsia="en-GB"/>
        </w:rPr>
      </w:pPr>
      <w:hyperlink w:anchor="_Toc466800346" w:history="1">
        <w:r w:rsidR="00522EDE" w:rsidRPr="008B68A9">
          <w:rPr>
            <w:rStyle w:val="Hyperlink"/>
          </w:rPr>
          <w:t>5.5.1 Summary of evaluation</w:t>
        </w:r>
        <w:r w:rsidR="00522EDE" w:rsidRPr="008B68A9">
          <w:rPr>
            <w:webHidden/>
          </w:rPr>
          <w:tab/>
        </w:r>
        <w:r w:rsidR="00522EDE" w:rsidRPr="008B68A9">
          <w:rPr>
            <w:webHidden/>
          </w:rPr>
          <w:fldChar w:fldCharType="begin"/>
        </w:r>
        <w:r w:rsidR="00522EDE" w:rsidRPr="008B68A9">
          <w:rPr>
            <w:webHidden/>
          </w:rPr>
          <w:instrText xml:space="preserve"> PAGEREF _Toc466800346 \h </w:instrText>
        </w:r>
        <w:r w:rsidR="00522EDE" w:rsidRPr="008B68A9">
          <w:rPr>
            <w:webHidden/>
          </w:rPr>
        </w:r>
        <w:r w:rsidR="00522EDE" w:rsidRPr="008B68A9">
          <w:rPr>
            <w:webHidden/>
          </w:rPr>
          <w:fldChar w:fldCharType="separate"/>
        </w:r>
        <w:r w:rsidR="00522EDE" w:rsidRPr="008B68A9">
          <w:rPr>
            <w:webHidden/>
          </w:rPr>
          <w:t>140</w:t>
        </w:r>
        <w:r w:rsidR="00522EDE" w:rsidRPr="008B68A9">
          <w:rPr>
            <w:webHidden/>
          </w:rPr>
          <w:fldChar w:fldCharType="end"/>
        </w:r>
      </w:hyperlink>
    </w:p>
    <w:p w14:paraId="1F6B3B9B" w14:textId="77777777" w:rsidR="00522EDE" w:rsidRPr="008B68A9" w:rsidRDefault="008B68A9">
      <w:pPr>
        <w:pStyle w:val="TOC3"/>
        <w:rPr>
          <w:rFonts w:eastAsiaTheme="minorEastAsia"/>
          <w:sz w:val="22"/>
          <w:lang w:eastAsia="en-GB"/>
        </w:rPr>
      </w:pPr>
      <w:hyperlink w:anchor="_Toc466800347" w:history="1">
        <w:r w:rsidR="00522EDE" w:rsidRPr="008B68A9">
          <w:rPr>
            <w:rStyle w:val="Hyperlink"/>
          </w:rPr>
          <w:t>5.5.2 Aim</w:t>
        </w:r>
        <w:r w:rsidR="00522EDE" w:rsidRPr="008B68A9">
          <w:rPr>
            <w:rStyle w:val="Hyperlink"/>
            <w:rFonts w:cs="Arial"/>
            <w:lang w:eastAsia="en-GB"/>
          </w:rPr>
          <w:t>s</w:t>
        </w:r>
        <w:r w:rsidR="00522EDE" w:rsidRPr="008B68A9">
          <w:rPr>
            <w:webHidden/>
          </w:rPr>
          <w:tab/>
        </w:r>
        <w:r w:rsidR="00522EDE" w:rsidRPr="008B68A9">
          <w:rPr>
            <w:webHidden/>
          </w:rPr>
          <w:fldChar w:fldCharType="begin"/>
        </w:r>
        <w:r w:rsidR="00522EDE" w:rsidRPr="008B68A9">
          <w:rPr>
            <w:webHidden/>
          </w:rPr>
          <w:instrText xml:space="preserve"> PAGEREF _Toc466800347 \h </w:instrText>
        </w:r>
        <w:r w:rsidR="00522EDE" w:rsidRPr="008B68A9">
          <w:rPr>
            <w:webHidden/>
          </w:rPr>
        </w:r>
        <w:r w:rsidR="00522EDE" w:rsidRPr="008B68A9">
          <w:rPr>
            <w:webHidden/>
          </w:rPr>
          <w:fldChar w:fldCharType="separate"/>
        </w:r>
        <w:r w:rsidR="00522EDE" w:rsidRPr="008B68A9">
          <w:rPr>
            <w:webHidden/>
          </w:rPr>
          <w:t>141</w:t>
        </w:r>
        <w:r w:rsidR="00522EDE" w:rsidRPr="008B68A9">
          <w:rPr>
            <w:webHidden/>
          </w:rPr>
          <w:fldChar w:fldCharType="end"/>
        </w:r>
      </w:hyperlink>
    </w:p>
    <w:p w14:paraId="6FDA74AF" w14:textId="77777777" w:rsidR="00522EDE" w:rsidRPr="008B68A9" w:rsidRDefault="008B68A9">
      <w:pPr>
        <w:pStyle w:val="TOC3"/>
        <w:rPr>
          <w:rFonts w:eastAsiaTheme="minorEastAsia"/>
          <w:sz w:val="22"/>
          <w:lang w:eastAsia="en-GB"/>
        </w:rPr>
      </w:pPr>
      <w:hyperlink w:anchor="_Toc466800348" w:history="1">
        <w:r w:rsidR="00522EDE" w:rsidRPr="008B68A9">
          <w:rPr>
            <w:rStyle w:val="Hyperlink"/>
          </w:rPr>
          <w:t>5.5.3 Method</w:t>
        </w:r>
        <w:r w:rsidR="00522EDE" w:rsidRPr="008B68A9">
          <w:rPr>
            <w:webHidden/>
          </w:rPr>
          <w:tab/>
        </w:r>
        <w:r w:rsidR="00522EDE" w:rsidRPr="008B68A9">
          <w:rPr>
            <w:webHidden/>
          </w:rPr>
          <w:fldChar w:fldCharType="begin"/>
        </w:r>
        <w:r w:rsidR="00522EDE" w:rsidRPr="008B68A9">
          <w:rPr>
            <w:webHidden/>
          </w:rPr>
          <w:instrText xml:space="preserve"> PAGEREF _Toc466800348 \h </w:instrText>
        </w:r>
        <w:r w:rsidR="00522EDE" w:rsidRPr="008B68A9">
          <w:rPr>
            <w:webHidden/>
          </w:rPr>
        </w:r>
        <w:r w:rsidR="00522EDE" w:rsidRPr="008B68A9">
          <w:rPr>
            <w:webHidden/>
          </w:rPr>
          <w:fldChar w:fldCharType="separate"/>
        </w:r>
        <w:r w:rsidR="00522EDE" w:rsidRPr="008B68A9">
          <w:rPr>
            <w:webHidden/>
          </w:rPr>
          <w:t>141</w:t>
        </w:r>
        <w:r w:rsidR="00522EDE" w:rsidRPr="008B68A9">
          <w:rPr>
            <w:webHidden/>
          </w:rPr>
          <w:fldChar w:fldCharType="end"/>
        </w:r>
      </w:hyperlink>
    </w:p>
    <w:p w14:paraId="2ABB5370" w14:textId="77777777" w:rsidR="00522EDE" w:rsidRPr="008B68A9" w:rsidRDefault="008B68A9">
      <w:pPr>
        <w:pStyle w:val="TOC3"/>
        <w:rPr>
          <w:rFonts w:eastAsiaTheme="minorEastAsia"/>
          <w:sz w:val="22"/>
          <w:lang w:eastAsia="en-GB"/>
        </w:rPr>
      </w:pPr>
      <w:hyperlink w:anchor="_Toc466800349" w:history="1">
        <w:r w:rsidR="00522EDE" w:rsidRPr="008B68A9">
          <w:rPr>
            <w:rStyle w:val="Hyperlink"/>
          </w:rPr>
          <w:t>5.5.4 Focus group with social work staff</w:t>
        </w:r>
        <w:r w:rsidR="00522EDE" w:rsidRPr="008B68A9">
          <w:rPr>
            <w:webHidden/>
          </w:rPr>
          <w:tab/>
        </w:r>
        <w:r w:rsidR="00522EDE" w:rsidRPr="008B68A9">
          <w:rPr>
            <w:webHidden/>
          </w:rPr>
          <w:fldChar w:fldCharType="begin"/>
        </w:r>
        <w:r w:rsidR="00522EDE" w:rsidRPr="008B68A9">
          <w:rPr>
            <w:webHidden/>
          </w:rPr>
          <w:instrText xml:space="preserve"> PAGEREF _Toc466800349 \h </w:instrText>
        </w:r>
        <w:r w:rsidR="00522EDE" w:rsidRPr="008B68A9">
          <w:rPr>
            <w:webHidden/>
          </w:rPr>
        </w:r>
        <w:r w:rsidR="00522EDE" w:rsidRPr="008B68A9">
          <w:rPr>
            <w:webHidden/>
          </w:rPr>
          <w:fldChar w:fldCharType="separate"/>
        </w:r>
        <w:r w:rsidR="00522EDE" w:rsidRPr="008B68A9">
          <w:rPr>
            <w:webHidden/>
          </w:rPr>
          <w:t>141</w:t>
        </w:r>
        <w:r w:rsidR="00522EDE" w:rsidRPr="008B68A9">
          <w:rPr>
            <w:webHidden/>
          </w:rPr>
          <w:fldChar w:fldCharType="end"/>
        </w:r>
      </w:hyperlink>
    </w:p>
    <w:p w14:paraId="6F7CBEE2" w14:textId="77777777" w:rsidR="00522EDE" w:rsidRPr="008B68A9" w:rsidRDefault="008B68A9">
      <w:pPr>
        <w:pStyle w:val="TOC3"/>
        <w:rPr>
          <w:rFonts w:eastAsiaTheme="minorEastAsia"/>
          <w:sz w:val="22"/>
          <w:lang w:eastAsia="en-GB"/>
        </w:rPr>
      </w:pPr>
      <w:hyperlink w:anchor="_Toc466800350" w:history="1">
        <w:r w:rsidR="00522EDE" w:rsidRPr="008B68A9">
          <w:rPr>
            <w:rStyle w:val="Hyperlink"/>
          </w:rPr>
          <w:t>5.5.5 Service users and carers: semi-structured interviews</w:t>
        </w:r>
        <w:r w:rsidR="00522EDE" w:rsidRPr="008B68A9">
          <w:rPr>
            <w:webHidden/>
          </w:rPr>
          <w:tab/>
        </w:r>
        <w:r w:rsidR="00522EDE" w:rsidRPr="008B68A9">
          <w:rPr>
            <w:webHidden/>
          </w:rPr>
          <w:fldChar w:fldCharType="begin"/>
        </w:r>
        <w:r w:rsidR="00522EDE" w:rsidRPr="008B68A9">
          <w:rPr>
            <w:webHidden/>
          </w:rPr>
          <w:instrText xml:space="preserve"> PAGEREF _Toc466800350 \h </w:instrText>
        </w:r>
        <w:r w:rsidR="00522EDE" w:rsidRPr="008B68A9">
          <w:rPr>
            <w:webHidden/>
          </w:rPr>
        </w:r>
        <w:r w:rsidR="00522EDE" w:rsidRPr="008B68A9">
          <w:rPr>
            <w:webHidden/>
          </w:rPr>
          <w:fldChar w:fldCharType="separate"/>
        </w:r>
        <w:r w:rsidR="00522EDE" w:rsidRPr="008B68A9">
          <w:rPr>
            <w:webHidden/>
          </w:rPr>
          <w:t>142</w:t>
        </w:r>
        <w:r w:rsidR="00522EDE" w:rsidRPr="008B68A9">
          <w:rPr>
            <w:webHidden/>
          </w:rPr>
          <w:fldChar w:fldCharType="end"/>
        </w:r>
      </w:hyperlink>
    </w:p>
    <w:p w14:paraId="1FB3E415" w14:textId="77777777" w:rsidR="00522EDE" w:rsidRPr="008B68A9" w:rsidRDefault="008B68A9">
      <w:pPr>
        <w:pStyle w:val="TOC3"/>
        <w:rPr>
          <w:rFonts w:eastAsiaTheme="minorEastAsia"/>
          <w:sz w:val="22"/>
          <w:lang w:eastAsia="en-GB"/>
        </w:rPr>
      </w:pPr>
      <w:hyperlink w:anchor="_Toc466800351" w:history="1">
        <w:r w:rsidR="00522EDE" w:rsidRPr="008B68A9">
          <w:rPr>
            <w:rStyle w:val="Hyperlink"/>
          </w:rPr>
          <w:t>5.5.6 Findings and discussion theme one: people</w:t>
        </w:r>
        <w:r w:rsidR="00522EDE" w:rsidRPr="008B68A9">
          <w:rPr>
            <w:webHidden/>
          </w:rPr>
          <w:tab/>
        </w:r>
        <w:r w:rsidR="00522EDE" w:rsidRPr="008B68A9">
          <w:rPr>
            <w:webHidden/>
          </w:rPr>
          <w:fldChar w:fldCharType="begin"/>
        </w:r>
        <w:r w:rsidR="00522EDE" w:rsidRPr="008B68A9">
          <w:rPr>
            <w:webHidden/>
          </w:rPr>
          <w:instrText xml:space="preserve"> PAGEREF _Toc466800351 \h </w:instrText>
        </w:r>
        <w:r w:rsidR="00522EDE" w:rsidRPr="008B68A9">
          <w:rPr>
            <w:webHidden/>
          </w:rPr>
        </w:r>
        <w:r w:rsidR="00522EDE" w:rsidRPr="008B68A9">
          <w:rPr>
            <w:webHidden/>
          </w:rPr>
          <w:fldChar w:fldCharType="separate"/>
        </w:r>
        <w:r w:rsidR="00522EDE" w:rsidRPr="008B68A9">
          <w:rPr>
            <w:webHidden/>
          </w:rPr>
          <w:t>142</w:t>
        </w:r>
        <w:r w:rsidR="00522EDE" w:rsidRPr="008B68A9">
          <w:rPr>
            <w:webHidden/>
          </w:rPr>
          <w:fldChar w:fldCharType="end"/>
        </w:r>
      </w:hyperlink>
    </w:p>
    <w:p w14:paraId="5341B665" w14:textId="77777777" w:rsidR="00522EDE" w:rsidRPr="008B68A9" w:rsidRDefault="008B68A9">
      <w:pPr>
        <w:pStyle w:val="TOC3"/>
        <w:rPr>
          <w:rFonts w:eastAsiaTheme="minorEastAsia"/>
          <w:sz w:val="22"/>
          <w:lang w:eastAsia="en-GB"/>
        </w:rPr>
      </w:pPr>
      <w:hyperlink w:anchor="_Toc466800352" w:history="1">
        <w:r w:rsidR="00522EDE" w:rsidRPr="008B68A9">
          <w:rPr>
            <w:rStyle w:val="Hyperlink"/>
          </w:rPr>
          <w:t>5.5.7 Core themes process</w:t>
        </w:r>
        <w:r w:rsidR="00522EDE" w:rsidRPr="008B68A9">
          <w:rPr>
            <w:webHidden/>
          </w:rPr>
          <w:tab/>
        </w:r>
        <w:r w:rsidR="00522EDE" w:rsidRPr="008B68A9">
          <w:rPr>
            <w:webHidden/>
          </w:rPr>
          <w:fldChar w:fldCharType="begin"/>
        </w:r>
        <w:r w:rsidR="00522EDE" w:rsidRPr="008B68A9">
          <w:rPr>
            <w:webHidden/>
          </w:rPr>
          <w:instrText xml:space="preserve"> PAGEREF _Toc466800352 \h </w:instrText>
        </w:r>
        <w:r w:rsidR="00522EDE" w:rsidRPr="008B68A9">
          <w:rPr>
            <w:webHidden/>
          </w:rPr>
        </w:r>
        <w:r w:rsidR="00522EDE" w:rsidRPr="008B68A9">
          <w:rPr>
            <w:webHidden/>
          </w:rPr>
          <w:fldChar w:fldCharType="separate"/>
        </w:r>
        <w:r w:rsidR="00522EDE" w:rsidRPr="008B68A9">
          <w:rPr>
            <w:webHidden/>
          </w:rPr>
          <w:t>143</w:t>
        </w:r>
        <w:r w:rsidR="00522EDE" w:rsidRPr="008B68A9">
          <w:rPr>
            <w:webHidden/>
          </w:rPr>
          <w:fldChar w:fldCharType="end"/>
        </w:r>
      </w:hyperlink>
    </w:p>
    <w:p w14:paraId="1AFF2672" w14:textId="77777777" w:rsidR="00522EDE" w:rsidRPr="008B68A9" w:rsidRDefault="008B68A9">
      <w:pPr>
        <w:pStyle w:val="TOC3"/>
        <w:rPr>
          <w:rFonts w:eastAsiaTheme="minorEastAsia"/>
          <w:sz w:val="22"/>
          <w:lang w:eastAsia="en-GB"/>
        </w:rPr>
      </w:pPr>
      <w:hyperlink w:anchor="_Toc466800353" w:history="1">
        <w:r w:rsidR="00522EDE" w:rsidRPr="008B68A9">
          <w:rPr>
            <w:rStyle w:val="Hyperlink"/>
          </w:rPr>
          <w:t>5.5.8 Core themes preparation</w:t>
        </w:r>
        <w:r w:rsidR="00522EDE" w:rsidRPr="008B68A9">
          <w:rPr>
            <w:webHidden/>
          </w:rPr>
          <w:tab/>
        </w:r>
        <w:r w:rsidR="00522EDE" w:rsidRPr="008B68A9">
          <w:rPr>
            <w:webHidden/>
          </w:rPr>
          <w:fldChar w:fldCharType="begin"/>
        </w:r>
        <w:r w:rsidR="00522EDE" w:rsidRPr="008B68A9">
          <w:rPr>
            <w:webHidden/>
          </w:rPr>
          <w:instrText xml:space="preserve"> PAGEREF _Toc466800353 \h </w:instrText>
        </w:r>
        <w:r w:rsidR="00522EDE" w:rsidRPr="008B68A9">
          <w:rPr>
            <w:webHidden/>
          </w:rPr>
        </w:r>
        <w:r w:rsidR="00522EDE" w:rsidRPr="008B68A9">
          <w:rPr>
            <w:webHidden/>
          </w:rPr>
          <w:fldChar w:fldCharType="separate"/>
        </w:r>
        <w:r w:rsidR="00522EDE" w:rsidRPr="008B68A9">
          <w:rPr>
            <w:webHidden/>
          </w:rPr>
          <w:t>144</w:t>
        </w:r>
        <w:r w:rsidR="00522EDE" w:rsidRPr="008B68A9">
          <w:rPr>
            <w:webHidden/>
          </w:rPr>
          <w:fldChar w:fldCharType="end"/>
        </w:r>
      </w:hyperlink>
    </w:p>
    <w:p w14:paraId="4972B084" w14:textId="77777777" w:rsidR="00522EDE" w:rsidRPr="008B68A9" w:rsidRDefault="008B68A9">
      <w:pPr>
        <w:pStyle w:val="TOC3"/>
        <w:rPr>
          <w:rFonts w:eastAsiaTheme="minorEastAsia"/>
          <w:sz w:val="22"/>
          <w:lang w:eastAsia="en-GB"/>
        </w:rPr>
      </w:pPr>
      <w:hyperlink w:anchor="_Toc466800354" w:history="1">
        <w:r w:rsidR="00522EDE" w:rsidRPr="008B68A9">
          <w:rPr>
            <w:rStyle w:val="Hyperlink"/>
          </w:rPr>
          <w:t>5.5.9 Conclusion</w:t>
        </w:r>
        <w:r w:rsidR="00522EDE" w:rsidRPr="008B68A9">
          <w:rPr>
            <w:webHidden/>
          </w:rPr>
          <w:tab/>
        </w:r>
        <w:r w:rsidR="00522EDE" w:rsidRPr="008B68A9">
          <w:rPr>
            <w:webHidden/>
          </w:rPr>
          <w:fldChar w:fldCharType="begin"/>
        </w:r>
        <w:r w:rsidR="00522EDE" w:rsidRPr="008B68A9">
          <w:rPr>
            <w:webHidden/>
          </w:rPr>
          <w:instrText xml:space="preserve"> PAGEREF _Toc466800354 \h </w:instrText>
        </w:r>
        <w:r w:rsidR="00522EDE" w:rsidRPr="008B68A9">
          <w:rPr>
            <w:webHidden/>
          </w:rPr>
        </w:r>
        <w:r w:rsidR="00522EDE" w:rsidRPr="008B68A9">
          <w:rPr>
            <w:webHidden/>
          </w:rPr>
          <w:fldChar w:fldCharType="separate"/>
        </w:r>
        <w:r w:rsidR="00522EDE" w:rsidRPr="008B68A9">
          <w:rPr>
            <w:webHidden/>
          </w:rPr>
          <w:t>145</w:t>
        </w:r>
        <w:r w:rsidR="00522EDE" w:rsidRPr="008B68A9">
          <w:rPr>
            <w:webHidden/>
          </w:rPr>
          <w:fldChar w:fldCharType="end"/>
        </w:r>
      </w:hyperlink>
    </w:p>
    <w:p w14:paraId="4FEA8E45" w14:textId="77777777" w:rsidR="00522EDE" w:rsidRPr="008B68A9" w:rsidRDefault="008B68A9">
      <w:pPr>
        <w:pStyle w:val="TOC3"/>
        <w:rPr>
          <w:rFonts w:eastAsiaTheme="minorEastAsia"/>
          <w:sz w:val="22"/>
          <w:lang w:eastAsia="en-GB"/>
        </w:rPr>
      </w:pPr>
      <w:hyperlink w:anchor="_Toc466800355" w:history="1">
        <w:r w:rsidR="00522EDE" w:rsidRPr="008B68A9">
          <w:rPr>
            <w:rStyle w:val="Hyperlink"/>
          </w:rPr>
          <w:t>5.5.10 Commentary and reflexivity</w:t>
        </w:r>
        <w:r w:rsidR="00522EDE" w:rsidRPr="008B68A9">
          <w:rPr>
            <w:webHidden/>
          </w:rPr>
          <w:tab/>
        </w:r>
        <w:r w:rsidR="00522EDE" w:rsidRPr="008B68A9">
          <w:rPr>
            <w:webHidden/>
          </w:rPr>
          <w:fldChar w:fldCharType="begin"/>
        </w:r>
        <w:r w:rsidR="00522EDE" w:rsidRPr="008B68A9">
          <w:rPr>
            <w:webHidden/>
          </w:rPr>
          <w:instrText xml:space="preserve"> PAGEREF _Toc466800355 \h </w:instrText>
        </w:r>
        <w:r w:rsidR="00522EDE" w:rsidRPr="008B68A9">
          <w:rPr>
            <w:webHidden/>
          </w:rPr>
        </w:r>
        <w:r w:rsidR="00522EDE" w:rsidRPr="008B68A9">
          <w:rPr>
            <w:webHidden/>
          </w:rPr>
          <w:fldChar w:fldCharType="separate"/>
        </w:r>
        <w:r w:rsidR="00522EDE" w:rsidRPr="008B68A9">
          <w:rPr>
            <w:webHidden/>
          </w:rPr>
          <w:t>146</w:t>
        </w:r>
        <w:r w:rsidR="00522EDE" w:rsidRPr="008B68A9">
          <w:rPr>
            <w:webHidden/>
          </w:rPr>
          <w:fldChar w:fldCharType="end"/>
        </w:r>
      </w:hyperlink>
    </w:p>
    <w:p w14:paraId="7460D07E" w14:textId="77777777" w:rsidR="00522EDE" w:rsidRPr="008B68A9" w:rsidRDefault="008B68A9">
      <w:pPr>
        <w:pStyle w:val="TOC2"/>
        <w:rPr>
          <w:rFonts w:eastAsiaTheme="minorEastAsia"/>
          <w:sz w:val="22"/>
          <w:lang w:eastAsia="en-GB"/>
        </w:rPr>
      </w:pPr>
      <w:hyperlink w:anchor="_Toc466800356" w:history="1">
        <w:r w:rsidR="00522EDE" w:rsidRPr="008B68A9">
          <w:rPr>
            <w:rStyle w:val="Hyperlink"/>
          </w:rPr>
          <w:t>5.6 Study 4: Virtual individual budgets evaluation in substance misuse services in a North West city</w:t>
        </w:r>
        <w:r w:rsidR="00522EDE" w:rsidRPr="008B68A9">
          <w:rPr>
            <w:webHidden/>
          </w:rPr>
          <w:tab/>
        </w:r>
        <w:r w:rsidR="00522EDE" w:rsidRPr="008B68A9">
          <w:rPr>
            <w:webHidden/>
          </w:rPr>
          <w:fldChar w:fldCharType="begin"/>
        </w:r>
        <w:r w:rsidR="00522EDE" w:rsidRPr="008B68A9">
          <w:rPr>
            <w:webHidden/>
          </w:rPr>
          <w:instrText xml:space="preserve"> PAGEREF _Toc466800356 \h </w:instrText>
        </w:r>
        <w:r w:rsidR="00522EDE" w:rsidRPr="008B68A9">
          <w:rPr>
            <w:webHidden/>
          </w:rPr>
        </w:r>
        <w:r w:rsidR="00522EDE" w:rsidRPr="008B68A9">
          <w:rPr>
            <w:webHidden/>
          </w:rPr>
          <w:fldChar w:fldCharType="separate"/>
        </w:r>
        <w:r w:rsidR="00522EDE" w:rsidRPr="008B68A9">
          <w:rPr>
            <w:webHidden/>
          </w:rPr>
          <w:t>147</w:t>
        </w:r>
        <w:r w:rsidR="00522EDE" w:rsidRPr="008B68A9">
          <w:rPr>
            <w:webHidden/>
          </w:rPr>
          <w:fldChar w:fldCharType="end"/>
        </w:r>
      </w:hyperlink>
    </w:p>
    <w:p w14:paraId="412B7366" w14:textId="77777777" w:rsidR="00522EDE" w:rsidRPr="008B68A9" w:rsidRDefault="008B68A9">
      <w:pPr>
        <w:pStyle w:val="TOC3"/>
        <w:rPr>
          <w:rFonts w:eastAsiaTheme="minorEastAsia"/>
          <w:sz w:val="22"/>
          <w:lang w:eastAsia="en-GB"/>
        </w:rPr>
      </w:pPr>
      <w:hyperlink w:anchor="_Toc466800357" w:history="1">
        <w:r w:rsidR="00522EDE" w:rsidRPr="008B68A9">
          <w:rPr>
            <w:rStyle w:val="Hyperlink"/>
          </w:rPr>
          <w:t>5.6.1 Summary of evaluation</w:t>
        </w:r>
        <w:r w:rsidR="00522EDE" w:rsidRPr="008B68A9">
          <w:rPr>
            <w:webHidden/>
          </w:rPr>
          <w:tab/>
        </w:r>
        <w:r w:rsidR="00522EDE" w:rsidRPr="008B68A9">
          <w:rPr>
            <w:webHidden/>
          </w:rPr>
          <w:fldChar w:fldCharType="begin"/>
        </w:r>
        <w:r w:rsidR="00522EDE" w:rsidRPr="008B68A9">
          <w:rPr>
            <w:webHidden/>
          </w:rPr>
          <w:instrText xml:space="preserve"> PAGEREF _Toc466800357 \h </w:instrText>
        </w:r>
        <w:r w:rsidR="00522EDE" w:rsidRPr="008B68A9">
          <w:rPr>
            <w:webHidden/>
          </w:rPr>
        </w:r>
        <w:r w:rsidR="00522EDE" w:rsidRPr="008B68A9">
          <w:rPr>
            <w:webHidden/>
          </w:rPr>
          <w:fldChar w:fldCharType="separate"/>
        </w:r>
        <w:r w:rsidR="00522EDE" w:rsidRPr="008B68A9">
          <w:rPr>
            <w:webHidden/>
          </w:rPr>
          <w:t>147</w:t>
        </w:r>
        <w:r w:rsidR="00522EDE" w:rsidRPr="008B68A9">
          <w:rPr>
            <w:webHidden/>
          </w:rPr>
          <w:fldChar w:fldCharType="end"/>
        </w:r>
      </w:hyperlink>
    </w:p>
    <w:p w14:paraId="3AF6F32F" w14:textId="77777777" w:rsidR="00522EDE" w:rsidRPr="008B68A9" w:rsidRDefault="008B68A9">
      <w:pPr>
        <w:pStyle w:val="TOC3"/>
        <w:rPr>
          <w:rFonts w:eastAsiaTheme="minorEastAsia"/>
          <w:sz w:val="22"/>
          <w:lang w:eastAsia="en-GB"/>
        </w:rPr>
      </w:pPr>
      <w:hyperlink w:anchor="_Toc466800358" w:history="1">
        <w:r w:rsidR="00522EDE" w:rsidRPr="008B68A9">
          <w:rPr>
            <w:rStyle w:val="Hyperlink"/>
          </w:rPr>
          <w:t>5.6.2 Aims</w:t>
        </w:r>
        <w:r w:rsidR="00522EDE" w:rsidRPr="008B68A9">
          <w:rPr>
            <w:webHidden/>
          </w:rPr>
          <w:tab/>
        </w:r>
        <w:r w:rsidR="00522EDE" w:rsidRPr="008B68A9">
          <w:rPr>
            <w:webHidden/>
          </w:rPr>
          <w:fldChar w:fldCharType="begin"/>
        </w:r>
        <w:r w:rsidR="00522EDE" w:rsidRPr="008B68A9">
          <w:rPr>
            <w:webHidden/>
          </w:rPr>
          <w:instrText xml:space="preserve"> PAGEREF _Toc466800358 \h </w:instrText>
        </w:r>
        <w:r w:rsidR="00522EDE" w:rsidRPr="008B68A9">
          <w:rPr>
            <w:webHidden/>
          </w:rPr>
        </w:r>
        <w:r w:rsidR="00522EDE" w:rsidRPr="008B68A9">
          <w:rPr>
            <w:webHidden/>
          </w:rPr>
          <w:fldChar w:fldCharType="separate"/>
        </w:r>
        <w:r w:rsidR="00522EDE" w:rsidRPr="008B68A9">
          <w:rPr>
            <w:webHidden/>
          </w:rPr>
          <w:t>148</w:t>
        </w:r>
        <w:r w:rsidR="00522EDE" w:rsidRPr="008B68A9">
          <w:rPr>
            <w:webHidden/>
          </w:rPr>
          <w:fldChar w:fldCharType="end"/>
        </w:r>
      </w:hyperlink>
    </w:p>
    <w:p w14:paraId="2EDC37D4" w14:textId="77777777" w:rsidR="00522EDE" w:rsidRPr="008B68A9" w:rsidRDefault="008B68A9">
      <w:pPr>
        <w:pStyle w:val="TOC3"/>
        <w:rPr>
          <w:rFonts w:eastAsiaTheme="minorEastAsia"/>
          <w:sz w:val="22"/>
          <w:lang w:eastAsia="en-GB"/>
        </w:rPr>
      </w:pPr>
      <w:hyperlink w:anchor="_Toc466800359" w:history="1">
        <w:r w:rsidR="00522EDE" w:rsidRPr="008B68A9">
          <w:rPr>
            <w:rStyle w:val="Hyperlink"/>
          </w:rPr>
          <w:t>5.6.3 Method</w:t>
        </w:r>
        <w:r w:rsidR="00522EDE" w:rsidRPr="008B68A9">
          <w:rPr>
            <w:webHidden/>
          </w:rPr>
          <w:tab/>
        </w:r>
        <w:r w:rsidR="00522EDE" w:rsidRPr="008B68A9">
          <w:rPr>
            <w:webHidden/>
          </w:rPr>
          <w:fldChar w:fldCharType="begin"/>
        </w:r>
        <w:r w:rsidR="00522EDE" w:rsidRPr="008B68A9">
          <w:rPr>
            <w:webHidden/>
          </w:rPr>
          <w:instrText xml:space="preserve"> PAGEREF _Toc466800359 \h </w:instrText>
        </w:r>
        <w:r w:rsidR="00522EDE" w:rsidRPr="008B68A9">
          <w:rPr>
            <w:webHidden/>
          </w:rPr>
        </w:r>
        <w:r w:rsidR="00522EDE" w:rsidRPr="008B68A9">
          <w:rPr>
            <w:webHidden/>
          </w:rPr>
          <w:fldChar w:fldCharType="separate"/>
        </w:r>
        <w:r w:rsidR="00522EDE" w:rsidRPr="008B68A9">
          <w:rPr>
            <w:webHidden/>
          </w:rPr>
          <w:t>148</w:t>
        </w:r>
        <w:r w:rsidR="00522EDE" w:rsidRPr="008B68A9">
          <w:rPr>
            <w:webHidden/>
          </w:rPr>
          <w:fldChar w:fldCharType="end"/>
        </w:r>
      </w:hyperlink>
    </w:p>
    <w:p w14:paraId="51568D1E" w14:textId="77777777" w:rsidR="00522EDE" w:rsidRPr="008B68A9" w:rsidRDefault="008B68A9">
      <w:pPr>
        <w:pStyle w:val="TOC3"/>
        <w:rPr>
          <w:rFonts w:eastAsiaTheme="minorEastAsia"/>
          <w:sz w:val="22"/>
          <w:lang w:eastAsia="en-GB"/>
        </w:rPr>
      </w:pPr>
      <w:hyperlink w:anchor="_Toc466800360" w:history="1">
        <w:r w:rsidR="00522EDE" w:rsidRPr="008B68A9">
          <w:rPr>
            <w:rStyle w:val="Hyperlink"/>
          </w:rPr>
          <w:t>5.6.4 Results and findings</w:t>
        </w:r>
        <w:r w:rsidR="00522EDE" w:rsidRPr="008B68A9">
          <w:rPr>
            <w:webHidden/>
          </w:rPr>
          <w:tab/>
        </w:r>
        <w:r w:rsidR="00522EDE" w:rsidRPr="008B68A9">
          <w:rPr>
            <w:webHidden/>
          </w:rPr>
          <w:fldChar w:fldCharType="begin"/>
        </w:r>
        <w:r w:rsidR="00522EDE" w:rsidRPr="008B68A9">
          <w:rPr>
            <w:webHidden/>
          </w:rPr>
          <w:instrText xml:space="preserve"> PAGEREF _Toc466800360 \h </w:instrText>
        </w:r>
        <w:r w:rsidR="00522EDE" w:rsidRPr="008B68A9">
          <w:rPr>
            <w:webHidden/>
          </w:rPr>
        </w:r>
        <w:r w:rsidR="00522EDE" w:rsidRPr="008B68A9">
          <w:rPr>
            <w:webHidden/>
          </w:rPr>
          <w:fldChar w:fldCharType="separate"/>
        </w:r>
        <w:r w:rsidR="00522EDE" w:rsidRPr="008B68A9">
          <w:rPr>
            <w:webHidden/>
          </w:rPr>
          <w:t>151</w:t>
        </w:r>
        <w:r w:rsidR="00522EDE" w:rsidRPr="008B68A9">
          <w:rPr>
            <w:webHidden/>
          </w:rPr>
          <w:fldChar w:fldCharType="end"/>
        </w:r>
      </w:hyperlink>
    </w:p>
    <w:p w14:paraId="00708E38" w14:textId="77777777" w:rsidR="00522EDE" w:rsidRPr="008B68A9" w:rsidRDefault="008B68A9">
      <w:pPr>
        <w:pStyle w:val="TOC3"/>
        <w:rPr>
          <w:rFonts w:eastAsiaTheme="minorEastAsia"/>
          <w:sz w:val="22"/>
          <w:lang w:eastAsia="en-GB"/>
        </w:rPr>
      </w:pPr>
      <w:hyperlink w:anchor="_Toc466800361" w:history="1">
        <w:r w:rsidR="00522EDE" w:rsidRPr="008B68A9">
          <w:rPr>
            <w:rStyle w:val="Hyperlink"/>
          </w:rPr>
          <w:t>5.6.5 Conclusions</w:t>
        </w:r>
        <w:r w:rsidR="00522EDE" w:rsidRPr="008B68A9">
          <w:rPr>
            <w:webHidden/>
          </w:rPr>
          <w:tab/>
        </w:r>
        <w:r w:rsidR="00522EDE" w:rsidRPr="008B68A9">
          <w:rPr>
            <w:webHidden/>
          </w:rPr>
          <w:fldChar w:fldCharType="begin"/>
        </w:r>
        <w:r w:rsidR="00522EDE" w:rsidRPr="008B68A9">
          <w:rPr>
            <w:webHidden/>
          </w:rPr>
          <w:instrText xml:space="preserve"> PAGEREF _Toc466800361 \h </w:instrText>
        </w:r>
        <w:r w:rsidR="00522EDE" w:rsidRPr="008B68A9">
          <w:rPr>
            <w:webHidden/>
          </w:rPr>
        </w:r>
        <w:r w:rsidR="00522EDE" w:rsidRPr="008B68A9">
          <w:rPr>
            <w:webHidden/>
          </w:rPr>
          <w:fldChar w:fldCharType="separate"/>
        </w:r>
        <w:r w:rsidR="00522EDE" w:rsidRPr="008B68A9">
          <w:rPr>
            <w:webHidden/>
          </w:rPr>
          <w:t>154</w:t>
        </w:r>
        <w:r w:rsidR="00522EDE" w:rsidRPr="008B68A9">
          <w:rPr>
            <w:webHidden/>
          </w:rPr>
          <w:fldChar w:fldCharType="end"/>
        </w:r>
      </w:hyperlink>
    </w:p>
    <w:p w14:paraId="790CB768" w14:textId="77777777" w:rsidR="00522EDE" w:rsidRPr="008B68A9" w:rsidRDefault="008B68A9">
      <w:pPr>
        <w:pStyle w:val="TOC3"/>
        <w:rPr>
          <w:rFonts w:eastAsiaTheme="minorEastAsia"/>
          <w:sz w:val="22"/>
          <w:lang w:eastAsia="en-GB"/>
        </w:rPr>
      </w:pPr>
      <w:hyperlink w:anchor="_Toc466800362" w:history="1">
        <w:r w:rsidR="00522EDE" w:rsidRPr="008B68A9">
          <w:rPr>
            <w:rStyle w:val="Hyperlink"/>
          </w:rPr>
          <w:t>5.6.6 Commentary and reflexivity</w:t>
        </w:r>
        <w:r w:rsidR="00522EDE" w:rsidRPr="008B68A9">
          <w:rPr>
            <w:webHidden/>
          </w:rPr>
          <w:tab/>
        </w:r>
        <w:r w:rsidR="00522EDE" w:rsidRPr="008B68A9">
          <w:rPr>
            <w:webHidden/>
          </w:rPr>
          <w:fldChar w:fldCharType="begin"/>
        </w:r>
        <w:r w:rsidR="00522EDE" w:rsidRPr="008B68A9">
          <w:rPr>
            <w:webHidden/>
          </w:rPr>
          <w:instrText xml:space="preserve"> PAGEREF _Toc466800362 \h </w:instrText>
        </w:r>
        <w:r w:rsidR="00522EDE" w:rsidRPr="008B68A9">
          <w:rPr>
            <w:webHidden/>
          </w:rPr>
        </w:r>
        <w:r w:rsidR="00522EDE" w:rsidRPr="008B68A9">
          <w:rPr>
            <w:webHidden/>
          </w:rPr>
          <w:fldChar w:fldCharType="separate"/>
        </w:r>
        <w:r w:rsidR="00522EDE" w:rsidRPr="008B68A9">
          <w:rPr>
            <w:webHidden/>
          </w:rPr>
          <w:t>155</w:t>
        </w:r>
        <w:r w:rsidR="00522EDE" w:rsidRPr="008B68A9">
          <w:rPr>
            <w:webHidden/>
          </w:rPr>
          <w:fldChar w:fldCharType="end"/>
        </w:r>
      </w:hyperlink>
    </w:p>
    <w:p w14:paraId="77E51268" w14:textId="77777777" w:rsidR="00522EDE" w:rsidRPr="008B68A9" w:rsidRDefault="008B68A9">
      <w:pPr>
        <w:pStyle w:val="TOC1"/>
        <w:rPr>
          <w:rFonts w:eastAsiaTheme="minorEastAsia"/>
          <w:sz w:val="22"/>
          <w:lang w:eastAsia="en-GB"/>
        </w:rPr>
      </w:pPr>
      <w:hyperlink w:anchor="_Toc466800363" w:history="1">
        <w:r w:rsidR="00522EDE" w:rsidRPr="008B68A9">
          <w:rPr>
            <w:rStyle w:val="Hyperlink"/>
          </w:rPr>
          <w:t>Chapter 6: Results</w:t>
        </w:r>
        <w:r w:rsidR="00522EDE" w:rsidRPr="008B68A9">
          <w:rPr>
            <w:webHidden/>
          </w:rPr>
          <w:tab/>
        </w:r>
        <w:r w:rsidR="00522EDE" w:rsidRPr="008B68A9">
          <w:rPr>
            <w:webHidden/>
          </w:rPr>
          <w:fldChar w:fldCharType="begin"/>
        </w:r>
        <w:r w:rsidR="00522EDE" w:rsidRPr="008B68A9">
          <w:rPr>
            <w:webHidden/>
          </w:rPr>
          <w:instrText xml:space="preserve"> PAGEREF _Toc466800363 \h </w:instrText>
        </w:r>
        <w:r w:rsidR="00522EDE" w:rsidRPr="008B68A9">
          <w:rPr>
            <w:webHidden/>
          </w:rPr>
        </w:r>
        <w:r w:rsidR="00522EDE" w:rsidRPr="008B68A9">
          <w:rPr>
            <w:webHidden/>
          </w:rPr>
          <w:fldChar w:fldCharType="separate"/>
        </w:r>
        <w:r w:rsidR="00522EDE" w:rsidRPr="008B68A9">
          <w:rPr>
            <w:webHidden/>
          </w:rPr>
          <w:t>157</w:t>
        </w:r>
        <w:r w:rsidR="00522EDE" w:rsidRPr="008B68A9">
          <w:rPr>
            <w:webHidden/>
          </w:rPr>
          <w:fldChar w:fldCharType="end"/>
        </w:r>
      </w:hyperlink>
    </w:p>
    <w:p w14:paraId="2A000E4D" w14:textId="77777777" w:rsidR="00522EDE" w:rsidRPr="008B68A9" w:rsidRDefault="008B68A9">
      <w:pPr>
        <w:pStyle w:val="TOC2"/>
        <w:rPr>
          <w:rFonts w:eastAsiaTheme="minorEastAsia"/>
          <w:sz w:val="22"/>
          <w:lang w:eastAsia="en-GB"/>
        </w:rPr>
      </w:pPr>
      <w:hyperlink w:anchor="_Toc466800364" w:history="1">
        <w:r w:rsidR="00522EDE" w:rsidRPr="008B68A9">
          <w:rPr>
            <w:rStyle w:val="Hyperlink"/>
          </w:rPr>
          <w:t>6.1 Introduction</w:t>
        </w:r>
        <w:r w:rsidR="00522EDE" w:rsidRPr="008B68A9">
          <w:rPr>
            <w:webHidden/>
          </w:rPr>
          <w:tab/>
        </w:r>
        <w:r w:rsidR="00522EDE" w:rsidRPr="008B68A9">
          <w:rPr>
            <w:webHidden/>
          </w:rPr>
          <w:fldChar w:fldCharType="begin"/>
        </w:r>
        <w:r w:rsidR="00522EDE" w:rsidRPr="008B68A9">
          <w:rPr>
            <w:webHidden/>
          </w:rPr>
          <w:instrText xml:space="preserve"> PAGEREF _Toc466800364 \h </w:instrText>
        </w:r>
        <w:r w:rsidR="00522EDE" w:rsidRPr="008B68A9">
          <w:rPr>
            <w:webHidden/>
          </w:rPr>
        </w:r>
        <w:r w:rsidR="00522EDE" w:rsidRPr="008B68A9">
          <w:rPr>
            <w:webHidden/>
          </w:rPr>
          <w:fldChar w:fldCharType="separate"/>
        </w:r>
        <w:r w:rsidR="00522EDE" w:rsidRPr="008B68A9">
          <w:rPr>
            <w:webHidden/>
          </w:rPr>
          <w:t>157</w:t>
        </w:r>
        <w:r w:rsidR="00522EDE" w:rsidRPr="008B68A9">
          <w:rPr>
            <w:webHidden/>
          </w:rPr>
          <w:fldChar w:fldCharType="end"/>
        </w:r>
      </w:hyperlink>
    </w:p>
    <w:p w14:paraId="5F3176D0" w14:textId="77777777" w:rsidR="00522EDE" w:rsidRPr="008B68A9" w:rsidRDefault="008B68A9">
      <w:pPr>
        <w:pStyle w:val="TOC2"/>
        <w:rPr>
          <w:rFonts w:eastAsiaTheme="minorEastAsia"/>
          <w:sz w:val="22"/>
          <w:lang w:eastAsia="en-GB"/>
        </w:rPr>
      </w:pPr>
      <w:hyperlink w:anchor="_Toc466800365" w:history="1">
        <w:r w:rsidR="00522EDE" w:rsidRPr="008B68A9">
          <w:rPr>
            <w:rStyle w:val="Hyperlink"/>
          </w:rPr>
          <w:t>6.2 Coding formation and strategy</w:t>
        </w:r>
        <w:r w:rsidR="00522EDE" w:rsidRPr="008B68A9">
          <w:rPr>
            <w:webHidden/>
          </w:rPr>
          <w:tab/>
        </w:r>
        <w:r w:rsidR="00522EDE" w:rsidRPr="008B68A9">
          <w:rPr>
            <w:webHidden/>
          </w:rPr>
          <w:fldChar w:fldCharType="begin"/>
        </w:r>
        <w:r w:rsidR="00522EDE" w:rsidRPr="008B68A9">
          <w:rPr>
            <w:webHidden/>
          </w:rPr>
          <w:instrText xml:space="preserve"> PAGEREF _Toc466800365 \h </w:instrText>
        </w:r>
        <w:r w:rsidR="00522EDE" w:rsidRPr="008B68A9">
          <w:rPr>
            <w:webHidden/>
          </w:rPr>
        </w:r>
        <w:r w:rsidR="00522EDE" w:rsidRPr="008B68A9">
          <w:rPr>
            <w:webHidden/>
          </w:rPr>
          <w:fldChar w:fldCharType="separate"/>
        </w:r>
        <w:r w:rsidR="00522EDE" w:rsidRPr="008B68A9">
          <w:rPr>
            <w:webHidden/>
          </w:rPr>
          <w:t>158</w:t>
        </w:r>
        <w:r w:rsidR="00522EDE" w:rsidRPr="008B68A9">
          <w:rPr>
            <w:webHidden/>
          </w:rPr>
          <w:fldChar w:fldCharType="end"/>
        </w:r>
      </w:hyperlink>
    </w:p>
    <w:p w14:paraId="07A7F769" w14:textId="77777777" w:rsidR="00522EDE" w:rsidRPr="008B68A9" w:rsidRDefault="008B68A9">
      <w:pPr>
        <w:pStyle w:val="TOC3"/>
        <w:rPr>
          <w:rFonts w:eastAsiaTheme="minorEastAsia"/>
          <w:sz w:val="22"/>
          <w:lang w:eastAsia="en-GB"/>
        </w:rPr>
      </w:pPr>
      <w:hyperlink w:anchor="_Toc466800366" w:history="1">
        <w:r w:rsidR="00522EDE" w:rsidRPr="008B68A9">
          <w:rPr>
            <w:rStyle w:val="Hyperlink"/>
          </w:rPr>
          <w:t>6.2.1 An overview of the analysis through advanced organisers</w:t>
        </w:r>
        <w:r w:rsidR="00522EDE" w:rsidRPr="008B68A9">
          <w:rPr>
            <w:webHidden/>
          </w:rPr>
          <w:tab/>
        </w:r>
        <w:r w:rsidR="00522EDE" w:rsidRPr="008B68A9">
          <w:rPr>
            <w:webHidden/>
          </w:rPr>
          <w:fldChar w:fldCharType="begin"/>
        </w:r>
        <w:r w:rsidR="00522EDE" w:rsidRPr="008B68A9">
          <w:rPr>
            <w:webHidden/>
          </w:rPr>
          <w:instrText xml:space="preserve"> PAGEREF _Toc466800366 \h </w:instrText>
        </w:r>
        <w:r w:rsidR="00522EDE" w:rsidRPr="008B68A9">
          <w:rPr>
            <w:webHidden/>
          </w:rPr>
        </w:r>
        <w:r w:rsidR="00522EDE" w:rsidRPr="008B68A9">
          <w:rPr>
            <w:webHidden/>
          </w:rPr>
          <w:fldChar w:fldCharType="separate"/>
        </w:r>
        <w:r w:rsidR="00522EDE" w:rsidRPr="008B68A9">
          <w:rPr>
            <w:webHidden/>
          </w:rPr>
          <w:t>161</w:t>
        </w:r>
        <w:r w:rsidR="00522EDE" w:rsidRPr="008B68A9">
          <w:rPr>
            <w:webHidden/>
          </w:rPr>
          <w:fldChar w:fldCharType="end"/>
        </w:r>
      </w:hyperlink>
    </w:p>
    <w:p w14:paraId="51CB358F" w14:textId="77777777" w:rsidR="00522EDE" w:rsidRPr="008B68A9" w:rsidRDefault="008B68A9">
      <w:pPr>
        <w:pStyle w:val="TOC2"/>
        <w:rPr>
          <w:rFonts w:eastAsiaTheme="minorEastAsia"/>
          <w:sz w:val="22"/>
          <w:lang w:eastAsia="en-GB"/>
        </w:rPr>
      </w:pPr>
      <w:hyperlink w:anchor="_Toc466800367" w:history="1">
        <w:r w:rsidR="00522EDE" w:rsidRPr="008B68A9">
          <w:rPr>
            <w:rStyle w:val="Hyperlink"/>
          </w:rPr>
          <w:t>6.3 Regressive trajectory</w:t>
        </w:r>
        <w:r w:rsidR="00522EDE" w:rsidRPr="008B68A9">
          <w:rPr>
            <w:webHidden/>
          </w:rPr>
          <w:tab/>
        </w:r>
        <w:r w:rsidR="00522EDE" w:rsidRPr="008B68A9">
          <w:rPr>
            <w:webHidden/>
          </w:rPr>
          <w:fldChar w:fldCharType="begin"/>
        </w:r>
        <w:r w:rsidR="00522EDE" w:rsidRPr="008B68A9">
          <w:rPr>
            <w:webHidden/>
          </w:rPr>
          <w:instrText xml:space="preserve"> PAGEREF _Toc466800367 \h </w:instrText>
        </w:r>
        <w:r w:rsidR="00522EDE" w:rsidRPr="008B68A9">
          <w:rPr>
            <w:webHidden/>
          </w:rPr>
        </w:r>
        <w:r w:rsidR="00522EDE" w:rsidRPr="008B68A9">
          <w:rPr>
            <w:webHidden/>
          </w:rPr>
          <w:fldChar w:fldCharType="separate"/>
        </w:r>
        <w:r w:rsidR="00522EDE" w:rsidRPr="008B68A9">
          <w:rPr>
            <w:webHidden/>
          </w:rPr>
          <w:t>165</w:t>
        </w:r>
        <w:r w:rsidR="00522EDE" w:rsidRPr="008B68A9">
          <w:rPr>
            <w:webHidden/>
          </w:rPr>
          <w:fldChar w:fldCharType="end"/>
        </w:r>
      </w:hyperlink>
    </w:p>
    <w:p w14:paraId="7BD2948C" w14:textId="77777777" w:rsidR="00522EDE" w:rsidRPr="008B68A9" w:rsidRDefault="008B68A9">
      <w:pPr>
        <w:pStyle w:val="TOC2"/>
        <w:rPr>
          <w:rFonts w:eastAsiaTheme="minorEastAsia"/>
          <w:sz w:val="22"/>
          <w:lang w:eastAsia="en-GB"/>
        </w:rPr>
      </w:pPr>
      <w:hyperlink w:anchor="_Toc466800368" w:history="1">
        <w:r w:rsidR="00522EDE" w:rsidRPr="008B68A9">
          <w:rPr>
            <w:rStyle w:val="Hyperlink"/>
          </w:rPr>
          <w:t>6.4 Stability narratives</w:t>
        </w:r>
        <w:r w:rsidR="00522EDE" w:rsidRPr="008B68A9">
          <w:rPr>
            <w:webHidden/>
          </w:rPr>
          <w:tab/>
        </w:r>
        <w:r w:rsidR="00522EDE" w:rsidRPr="008B68A9">
          <w:rPr>
            <w:webHidden/>
          </w:rPr>
          <w:fldChar w:fldCharType="begin"/>
        </w:r>
        <w:r w:rsidR="00522EDE" w:rsidRPr="008B68A9">
          <w:rPr>
            <w:webHidden/>
          </w:rPr>
          <w:instrText xml:space="preserve"> PAGEREF _Toc466800368 \h </w:instrText>
        </w:r>
        <w:r w:rsidR="00522EDE" w:rsidRPr="008B68A9">
          <w:rPr>
            <w:webHidden/>
          </w:rPr>
        </w:r>
        <w:r w:rsidR="00522EDE" w:rsidRPr="008B68A9">
          <w:rPr>
            <w:webHidden/>
          </w:rPr>
          <w:fldChar w:fldCharType="separate"/>
        </w:r>
        <w:r w:rsidR="00522EDE" w:rsidRPr="008B68A9">
          <w:rPr>
            <w:webHidden/>
          </w:rPr>
          <w:t>167</w:t>
        </w:r>
        <w:r w:rsidR="00522EDE" w:rsidRPr="008B68A9">
          <w:rPr>
            <w:webHidden/>
          </w:rPr>
          <w:fldChar w:fldCharType="end"/>
        </w:r>
      </w:hyperlink>
    </w:p>
    <w:p w14:paraId="5899CAC0" w14:textId="77777777" w:rsidR="00522EDE" w:rsidRPr="008B68A9" w:rsidRDefault="008B68A9">
      <w:pPr>
        <w:pStyle w:val="TOC2"/>
        <w:rPr>
          <w:rFonts w:eastAsiaTheme="minorEastAsia"/>
          <w:sz w:val="22"/>
          <w:lang w:eastAsia="en-GB"/>
        </w:rPr>
      </w:pPr>
      <w:hyperlink w:anchor="_Toc466800369" w:history="1">
        <w:r w:rsidR="00522EDE" w:rsidRPr="008B68A9">
          <w:rPr>
            <w:rStyle w:val="Hyperlink"/>
          </w:rPr>
          <w:t>6.5 Contingent narrative</w:t>
        </w:r>
        <w:r w:rsidR="00522EDE" w:rsidRPr="008B68A9">
          <w:rPr>
            <w:webHidden/>
          </w:rPr>
          <w:tab/>
        </w:r>
        <w:r w:rsidR="00522EDE" w:rsidRPr="008B68A9">
          <w:rPr>
            <w:webHidden/>
          </w:rPr>
          <w:fldChar w:fldCharType="begin"/>
        </w:r>
        <w:r w:rsidR="00522EDE" w:rsidRPr="008B68A9">
          <w:rPr>
            <w:webHidden/>
          </w:rPr>
          <w:instrText xml:space="preserve"> PAGEREF _Toc466800369 \h </w:instrText>
        </w:r>
        <w:r w:rsidR="00522EDE" w:rsidRPr="008B68A9">
          <w:rPr>
            <w:webHidden/>
          </w:rPr>
        </w:r>
        <w:r w:rsidR="00522EDE" w:rsidRPr="008B68A9">
          <w:rPr>
            <w:webHidden/>
          </w:rPr>
          <w:fldChar w:fldCharType="separate"/>
        </w:r>
        <w:r w:rsidR="00522EDE" w:rsidRPr="008B68A9">
          <w:rPr>
            <w:webHidden/>
          </w:rPr>
          <w:t>168</w:t>
        </w:r>
        <w:r w:rsidR="00522EDE" w:rsidRPr="008B68A9">
          <w:rPr>
            <w:webHidden/>
          </w:rPr>
          <w:fldChar w:fldCharType="end"/>
        </w:r>
      </w:hyperlink>
    </w:p>
    <w:p w14:paraId="1F040663" w14:textId="77777777" w:rsidR="00522EDE" w:rsidRPr="008B68A9" w:rsidRDefault="008B68A9">
      <w:pPr>
        <w:pStyle w:val="TOC3"/>
        <w:rPr>
          <w:rFonts w:eastAsiaTheme="minorEastAsia"/>
          <w:sz w:val="22"/>
          <w:lang w:eastAsia="en-GB"/>
        </w:rPr>
      </w:pPr>
      <w:hyperlink w:anchor="_Toc466800370" w:history="1">
        <w:r w:rsidR="00522EDE" w:rsidRPr="008B68A9">
          <w:rPr>
            <w:rStyle w:val="Hyperlink"/>
          </w:rPr>
          <w:t>6.5.1 As not deserving</w:t>
        </w:r>
        <w:r w:rsidR="00522EDE" w:rsidRPr="008B68A9">
          <w:rPr>
            <w:webHidden/>
          </w:rPr>
          <w:tab/>
        </w:r>
        <w:r w:rsidR="00522EDE" w:rsidRPr="008B68A9">
          <w:rPr>
            <w:webHidden/>
          </w:rPr>
          <w:fldChar w:fldCharType="begin"/>
        </w:r>
        <w:r w:rsidR="00522EDE" w:rsidRPr="008B68A9">
          <w:rPr>
            <w:webHidden/>
          </w:rPr>
          <w:instrText xml:space="preserve"> PAGEREF _Toc466800370 \h </w:instrText>
        </w:r>
        <w:r w:rsidR="00522EDE" w:rsidRPr="008B68A9">
          <w:rPr>
            <w:webHidden/>
          </w:rPr>
        </w:r>
        <w:r w:rsidR="00522EDE" w:rsidRPr="008B68A9">
          <w:rPr>
            <w:webHidden/>
          </w:rPr>
          <w:fldChar w:fldCharType="separate"/>
        </w:r>
        <w:r w:rsidR="00522EDE" w:rsidRPr="008B68A9">
          <w:rPr>
            <w:webHidden/>
          </w:rPr>
          <w:t>169</w:t>
        </w:r>
        <w:r w:rsidR="00522EDE" w:rsidRPr="008B68A9">
          <w:rPr>
            <w:webHidden/>
          </w:rPr>
          <w:fldChar w:fldCharType="end"/>
        </w:r>
      </w:hyperlink>
    </w:p>
    <w:p w14:paraId="7875C73F" w14:textId="77777777" w:rsidR="00522EDE" w:rsidRPr="008B68A9" w:rsidRDefault="008B68A9">
      <w:pPr>
        <w:pStyle w:val="TOC3"/>
        <w:rPr>
          <w:rFonts w:eastAsiaTheme="minorEastAsia"/>
          <w:sz w:val="22"/>
          <w:lang w:eastAsia="en-GB"/>
        </w:rPr>
      </w:pPr>
      <w:hyperlink w:anchor="_Toc466800371" w:history="1">
        <w:r w:rsidR="00522EDE" w:rsidRPr="008B68A9">
          <w:rPr>
            <w:rStyle w:val="Hyperlink"/>
          </w:rPr>
          <w:t>6.5.2 Substance misuse leading to mental health and other problems</w:t>
        </w:r>
        <w:r w:rsidR="00522EDE" w:rsidRPr="008B68A9">
          <w:rPr>
            <w:webHidden/>
          </w:rPr>
          <w:tab/>
        </w:r>
        <w:r w:rsidR="00522EDE" w:rsidRPr="008B68A9">
          <w:rPr>
            <w:webHidden/>
          </w:rPr>
          <w:fldChar w:fldCharType="begin"/>
        </w:r>
        <w:r w:rsidR="00522EDE" w:rsidRPr="008B68A9">
          <w:rPr>
            <w:webHidden/>
          </w:rPr>
          <w:instrText xml:space="preserve"> PAGEREF _Toc466800371 \h </w:instrText>
        </w:r>
        <w:r w:rsidR="00522EDE" w:rsidRPr="008B68A9">
          <w:rPr>
            <w:webHidden/>
          </w:rPr>
        </w:r>
        <w:r w:rsidR="00522EDE" w:rsidRPr="008B68A9">
          <w:rPr>
            <w:webHidden/>
          </w:rPr>
          <w:fldChar w:fldCharType="separate"/>
        </w:r>
        <w:r w:rsidR="00522EDE" w:rsidRPr="008B68A9">
          <w:rPr>
            <w:webHidden/>
          </w:rPr>
          <w:t>171</w:t>
        </w:r>
        <w:r w:rsidR="00522EDE" w:rsidRPr="008B68A9">
          <w:rPr>
            <w:webHidden/>
          </w:rPr>
          <w:fldChar w:fldCharType="end"/>
        </w:r>
      </w:hyperlink>
    </w:p>
    <w:p w14:paraId="5969C06F" w14:textId="77777777" w:rsidR="00522EDE" w:rsidRPr="008B68A9" w:rsidRDefault="008B68A9">
      <w:pPr>
        <w:pStyle w:val="TOC3"/>
        <w:rPr>
          <w:rFonts w:eastAsiaTheme="minorEastAsia"/>
          <w:sz w:val="22"/>
          <w:lang w:eastAsia="en-GB"/>
        </w:rPr>
      </w:pPr>
      <w:hyperlink w:anchor="_Toc466800372" w:history="1">
        <w:r w:rsidR="00522EDE" w:rsidRPr="008B68A9">
          <w:rPr>
            <w:rStyle w:val="Hyperlink"/>
          </w:rPr>
          <w:t>6.5.3 Professional contingent narrative</w:t>
        </w:r>
        <w:r w:rsidR="00522EDE" w:rsidRPr="008B68A9">
          <w:rPr>
            <w:webHidden/>
          </w:rPr>
          <w:tab/>
        </w:r>
        <w:r w:rsidR="00522EDE" w:rsidRPr="008B68A9">
          <w:rPr>
            <w:webHidden/>
          </w:rPr>
          <w:fldChar w:fldCharType="begin"/>
        </w:r>
        <w:r w:rsidR="00522EDE" w:rsidRPr="008B68A9">
          <w:rPr>
            <w:webHidden/>
          </w:rPr>
          <w:instrText xml:space="preserve"> PAGEREF _Toc466800372 \h </w:instrText>
        </w:r>
        <w:r w:rsidR="00522EDE" w:rsidRPr="008B68A9">
          <w:rPr>
            <w:webHidden/>
          </w:rPr>
        </w:r>
        <w:r w:rsidR="00522EDE" w:rsidRPr="008B68A9">
          <w:rPr>
            <w:webHidden/>
          </w:rPr>
          <w:fldChar w:fldCharType="separate"/>
        </w:r>
        <w:r w:rsidR="00522EDE" w:rsidRPr="008B68A9">
          <w:rPr>
            <w:webHidden/>
          </w:rPr>
          <w:t>172</w:t>
        </w:r>
        <w:r w:rsidR="00522EDE" w:rsidRPr="008B68A9">
          <w:rPr>
            <w:webHidden/>
          </w:rPr>
          <w:fldChar w:fldCharType="end"/>
        </w:r>
      </w:hyperlink>
    </w:p>
    <w:p w14:paraId="4908489A" w14:textId="77777777" w:rsidR="00522EDE" w:rsidRPr="008B68A9" w:rsidRDefault="008B68A9">
      <w:pPr>
        <w:pStyle w:val="TOC2"/>
        <w:rPr>
          <w:rFonts w:eastAsiaTheme="minorEastAsia"/>
          <w:sz w:val="22"/>
          <w:lang w:eastAsia="en-GB"/>
        </w:rPr>
      </w:pPr>
      <w:hyperlink w:anchor="_Toc466800373" w:history="1">
        <w:r w:rsidR="00522EDE" w:rsidRPr="008B68A9">
          <w:rPr>
            <w:rStyle w:val="Hyperlink"/>
          </w:rPr>
          <w:t>6.6 Brokerage</w:t>
        </w:r>
        <w:r w:rsidR="00522EDE" w:rsidRPr="008B68A9">
          <w:rPr>
            <w:webHidden/>
          </w:rPr>
          <w:tab/>
        </w:r>
        <w:r w:rsidR="00522EDE" w:rsidRPr="008B68A9">
          <w:rPr>
            <w:webHidden/>
          </w:rPr>
          <w:fldChar w:fldCharType="begin"/>
        </w:r>
        <w:r w:rsidR="00522EDE" w:rsidRPr="008B68A9">
          <w:rPr>
            <w:webHidden/>
          </w:rPr>
          <w:instrText xml:space="preserve"> PAGEREF _Toc466800373 \h </w:instrText>
        </w:r>
        <w:r w:rsidR="00522EDE" w:rsidRPr="008B68A9">
          <w:rPr>
            <w:webHidden/>
          </w:rPr>
        </w:r>
        <w:r w:rsidR="00522EDE" w:rsidRPr="008B68A9">
          <w:rPr>
            <w:webHidden/>
          </w:rPr>
          <w:fldChar w:fldCharType="separate"/>
        </w:r>
        <w:r w:rsidR="00522EDE" w:rsidRPr="008B68A9">
          <w:rPr>
            <w:webHidden/>
          </w:rPr>
          <w:t>173</w:t>
        </w:r>
        <w:r w:rsidR="00522EDE" w:rsidRPr="008B68A9">
          <w:rPr>
            <w:webHidden/>
          </w:rPr>
          <w:fldChar w:fldCharType="end"/>
        </w:r>
      </w:hyperlink>
    </w:p>
    <w:p w14:paraId="5DD61376" w14:textId="77777777" w:rsidR="00522EDE" w:rsidRPr="008B68A9" w:rsidRDefault="008B68A9">
      <w:pPr>
        <w:pStyle w:val="TOC3"/>
        <w:rPr>
          <w:rFonts w:eastAsiaTheme="minorEastAsia"/>
          <w:sz w:val="22"/>
          <w:lang w:eastAsia="en-GB"/>
        </w:rPr>
      </w:pPr>
      <w:hyperlink w:anchor="_Toc466800374" w:history="1">
        <w:r w:rsidR="00522EDE" w:rsidRPr="008B68A9">
          <w:rPr>
            <w:rStyle w:val="Hyperlink"/>
          </w:rPr>
          <w:t>6.6.1 Brokerage actions</w:t>
        </w:r>
        <w:r w:rsidR="00522EDE" w:rsidRPr="008B68A9">
          <w:rPr>
            <w:webHidden/>
          </w:rPr>
          <w:tab/>
        </w:r>
        <w:r w:rsidR="00522EDE" w:rsidRPr="008B68A9">
          <w:rPr>
            <w:webHidden/>
          </w:rPr>
          <w:fldChar w:fldCharType="begin"/>
        </w:r>
        <w:r w:rsidR="00522EDE" w:rsidRPr="008B68A9">
          <w:rPr>
            <w:webHidden/>
          </w:rPr>
          <w:instrText xml:space="preserve"> PAGEREF _Toc466800374 \h </w:instrText>
        </w:r>
        <w:r w:rsidR="00522EDE" w:rsidRPr="008B68A9">
          <w:rPr>
            <w:webHidden/>
          </w:rPr>
        </w:r>
        <w:r w:rsidR="00522EDE" w:rsidRPr="008B68A9">
          <w:rPr>
            <w:webHidden/>
          </w:rPr>
          <w:fldChar w:fldCharType="separate"/>
        </w:r>
        <w:r w:rsidR="00522EDE" w:rsidRPr="008B68A9">
          <w:rPr>
            <w:webHidden/>
          </w:rPr>
          <w:t>175</w:t>
        </w:r>
        <w:r w:rsidR="00522EDE" w:rsidRPr="008B68A9">
          <w:rPr>
            <w:webHidden/>
          </w:rPr>
          <w:fldChar w:fldCharType="end"/>
        </w:r>
      </w:hyperlink>
    </w:p>
    <w:p w14:paraId="78B575B3" w14:textId="77777777" w:rsidR="00522EDE" w:rsidRPr="008B68A9" w:rsidRDefault="008B68A9">
      <w:pPr>
        <w:pStyle w:val="TOC3"/>
        <w:rPr>
          <w:rFonts w:eastAsiaTheme="minorEastAsia"/>
          <w:sz w:val="22"/>
          <w:lang w:eastAsia="en-GB"/>
        </w:rPr>
      </w:pPr>
      <w:hyperlink w:anchor="_Toc466800375" w:history="1">
        <w:r w:rsidR="00522EDE" w:rsidRPr="008B68A9">
          <w:rPr>
            <w:rStyle w:val="Hyperlink"/>
          </w:rPr>
          <w:t>6.6.2 Positioning</w:t>
        </w:r>
        <w:r w:rsidR="00522EDE" w:rsidRPr="008B68A9">
          <w:rPr>
            <w:webHidden/>
          </w:rPr>
          <w:tab/>
        </w:r>
        <w:r w:rsidR="00522EDE" w:rsidRPr="008B68A9">
          <w:rPr>
            <w:webHidden/>
          </w:rPr>
          <w:fldChar w:fldCharType="begin"/>
        </w:r>
        <w:r w:rsidR="00522EDE" w:rsidRPr="008B68A9">
          <w:rPr>
            <w:webHidden/>
          </w:rPr>
          <w:instrText xml:space="preserve"> PAGEREF _Toc466800375 \h </w:instrText>
        </w:r>
        <w:r w:rsidR="00522EDE" w:rsidRPr="008B68A9">
          <w:rPr>
            <w:webHidden/>
          </w:rPr>
        </w:r>
        <w:r w:rsidR="00522EDE" w:rsidRPr="008B68A9">
          <w:rPr>
            <w:webHidden/>
          </w:rPr>
          <w:fldChar w:fldCharType="separate"/>
        </w:r>
        <w:r w:rsidR="00522EDE" w:rsidRPr="008B68A9">
          <w:rPr>
            <w:webHidden/>
          </w:rPr>
          <w:t>175</w:t>
        </w:r>
        <w:r w:rsidR="00522EDE" w:rsidRPr="008B68A9">
          <w:rPr>
            <w:webHidden/>
          </w:rPr>
          <w:fldChar w:fldCharType="end"/>
        </w:r>
      </w:hyperlink>
    </w:p>
    <w:p w14:paraId="64713A14" w14:textId="77777777" w:rsidR="00522EDE" w:rsidRPr="008B68A9" w:rsidRDefault="008B68A9">
      <w:pPr>
        <w:pStyle w:val="TOC3"/>
        <w:rPr>
          <w:rFonts w:eastAsiaTheme="minorEastAsia"/>
          <w:sz w:val="22"/>
          <w:lang w:eastAsia="en-GB"/>
        </w:rPr>
      </w:pPr>
      <w:hyperlink w:anchor="_Toc466800376" w:history="1">
        <w:r w:rsidR="00522EDE" w:rsidRPr="008B68A9">
          <w:rPr>
            <w:rStyle w:val="Hyperlink"/>
          </w:rPr>
          <w:t>6.6.3 Dramatic engagement</w:t>
        </w:r>
        <w:r w:rsidR="00522EDE" w:rsidRPr="008B68A9">
          <w:rPr>
            <w:webHidden/>
          </w:rPr>
          <w:tab/>
        </w:r>
        <w:r w:rsidR="00522EDE" w:rsidRPr="008B68A9">
          <w:rPr>
            <w:webHidden/>
          </w:rPr>
          <w:fldChar w:fldCharType="begin"/>
        </w:r>
        <w:r w:rsidR="00522EDE" w:rsidRPr="008B68A9">
          <w:rPr>
            <w:webHidden/>
          </w:rPr>
          <w:instrText xml:space="preserve"> PAGEREF _Toc466800376 \h </w:instrText>
        </w:r>
        <w:r w:rsidR="00522EDE" w:rsidRPr="008B68A9">
          <w:rPr>
            <w:webHidden/>
          </w:rPr>
        </w:r>
        <w:r w:rsidR="00522EDE" w:rsidRPr="008B68A9">
          <w:rPr>
            <w:webHidden/>
          </w:rPr>
          <w:fldChar w:fldCharType="separate"/>
        </w:r>
        <w:r w:rsidR="00522EDE" w:rsidRPr="008B68A9">
          <w:rPr>
            <w:webHidden/>
          </w:rPr>
          <w:t>177</w:t>
        </w:r>
        <w:r w:rsidR="00522EDE" w:rsidRPr="008B68A9">
          <w:rPr>
            <w:webHidden/>
          </w:rPr>
          <w:fldChar w:fldCharType="end"/>
        </w:r>
      </w:hyperlink>
    </w:p>
    <w:p w14:paraId="66CDFA63" w14:textId="77777777" w:rsidR="00522EDE" w:rsidRPr="008B68A9" w:rsidRDefault="008B68A9">
      <w:pPr>
        <w:pStyle w:val="TOC2"/>
        <w:rPr>
          <w:rFonts w:eastAsiaTheme="minorEastAsia"/>
          <w:sz w:val="22"/>
          <w:lang w:eastAsia="en-GB"/>
        </w:rPr>
      </w:pPr>
      <w:hyperlink w:anchor="_Toc466800377" w:history="1">
        <w:r w:rsidR="00522EDE" w:rsidRPr="008B68A9">
          <w:rPr>
            <w:rStyle w:val="Hyperlink"/>
          </w:rPr>
          <w:t>6.7 Progressive narrative</w:t>
        </w:r>
        <w:r w:rsidR="00522EDE" w:rsidRPr="008B68A9">
          <w:rPr>
            <w:webHidden/>
          </w:rPr>
          <w:tab/>
        </w:r>
        <w:r w:rsidR="00522EDE" w:rsidRPr="008B68A9">
          <w:rPr>
            <w:webHidden/>
          </w:rPr>
          <w:fldChar w:fldCharType="begin"/>
        </w:r>
        <w:r w:rsidR="00522EDE" w:rsidRPr="008B68A9">
          <w:rPr>
            <w:webHidden/>
          </w:rPr>
          <w:instrText xml:space="preserve"> PAGEREF _Toc466800377 \h </w:instrText>
        </w:r>
        <w:r w:rsidR="00522EDE" w:rsidRPr="008B68A9">
          <w:rPr>
            <w:webHidden/>
          </w:rPr>
        </w:r>
        <w:r w:rsidR="00522EDE" w:rsidRPr="008B68A9">
          <w:rPr>
            <w:webHidden/>
          </w:rPr>
          <w:fldChar w:fldCharType="separate"/>
        </w:r>
        <w:r w:rsidR="00522EDE" w:rsidRPr="008B68A9">
          <w:rPr>
            <w:webHidden/>
          </w:rPr>
          <w:t>179</w:t>
        </w:r>
        <w:r w:rsidR="00522EDE" w:rsidRPr="008B68A9">
          <w:rPr>
            <w:webHidden/>
          </w:rPr>
          <w:fldChar w:fldCharType="end"/>
        </w:r>
      </w:hyperlink>
    </w:p>
    <w:p w14:paraId="070BA21A" w14:textId="77777777" w:rsidR="00522EDE" w:rsidRPr="008B68A9" w:rsidRDefault="008B68A9">
      <w:pPr>
        <w:pStyle w:val="TOC3"/>
        <w:rPr>
          <w:rFonts w:eastAsiaTheme="minorEastAsia"/>
          <w:sz w:val="22"/>
          <w:lang w:eastAsia="en-GB"/>
        </w:rPr>
      </w:pPr>
      <w:hyperlink w:anchor="_Toc466800378" w:history="1">
        <w:r w:rsidR="00522EDE" w:rsidRPr="008B68A9">
          <w:rPr>
            <w:rStyle w:val="Hyperlink"/>
          </w:rPr>
          <w:t>6.7.1 Direction and goals</w:t>
        </w:r>
        <w:r w:rsidR="00522EDE" w:rsidRPr="008B68A9">
          <w:rPr>
            <w:webHidden/>
          </w:rPr>
          <w:tab/>
        </w:r>
        <w:r w:rsidR="00522EDE" w:rsidRPr="008B68A9">
          <w:rPr>
            <w:webHidden/>
          </w:rPr>
          <w:fldChar w:fldCharType="begin"/>
        </w:r>
        <w:r w:rsidR="00522EDE" w:rsidRPr="008B68A9">
          <w:rPr>
            <w:webHidden/>
          </w:rPr>
          <w:instrText xml:space="preserve"> PAGEREF _Toc466800378 \h </w:instrText>
        </w:r>
        <w:r w:rsidR="00522EDE" w:rsidRPr="008B68A9">
          <w:rPr>
            <w:webHidden/>
          </w:rPr>
        </w:r>
        <w:r w:rsidR="00522EDE" w:rsidRPr="008B68A9">
          <w:rPr>
            <w:webHidden/>
          </w:rPr>
          <w:fldChar w:fldCharType="separate"/>
        </w:r>
        <w:r w:rsidR="00522EDE" w:rsidRPr="008B68A9">
          <w:rPr>
            <w:webHidden/>
          </w:rPr>
          <w:t>180</w:t>
        </w:r>
        <w:r w:rsidR="00522EDE" w:rsidRPr="008B68A9">
          <w:rPr>
            <w:webHidden/>
          </w:rPr>
          <w:fldChar w:fldCharType="end"/>
        </w:r>
      </w:hyperlink>
    </w:p>
    <w:p w14:paraId="645675C4" w14:textId="77777777" w:rsidR="00522EDE" w:rsidRPr="008B68A9" w:rsidRDefault="008B68A9">
      <w:pPr>
        <w:pStyle w:val="TOC3"/>
        <w:rPr>
          <w:rFonts w:eastAsiaTheme="minorEastAsia"/>
          <w:sz w:val="22"/>
          <w:lang w:eastAsia="en-GB"/>
        </w:rPr>
      </w:pPr>
      <w:hyperlink w:anchor="_Toc466800379" w:history="1">
        <w:r w:rsidR="00522EDE" w:rsidRPr="008B68A9">
          <w:rPr>
            <w:rStyle w:val="Hyperlink"/>
          </w:rPr>
          <w:t>6.7.2 Feeling physically better</w:t>
        </w:r>
        <w:r w:rsidR="00522EDE" w:rsidRPr="008B68A9">
          <w:rPr>
            <w:webHidden/>
          </w:rPr>
          <w:tab/>
        </w:r>
        <w:r w:rsidR="00522EDE" w:rsidRPr="008B68A9">
          <w:rPr>
            <w:webHidden/>
          </w:rPr>
          <w:fldChar w:fldCharType="begin"/>
        </w:r>
        <w:r w:rsidR="00522EDE" w:rsidRPr="008B68A9">
          <w:rPr>
            <w:webHidden/>
          </w:rPr>
          <w:instrText xml:space="preserve"> PAGEREF _Toc466800379 \h </w:instrText>
        </w:r>
        <w:r w:rsidR="00522EDE" w:rsidRPr="008B68A9">
          <w:rPr>
            <w:webHidden/>
          </w:rPr>
        </w:r>
        <w:r w:rsidR="00522EDE" w:rsidRPr="008B68A9">
          <w:rPr>
            <w:webHidden/>
          </w:rPr>
          <w:fldChar w:fldCharType="separate"/>
        </w:r>
        <w:r w:rsidR="00522EDE" w:rsidRPr="008B68A9">
          <w:rPr>
            <w:webHidden/>
          </w:rPr>
          <w:t>180</w:t>
        </w:r>
        <w:r w:rsidR="00522EDE" w:rsidRPr="008B68A9">
          <w:rPr>
            <w:webHidden/>
          </w:rPr>
          <w:fldChar w:fldCharType="end"/>
        </w:r>
      </w:hyperlink>
    </w:p>
    <w:p w14:paraId="63F0D47D" w14:textId="77777777" w:rsidR="00522EDE" w:rsidRPr="008B68A9" w:rsidRDefault="008B68A9">
      <w:pPr>
        <w:pStyle w:val="TOC3"/>
        <w:rPr>
          <w:rFonts w:eastAsiaTheme="minorEastAsia"/>
          <w:sz w:val="22"/>
          <w:lang w:eastAsia="en-GB"/>
        </w:rPr>
      </w:pPr>
      <w:hyperlink w:anchor="_Toc466800380" w:history="1">
        <w:r w:rsidR="00522EDE" w:rsidRPr="008B68A9">
          <w:rPr>
            <w:rStyle w:val="Hyperlink"/>
          </w:rPr>
          <w:t>6.7.3 Connecting</w:t>
        </w:r>
        <w:r w:rsidR="00522EDE" w:rsidRPr="008B68A9">
          <w:rPr>
            <w:webHidden/>
          </w:rPr>
          <w:tab/>
        </w:r>
        <w:r w:rsidR="00522EDE" w:rsidRPr="008B68A9">
          <w:rPr>
            <w:webHidden/>
          </w:rPr>
          <w:fldChar w:fldCharType="begin"/>
        </w:r>
        <w:r w:rsidR="00522EDE" w:rsidRPr="008B68A9">
          <w:rPr>
            <w:webHidden/>
          </w:rPr>
          <w:instrText xml:space="preserve"> PAGEREF _Toc466800380 \h </w:instrText>
        </w:r>
        <w:r w:rsidR="00522EDE" w:rsidRPr="008B68A9">
          <w:rPr>
            <w:webHidden/>
          </w:rPr>
        </w:r>
        <w:r w:rsidR="00522EDE" w:rsidRPr="008B68A9">
          <w:rPr>
            <w:webHidden/>
          </w:rPr>
          <w:fldChar w:fldCharType="separate"/>
        </w:r>
        <w:r w:rsidR="00522EDE" w:rsidRPr="008B68A9">
          <w:rPr>
            <w:webHidden/>
          </w:rPr>
          <w:t>181</w:t>
        </w:r>
        <w:r w:rsidR="00522EDE" w:rsidRPr="008B68A9">
          <w:rPr>
            <w:webHidden/>
          </w:rPr>
          <w:fldChar w:fldCharType="end"/>
        </w:r>
      </w:hyperlink>
    </w:p>
    <w:p w14:paraId="2914BC05" w14:textId="77777777" w:rsidR="00522EDE" w:rsidRPr="008B68A9" w:rsidRDefault="008B68A9">
      <w:pPr>
        <w:pStyle w:val="TOC2"/>
        <w:rPr>
          <w:rFonts w:eastAsiaTheme="minorEastAsia"/>
          <w:sz w:val="22"/>
          <w:lang w:eastAsia="en-GB"/>
        </w:rPr>
      </w:pPr>
      <w:hyperlink w:anchor="_Toc466800381" w:history="1">
        <w:r w:rsidR="00522EDE" w:rsidRPr="008B68A9">
          <w:rPr>
            <w:rStyle w:val="Hyperlink"/>
          </w:rPr>
          <w:t>6.8 Traditional services</w:t>
        </w:r>
        <w:r w:rsidR="00522EDE" w:rsidRPr="008B68A9">
          <w:rPr>
            <w:webHidden/>
          </w:rPr>
          <w:tab/>
        </w:r>
        <w:r w:rsidR="00522EDE" w:rsidRPr="008B68A9">
          <w:rPr>
            <w:webHidden/>
          </w:rPr>
          <w:fldChar w:fldCharType="begin"/>
        </w:r>
        <w:r w:rsidR="00522EDE" w:rsidRPr="008B68A9">
          <w:rPr>
            <w:webHidden/>
          </w:rPr>
          <w:instrText xml:space="preserve"> PAGEREF _Toc466800381 \h </w:instrText>
        </w:r>
        <w:r w:rsidR="00522EDE" w:rsidRPr="008B68A9">
          <w:rPr>
            <w:webHidden/>
          </w:rPr>
        </w:r>
        <w:r w:rsidR="00522EDE" w:rsidRPr="008B68A9">
          <w:rPr>
            <w:webHidden/>
          </w:rPr>
          <w:fldChar w:fldCharType="separate"/>
        </w:r>
        <w:r w:rsidR="00522EDE" w:rsidRPr="008B68A9">
          <w:rPr>
            <w:webHidden/>
          </w:rPr>
          <w:t>182</w:t>
        </w:r>
        <w:r w:rsidR="00522EDE" w:rsidRPr="008B68A9">
          <w:rPr>
            <w:webHidden/>
          </w:rPr>
          <w:fldChar w:fldCharType="end"/>
        </w:r>
      </w:hyperlink>
    </w:p>
    <w:p w14:paraId="1B7DC1EB" w14:textId="77777777" w:rsidR="00522EDE" w:rsidRPr="008B68A9" w:rsidRDefault="008B68A9">
      <w:pPr>
        <w:pStyle w:val="TOC3"/>
        <w:rPr>
          <w:rFonts w:eastAsiaTheme="minorEastAsia"/>
          <w:sz w:val="22"/>
          <w:lang w:eastAsia="en-GB"/>
        </w:rPr>
      </w:pPr>
      <w:hyperlink w:anchor="_Toc466800382" w:history="1">
        <w:r w:rsidR="00522EDE" w:rsidRPr="008B68A9">
          <w:rPr>
            <w:rStyle w:val="Hyperlink"/>
          </w:rPr>
          <w:t>6.8.1 Limitations of traditional services</w:t>
        </w:r>
        <w:r w:rsidR="00522EDE" w:rsidRPr="008B68A9">
          <w:rPr>
            <w:webHidden/>
          </w:rPr>
          <w:tab/>
        </w:r>
        <w:r w:rsidR="00522EDE" w:rsidRPr="008B68A9">
          <w:rPr>
            <w:webHidden/>
          </w:rPr>
          <w:fldChar w:fldCharType="begin"/>
        </w:r>
        <w:r w:rsidR="00522EDE" w:rsidRPr="008B68A9">
          <w:rPr>
            <w:webHidden/>
          </w:rPr>
          <w:instrText xml:space="preserve"> PAGEREF _Toc466800382 \h </w:instrText>
        </w:r>
        <w:r w:rsidR="00522EDE" w:rsidRPr="008B68A9">
          <w:rPr>
            <w:webHidden/>
          </w:rPr>
        </w:r>
        <w:r w:rsidR="00522EDE" w:rsidRPr="008B68A9">
          <w:rPr>
            <w:webHidden/>
          </w:rPr>
          <w:fldChar w:fldCharType="separate"/>
        </w:r>
        <w:r w:rsidR="00522EDE" w:rsidRPr="008B68A9">
          <w:rPr>
            <w:webHidden/>
          </w:rPr>
          <w:t>184</w:t>
        </w:r>
        <w:r w:rsidR="00522EDE" w:rsidRPr="008B68A9">
          <w:rPr>
            <w:webHidden/>
          </w:rPr>
          <w:fldChar w:fldCharType="end"/>
        </w:r>
      </w:hyperlink>
    </w:p>
    <w:p w14:paraId="42850D64" w14:textId="77777777" w:rsidR="00522EDE" w:rsidRPr="008B68A9" w:rsidRDefault="008B68A9">
      <w:pPr>
        <w:pStyle w:val="TOC2"/>
        <w:rPr>
          <w:rFonts w:eastAsiaTheme="minorEastAsia"/>
          <w:sz w:val="22"/>
          <w:lang w:eastAsia="en-GB"/>
        </w:rPr>
      </w:pPr>
      <w:hyperlink w:anchor="_Toc466800383" w:history="1">
        <w:r w:rsidR="00522EDE" w:rsidRPr="008B68A9">
          <w:rPr>
            <w:rStyle w:val="Hyperlink"/>
          </w:rPr>
          <w:t>6.9 Story-lines</w:t>
        </w:r>
        <w:r w:rsidR="00522EDE" w:rsidRPr="008B68A9">
          <w:rPr>
            <w:webHidden/>
          </w:rPr>
          <w:tab/>
        </w:r>
        <w:r w:rsidR="00522EDE" w:rsidRPr="008B68A9">
          <w:rPr>
            <w:webHidden/>
          </w:rPr>
          <w:fldChar w:fldCharType="begin"/>
        </w:r>
        <w:r w:rsidR="00522EDE" w:rsidRPr="008B68A9">
          <w:rPr>
            <w:webHidden/>
          </w:rPr>
          <w:instrText xml:space="preserve"> PAGEREF _Toc466800383 \h </w:instrText>
        </w:r>
        <w:r w:rsidR="00522EDE" w:rsidRPr="008B68A9">
          <w:rPr>
            <w:webHidden/>
          </w:rPr>
        </w:r>
        <w:r w:rsidR="00522EDE" w:rsidRPr="008B68A9">
          <w:rPr>
            <w:webHidden/>
          </w:rPr>
          <w:fldChar w:fldCharType="separate"/>
        </w:r>
        <w:r w:rsidR="00522EDE" w:rsidRPr="008B68A9">
          <w:rPr>
            <w:webHidden/>
          </w:rPr>
          <w:t>184</w:t>
        </w:r>
        <w:r w:rsidR="00522EDE" w:rsidRPr="008B68A9">
          <w:rPr>
            <w:webHidden/>
          </w:rPr>
          <w:fldChar w:fldCharType="end"/>
        </w:r>
      </w:hyperlink>
    </w:p>
    <w:p w14:paraId="055F97F0" w14:textId="77777777" w:rsidR="00522EDE" w:rsidRPr="008B68A9" w:rsidRDefault="008B68A9">
      <w:pPr>
        <w:pStyle w:val="TOC3"/>
        <w:rPr>
          <w:rFonts w:eastAsiaTheme="minorEastAsia"/>
          <w:sz w:val="22"/>
          <w:lang w:eastAsia="en-GB"/>
        </w:rPr>
      </w:pPr>
      <w:hyperlink w:anchor="_Toc466800384" w:history="1">
        <w:r w:rsidR="00522EDE" w:rsidRPr="008B68A9">
          <w:rPr>
            <w:rStyle w:val="Hyperlink"/>
          </w:rPr>
          <w:t>6.9.1 Receptive to personalisation</w:t>
        </w:r>
        <w:r w:rsidR="00522EDE" w:rsidRPr="008B68A9">
          <w:rPr>
            <w:webHidden/>
          </w:rPr>
          <w:tab/>
        </w:r>
        <w:r w:rsidR="00522EDE" w:rsidRPr="008B68A9">
          <w:rPr>
            <w:webHidden/>
          </w:rPr>
          <w:fldChar w:fldCharType="begin"/>
        </w:r>
        <w:r w:rsidR="00522EDE" w:rsidRPr="008B68A9">
          <w:rPr>
            <w:webHidden/>
          </w:rPr>
          <w:instrText xml:space="preserve"> PAGEREF _Toc466800384 \h </w:instrText>
        </w:r>
        <w:r w:rsidR="00522EDE" w:rsidRPr="008B68A9">
          <w:rPr>
            <w:webHidden/>
          </w:rPr>
        </w:r>
        <w:r w:rsidR="00522EDE" w:rsidRPr="008B68A9">
          <w:rPr>
            <w:webHidden/>
          </w:rPr>
          <w:fldChar w:fldCharType="separate"/>
        </w:r>
        <w:r w:rsidR="00522EDE" w:rsidRPr="008B68A9">
          <w:rPr>
            <w:webHidden/>
          </w:rPr>
          <w:t>187</w:t>
        </w:r>
        <w:r w:rsidR="00522EDE" w:rsidRPr="008B68A9">
          <w:rPr>
            <w:webHidden/>
          </w:rPr>
          <w:fldChar w:fldCharType="end"/>
        </w:r>
      </w:hyperlink>
    </w:p>
    <w:p w14:paraId="3F54872A" w14:textId="77777777" w:rsidR="00522EDE" w:rsidRPr="008B68A9" w:rsidRDefault="008B68A9">
      <w:pPr>
        <w:pStyle w:val="TOC3"/>
        <w:rPr>
          <w:rFonts w:eastAsiaTheme="minorEastAsia"/>
          <w:sz w:val="22"/>
          <w:lang w:eastAsia="en-GB"/>
        </w:rPr>
      </w:pPr>
      <w:hyperlink w:anchor="_Toc466800385" w:history="1">
        <w:r w:rsidR="00522EDE" w:rsidRPr="008B68A9">
          <w:rPr>
            <w:rStyle w:val="Hyperlink"/>
          </w:rPr>
          <w:t>6.9.2 Oppositional to personalisation</w:t>
        </w:r>
        <w:r w:rsidR="00522EDE" w:rsidRPr="008B68A9">
          <w:rPr>
            <w:webHidden/>
          </w:rPr>
          <w:tab/>
        </w:r>
        <w:r w:rsidR="00522EDE" w:rsidRPr="008B68A9">
          <w:rPr>
            <w:webHidden/>
          </w:rPr>
          <w:fldChar w:fldCharType="begin"/>
        </w:r>
        <w:r w:rsidR="00522EDE" w:rsidRPr="008B68A9">
          <w:rPr>
            <w:webHidden/>
          </w:rPr>
          <w:instrText xml:space="preserve"> PAGEREF _Toc466800385 \h </w:instrText>
        </w:r>
        <w:r w:rsidR="00522EDE" w:rsidRPr="008B68A9">
          <w:rPr>
            <w:webHidden/>
          </w:rPr>
        </w:r>
        <w:r w:rsidR="00522EDE" w:rsidRPr="008B68A9">
          <w:rPr>
            <w:webHidden/>
          </w:rPr>
          <w:fldChar w:fldCharType="separate"/>
        </w:r>
        <w:r w:rsidR="00522EDE" w:rsidRPr="008B68A9">
          <w:rPr>
            <w:webHidden/>
          </w:rPr>
          <w:t>188</w:t>
        </w:r>
        <w:r w:rsidR="00522EDE" w:rsidRPr="008B68A9">
          <w:rPr>
            <w:webHidden/>
          </w:rPr>
          <w:fldChar w:fldCharType="end"/>
        </w:r>
      </w:hyperlink>
    </w:p>
    <w:p w14:paraId="28D219D8" w14:textId="77777777" w:rsidR="00522EDE" w:rsidRPr="008B68A9" w:rsidRDefault="008B68A9">
      <w:pPr>
        <w:pStyle w:val="TOC2"/>
        <w:rPr>
          <w:rFonts w:eastAsiaTheme="minorEastAsia"/>
          <w:sz w:val="22"/>
          <w:lang w:eastAsia="en-GB"/>
        </w:rPr>
      </w:pPr>
      <w:hyperlink w:anchor="_Toc466800386" w:history="1">
        <w:r w:rsidR="00522EDE" w:rsidRPr="008B68A9">
          <w:rPr>
            <w:rStyle w:val="Hyperlink"/>
          </w:rPr>
          <w:t>6.10 Tropes</w:t>
        </w:r>
        <w:r w:rsidR="00522EDE" w:rsidRPr="008B68A9">
          <w:rPr>
            <w:webHidden/>
          </w:rPr>
          <w:tab/>
        </w:r>
        <w:r w:rsidR="00522EDE" w:rsidRPr="008B68A9">
          <w:rPr>
            <w:webHidden/>
          </w:rPr>
          <w:fldChar w:fldCharType="begin"/>
        </w:r>
        <w:r w:rsidR="00522EDE" w:rsidRPr="008B68A9">
          <w:rPr>
            <w:webHidden/>
          </w:rPr>
          <w:instrText xml:space="preserve"> PAGEREF _Toc466800386 \h </w:instrText>
        </w:r>
        <w:r w:rsidR="00522EDE" w:rsidRPr="008B68A9">
          <w:rPr>
            <w:webHidden/>
          </w:rPr>
        </w:r>
        <w:r w:rsidR="00522EDE" w:rsidRPr="008B68A9">
          <w:rPr>
            <w:webHidden/>
          </w:rPr>
          <w:fldChar w:fldCharType="separate"/>
        </w:r>
        <w:r w:rsidR="00522EDE" w:rsidRPr="008B68A9">
          <w:rPr>
            <w:webHidden/>
          </w:rPr>
          <w:t>190</w:t>
        </w:r>
        <w:r w:rsidR="00522EDE" w:rsidRPr="008B68A9">
          <w:rPr>
            <w:webHidden/>
          </w:rPr>
          <w:fldChar w:fldCharType="end"/>
        </w:r>
      </w:hyperlink>
    </w:p>
    <w:p w14:paraId="1F36472A" w14:textId="77777777" w:rsidR="00522EDE" w:rsidRPr="008B68A9" w:rsidRDefault="008B68A9">
      <w:pPr>
        <w:pStyle w:val="TOC3"/>
        <w:rPr>
          <w:rFonts w:eastAsiaTheme="minorEastAsia"/>
          <w:sz w:val="22"/>
          <w:lang w:eastAsia="en-GB"/>
        </w:rPr>
      </w:pPr>
      <w:hyperlink w:anchor="_Toc466800387" w:history="1">
        <w:r w:rsidR="00522EDE" w:rsidRPr="008B68A9">
          <w:rPr>
            <w:rStyle w:val="Hyperlink"/>
            <w:shd w:val="clear" w:color="auto" w:fill="FFFFFF"/>
          </w:rPr>
          <w:t>6.10.1a Time</w:t>
        </w:r>
        <w:r w:rsidR="00522EDE" w:rsidRPr="008B68A9">
          <w:rPr>
            <w:webHidden/>
          </w:rPr>
          <w:tab/>
        </w:r>
        <w:r w:rsidR="00522EDE" w:rsidRPr="008B68A9">
          <w:rPr>
            <w:webHidden/>
          </w:rPr>
          <w:fldChar w:fldCharType="begin"/>
        </w:r>
        <w:r w:rsidR="00522EDE" w:rsidRPr="008B68A9">
          <w:rPr>
            <w:webHidden/>
          </w:rPr>
          <w:instrText xml:space="preserve"> PAGEREF _Toc466800387 \h </w:instrText>
        </w:r>
        <w:r w:rsidR="00522EDE" w:rsidRPr="008B68A9">
          <w:rPr>
            <w:webHidden/>
          </w:rPr>
        </w:r>
        <w:r w:rsidR="00522EDE" w:rsidRPr="008B68A9">
          <w:rPr>
            <w:webHidden/>
          </w:rPr>
          <w:fldChar w:fldCharType="separate"/>
        </w:r>
        <w:r w:rsidR="00522EDE" w:rsidRPr="008B68A9">
          <w:rPr>
            <w:webHidden/>
          </w:rPr>
          <w:t>190</w:t>
        </w:r>
        <w:r w:rsidR="00522EDE" w:rsidRPr="008B68A9">
          <w:rPr>
            <w:webHidden/>
          </w:rPr>
          <w:fldChar w:fldCharType="end"/>
        </w:r>
      </w:hyperlink>
    </w:p>
    <w:p w14:paraId="0054EBFB" w14:textId="77777777" w:rsidR="00522EDE" w:rsidRPr="008B68A9" w:rsidRDefault="008B68A9">
      <w:pPr>
        <w:pStyle w:val="TOC3"/>
        <w:rPr>
          <w:rFonts w:eastAsiaTheme="minorEastAsia"/>
          <w:sz w:val="22"/>
          <w:lang w:eastAsia="en-GB"/>
        </w:rPr>
      </w:pPr>
      <w:hyperlink w:anchor="_Toc466800388" w:history="1">
        <w:r w:rsidR="00522EDE" w:rsidRPr="008B68A9">
          <w:rPr>
            <w:rStyle w:val="Hyperlink"/>
            <w:shd w:val="clear" w:color="auto" w:fill="FFFFFF"/>
          </w:rPr>
          <w:t>6.10.1b Bureaucracy</w:t>
        </w:r>
        <w:r w:rsidR="00522EDE" w:rsidRPr="008B68A9">
          <w:rPr>
            <w:webHidden/>
          </w:rPr>
          <w:tab/>
        </w:r>
        <w:r w:rsidR="00522EDE" w:rsidRPr="008B68A9">
          <w:rPr>
            <w:webHidden/>
          </w:rPr>
          <w:fldChar w:fldCharType="begin"/>
        </w:r>
        <w:r w:rsidR="00522EDE" w:rsidRPr="008B68A9">
          <w:rPr>
            <w:webHidden/>
          </w:rPr>
          <w:instrText xml:space="preserve"> PAGEREF _Toc466800388 \h </w:instrText>
        </w:r>
        <w:r w:rsidR="00522EDE" w:rsidRPr="008B68A9">
          <w:rPr>
            <w:webHidden/>
          </w:rPr>
        </w:r>
        <w:r w:rsidR="00522EDE" w:rsidRPr="008B68A9">
          <w:rPr>
            <w:webHidden/>
          </w:rPr>
          <w:fldChar w:fldCharType="separate"/>
        </w:r>
        <w:r w:rsidR="00522EDE" w:rsidRPr="008B68A9">
          <w:rPr>
            <w:webHidden/>
          </w:rPr>
          <w:t>191</w:t>
        </w:r>
        <w:r w:rsidR="00522EDE" w:rsidRPr="008B68A9">
          <w:rPr>
            <w:webHidden/>
          </w:rPr>
          <w:fldChar w:fldCharType="end"/>
        </w:r>
      </w:hyperlink>
    </w:p>
    <w:p w14:paraId="54EDA7DE" w14:textId="77777777" w:rsidR="00522EDE" w:rsidRPr="008B68A9" w:rsidRDefault="008B68A9">
      <w:pPr>
        <w:pStyle w:val="TOC3"/>
        <w:rPr>
          <w:rFonts w:eastAsiaTheme="minorEastAsia"/>
          <w:sz w:val="22"/>
          <w:lang w:eastAsia="en-GB"/>
        </w:rPr>
      </w:pPr>
      <w:hyperlink w:anchor="_Toc466800389" w:history="1">
        <w:r w:rsidR="00522EDE" w:rsidRPr="008B68A9">
          <w:rPr>
            <w:rStyle w:val="Hyperlink"/>
            <w:shd w:val="clear" w:color="auto" w:fill="FFFFFF"/>
          </w:rPr>
          <w:t>6.10.2a Risk management</w:t>
        </w:r>
        <w:r w:rsidR="00522EDE" w:rsidRPr="008B68A9">
          <w:rPr>
            <w:webHidden/>
          </w:rPr>
          <w:tab/>
        </w:r>
        <w:r w:rsidR="00522EDE" w:rsidRPr="008B68A9">
          <w:rPr>
            <w:webHidden/>
          </w:rPr>
          <w:fldChar w:fldCharType="begin"/>
        </w:r>
        <w:r w:rsidR="00522EDE" w:rsidRPr="008B68A9">
          <w:rPr>
            <w:webHidden/>
          </w:rPr>
          <w:instrText xml:space="preserve"> PAGEREF _Toc466800389 \h </w:instrText>
        </w:r>
        <w:r w:rsidR="00522EDE" w:rsidRPr="008B68A9">
          <w:rPr>
            <w:webHidden/>
          </w:rPr>
        </w:r>
        <w:r w:rsidR="00522EDE" w:rsidRPr="008B68A9">
          <w:rPr>
            <w:webHidden/>
          </w:rPr>
          <w:fldChar w:fldCharType="separate"/>
        </w:r>
        <w:r w:rsidR="00522EDE" w:rsidRPr="008B68A9">
          <w:rPr>
            <w:webHidden/>
          </w:rPr>
          <w:t>193</w:t>
        </w:r>
        <w:r w:rsidR="00522EDE" w:rsidRPr="008B68A9">
          <w:rPr>
            <w:webHidden/>
          </w:rPr>
          <w:fldChar w:fldCharType="end"/>
        </w:r>
      </w:hyperlink>
    </w:p>
    <w:p w14:paraId="3C4DC585" w14:textId="77777777" w:rsidR="00522EDE" w:rsidRPr="008B68A9" w:rsidRDefault="008B68A9">
      <w:pPr>
        <w:pStyle w:val="TOC3"/>
        <w:rPr>
          <w:rFonts w:eastAsiaTheme="minorEastAsia"/>
          <w:sz w:val="22"/>
          <w:lang w:eastAsia="en-GB"/>
        </w:rPr>
      </w:pPr>
      <w:hyperlink w:anchor="_Toc466800390" w:history="1">
        <w:r w:rsidR="00522EDE" w:rsidRPr="008B68A9">
          <w:rPr>
            <w:rStyle w:val="Hyperlink"/>
            <w:shd w:val="clear" w:color="auto" w:fill="FFFFFF"/>
          </w:rPr>
          <w:t>6.10.2b Risk enablement</w:t>
        </w:r>
        <w:r w:rsidR="00522EDE" w:rsidRPr="008B68A9">
          <w:rPr>
            <w:webHidden/>
          </w:rPr>
          <w:tab/>
        </w:r>
        <w:r w:rsidR="00522EDE" w:rsidRPr="008B68A9">
          <w:rPr>
            <w:webHidden/>
          </w:rPr>
          <w:fldChar w:fldCharType="begin"/>
        </w:r>
        <w:r w:rsidR="00522EDE" w:rsidRPr="008B68A9">
          <w:rPr>
            <w:webHidden/>
          </w:rPr>
          <w:instrText xml:space="preserve"> PAGEREF _Toc466800390 \h </w:instrText>
        </w:r>
        <w:r w:rsidR="00522EDE" w:rsidRPr="008B68A9">
          <w:rPr>
            <w:webHidden/>
          </w:rPr>
        </w:r>
        <w:r w:rsidR="00522EDE" w:rsidRPr="008B68A9">
          <w:rPr>
            <w:webHidden/>
          </w:rPr>
          <w:fldChar w:fldCharType="separate"/>
        </w:r>
        <w:r w:rsidR="00522EDE" w:rsidRPr="008B68A9">
          <w:rPr>
            <w:webHidden/>
          </w:rPr>
          <w:t>194</w:t>
        </w:r>
        <w:r w:rsidR="00522EDE" w:rsidRPr="008B68A9">
          <w:rPr>
            <w:webHidden/>
          </w:rPr>
          <w:fldChar w:fldCharType="end"/>
        </w:r>
      </w:hyperlink>
    </w:p>
    <w:p w14:paraId="0E9F4753" w14:textId="77777777" w:rsidR="00522EDE" w:rsidRPr="008B68A9" w:rsidRDefault="008B68A9">
      <w:pPr>
        <w:pStyle w:val="TOC3"/>
        <w:rPr>
          <w:rFonts w:eastAsiaTheme="minorEastAsia"/>
          <w:sz w:val="22"/>
          <w:lang w:eastAsia="en-GB"/>
        </w:rPr>
      </w:pPr>
      <w:hyperlink w:anchor="_Toc466800391" w:history="1">
        <w:r w:rsidR="00522EDE" w:rsidRPr="008B68A9">
          <w:rPr>
            <w:rStyle w:val="Hyperlink"/>
            <w:shd w:val="clear" w:color="auto" w:fill="FFFFFF"/>
          </w:rPr>
          <w:t>6.10.3a Professional asymmetry</w:t>
        </w:r>
        <w:r w:rsidR="00522EDE" w:rsidRPr="008B68A9">
          <w:rPr>
            <w:webHidden/>
          </w:rPr>
          <w:tab/>
        </w:r>
        <w:r w:rsidR="00522EDE" w:rsidRPr="008B68A9">
          <w:rPr>
            <w:webHidden/>
          </w:rPr>
          <w:fldChar w:fldCharType="begin"/>
        </w:r>
        <w:r w:rsidR="00522EDE" w:rsidRPr="008B68A9">
          <w:rPr>
            <w:webHidden/>
          </w:rPr>
          <w:instrText xml:space="preserve"> PAGEREF _Toc466800391 \h </w:instrText>
        </w:r>
        <w:r w:rsidR="00522EDE" w:rsidRPr="008B68A9">
          <w:rPr>
            <w:webHidden/>
          </w:rPr>
        </w:r>
        <w:r w:rsidR="00522EDE" w:rsidRPr="008B68A9">
          <w:rPr>
            <w:webHidden/>
          </w:rPr>
          <w:fldChar w:fldCharType="separate"/>
        </w:r>
        <w:r w:rsidR="00522EDE" w:rsidRPr="008B68A9">
          <w:rPr>
            <w:webHidden/>
          </w:rPr>
          <w:t>195</w:t>
        </w:r>
        <w:r w:rsidR="00522EDE" w:rsidRPr="008B68A9">
          <w:rPr>
            <w:webHidden/>
          </w:rPr>
          <w:fldChar w:fldCharType="end"/>
        </w:r>
      </w:hyperlink>
    </w:p>
    <w:p w14:paraId="0F8003FC" w14:textId="77777777" w:rsidR="00522EDE" w:rsidRPr="008B68A9" w:rsidRDefault="008B68A9">
      <w:pPr>
        <w:pStyle w:val="TOC3"/>
        <w:rPr>
          <w:rFonts w:eastAsiaTheme="minorEastAsia"/>
          <w:sz w:val="22"/>
          <w:lang w:eastAsia="en-GB"/>
        </w:rPr>
      </w:pPr>
      <w:hyperlink w:anchor="_Toc466800392" w:history="1">
        <w:r w:rsidR="00522EDE" w:rsidRPr="008B68A9">
          <w:rPr>
            <w:rStyle w:val="Hyperlink"/>
            <w:shd w:val="clear" w:color="auto" w:fill="FFFFFF"/>
          </w:rPr>
          <w:t>6.10.3b Co-production</w:t>
        </w:r>
        <w:r w:rsidR="00522EDE" w:rsidRPr="008B68A9">
          <w:rPr>
            <w:webHidden/>
          </w:rPr>
          <w:tab/>
        </w:r>
        <w:r w:rsidR="00522EDE" w:rsidRPr="008B68A9">
          <w:rPr>
            <w:webHidden/>
          </w:rPr>
          <w:fldChar w:fldCharType="begin"/>
        </w:r>
        <w:r w:rsidR="00522EDE" w:rsidRPr="008B68A9">
          <w:rPr>
            <w:webHidden/>
          </w:rPr>
          <w:instrText xml:space="preserve"> PAGEREF _Toc466800392 \h </w:instrText>
        </w:r>
        <w:r w:rsidR="00522EDE" w:rsidRPr="008B68A9">
          <w:rPr>
            <w:webHidden/>
          </w:rPr>
        </w:r>
        <w:r w:rsidR="00522EDE" w:rsidRPr="008B68A9">
          <w:rPr>
            <w:webHidden/>
          </w:rPr>
          <w:fldChar w:fldCharType="separate"/>
        </w:r>
        <w:r w:rsidR="00522EDE" w:rsidRPr="008B68A9">
          <w:rPr>
            <w:webHidden/>
          </w:rPr>
          <w:t>196</w:t>
        </w:r>
        <w:r w:rsidR="00522EDE" w:rsidRPr="008B68A9">
          <w:rPr>
            <w:webHidden/>
          </w:rPr>
          <w:fldChar w:fldCharType="end"/>
        </w:r>
      </w:hyperlink>
    </w:p>
    <w:p w14:paraId="3D25A34E" w14:textId="77777777" w:rsidR="00522EDE" w:rsidRPr="008B68A9" w:rsidRDefault="008B68A9">
      <w:pPr>
        <w:pStyle w:val="TOC3"/>
        <w:rPr>
          <w:rFonts w:eastAsiaTheme="minorEastAsia"/>
          <w:sz w:val="22"/>
          <w:lang w:eastAsia="en-GB"/>
        </w:rPr>
      </w:pPr>
      <w:hyperlink w:anchor="_Toc466800393" w:history="1">
        <w:r w:rsidR="00522EDE" w:rsidRPr="008B68A9">
          <w:rPr>
            <w:rStyle w:val="Hyperlink"/>
            <w:shd w:val="clear" w:color="auto" w:fill="FFFFFF"/>
          </w:rPr>
          <w:t>6.10.4a Equity</w:t>
        </w:r>
        <w:r w:rsidR="00522EDE" w:rsidRPr="008B68A9">
          <w:rPr>
            <w:webHidden/>
          </w:rPr>
          <w:tab/>
        </w:r>
        <w:r w:rsidR="00522EDE" w:rsidRPr="008B68A9">
          <w:rPr>
            <w:webHidden/>
          </w:rPr>
          <w:fldChar w:fldCharType="begin"/>
        </w:r>
        <w:r w:rsidR="00522EDE" w:rsidRPr="008B68A9">
          <w:rPr>
            <w:webHidden/>
          </w:rPr>
          <w:instrText xml:space="preserve"> PAGEREF _Toc466800393 \h </w:instrText>
        </w:r>
        <w:r w:rsidR="00522EDE" w:rsidRPr="008B68A9">
          <w:rPr>
            <w:webHidden/>
          </w:rPr>
        </w:r>
        <w:r w:rsidR="00522EDE" w:rsidRPr="008B68A9">
          <w:rPr>
            <w:webHidden/>
          </w:rPr>
          <w:fldChar w:fldCharType="separate"/>
        </w:r>
        <w:r w:rsidR="00522EDE" w:rsidRPr="008B68A9">
          <w:rPr>
            <w:webHidden/>
          </w:rPr>
          <w:t>197</w:t>
        </w:r>
        <w:r w:rsidR="00522EDE" w:rsidRPr="008B68A9">
          <w:rPr>
            <w:webHidden/>
          </w:rPr>
          <w:fldChar w:fldCharType="end"/>
        </w:r>
      </w:hyperlink>
    </w:p>
    <w:p w14:paraId="67F6A91F" w14:textId="77777777" w:rsidR="00522EDE" w:rsidRPr="008B68A9" w:rsidRDefault="008B68A9">
      <w:pPr>
        <w:pStyle w:val="TOC3"/>
        <w:rPr>
          <w:rFonts w:eastAsiaTheme="minorEastAsia"/>
          <w:sz w:val="22"/>
          <w:lang w:eastAsia="en-GB"/>
        </w:rPr>
      </w:pPr>
      <w:hyperlink w:anchor="_Toc466800394" w:history="1">
        <w:r w:rsidR="00522EDE" w:rsidRPr="008B68A9">
          <w:rPr>
            <w:rStyle w:val="Hyperlink"/>
            <w:shd w:val="clear" w:color="auto" w:fill="FFFFFF"/>
          </w:rPr>
          <w:t>6.10.4b Choice</w:t>
        </w:r>
        <w:r w:rsidR="00522EDE" w:rsidRPr="008B68A9">
          <w:rPr>
            <w:webHidden/>
          </w:rPr>
          <w:tab/>
        </w:r>
        <w:r w:rsidR="00522EDE" w:rsidRPr="008B68A9">
          <w:rPr>
            <w:webHidden/>
          </w:rPr>
          <w:fldChar w:fldCharType="begin"/>
        </w:r>
        <w:r w:rsidR="00522EDE" w:rsidRPr="008B68A9">
          <w:rPr>
            <w:webHidden/>
          </w:rPr>
          <w:instrText xml:space="preserve"> PAGEREF _Toc466800394 \h </w:instrText>
        </w:r>
        <w:r w:rsidR="00522EDE" w:rsidRPr="008B68A9">
          <w:rPr>
            <w:webHidden/>
          </w:rPr>
        </w:r>
        <w:r w:rsidR="00522EDE" w:rsidRPr="008B68A9">
          <w:rPr>
            <w:webHidden/>
          </w:rPr>
          <w:fldChar w:fldCharType="separate"/>
        </w:r>
        <w:r w:rsidR="00522EDE" w:rsidRPr="008B68A9">
          <w:rPr>
            <w:webHidden/>
          </w:rPr>
          <w:t>199</w:t>
        </w:r>
        <w:r w:rsidR="00522EDE" w:rsidRPr="008B68A9">
          <w:rPr>
            <w:webHidden/>
          </w:rPr>
          <w:fldChar w:fldCharType="end"/>
        </w:r>
      </w:hyperlink>
    </w:p>
    <w:p w14:paraId="7CC2F688" w14:textId="77777777" w:rsidR="00522EDE" w:rsidRPr="008B68A9" w:rsidRDefault="008B68A9">
      <w:pPr>
        <w:pStyle w:val="TOC3"/>
        <w:rPr>
          <w:rFonts w:eastAsiaTheme="minorEastAsia"/>
          <w:sz w:val="22"/>
          <w:lang w:eastAsia="en-GB"/>
        </w:rPr>
      </w:pPr>
      <w:hyperlink w:anchor="_Toc466800395" w:history="1">
        <w:r w:rsidR="00522EDE" w:rsidRPr="008B68A9">
          <w:rPr>
            <w:rStyle w:val="Hyperlink"/>
            <w:shd w:val="clear" w:color="auto" w:fill="FFFFFF"/>
          </w:rPr>
          <w:t>6.10.5a Fixed offer</w:t>
        </w:r>
        <w:r w:rsidR="00522EDE" w:rsidRPr="008B68A9">
          <w:rPr>
            <w:webHidden/>
          </w:rPr>
          <w:tab/>
        </w:r>
        <w:r w:rsidR="00522EDE" w:rsidRPr="008B68A9">
          <w:rPr>
            <w:webHidden/>
          </w:rPr>
          <w:fldChar w:fldCharType="begin"/>
        </w:r>
        <w:r w:rsidR="00522EDE" w:rsidRPr="008B68A9">
          <w:rPr>
            <w:webHidden/>
          </w:rPr>
          <w:instrText xml:space="preserve"> PAGEREF _Toc466800395 \h </w:instrText>
        </w:r>
        <w:r w:rsidR="00522EDE" w:rsidRPr="008B68A9">
          <w:rPr>
            <w:webHidden/>
          </w:rPr>
        </w:r>
        <w:r w:rsidR="00522EDE" w:rsidRPr="008B68A9">
          <w:rPr>
            <w:webHidden/>
          </w:rPr>
          <w:fldChar w:fldCharType="separate"/>
        </w:r>
        <w:r w:rsidR="00522EDE" w:rsidRPr="008B68A9">
          <w:rPr>
            <w:webHidden/>
          </w:rPr>
          <w:t>200</w:t>
        </w:r>
        <w:r w:rsidR="00522EDE" w:rsidRPr="008B68A9">
          <w:rPr>
            <w:webHidden/>
          </w:rPr>
          <w:fldChar w:fldCharType="end"/>
        </w:r>
      </w:hyperlink>
    </w:p>
    <w:p w14:paraId="5E78AB4D" w14:textId="77777777" w:rsidR="00522EDE" w:rsidRPr="008B68A9" w:rsidRDefault="008B68A9">
      <w:pPr>
        <w:pStyle w:val="TOC3"/>
        <w:rPr>
          <w:rFonts w:eastAsiaTheme="minorEastAsia"/>
          <w:sz w:val="22"/>
          <w:lang w:eastAsia="en-GB"/>
        </w:rPr>
      </w:pPr>
      <w:hyperlink w:anchor="_Toc466800396" w:history="1">
        <w:r w:rsidR="00522EDE" w:rsidRPr="008B68A9">
          <w:rPr>
            <w:rStyle w:val="Hyperlink"/>
          </w:rPr>
          <w:t>6.10.5b Flexibility</w:t>
        </w:r>
        <w:r w:rsidR="00522EDE" w:rsidRPr="008B68A9">
          <w:rPr>
            <w:webHidden/>
          </w:rPr>
          <w:tab/>
        </w:r>
        <w:r w:rsidR="00522EDE" w:rsidRPr="008B68A9">
          <w:rPr>
            <w:webHidden/>
          </w:rPr>
          <w:fldChar w:fldCharType="begin"/>
        </w:r>
        <w:r w:rsidR="00522EDE" w:rsidRPr="008B68A9">
          <w:rPr>
            <w:webHidden/>
          </w:rPr>
          <w:instrText xml:space="preserve"> PAGEREF _Toc466800396 \h </w:instrText>
        </w:r>
        <w:r w:rsidR="00522EDE" w:rsidRPr="008B68A9">
          <w:rPr>
            <w:webHidden/>
          </w:rPr>
        </w:r>
        <w:r w:rsidR="00522EDE" w:rsidRPr="008B68A9">
          <w:rPr>
            <w:webHidden/>
          </w:rPr>
          <w:fldChar w:fldCharType="separate"/>
        </w:r>
        <w:r w:rsidR="00522EDE" w:rsidRPr="008B68A9">
          <w:rPr>
            <w:webHidden/>
          </w:rPr>
          <w:t>201</w:t>
        </w:r>
        <w:r w:rsidR="00522EDE" w:rsidRPr="008B68A9">
          <w:rPr>
            <w:webHidden/>
          </w:rPr>
          <w:fldChar w:fldCharType="end"/>
        </w:r>
      </w:hyperlink>
    </w:p>
    <w:p w14:paraId="56509864" w14:textId="77777777" w:rsidR="00522EDE" w:rsidRPr="008B68A9" w:rsidRDefault="008B68A9">
      <w:pPr>
        <w:pStyle w:val="TOC3"/>
        <w:rPr>
          <w:rFonts w:eastAsiaTheme="minorEastAsia"/>
          <w:sz w:val="22"/>
          <w:lang w:eastAsia="en-GB"/>
        </w:rPr>
      </w:pPr>
      <w:hyperlink w:anchor="_Toc466800397" w:history="1">
        <w:r w:rsidR="00522EDE" w:rsidRPr="008B68A9">
          <w:rPr>
            <w:rStyle w:val="Hyperlink"/>
          </w:rPr>
          <w:t>6.10.6a Regulatory</w:t>
        </w:r>
        <w:r w:rsidR="00522EDE" w:rsidRPr="008B68A9">
          <w:rPr>
            <w:webHidden/>
          </w:rPr>
          <w:tab/>
        </w:r>
        <w:r w:rsidR="00522EDE" w:rsidRPr="008B68A9">
          <w:rPr>
            <w:webHidden/>
          </w:rPr>
          <w:fldChar w:fldCharType="begin"/>
        </w:r>
        <w:r w:rsidR="00522EDE" w:rsidRPr="008B68A9">
          <w:rPr>
            <w:webHidden/>
          </w:rPr>
          <w:instrText xml:space="preserve"> PAGEREF _Toc466800397 \h </w:instrText>
        </w:r>
        <w:r w:rsidR="00522EDE" w:rsidRPr="008B68A9">
          <w:rPr>
            <w:webHidden/>
          </w:rPr>
        </w:r>
        <w:r w:rsidR="00522EDE" w:rsidRPr="008B68A9">
          <w:rPr>
            <w:webHidden/>
          </w:rPr>
          <w:fldChar w:fldCharType="separate"/>
        </w:r>
        <w:r w:rsidR="00522EDE" w:rsidRPr="008B68A9">
          <w:rPr>
            <w:webHidden/>
          </w:rPr>
          <w:t>202</w:t>
        </w:r>
        <w:r w:rsidR="00522EDE" w:rsidRPr="008B68A9">
          <w:rPr>
            <w:webHidden/>
          </w:rPr>
          <w:fldChar w:fldCharType="end"/>
        </w:r>
      </w:hyperlink>
    </w:p>
    <w:p w14:paraId="6CF311FC" w14:textId="77777777" w:rsidR="00522EDE" w:rsidRPr="008B68A9" w:rsidRDefault="008B68A9">
      <w:pPr>
        <w:pStyle w:val="TOC3"/>
        <w:rPr>
          <w:rFonts w:eastAsiaTheme="minorEastAsia"/>
          <w:sz w:val="22"/>
          <w:lang w:eastAsia="en-GB"/>
        </w:rPr>
      </w:pPr>
      <w:hyperlink w:anchor="_Toc466800398" w:history="1">
        <w:r w:rsidR="00522EDE" w:rsidRPr="008B68A9">
          <w:rPr>
            <w:rStyle w:val="Hyperlink"/>
          </w:rPr>
          <w:t>6.10.6b Person centred</w:t>
        </w:r>
        <w:r w:rsidR="00522EDE" w:rsidRPr="008B68A9">
          <w:rPr>
            <w:webHidden/>
          </w:rPr>
          <w:tab/>
        </w:r>
        <w:r w:rsidR="00522EDE" w:rsidRPr="008B68A9">
          <w:rPr>
            <w:webHidden/>
          </w:rPr>
          <w:fldChar w:fldCharType="begin"/>
        </w:r>
        <w:r w:rsidR="00522EDE" w:rsidRPr="008B68A9">
          <w:rPr>
            <w:webHidden/>
          </w:rPr>
          <w:instrText xml:space="preserve"> PAGEREF _Toc466800398 \h </w:instrText>
        </w:r>
        <w:r w:rsidR="00522EDE" w:rsidRPr="008B68A9">
          <w:rPr>
            <w:webHidden/>
          </w:rPr>
        </w:r>
        <w:r w:rsidR="00522EDE" w:rsidRPr="008B68A9">
          <w:rPr>
            <w:webHidden/>
          </w:rPr>
          <w:fldChar w:fldCharType="separate"/>
        </w:r>
        <w:r w:rsidR="00522EDE" w:rsidRPr="008B68A9">
          <w:rPr>
            <w:webHidden/>
          </w:rPr>
          <w:t>203</w:t>
        </w:r>
        <w:r w:rsidR="00522EDE" w:rsidRPr="008B68A9">
          <w:rPr>
            <w:webHidden/>
          </w:rPr>
          <w:fldChar w:fldCharType="end"/>
        </w:r>
      </w:hyperlink>
    </w:p>
    <w:p w14:paraId="4405F2B3" w14:textId="77777777" w:rsidR="00522EDE" w:rsidRPr="008B68A9" w:rsidRDefault="008B68A9">
      <w:pPr>
        <w:pStyle w:val="TOC2"/>
        <w:rPr>
          <w:rFonts w:eastAsiaTheme="minorEastAsia"/>
          <w:sz w:val="22"/>
          <w:lang w:eastAsia="en-GB"/>
        </w:rPr>
      </w:pPr>
      <w:hyperlink w:anchor="_Toc466800399" w:history="1">
        <w:r w:rsidR="00522EDE" w:rsidRPr="008B68A9">
          <w:rPr>
            <w:rStyle w:val="Hyperlink"/>
          </w:rPr>
          <w:t>6.11 Nuanced orientation towards personalisation</w:t>
        </w:r>
        <w:r w:rsidR="00522EDE" w:rsidRPr="008B68A9">
          <w:rPr>
            <w:webHidden/>
          </w:rPr>
          <w:tab/>
        </w:r>
        <w:r w:rsidR="00522EDE" w:rsidRPr="008B68A9">
          <w:rPr>
            <w:webHidden/>
          </w:rPr>
          <w:fldChar w:fldCharType="begin"/>
        </w:r>
        <w:r w:rsidR="00522EDE" w:rsidRPr="008B68A9">
          <w:rPr>
            <w:webHidden/>
          </w:rPr>
          <w:instrText xml:space="preserve"> PAGEREF _Toc466800399 \h </w:instrText>
        </w:r>
        <w:r w:rsidR="00522EDE" w:rsidRPr="008B68A9">
          <w:rPr>
            <w:webHidden/>
          </w:rPr>
        </w:r>
        <w:r w:rsidR="00522EDE" w:rsidRPr="008B68A9">
          <w:rPr>
            <w:webHidden/>
          </w:rPr>
          <w:fldChar w:fldCharType="separate"/>
        </w:r>
        <w:r w:rsidR="00522EDE" w:rsidRPr="008B68A9">
          <w:rPr>
            <w:webHidden/>
          </w:rPr>
          <w:t>206</w:t>
        </w:r>
        <w:r w:rsidR="00522EDE" w:rsidRPr="008B68A9">
          <w:rPr>
            <w:webHidden/>
          </w:rPr>
          <w:fldChar w:fldCharType="end"/>
        </w:r>
      </w:hyperlink>
    </w:p>
    <w:p w14:paraId="333C8423" w14:textId="77777777" w:rsidR="00522EDE" w:rsidRPr="008B68A9" w:rsidRDefault="008B68A9">
      <w:pPr>
        <w:pStyle w:val="TOC3"/>
        <w:rPr>
          <w:rFonts w:eastAsiaTheme="minorEastAsia"/>
          <w:sz w:val="22"/>
          <w:lang w:eastAsia="en-GB"/>
        </w:rPr>
      </w:pPr>
      <w:hyperlink w:anchor="_Toc466800400" w:history="1">
        <w:r w:rsidR="00522EDE" w:rsidRPr="008B68A9">
          <w:rPr>
            <w:rStyle w:val="Hyperlink"/>
          </w:rPr>
          <w:t>6.11.1 Nuance and professional workers</w:t>
        </w:r>
        <w:r w:rsidR="00522EDE" w:rsidRPr="008B68A9">
          <w:rPr>
            <w:webHidden/>
          </w:rPr>
          <w:tab/>
        </w:r>
        <w:r w:rsidR="00522EDE" w:rsidRPr="008B68A9">
          <w:rPr>
            <w:webHidden/>
          </w:rPr>
          <w:fldChar w:fldCharType="begin"/>
        </w:r>
        <w:r w:rsidR="00522EDE" w:rsidRPr="008B68A9">
          <w:rPr>
            <w:webHidden/>
          </w:rPr>
          <w:instrText xml:space="preserve"> PAGEREF _Toc466800400 \h </w:instrText>
        </w:r>
        <w:r w:rsidR="00522EDE" w:rsidRPr="008B68A9">
          <w:rPr>
            <w:webHidden/>
          </w:rPr>
        </w:r>
        <w:r w:rsidR="00522EDE" w:rsidRPr="008B68A9">
          <w:rPr>
            <w:webHidden/>
          </w:rPr>
          <w:fldChar w:fldCharType="separate"/>
        </w:r>
        <w:r w:rsidR="00522EDE" w:rsidRPr="008B68A9">
          <w:rPr>
            <w:webHidden/>
          </w:rPr>
          <w:t>207</w:t>
        </w:r>
        <w:r w:rsidR="00522EDE" w:rsidRPr="008B68A9">
          <w:rPr>
            <w:webHidden/>
          </w:rPr>
          <w:fldChar w:fldCharType="end"/>
        </w:r>
      </w:hyperlink>
    </w:p>
    <w:p w14:paraId="33A5F4A7" w14:textId="77777777" w:rsidR="00522EDE" w:rsidRPr="008B68A9" w:rsidRDefault="008B68A9">
      <w:pPr>
        <w:pStyle w:val="TOC2"/>
        <w:rPr>
          <w:rFonts w:eastAsiaTheme="minorEastAsia"/>
          <w:sz w:val="22"/>
          <w:lang w:eastAsia="en-GB"/>
        </w:rPr>
      </w:pPr>
      <w:hyperlink w:anchor="_Toc466800401" w:history="1">
        <w:r w:rsidR="00522EDE" w:rsidRPr="008B68A9">
          <w:rPr>
            <w:rStyle w:val="Hyperlink"/>
          </w:rPr>
          <w:t>6.12 Binary orientation</w:t>
        </w:r>
        <w:r w:rsidR="00522EDE" w:rsidRPr="008B68A9">
          <w:rPr>
            <w:webHidden/>
          </w:rPr>
          <w:tab/>
        </w:r>
        <w:r w:rsidR="00522EDE" w:rsidRPr="008B68A9">
          <w:rPr>
            <w:webHidden/>
          </w:rPr>
          <w:fldChar w:fldCharType="begin"/>
        </w:r>
        <w:r w:rsidR="00522EDE" w:rsidRPr="008B68A9">
          <w:rPr>
            <w:webHidden/>
          </w:rPr>
          <w:instrText xml:space="preserve"> PAGEREF _Toc466800401 \h </w:instrText>
        </w:r>
        <w:r w:rsidR="00522EDE" w:rsidRPr="008B68A9">
          <w:rPr>
            <w:webHidden/>
          </w:rPr>
        </w:r>
        <w:r w:rsidR="00522EDE" w:rsidRPr="008B68A9">
          <w:rPr>
            <w:webHidden/>
          </w:rPr>
          <w:fldChar w:fldCharType="separate"/>
        </w:r>
        <w:r w:rsidR="00522EDE" w:rsidRPr="008B68A9">
          <w:rPr>
            <w:webHidden/>
          </w:rPr>
          <w:t>209</w:t>
        </w:r>
        <w:r w:rsidR="00522EDE" w:rsidRPr="008B68A9">
          <w:rPr>
            <w:webHidden/>
          </w:rPr>
          <w:fldChar w:fldCharType="end"/>
        </w:r>
      </w:hyperlink>
    </w:p>
    <w:p w14:paraId="00A77E84" w14:textId="77777777" w:rsidR="00522EDE" w:rsidRPr="008B68A9" w:rsidRDefault="008B68A9">
      <w:pPr>
        <w:pStyle w:val="TOC3"/>
        <w:rPr>
          <w:rFonts w:eastAsiaTheme="minorEastAsia"/>
          <w:sz w:val="22"/>
          <w:lang w:eastAsia="en-GB"/>
        </w:rPr>
      </w:pPr>
      <w:hyperlink w:anchor="_Toc466800402" w:history="1">
        <w:r w:rsidR="00522EDE" w:rsidRPr="008B68A9">
          <w:rPr>
            <w:rStyle w:val="Hyperlink"/>
          </w:rPr>
          <w:t>6.12.1 Positive binary orientation</w:t>
        </w:r>
        <w:r w:rsidR="00522EDE" w:rsidRPr="008B68A9">
          <w:rPr>
            <w:webHidden/>
          </w:rPr>
          <w:tab/>
        </w:r>
        <w:r w:rsidR="00522EDE" w:rsidRPr="008B68A9">
          <w:rPr>
            <w:webHidden/>
          </w:rPr>
          <w:fldChar w:fldCharType="begin"/>
        </w:r>
        <w:r w:rsidR="00522EDE" w:rsidRPr="008B68A9">
          <w:rPr>
            <w:webHidden/>
          </w:rPr>
          <w:instrText xml:space="preserve"> PAGEREF _Toc466800402 \h </w:instrText>
        </w:r>
        <w:r w:rsidR="00522EDE" w:rsidRPr="008B68A9">
          <w:rPr>
            <w:webHidden/>
          </w:rPr>
        </w:r>
        <w:r w:rsidR="00522EDE" w:rsidRPr="008B68A9">
          <w:rPr>
            <w:webHidden/>
          </w:rPr>
          <w:fldChar w:fldCharType="separate"/>
        </w:r>
        <w:r w:rsidR="00522EDE" w:rsidRPr="008B68A9">
          <w:rPr>
            <w:webHidden/>
          </w:rPr>
          <w:t>209</w:t>
        </w:r>
        <w:r w:rsidR="00522EDE" w:rsidRPr="008B68A9">
          <w:rPr>
            <w:webHidden/>
          </w:rPr>
          <w:fldChar w:fldCharType="end"/>
        </w:r>
      </w:hyperlink>
    </w:p>
    <w:p w14:paraId="34AD4B3F" w14:textId="77777777" w:rsidR="00522EDE" w:rsidRPr="008B68A9" w:rsidRDefault="008B68A9">
      <w:pPr>
        <w:pStyle w:val="TOC3"/>
        <w:rPr>
          <w:rFonts w:eastAsiaTheme="minorEastAsia"/>
          <w:sz w:val="22"/>
          <w:lang w:eastAsia="en-GB"/>
        </w:rPr>
      </w:pPr>
      <w:hyperlink w:anchor="_Toc466800403" w:history="1">
        <w:r w:rsidR="00522EDE" w:rsidRPr="008B68A9">
          <w:rPr>
            <w:rStyle w:val="Hyperlink"/>
          </w:rPr>
          <w:t>6.12.2 Negative binary orientation</w:t>
        </w:r>
        <w:r w:rsidR="00522EDE" w:rsidRPr="008B68A9">
          <w:rPr>
            <w:webHidden/>
          </w:rPr>
          <w:tab/>
        </w:r>
        <w:r w:rsidR="00522EDE" w:rsidRPr="008B68A9">
          <w:rPr>
            <w:webHidden/>
          </w:rPr>
          <w:fldChar w:fldCharType="begin"/>
        </w:r>
        <w:r w:rsidR="00522EDE" w:rsidRPr="008B68A9">
          <w:rPr>
            <w:webHidden/>
          </w:rPr>
          <w:instrText xml:space="preserve"> PAGEREF _Toc466800403 \h </w:instrText>
        </w:r>
        <w:r w:rsidR="00522EDE" w:rsidRPr="008B68A9">
          <w:rPr>
            <w:webHidden/>
          </w:rPr>
        </w:r>
        <w:r w:rsidR="00522EDE" w:rsidRPr="008B68A9">
          <w:rPr>
            <w:webHidden/>
          </w:rPr>
          <w:fldChar w:fldCharType="separate"/>
        </w:r>
        <w:r w:rsidR="00522EDE" w:rsidRPr="008B68A9">
          <w:rPr>
            <w:webHidden/>
          </w:rPr>
          <w:t>209</w:t>
        </w:r>
        <w:r w:rsidR="00522EDE" w:rsidRPr="008B68A9">
          <w:rPr>
            <w:webHidden/>
          </w:rPr>
          <w:fldChar w:fldCharType="end"/>
        </w:r>
      </w:hyperlink>
    </w:p>
    <w:p w14:paraId="772C79B0" w14:textId="77777777" w:rsidR="00522EDE" w:rsidRPr="008B68A9" w:rsidRDefault="008B68A9">
      <w:pPr>
        <w:pStyle w:val="TOC2"/>
        <w:rPr>
          <w:rFonts w:eastAsiaTheme="minorEastAsia"/>
          <w:sz w:val="22"/>
          <w:lang w:eastAsia="en-GB"/>
        </w:rPr>
      </w:pPr>
      <w:hyperlink w:anchor="_Toc466800404" w:history="1">
        <w:r w:rsidR="00522EDE" w:rsidRPr="008B68A9">
          <w:rPr>
            <w:rStyle w:val="Hyperlink"/>
          </w:rPr>
          <w:t>6.13 Conclusion</w:t>
        </w:r>
        <w:r w:rsidR="00522EDE" w:rsidRPr="008B68A9">
          <w:rPr>
            <w:webHidden/>
          </w:rPr>
          <w:tab/>
        </w:r>
        <w:r w:rsidR="00522EDE" w:rsidRPr="008B68A9">
          <w:rPr>
            <w:webHidden/>
          </w:rPr>
          <w:fldChar w:fldCharType="begin"/>
        </w:r>
        <w:r w:rsidR="00522EDE" w:rsidRPr="008B68A9">
          <w:rPr>
            <w:webHidden/>
          </w:rPr>
          <w:instrText xml:space="preserve"> PAGEREF _Toc466800404 \h </w:instrText>
        </w:r>
        <w:r w:rsidR="00522EDE" w:rsidRPr="008B68A9">
          <w:rPr>
            <w:webHidden/>
          </w:rPr>
        </w:r>
        <w:r w:rsidR="00522EDE" w:rsidRPr="008B68A9">
          <w:rPr>
            <w:webHidden/>
          </w:rPr>
          <w:fldChar w:fldCharType="separate"/>
        </w:r>
        <w:r w:rsidR="00522EDE" w:rsidRPr="008B68A9">
          <w:rPr>
            <w:webHidden/>
          </w:rPr>
          <w:t>210</w:t>
        </w:r>
        <w:r w:rsidR="00522EDE" w:rsidRPr="008B68A9">
          <w:rPr>
            <w:webHidden/>
          </w:rPr>
          <w:fldChar w:fldCharType="end"/>
        </w:r>
      </w:hyperlink>
    </w:p>
    <w:p w14:paraId="00455D6C" w14:textId="77777777" w:rsidR="00522EDE" w:rsidRPr="008B68A9" w:rsidRDefault="008B68A9">
      <w:pPr>
        <w:pStyle w:val="TOC1"/>
        <w:rPr>
          <w:rFonts w:eastAsiaTheme="minorEastAsia"/>
          <w:sz w:val="22"/>
          <w:lang w:eastAsia="en-GB"/>
        </w:rPr>
      </w:pPr>
      <w:hyperlink w:anchor="_Toc466800405" w:history="1">
        <w:r w:rsidR="00522EDE" w:rsidRPr="008B68A9">
          <w:rPr>
            <w:rStyle w:val="Hyperlink"/>
          </w:rPr>
          <w:t>Chapter 7: Synthesis and discussion</w:t>
        </w:r>
        <w:r w:rsidR="00522EDE" w:rsidRPr="008B68A9">
          <w:rPr>
            <w:webHidden/>
          </w:rPr>
          <w:tab/>
        </w:r>
        <w:r w:rsidR="00522EDE" w:rsidRPr="008B68A9">
          <w:rPr>
            <w:webHidden/>
          </w:rPr>
          <w:fldChar w:fldCharType="begin"/>
        </w:r>
        <w:r w:rsidR="00522EDE" w:rsidRPr="008B68A9">
          <w:rPr>
            <w:webHidden/>
          </w:rPr>
          <w:instrText xml:space="preserve"> PAGEREF _Toc466800405 \h </w:instrText>
        </w:r>
        <w:r w:rsidR="00522EDE" w:rsidRPr="008B68A9">
          <w:rPr>
            <w:webHidden/>
          </w:rPr>
        </w:r>
        <w:r w:rsidR="00522EDE" w:rsidRPr="008B68A9">
          <w:rPr>
            <w:webHidden/>
          </w:rPr>
          <w:fldChar w:fldCharType="separate"/>
        </w:r>
        <w:r w:rsidR="00522EDE" w:rsidRPr="008B68A9">
          <w:rPr>
            <w:webHidden/>
          </w:rPr>
          <w:t>212</w:t>
        </w:r>
        <w:r w:rsidR="00522EDE" w:rsidRPr="008B68A9">
          <w:rPr>
            <w:webHidden/>
          </w:rPr>
          <w:fldChar w:fldCharType="end"/>
        </w:r>
      </w:hyperlink>
    </w:p>
    <w:p w14:paraId="001DB980" w14:textId="77777777" w:rsidR="00522EDE" w:rsidRPr="008B68A9" w:rsidRDefault="008B68A9">
      <w:pPr>
        <w:pStyle w:val="TOC2"/>
        <w:rPr>
          <w:rFonts w:eastAsiaTheme="minorEastAsia"/>
          <w:sz w:val="22"/>
          <w:lang w:eastAsia="en-GB"/>
        </w:rPr>
      </w:pPr>
      <w:hyperlink w:anchor="_Toc466800406" w:history="1">
        <w:r w:rsidR="00522EDE" w:rsidRPr="008B68A9">
          <w:rPr>
            <w:rStyle w:val="Hyperlink"/>
          </w:rPr>
          <w:t>7.0 Introduction</w:t>
        </w:r>
        <w:r w:rsidR="00522EDE" w:rsidRPr="008B68A9">
          <w:rPr>
            <w:webHidden/>
          </w:rPr>
          <w:tab/>
        </w:r>
        <w:r w:rsidR="00522EDE" w:rsidRPr="008B68A9">
          <w:rPr>
            <w:webHidden/>
          </w:rPr>
          <w:fldChar w:fldCharType="begin"/>
        </w:r>
        <w:r w:rsidR="00522EDE" w:rsidRPr="008B68A9">
          <w:rPr>
            <w:webHidden/>
          </w:rPr>
          <w:instrText xml:space="preserve"> PAGEREF _Toc466800406 \h </w:instrText>
        </w:r>
        <w:r w:rsidR="00522EDE" w:rsidRPr="008B68A9">
          <w:rPr>
            <w:webHidden/>
          </w:rPr>
        </w:r>
        <w:r w:rsidR="00522EDE" w:rsidRPr="008B68A9">
          <w:rPr>
            <w:webHidden/>
          </w:rPr>
          <w:fldChar w:fldCharType="separate"/>
        </w:r>
        <w:r w:rsidR="00522EDE" w:rsidRPr="008B68A9">
          <w:rPr>
            <w:webHidden/>
          </w:rPr>
          <w:t>212</w:t>
        </w:r>
        <w:r w:rsidR="00522EDE" w:rsidRPr="008B68A9">
          <w:rPr>
            <w:webHidden/>
          </w:rPr>
          <w:fldChar w:fldCharType="end"/>
        </w:r>
      </w:hyperlink>
    </w:p>
    <w:p w14:paraId="0F621EFF" w14:textId="77777777" w:rsidR="00522EDE" w:rsidRPr="008B68A9" w:rsidRDefault="008B68A9">
      <w:pPr>
        <w:pStyle w:val="TOC2"/>
        <w:rPr>
          <w:rFonts w:eastAsiaTheme="minorEastAsia"/>
          <w:sz w:val="22"/>
          <w:lang w:eastAsia="en-GB"/>
        </w:rPr>
      </w:pPr>
      <w:hyperlink w:anchor="_Toc466800407" w:history="1">
        <w:r w:rsidR="00522EDE" w:rsidRPr="008B68A9">
          <w:rPr>
            <w:rStyle w:val="Hyperlink"/>
          </w:rPr>
          <w:t>7.1 Narrative trajectories, contingent narrative and warrants of convention</w:t>
        </w:r>
        <w:r w:rsidR="00522EDE" w:rsidRPr="008B68A9">
          <w:rPr>
            <w:webHidden/>
          </w:rPr>
          <w:tab/>
        </w:r>
        <w:r w:rsidR="00522EDE" w:rsidRPr="008B68A9">
          <w:rPr>
            <w:webHidden/>
          </w:rPr>
          <w:fldChar w:fldCharType="begin"/>
        </w:r>
        <w:r w:rsidR="00522EDE" w:rsidRPr="008B68A9">
          <w:rPr>
            <w:webHidden/>
          </w:rPr>
          <w:instrText xml:space="preserve"> PAGEREF _Toc466800407 \h </w:instrText>
        </w:r>
        <w:r w:rsidR="00522EDE" w:rsidRPr="008B68A9">
          <w:rPr>
            <w:webHidden/>
          </w:rPr>
        </w:r>
        <w:r w:rsidR="00522EDE" w:rsidRPr="008B68A9">
          <w:rPr>
            <w:webHidden/>
          </w:rPr>
          <w:fldChar w:fldCharType="separate"/>
        </w:r>
        <w:r w:rsidR="00522EDE" w:rsidRPr="008B68A9">
          <w:rPr>
            <w:webHidden/>
          </w:rPr>
          <w:t>213</w:t>
        </w:r>
        <w:r w:rsidR="00522EDE" w:rsidRPr="008B68A9">
          <w:rPr>
            <w:webHidden/>
          </w:rPr>
          <w:fldChar w:fldCharType="end"/>
        </w:r>
      </w:hyperlink>
    </w:p>
    <w:p w14:paraId="424BE707" w14:textId="77777777" w:rsidR="00522EDE" w:rsidRPr="008B68A9" w:rsidRDefault="008B68A9">
      <w:pPr>
        <w:pStyle w:val="TOC2"/>
        <w:rPr>
          <w:rFonts w:eastAsiaTheme="minorEastAsia"/>
          <w:sz w:val="22"/>
          <w:lang w:eastAsia="en-GB"/>
        </w:rPr>
      </w:pPr>
      <w:hyperlink w:anchor="_Toc466800408" w:history="1">
        <w:r w:rsidR="00522EDE" w:rsidRPr="008B68A9">
          <w:rPr>
            <w:rStyle w:val="Hyperlink"/>
          </w:rPr>
          <w:t>7.2 Brokerage positioning and the conscious use of self</w:t>
        </w:r>
        <w:r w:rsidR="00522EDE" w:rsidRPr="008B68A9">
          <w:rPr>
            <w:webHidden/>
          </w:rPr>
          <w:tab/>
        </w:r>
        <w:r w:rsidR="00522EDE" w:rsidRPr="008B68A9">
          <w:rPr>
            <w:webHidden/>
          </w:rPr>
          <w:fldChar w:fldCharType="begin"/>
        </w:r>
        <w:r w:rsidR="00522EDE" w:rsidRPr="008B68A9">
          <w:rPr>
            <w:webHidden/>
          </w:rPr>
          <w:instrText xml:space="preserve"> PAGEREF _Toc466800408 \h </w:instrText>
        </w:r>
        <w:r w:rsidR="00522EDE" w:rsidRPr="008B68A9">
          <w:rPr>
            <w:webHidden/>
          </w:rPr>
        </w:r>
        <w:r w:rsidR="00522EDE" w:rsidRPr="008B68A9">
          <w:rPr>
            <w:webHidden/>
          </w:rPr>
          <w:fldChar w:fldCharType="separate"/>
        </w:r>
        <w:r w:rsidR="00522EDE" w:rsidRPr="008B68A9">
          <w:rPr>
            <w:webHidden/>
          </w:rPr>
          <w:t>217</w:t>
        </w:r>
        <w:r w:rsidR="00522EDE" w:rsidRPr="008B68A9">
          <w:rPr>
            <w:webHidden/>
          </w:rPr>
          <w:fldChar w:fldCharType="end"/>
        </w:r>
      </w:hyperlink>
    </w:p>
    <w:p w14:paraId="74EAD9E7" w14:textId="77777777" w:rsidR="00522EDE" w:rsidRPr="008B68A9" w:rsidRDefault="008B68A9">
      <w:pPr>
        <w:pStyle w:val="TOC2"/>
        <w:rPr>
          <w:rFonts w:eastAsiaTheme="minorEastAsia"/>
          <w:sz w:val="22"/>
          <w:lang w:eastAsia="en-GB"/>
        </w:rPr>
      </w:pPr>
      <w:hyperlink w:anchor="_Toc466800409" w:history="1">
        <w:r w:rsidR="00522EDE" w:rsidRPr="008B68A9">
          <w:rPr>
            <w:rStyle w:val="Hyperlink"/>
          </w:rPr>
          <w:t>7.3 Story-lines and their power of opacity</w:t>
        </w:r>
        <w:r w:rsidR="00522EDE" w:rsidRPr="008B68A9">
          <w:rPr>
            <w:webHidden/>
          </w:rPr>
          <w:tab/>
        </w:r>
        <w:r w:rsidR="00522EDE" w:rsidRPr="008B68A9">
          <w:rPr>
            <w:webHidden/>
          </w:rPr>
          <w:fldChar w:fldCharType="begin"/>
        </w:r>
        <w:r w:rsidR="00522EDE" w:rsidRPr="008B68A9">
          <w:rPr>
            <w:webHidden/>
          </w:rPr>
          <w:instrText xml:space="preserve"> PAGEREF _Toc466800409 \h </w:instrText>
        </w:r>
        <w:r w:rsidR="00522EDE" w:rsidRPr="008B68A9">
          <w:rPr>
            <w:webHidden/>
          </w:rPr>
        </w:r>
        <w:r w:rsidR="00522EDE" w:rsidRPr="008B68A9">
          <w:rPr>
            <w:webHidden/>
          </w:rPr>
          <w:fldChar w:fldCharType="separate"/>
        </w:r>
        <w:r w:rsidR="00522EDE" w:rsidRPr="008B68A9">
          <w:rPr>
            <w:webHidden/>
          </w:rPr>
          <w:t>221</w:t>
        </w:r>
        <w:r w:rsidR="00522EDE" w:rsidRPr="008B68A9">
          <w:rPr>
            <w:webHidden/>
          </w:rPr>
          <w:fldChar w:fldCharType="end"/>
        </w:r>
      </w:hyperlink>
    </w:p>
    <w:p w14:paraId="70B66794" w14:textId="77777777" w:rsidR="00522EDE" w:rsidRPr="008B68A9" w:rsidRDefault="008B68A9">
      <w:pPr>
        <w:pStyle w:val="TOC2"/>
        <w:rPr>
          <w:rFonts w:eastAsiaTheme="minorEastAsia"/>
          <w:sz w:val="22"/>
          <w:lang w:eastAsia="en-GB"/>
        </w:rPr>
      </w:pPr>
      <w:hyperlink w:anchor="_Toc466800410" w:history="1">
        <w:r w:rsidR="00522EDE" w:rsidRPr="008B68A9">
          <w:rPr>
            <w:rStyle w:val="Hyperlink"/>
          </w:rPr>
          <w:t>7.4 Tropes as narrative closures</w:t>
        </w:r>
        <w:r w:rsidR="00522EDE" w:rsidRPr="008B68A9">
          <w:rPr>
            <w:webHidden/>
          </w:rPr>
          <w:tab/>
        </w:r>
        <w:r w:rsidR="00522EDE" w:rsidRPr="008B68A9">
          <w:rPr>
            <w:webHidden/>
          </w:rPr>
          <w:fldChar w:fldCharType="begin"/>
        </w:r>
        <w:r w:rsidR="00522EDE" w:rsidRPr="008B68A9">
          <w:rPr>
            <w:webHidden/>
          </w:rPr>
          <w:instrText xml:space="preserve"> PAGEREF _Toc466800410 \h </w:instrText>
        </w:r>
        <w:r w:rsidR="00522EDE" w:rsidRPr="008B68A9">
          <w:rPr>
            <w:webHidden/>
          </w:rPr>
        </w:r>
        <w:r w:rsidR="00522EDE" w:rsidRPr="008B68A9">
          <w:rPr>
            <w:webHidden/>
          </w:rPr>
          <w:fldChar w:fldCharType="separate"/>
        </w:r>
        <w:r w:rsidR="00522EDE" w:rsidRPr="008B68A9">
          <w:rPr>
            <w:webHidden/>
          </w:rPr>
          <w:t>222</w:t>
        </w:r>
        <w:r w:rsidR="00522EDE" w:rsidRPr="008B68A9">
          <w:rPr>
            <w:webHidden/>
          </w:rPr>
          <w:fldChar w:fldCharType="end"/>
        </w:r>
      </w:hyperlink>
    </w:p>
    <w:p w14:paraId="20B091ED" w14:textId="77777777" w:rsidR="00522EDE" w:rsidRPr="008B68A9" w:rsidRDefault="008B68A9">
      <w:pPr>
        <w:pStyle w:val="TOC2"/>
        <w:rPr>
          <w:rFonts w:eastAsiaTheme="minorEastAsia"/>
          <w:sz w:val="22"/>
          <w:lang w:eastAsia="en-GB"/>
        </w:rPr>
      </w:pPr>
      <w:hyperlink w:anchor="_Toc466800411" w:history="1">
        <w:r w:rsidR="00522EDE" w:rsidRPr="008B68A9">
          <w:rPr>
            <w:rStyle w:val="Hyperlink"/>
          </w:rPr>
          <w:t>7.5 On being receptive and oppositional: a proposed framework of nuance and binary orientation to personalisation</w:t>
        </w:r>
        <w:r w:rsidR="00522EDE" w:rsidRPr="008B68A9">
          <w:rPr>
            <w:webHidden/>
          </w:rPr>
          <w:tab/>
        </w:r>
        <w:r w:rsidR="00522EDE" w:rsidRPr="008B68A9">
          <w:rPr>
            <w:webHidden/>
          </w:rPr>
          <w:fldChar w:fldCharType="begin"/>
        </w:r>
        <w:r w:rsidR="00522EDE" w:rsidRPr="008B68A9">
          <w:rPr>
            <w:webHidden/>
          </w:rPr>
          <w:instrText xml:space="preserve"> PAGEREF _Toc466800411 \h </w:instrText>
        </w:r>
        <w:r w:rsidR="00522EDE" w:rsidRPr="008B68A9">
          <w:rPr>
            <w:webHidden/>
          </w:rPr>
        </w:r>
        <w:r w:rsidR="00522EDE" w:rsidRPr="008B68A9">
          <w:rPr>
            <w:webHidden/>
          </w:rPr>
          <w:fldChar w:fldCharType="separate"/>
        </w:r>
        <w:r w:rsidR="00522EDE" w:rsidRPr="008B68A9">
          <w:rPr>
            <w:webHidden/>
          </w:rPr>
          <w:t>224</w:t>
        </w:r>
        <w:r w:rsidR="00522EDE" w:rsidRPr="008B68A9">
          <w:rPr>
            <w:webHidden/>
          </w:rPr>
          <w:fldChar w:fldCharType="end"/>
        </w:r>
      </w:hyperlink>
    </w:p>
    <w:p w14:paraId="30DB0000" w14:textId="77777777" w:rsidR="00522EDE" w:rsidRPr="008B68A9" w:rsidRDefault="008B68A9">
      <w:pPr>
        <w:pStyle w:val="TOC2"/>
        <w:rPr>
          <w:rFonts w:eastAsiaTheme="minorEastAsia"/>
          <w:sz w:val="22"/>
          <w:lang w:eastAsia="en-GB"/>
        </w:rPr>
      </w:pPr>
      <w:hyperlink w:anchor="_Toc466800412" w:history="1">
        <w:r w:rsidR="00522EDE" w:rsidRPr="008B68A9">
          <w:rPr>
            <w:rStyle w:val="Hyperlink"/>
          </w:rPr>
          <w:t>7.6 Personalisation in mental health</w:t>
        </w:r>
        <w:r w:rsidR="00522EDE" w:rsidRPr="008B68A9">
          <w:rPr>
            <w:webHidden/>
          </w:rPr>
          <w:tab/>
        </w:r>
        <w:r w:rsidR="00522EDE" w:rsidRPr="008B68A9">
          <w:rPr>
            <w:webHidden/>
          </w:rPr>
          <w:fldChar w:fldCharType="begin"/>
        </w:r>
        <w:r w:rsidR="00522EDE" w:rsidRPr="008B68A9">
          <w:rPr>
            <w:webHidden/>
          </w:rPr>
          <w:instrText xml:space="preserve"> PAGEREF _Toc466800412 \h </w:instrText>
        </w:r>
        <w:r w:rsidR="00522EDE" w:rsidRPr="008B68A9">
          <w:rPr>
            <w:webHidden/>
          </w:rPr>
        </w:r>
        <w:r w:rsidR="00522EDE" w:rsidRPr="008B68A9">
          <w:rPr>
            <w:webHidden/>
          </w:rPr>
          <w:fldChar w:fldCharType="separate"/>
        </w:r>
        <w:r w:rsidR="00522EDE" w:rsidRPr="008B68A9">
          <w:rPr>
            <w:webHidden/>
          </w:rPr>
          <w:t>229</w:t>
        </w:r>
        <w:r w:rsidR="00522EDE" w:rsidRPr="008B68A9">
          <w:rPr>
            <w:webHidden/>
          </w:rPr>
          <w:fldChar w:fldCharType="end"/>
        </w:r>
      </w:hyperlink>
    </w:p>
    <w:p w14:paraId="5C9BBDBD" w14:textId="77777777" w:rsidR="00522EDE" w:rsidRPr="008B68A9" w:rsidRDefault="008B68A9">
      <w:pPr>
        <w:pStyle w:val="TOC2"/>
        <w:rPr>
          <w:rFonts w:eastAsiaTheme="minorEastAsia"/>
          <w:sz w:val="22"/>
          <w:lang w:eastAsia="en-GB"/>
        </w:rPr>
      </w:pPr>
      <w:hyperlink w:anchor="_Toc466800413" w:history="1">
        <w:r w:rsidR="00522EDE" w:rsidRPr="008B68A9">
          <w:rPr>
            <w:rStyle w:val="Hyperlink"/>
          </w:rPr>
          <w:t>7.7 Policy-push over professional pull</w:t>
        </w:r>
        <w:r w:rsidR="00522EDE" w:rsidRPr="008B68A9">
          <w:rPr>
            <w:webHidden/>
          </w:rPr>
          <w:tab/>
        </w:r>
        <w:r w:rsidR="00522EDE" w:rsidRPr="008B68A9">
          <w:rPr>
            <w:webHidden/>
          </w:rPr>
          <w:fldChar w:fldCharType="begin"/>
        </w:r>
        <w:r w:rsidR="00522EDE" w:rsidRPr="008B68A9">
          <w:rPr>
            <w:webHidden/>
          </w:rPr>
          <w:instrText xml:space="preserve"> PAGEREF _Toc466800413 \h </w:instrText>
        </w:r>
        <w:r w:rsidR="00522EDE" w:rsidRPr="008B68A9">
          <w:rPr>
            <w:webHidden/>
          </w:rPr>
        </w:r>
        <w:r w:rsidR="00522EDE" w:rsidRPr="008B68A9">
          <w:rPr>
            <w:webHidden/>
          </w:rPr>
          <w:fldChar w:fldCharType="separate"/>
        </w:r>
        <w:r w:rsidR="00522EDE" w:rsidRPr="008B68A9">
          <w:rPr>
            <w:webHidden/>
          </w:rPr>
          <w:t>235</w:t>
        </w:r>
        <w:r w:rsidR="00522EDE" w:rsidRPr="008B68A9">
          <w:rPr>
            <w:webHidden/>
          </w:rPr>
          <w:fldChar w:fldCharType="end"/>
        </w:r>
      </w:hyperlink>
    </w:p>
    <w:p w14:paraId="5DCAEF46" w14:textId="77777777" w:rsidR="00522EDE" w:rsidRPr="008B68A9" w:rsidRDefault="008B68A9">
      <w:pPr>
        <w:pStyle w:val="TOC2"/>
        <w:rPr>
          <w:rFonts w:eastAsiaTheme="minorEastAsia"/>
          <w:sz w:val="22"/>
          <w:lang w:eastAsia="en-GB"/>
        </w:rPr>
      </w:pPr>
      <w:hyperlink w:anchor="_Toc466800414" w:history="1">
        <w:r w:rsidR="00522EDE" w:rsidRPr="008B68A9">
          <w:rPr>
            <w:rStyle w:val="Hyperlink"/>
          </w:rPr>
          <w:t>7.8 Reflexivity</w:t>
        </w:r>
        <w:r w:rsidR="00522EDE" w:rsidRPr="008B68A9">
          <w:rPr>
            <w:webHidden/>
          </w:rPr>
          <w:tab/>
        </w:r>
        <w:r w:rsidR="00522EDE" w:rsidRPr="008B68A9">
          <w:rPr>
            <w:webHidden/>
          </w:rPr>
          <w:fldChar w:fldCharType="begin"/>
        </w:r>
        <w:r w:rsidR="00522EDE" w:rsidRPr="008B68A9">
          <w:rPr>
            <w:webHidden/>
          </w:rPr>
          <w:instrText xml:space="preserve"> PAGEREF _Toc466800414 \h </w:instrText>
        </w:r>
        <w:r w:rsidR="00522EDE" w:rsidRPr="008B68A9">
          <w:rPr>
            <w:webHidden/>
          </w:rPr>
        </w:r>
        <w:r w:rsidR="00522EDE" w:rsidRPr="008B68A9">
          <w:rPr>
            <w:webHidden/>
          </w:rPr>
          <w:fldChar w:fldCharType="separate"/>
        </w:r>
        <w:r w:rsidR="00522EDE" w:rsidRPr="008B68A9">
          <w:rPr>
            <w:webHidden/>
          </w:rPr>
          <w:t>236</w:t>
        </w:r>
        <w:r w:rsidR="00522EDE" w:rsidRPr="008B68A9">
          <w:rPr>
            <w:webHidden/>
          </w:rPr>
          <w:fldChar w:fldCharType="end"/>
        </w:r>
      </w:hyperlink>
    </w:p>
    <w:p w14:paraId="4D4A34AF" w14:textId="77777777" w:rsidR="00522EDE" w:rsidRPr="008B68A9" w:rsidRDefault="008B68A9">
      <w:pPr>
        <w:pStyle w:val="TOC1"/>
        <w:rPr>
          <w:rFonts w:eastAsiaTheme="minorEastAsia"/>
          <w:sz w:val="22"/>
          <w:lang w:eastAsia="en-GB"/>
        </w:rPr>
      </w:pPr>
      <w:hyperlink w:anchor="_Toc466800415" w:history="1">
        <w:r w:rsidR="00522EDE" w:rsidRPr="008B68A9">
          <w:rPr>
            <w:rStyle w:val="Hyperlink"/>
          </w:rPr>
          <w:t>Chapter 8: Conclusion</w:t>
        </w:r>
        <w:r w:rsidR="00522EDE" w:rsidRPr="008B68A9">
          <w:rPr>
            <w:webHidden/>
          </w:rPr>
          <w:tab/>
        </w:r>
        <w:r w:rsidR="00522EDE" w:rsidRPr="008B68A9">
          <w:rPr>
            <w:webHidden/>
          </w:rPr>
          <w:fldChar w:fldCharType="begin"/>
        </w:r>
        <w:r w:rsidR="00522EDE" w:rsidRPr="008B68A9">
          <w:rPr>
            <w:webHidden/>
          </w:rPr>
          <w:instrText xml:space="preserve"> PAGEREF _Toc466800415 \h </w:instrText>
        </w:r>
        <w:r w:rsidR="00522EDE" w:rsidRPr="008B68A9">
          <w:rPr>
            <w:webHidden/>
          </w:rPr>
        </w:r>
        <w:r w:rsidR="00522EDE" w:rsidRPr="008B68A9">
          <w:rPr>
            <w:webHidden/>
          </w:rPr>
          <w:fldChar w:fldCharType="separate"/>
        </w:r>
        <w:r w:rsidR="00522EDE" w:rsidRPr="008B68A9">
          <w:rPr>
            <w:webHidden/>
          </w:rPr>
          <w:t>240</w:t>
        </w:r>
        <w:r w:rsidR="00522EDE" w:rsidRPr="008B68A9">
          <w:rPr>
            <w:webHidden/>
          </w:rPr>
          <w:fldChar w:fldCharType="end"/>
        </w:r>
      </w:hyperlink>
    </w:p>
    <w:p w14:paraId="32D3F8C3" w14:textId="77777777" w:rsidR="00522EDE" w:rsidRPr="008B68A9" w:rsidRDefault="008B68A9">
      <w:pPr>
        <w:pStyle w:val="TOC2"/>
        <w:rPr>
          <w:rFonts w:eastAsiaTheme="minorEastAsia"/>
          <w:sz w:val="22"/>
          <w:lang w:eastAsia="en-GB"/>
        </w:rPr>
      </w:pPr>
      <w:hyperlink w:anchor="_Toc466800416" w:history="1">
        <w:r w:rsidR="00522EDE" w:rsidRPr="008B68A9">
          <w:rPr>
            <w:rStyle w:val="Hyperlink"/>
          </w:rPr>
          <w:t>8.1 Theoretical and policy implications of the study</w:t>
        </w:r>
        <w:r w:rsidR="00522EDE" w:rsidRPr="008B68A9">
          <w:rPr>
            <w:webHidden/>
          </w:rPr>
          <w:tab/>
        </w:r>
        <w:r w:rsidR="00522EDE" w:rsidRPr="008B68A9">
          <w:rPr>
            <w:webHidden/>
          </w:rPr>
          <w:fldChar w:fldCharType="begin"/>
        </w:r>
        <w:r w:rsidR="00522EDE" w:rsidRPr="008B68A9">
          <w:rPr>
            <w:webHidden/>
          </w:rPr>
          <w:instrText xml:space="preserve"> PAGEREF _Toc466800416 \h </w:instrText>
        </w:r>
        <w:r w:rsidR="00522EDE" w:rsidRPr="008B68A9">
          <w:rPr>
            <w:webHidden/>
          </w:rPr>
        </w:r>
        <w:r w:rsidR="00522EDE" w:rsidRPr="008B68A9">
          <w:rPr>
            <w:webHidden/>
          </w:rPr>
          <w:fldChar w:fldCharType="separate"/>
        </w:r>
        <w:r w:rsidR="00522EDE" w:rsidRPr="008B68A9">
          <w:rPr>
            <w:webHidden/>
          </w:rPr>
          <w:t>242</w:t>
        </w:r>
        <w:r w:rsidR="00522EDE" w:rsidRPr="008B68A9">
          <w:rPr>
            <w:webHidden/>
          </w:rPr>
          <w:fldChar w:fldCharType="end"/>
        </w:r>
      </w:hyperlink>
    </w:p>
    <w:p w14:paraId="08FB2CDB" w14:textId="77777777" w:rsidR="00522EDE" w:rsidRPr="008B68A9" w:rsidRDefault="008B68A9">
      <w:pPr>
        <w:pStyle w:val="TOC2"/>
        <w:rPr>
          <w:rFonts w:eastAsiaTheme="minorEastAsia"/>
          <w:sz w:val="22"/>
          <w:lang w:eastAsia="en-GB"/>
        </w:rPr>
      </w:pPr>
      <w:hyperlink w:anchor="_Toc466800417" w:history="1">
        <w:r w:rsidR="00522EDE" w:rsidRPr="008B68A9">
          <w:rPr>
            <w:rStyle w:val="Hyperlink"/>
          </w:rPr>
          <w:t>8.2 Direction for further research</w:t>
        </w:r>
        <w:r w:rsidR="00522EDE" w:rsidRPr="008B68A9">
          <w:rPr>
            <w:webHidden/>
          </w:rPr>
          <w:tab/>
        </w:r>
        <w:r w:rsidR="00522EDE" w:rsidRPr="008B68A9">
          <w:rPr>
            <w:webHidden/>
          </w:rPr>
          <w:fldChar w:fldCharType="begin"/>
        </w:r>
        <w:r w:rsidR="00522EDE" w:rsidRPr="008B68A9">
          <w:rPr>
            <w:webHidden/>
          </w:rPr>
          <w:instrText xml:space="preserve"> PAGEREF _Toc466800417 \h </w:instrText>
        </w:r>
        <w:r w:rsidR="00522EDE" w:rsidRPr="008B68A9">
          <w:rPr>
            <w:webHidden/>
          </w:rPr>
        </w:r>
        <w:r w:rsidR="00522EDE" w:rsidRPr="008B68A9">
          <w:rPr>
            <w:webHidden/>
          </w:rPr>
          <w:fldChar w:fldCharType="separate"/>
        </w:r>
        <w:r w:rsidR="00522EDE" w:rsidRPr="008B68A9">
          <w:rPr>
            <w:webHidden/>
          </w:rPr>
          <w:t>244</w:t>
        </w:r>
        <w:r w:rsidR="00522EDE" w:rsidRPr="008B68A9">
          <w:rPr>
            <w:webHidden/>
          </w:rPr>
          <w:fldChar w:fldCharType="end"/>
        </w:r>
      </w:hyperlink>
    </w:p>
    <w:p w14:paraId="26F48322" w14:textId="77777777" w:rsidR="00522EDE" w:rsidRPr="008B68A9" w:rsidRDefault="008B68A9">
      <w:pPr>
        <w:pStyle w:val="TOC2"/>
        <w:rPr>
          <w:rFonts w:eastAsiaTheme="minorEastAsia"/>
          <w:sz w:val="22"/>
          <w:lang w:eastAsia="en-GB"/>
        </w:rPr>
      </w:pPr>
      <w:hyperlink w:anchor="_Toc466800418" w:history="1">
        <w:r w:rsidR="00522EDE" w:rsidRPr="008B68A9">
          <w:rPr>
            <w:rStyle w:val="Hyperlink"/>
          </w:rPr>
          <w:t>8.3 Limitations of this work</w:t>
        </w:r>
        <w:r w:rsidR="00522EDE" w:rsidRPr="008B68A9">
          <w:rPr>
            <w:webHidden/>
          </w:rPr>
          <w:tab/>
        </w:r>
        <w:r w:rsidR="00522EDE" w:rsidRPr="008B68A9">
          <w:rPr>
            <w:webHidden/>
          </w:rPr>
          <w:fldChar w:fldCharType="begin"/>
        </w:r>
        <w:r w:rsidR="00522EDE" w:rsidRPr="008B68A9">
          <w:rPr>
            <w:webHidden/>
          </w:rPr>
          <w:instrText xml:space="preserve"> PAGEREF _Toc466800418 \h </w:instrText>
        </w:r>
        <w:r w:rsidR="00522EDE" w:rsidRPr="008B68A9">
          <w:rPr>
            <w:webHidden/>
          </w:rPr>
        </w:r>
        <w:r w:rsidR="00522EDE" w:rsidRPr="008B68A9">
          <w:rPr>
            <w:webHidden/>
          </w:rPr>
          <w:fldChar w:fldCharType="separate"/>
        </w:r>
        <w:r w:rsidR="00522EDE" w:rsidRPr="008B68A9">
          <w:rPr>
            <w:webHidden/>
          </w:rPr>
          <w:t>245</w:t>
        </w:r>
        <w:r w:rsidR="00522EDE" w:rsidRPr="008B68A9">
          <w:rPr>
            <w:webHidden/>
          </w:rPr>
          <w:fldChar w:fldCharType="end"/>
        </w:r>
      </w:hyperlink>
    </w:p>
    <w:p w14:paraId="0D578453" w14:textId="77777777" w:rsidR="00522EDE" w:rsidRPr="008B68A9" w:rsidRDefault="008B68A9">
      <w:pPr>
        <w:pStyle w:val="TOC1"/>
        <w:rPr>
          <w:rFonts w:eastAsiaTheme="minorEastAsia"/>
          <w:sz w:val="22"/>
          <w:lang w:eastAsia="en-GB"/>
        </w:rPr>
      </w:pPr>
      <w:hyperlink w:anchor="_Toc466800419" w:history="1">
        <w:r w:rsidR="00522EDE" w:rsidRPr="008B68A9">
          <w:rPr>
            <w:rStyle w:val="Hyperlink"/>
          </w:rPr>
          <w:t>References</w:t>
        </w:r>
        <w:r w:rsidR="00522EDE" w:rsidRPr="008B68A9">
          <w:rPr>
            <w:webHidden/>
          </w:rPr>
          <w:tab/>
        </w:r>
        <w:r w:rsidR="00522EDE" w:rsidRPr="008B68A9">
          <w:rPr>
            <w:webHidden/>
          </w:rPr>
          <w:fldChar w:fldCharType="begin"/>
        </w:r>
        <w:r w:rsidR="00522EDE" w:rsidRPr="008B68A9">
          <w:rPr>
            <w:webHidden/>
          </w:rPr>
          <w:instrText xml:space="preserve"> PAGEREF _Toc466800419 \h </w:instrText>
        </w:r>
        <w:r w:rsidR="00522EDE" w:rsidRPr="008B68A9">
          <w:rPr>
            <w:webHidden/>
          </w:rPr>
        </w:r>
        <w:r w:rsidR="00522EDE" w:rsidRPr="008B68A9">
          <w:rPr>
            <w:webHidden/>
          </w:rPr>
          <w:fldChar w:fldCharType="separate"/>
        </w:r>
        <w:r w:rsidR="00522EDE" w:rsidRPr="008B68A9">
          <w:rPr>
            <w:webHidden/>
          </w:rPr>
          <w:t>247</w:t>
        </w:r>
        <w:r w:rsidR="00522EDE" w:rsidRPr="008B68A9">
          <w:rPr>
            <w:webHidden/>
          </w:rPr>
          <w:fldChar w:fldCharType="end"/>
        </w:r>
      </w:hyperlink>
    </w:p>
    <w:p w14:paraId="717C16E0" w14:textId="77777777" w:rsidR="00522EDE" w:rsidRPr="008B68A9" w:rsidRDefault="008B68A9">
      <w:pPr>
        <w:pStyle w:val="TOC1"/>
        <w:rPr>
          <w:rFonts w:eastAsiaTheme="minorEastAsia"/>
          <w:sz w:val="22"/>
          <w:lang w:eastAsia="en-GB"/>
        </w:rPr>
      </w:pPr>
      <w:hyperlink w:anchor="_Toc466800420" w:history="1">
        <w:r w:rsidR="00522EDE" w:rsidRPr="008B68A9">
          <w:rPr>
            <w:rStyle w:val="Hyperlink"/>
          </w:rPr>
          <w:t>Appendices</w:t>
        </w:r>
        <w:r w:rsidR="00522EDE" w:rsidRPr="008B68A9">
          <w:rPr>
            <w:webHidden/>
          </w:rPr>
          <w:tab/>
        </w:r>
        <w:r w:rsidR="00522EDE" w:rsidRPr="008B68A9">
          <w:rPr>
            <w:webHidden/>
          </w:rPr>
          <w:fldChar w:fldCharType="begin"/>
        </w:r>
        <w:r w:rsidR="00522EDE" w:rsidRPr="008B68A9">
          <w:rPr>
            <w:webHidden/>
          </w:rPr>
          <w:instrText xml:space="preserve"> PAGEREF _Toc466800420 \h </w:instrText>
        </w:r>
        <w:r w:rsidR="00522EDE" w:rsidRPr="008B68A9">
          <w:rPr>
            <w:webHidden/>
          </w:rPr>
        </w:r>
        <w:r w:rsidR="00522EDE" w:rsidRPr="008B68A9">
          <w:rPr>
            <w:webHidden/>
          </w:rPr>
          <w:fldChar w:fldCharType="separate"/>
        </w:r>
        <w:r w:rsidR="00522EDE" w:rsidRPr="008B68A9">
          <w:rPr>
            <w:webHidden/>
          </w:rPr>
          <w:t>275</w:t>
        </w:r>
        <w:r w:rsidR="00522EDE" w:rsidRPr="008B68A9">
          <w:rPr>
            <w:webHidden/>
          </w:rPr>
          <w:fldChar w:fldCharType="end"/>
        </w:r>
      </w:hyperlink>
    </w:p>
    <w:p w14:paraId="40868E74" w14:textId="77777777" w:rsidR="00522EDE" w:rsidRPr="008B68A9" w:rsidRDefault="008B68A9">
      <w:pPr>
        <w:pStyle w:val="TOC2"/>
        <w:rPr>
          <w:rFonts w:eastAsiaTheme="minorEastAsia"/>
          <w:sz w:val="22"/>
          <w:lang w:eastAsia="en-GB"/>
        </w:rPr>
      </w:pPr>
      <w:hyperlink w:anchor="_Toc466800421" w:history="1">
        <w:r w:rsidR="00522EDE" w:rsidRPr="008B68A9">
          <w:rPr>
            <w:rStyle w:val="Hyperlink"/>
          </w:rPr>
          <w:t>Appendix 1: Literature review table</w:t>
        </w:r>
        <w:r w:rsidR="00522EDE" w:rsidRPr="008B68A9">
          <w:rPr>
            <w:webHidden/>
          </w:rPr>
          <w:tab/>
        </w:r>
        <w:r w:rsidR="00522EDE" w:rsidRPr="008B68A9">
          <w:rPr>
            <w:webHidden/>
          </w:rPr>
          <w:fldChar w:fldCharType="begin"/>
        </w:r>
        <w:r w:rsidR="00522EDE" w:rsidRPr="008B68A9">
          <w:rPr>
            <w:webHidden/>
          </w:rPr>
          <w:instrText xml:space="preserve"> PAGEREF _Toc466800421 \h </w:instrText>
        </w:r>
        <w:r w:rsidR="00522EDE" w:rsidRPr="008B68A9">
          <w:rPr>
            <w:webHidden/>
          </w:rPr>
        </w:r>
        <w:r w:rsidR="00522EDE" w:rsidRPr="008B68A9">
          <w:rPr>
            <w:webHidden/>
          </w:rPr>
          <w:fldChar w:fldCharType="separate"/>
        </w:r>
        <w:r w:rsidR="00522EDE" w:rsidRPr="008B68A9">
          <w:rPr>
            <w:webHidden/>
          </w:rPr>
          <w:t>276</w:t>
        </w:r>
        <w:r w:rsidR="00522EDE" w:rsidRPr="008B68A9">
          <w:rPr>
            <w:webHidden/>
          </w:rPr>
          <w:fldChar w:fldCharType="end"/>
        </w:r>
      </w:hyperlink>
    </w:p>
    <w:p w14:paraId="0513D462" w14:textId="77777777" w:rsidR="00522EDE" w:rsidRPr="008B68A9" w:rsidRDefault="008B68A9">
      <w:pPr>
        <w:pStyle w:val="TOC2"/>
        <w:rPr>
          <w:rFonts w:eastAsiaTheme="minorEastAsia"/>
          <w:sz w:val="22"/>
          <w:lang w:eastAsia="en-GB"/>
        </w:rPr>
      </w:pPr>
      <w:hyperlink w:anchor="_Toc466800422" w:history="1">
        <w:r w:rsidR="00522EDE" w:rsidRPr="008B68A9">
          <w:rPr>
            <w:rStyle w:val="Hyperlink"/>
          </w:rPr>
          <w:t>Appendix 2: Initial MAXQDA coding set and memos:</w:t>
        </w:r>
        <w:r w:rsidR="00522EDE" w:rsidRPr="008B68A9">
          <w:rPr>
            <w:webHidden/>
          </w:rPr>
          <w:tab/>
        </w:r>
        <w:r w:rsidR="00522EDE" w:rsidRPr="008B68A9">
          <w:rPr>
            <w:webHidden/>
          </w:rPr>
          <w:fldChar w:fldCharType="begin"/>
        </w:r>
        <w:r w:rsidR="00522EDE" w:rsidRPr="008B68A9">
          <w:rPr>
            <w:webHidden/>
          </w:rPr>
          <w:instrText xml:space="preserve"> PAGEREF _Toc466800422 \h </w:instrText>
        </w:r>
        <w:r w:rsidR="00522EDE" w:rsidRPr="008B68A9">
          <w:rPr>
            <w:webHidden/>
          </w:rPr>
        </w:r>
        <w:r w:rsidR="00522EDE" w:rsidRPr="008B68A9">
          <w:rPr>
            <w:webHidden/>
          </w:rPr>
          <w:fldChar w:fldCharType="separate"/>
        </w:r>
        <w:r w:rsidR="00522EDE" w:rsidRPr="008B68A9">
          <w:rPr>
            <w:webHidden/>
          </w:rPr>
          <w:t>303</w:t>
        </w:r>
        <w:r w:rsidR="00522EDE" w:rsidRPr="008B68A9">
          <w:rPr>
            <w:webHidden/>
          </w:rPr>
          <w:fldChar w:fldCharType="end"/>
        </w:r>
      </w:hyperlink>
    </w:p>
    <w:p w14:paraId="64C757B7" w14:textId="77777777" w:rsidR="00522EDE" w:rsidRPr="008B68A9" w:rsidRDefault="008B68A9">
      <w:pPr>
        <w:pStyle w:val="TOC2"/>
        <w:rPr>
          <w:rFonts w:eastAsiaTheme="minorEastAsia"/>
          <w:sz w:val="22"/>
          <w:lang w:eastAsia="en-GB"/>
        </w:rPr>
      </w:pPr>
      <w:hyperlink w:anchor="_Toc466800423" w:history="1">
        <w:r w:rsidR="00522EDE" w:rsidRPr="008B68A9">
          <w:rPr>
            <w:rStyle w:val="Hyperlink"/>
          </w:rPr>
          <w:t>Appendix 3: Thematic Coding guideline</w:t>
        </w:r>
        <w:r w:rsidR="00522EDE" w:rsidRPr="008B68A9">
          <w:rPr>
            <w:webHidden/>
          </w:rPr>
          <w:tab/>
        </w:r>
        <w:r w:rsidR="00522EDE" w:rsidRPr="008B68A9">
          <w:rPr>
            <w:webHidden/>
          </w:rPr>
          <w:fldChar w:fldCharType="begin"/>
        </w:r>
        <w:r w:rsidR="00522EDE" w:rsidRPr="008B68A9">
          <w:rPr>
            <w:webHidden/>
          </w:rPr>
          <w:instrText xml:space="preserve"> PAGEREF _Toc466800423 \h </w:instrText>
        </w:r>
        <w:r w:rsidR="00522EDE" w:rsidRPr="008B68A9">
          <w:rPr>
            <w:webHidden/>
          </w:rPr>
        </w:r>
        <w:r w:rsidR="00522EDE" w:rsidRPr="008B68A9">
          <w:rPr>
            <w:webHidden/>
          </w:rPr>
          <w:fldChar w:fldCharType="separate"/>
        </w:r>
        <w:r w:rsidR="00522EDE" w:rsidRPr="008B68A9">
          <w:rPr>
            <w:webHidden/>
          </w:rPr>
          <w:t>307</w:t>
        </w:r>
        <w:r w:rsidR="00522EDE" w:rsidRPr="008B68A9">
          <w:rPr>
            <w:webHidden/>
          </w:rPr>
          <w:fldChar w:fldCharType="end"/>
        </w:r>
      </w:hyperlink>
    </w:p>
    <w:p w14:paraId="4E7CF673" w14:textId="77777777" w:rsidR="00522EDE" w:rsidRPr="008B68A9" w:rsidRDefault="008B68A9">
      <w:pPr>
        <w:pStyle w:val="TOC2"/>
        <w:rPr>
          <w:rFonts w:eastAsiaTheme="minorEastAsia"/>
          <w:sz w:val="22"/>
          <w:lang w:eastAsia="en-GB"/>
        </w:rPr>
      </w:pPr>
      <w:hyperlink w:anchor="_Toc466800424" w:history="1">
        <w:r w:rsidR="00522EDE" w:rsidRPr="008B68A9">
          <w:rPr>
            <w:rStyle w:val="Hyperlink"/>
          </w:rPr>
          <w:t>Appendix 4: Visual coding of data and initial framework</w:t>
        </w:r>
        <w:r w:rsidR="00522EDE" w:rsidRPr="008B68A9">
          <w:rPr>
            <w:webHidden/>
          </w:rPr>
          <w:tab/>
        </w:r>
        <w:r w:rsidR="00522EDE" w:rsidRPr="008B68A9">
          <w:rPr>
            <w:webHidden/>
          </w:rPr>
          <w:fldChar w:fldCharType="begin"/>
        </w:r>
        <w:r w:rsidR="00522EDE" w:rsidRPr="008B68A9">
          <w:rPr>
            <w:webHidden/>
          </w:rPr>
          <w:instrText xml:space="preserve"> PAGEREF _Toc466800424 \h </w:instrText>
        </w:r>
        <w:r w:rsidR="00522EDE" w:rsidRPr="008B68A9">
          <w:rPr>
            <w:webHidden/>
          </w:rPr>
        </w:r>
        <w:r w:rsidR="00522EDE" w:rsidRPr="008B68A9">
          <w:rPr>
            <w:webHidden/>
          </w:rPr>
          <w:fldChar w:fldCharType="separate"/>
        </w:r>
        <w:r w:rsidR="00522EDE" w:rsidRPr="008B68A9">
          <w:rPr>
            <w:webHidden/>
          </w:rPr>
          <w:t>308</w:t>
        </w:r>
        <w:r w:rsidR="00522EDE" w:rsidRPr="008B68A9">
          <w:rPr>
            <w:webHidden/>
          </w:rPr>
          <w:fldChar w:fldCharType="end"/>
        </w:r>
      </w:hyperlink>
    </w:p>
    <w:p w14:paraId="2B0773FE" w14:textId="77777777" w:rsidR="00522EDE" w:rsidRPr="008B68A9" w:rsidRDefault="008B68A9">
      <w:pPr>
        <w:pStyle w:val="TOC2"/>
        <w:rPr>
          <w:rFonts w:eastAsiaTheme="minorEastAsia"/>
          <w:sz w:val="22"/>
          <w:lang w:eastAsia="en-GB"/>
        </w:rPr>
      </w:pPr>
      <w:hyperlink w:anchor="_Toc466800425" w:history="1">
        <w:r w:rsidR="00522EDE" w:rsidRPr="008B68A9">
          <w:rPr>
            <w:rStyle w:val="Hyperlink"/>
          </w:rPr>
          <w:t>Appendix 5: Example participant information sheet:</w:t>
        </w:r>
        <w:r w:rsidR="00522EDE" w:rsidRPr="008B68A9">
          <w:rPr>
            <w:webHidden/>
          </w:rPr>
          <w:tab/>
        </w:r>
        <w:r w:rsidR="00522EDE" w:rsidRPr="008B68A9">
          <w:rPr>
            <w:webHidden/>
          </w:rPr>
          <w:fldChar w:fldCharType="begin"/>
        </w:r>
        <w:r w:rsidR="00522EDE" w:rsidRPr="008B68A9">
          <w:rPr>
            <w:webHidden/>
          </w:rPr>
          <w:instrText xml:space="preserve"> PAGEREF _Toc466800425 \h </w:instrText>
        </w:r>
        <w:r w:rsidR="00522EDE" w:rsidRPr="008B68A9">
          <w:rPr>
            <w:webHidden/>
          </w:rPr>
        </w:r>
        <w:r w:rsidR="00522EDE" w:rsidRPr="008B68A9">
          <w:rPr>
            <w:webHidden/>
          </w:rPr>
          <w:fldChar w:fldCharType="separate"/>
        </w:r>
        <w:r w:rsidR="00522EDE" w:rsidRPr="008B68A9">
          <w:rPr>
            <w:webHidden/>
          </w:rPr>
          <w:t>309</w:t>
        </w:r>
        <w:r w:rsidR="00522EDE" w:rsidRPr="008B68A9">
          <w:rPr>
            <w:webHidden/>
          </w:rPr>
          <w:fldChar w:fldCharType="end"/>
        </w:r>
      </w:hyperlink>
    </w:p>
    <w:p w14:paraId="57F9A56C" w14:textId="77777777" w:rsidR="00522EDE" w:rsidRPr="008B68A9" w:rsidRDefault="008B68A9">
      <w:pPr>
        <w:pStyle w:val="TOC2"/>
        <w:rPr>
          <w:rFonts w:eastAsiaTheme="minorEastAsia"/>
          <w:sz w:val="22"/>
          <w:lang w:eastAsia="en-GB"/>
        </w:rPr>
      </w:pPr>
      <w:hyperlink w:anchor="_Toc466800426" w:history="1">
        <w:r w:rsidR="00522EDE" w:rsidRPr="008B68A9">
          <w:rPr>
            <w:rStyle w:val="Hyperlink"/>
          </w:rPr>
          <w:t>Appendix 6: Example participant consent form</w:t>
        </w:r>
        <w:r w:rsidR="00522EDE" w:rsidRPr="008B68A9">
          <w:rPr>
            <w:webHidden/>
          </w:rPr>
          <w:tab/>
        </w:r>
        <w:r w:rsidR="00522EDE" w:rsidRPr="008B68A9">
          <w:rPr>
            <w:webHidden/>
          </w:rPr>
          <w:fldChar w:fldCharType="begin"/>
        </w:r>
        <w:r w:rsidR="00522EDE" w:rsidRPr="008B68A9">
          <w:rPr>
            <w:webHidden/>
          </w:rPr>
          <w:instrText xml:space="preserve"> PAGEREF _Toc466800426 \h </w:instrText>
        </w:r>
        <w:r w:rsidR="00522EDE" w:rsidRPr="008B68A9">
          <w:rPr>
            <w:webHidden/>
          </w:rPr>
        </w:r>
        <w:r w:rsidR="00522EDE" w:rsidRPr="008B68A9">
          <w:rPr>
            <w:webHidden/>
          </w:rPr>
          <w:fldChar w:fldCharType="separate"/>
        </w:r>
        <w:r w:rsidR="00522EDE" w:rsidRPr="008B68A9">
          <w:rPr>
            <w:webHidden/>
          </w:rPr>
          <w:t>311</w:t>
        </w:r>
        <w:r w:rsidR="00522EDE" w:rsidRPr="008B68A9">
          <w:rPr>
            <w:webHidden/>
          </w:rPr>
          <w:fldChar w:fldCharType="end"/>
        </w:r>
      </w:hyperlink>
    </w:p>
    <w:p w14:paraId="33880793" w14:textId="442483DC" w:rsidR="0002435A" w:rsidRPr="008B68A9" w:rsidRDefault="00045396" w:rsidP="00045396">
      <w:r w:rsidRPr="008B68A9">
        <w:fldChar w:fldCharType="end"/>
      </w:r>
    </w:p>
    <w:p w14:paraId="391AE0E1" w14:textId="77777777" w:rsidR="00266F60" w:rsidRPr="008B68A9" w:rsidRDefault="00266F60" w:rsidP="00045396">
      <w:pPr>
        <w:sectPr w:rsidR="00266F60" w:rsidRPr="008B68A9" w:rsidSect="003C39F8">
          <w:pgSz w:w="11906" w:h="16838"/>
          <w:pgMar w:top="1440" w:right="1418" w:bottom="1440" w:left="2268" w:header="708" w:footer="708" w:gutter="0"/>
          <w:pgNumType w:fmt="lowerRoman"/>
          <w:cols w:space="708"/>
          <w:docGrid w:linePitch="360"/>
        </w:sectPr>
      </w:pPr>
    </w:p>
    <w:p w14:paraId="3F1DA3D6" w14:textId="600957A0" w:rsidR="0034536B" w:rsidRPr="008B68A9" w:rsidRDefault="000C5EB8" w:rsidP="000C5EB8">
      <w:pPr>
        <w:pStyle w:val="1L1header"/>
      </w:pPr>
      <w:bookmarkStart w:id="5" w:name="_Toc466800268"/>
      <w:r w:rsidRPr="008B68A9">
        <w:lastRenderedPageBreak/>
        <w:t>Index of Tables</w:t>
      </w:r>
      <w:bookmarkEnd w:id="5"/>
    </w:p>
    <w:p w14:paraId="6A32F338" w14:textId="77777777" w:rsidR="00330D5F" w:rsidRPr="008B68A9" w:rsidRDefault="00DF399F">
      <w:pPr>
        <w:pStyle w:val="TOC1"/>
        <w:rPr>
          <w:rFonts w:eastAsiaTheme="minorEastAsia"/>
          <w:sz w:val="22"/>
          <w:lang w:eastAsia="en-GB"/>
        </w:rPr>
      </w:pPr>
      <w:r w:rsidRPr="008B68A9">
        <w:fldChar w:fldCharType="begin"/>
      </w:r>
      <w:r w:rsidRPr="008B68A9">
        <w:instrText xml:space="preserve"> TOC \h \z \t "9b table caption,1" </w:instrText>
      </w:r>
      <w:r w:rsidRPr="008B68A9">
        <w:fldChar w:fldCharType="separate"/>
      </w:r>
      <w:hyperlink w:anchor="_Toc466799795" w:history="1">
        <w:r w:rsidR="00330D5F" w:rsidRPr="008B68A9">
          <w:rPr>
            <w:rStyle w:val="Hyperlink"/>
          </w:rPr>
          <w:t>Table 1: Experiences of users receiving recovery budgets</w:t>
        </w:r>
        <w:r w:rsidR="00330D5F" w:rsidRPr="008B68A9">
          <w:rPr>
            <w:webHidden/>
          </w:rPr>
          <w:tab/>
        </w:r>
        <w:r w:rsidR="00330D5F" w:rsidRPr="008B68A9">
          <w:rPr>
            <w:webHidden/>
          </w:rPr>
          <w:fldChar w:fldCharType="begin"/>
        </w:r>
        <w:r w:rsidR="00330D5F" w:rsidRPr="008B68A9">
          <w:rPr>
            <w:webHidden/>
          </w:rPr>
          <w:instrText xml:space="preserve"> PAGEREF _Toc466799795 \h </w:instrText>
        </w:r>
        <w:r w:rsidR="00330D5F" w:rsidRPr="008B68A9">
          <w:rPr>
            <w:webHidden/>
          </w:rPr>
        </w:r>
        <w:r w:rsidR="00330D5F" w:rsidRPr="008B68A9">
          <w:rPr>
            <w:webHidden/>
          </w:rPr>
          <w:fldChar w:fldCharType="separate"/>
        </w:r>
        <w:r w:rsidR="00330D5F" w:rsidRPr="008B68A9">
          <w:rPr>
            <w:webHidden/>
          </w:rPr>
          <w:t>126</w:t>
        </w:r>
        <w:r w:rsidR="00330D5F" w:rsidRPr="008B68A9">
          <w:rPr>
            <w:webHidden/>
          </w:rPr>
          <w:fldChar w:fldCharType="end"/>
        </w:r>
      </w:hyperlink>
    </w:p>
    <w:p w14:paraId="3FA98E06" w14:textId="77777777" w:rsidR="00330D5F" w:rsidRPr="008B68A9" w:rsidRDefault="008B68A9">
      <w:pPr>
        <w:pStyle w:val="TOC1"/>
        <w:rPr>
          <w:rFonts w:eastAsiaTheme="minorEastAsia"/>
          <w:sz w:val="22"/>
          <w:lang w:eastAsia="en-GB"/>
        </w:rPr>
      </w:pPr>
      <w:hyperlink w:anchor="_Toc466799796" w:history="1">
        <w:r w:rsidR="00330D5F" w:rsidRPr="008B68A9">
          <w:rPr>
            <w:rStyle w:val="Hyperlink"/>
          </w:rPr>
          <w:t>Table 2: Experience of staff using recovery budgets</w:t>
        </w:r>
        <w:r w:rsidR="00330D5F" w:rsidRPr="008B68A9">
          <w:rPr>
            <w:webHidden/>
          </w:rPr>
          <w:tab/>
        </w:r>
        <w:r w:rsidR="00330D5F" w:rsidRPr="008B68A9">
          <w:rPr>
            <w:webHidden/>
          </w:rPr>
          <w:fldChar w:fldCharType="begin"/>
        </w:r>
        <w:r w:rsidR="00330D5F" w:rsidRPr="008B68A9">
          <w:rPr>
            <w:webHidden/>
          </w:rPr>
          <w:instrText xml:space="preserve"> PAGEREF _Toc466799796 \h </w:instrText>
        </w:r>
        <w:r w:rsidR="00330D5F" w:rsidRPr="008B68A9">
          <w:rPr>
            <w:webHidden/>
          </w:rPr>
        </w:r>
        <w:r w:rsidR="00330D5F" w:rsidRPr="008B68A9">
          <w:rPr>
            <w:webHidden/>
          </w:rPr>
          <w:fldChar w:fldCharType="separate"/>
        </w:r>
        <w:r w:rsidR="00330D5F" w:rsidRPr="008B68A9">
          <w:rPr>
            <w:webHidden/>
          </w:rPr>
          <w:t>127</w:t>
        </w:r>
        <w:r w:rsidR="00330D5F" w:rsidRPr="008B68A9">
          <w:rPr>
            <w:webHidden/>
          </w:rPr>
          <w:fldChar w:fldCharType="end"/>
        </w:r>
      </w:hyperlink>
    </w:p>
    <w:p w14:paraId="66BA5E7C" w14:textId="77777777" w:rsidR="00330D5F" w:rsidRPr="008B68A9" w:rsidRDefault="008B68A9">
      <w:pPr>
        <w:pStyle w:val="TOC1"/>
        <w:rPr>
          <w:rFonts w:eastAsiaTheme="minorEastAsia"/>
          <w:sz w:val="22"/>
          <w:lang w:eastAsia="en-GB"/>
        </w:rPr>
      </w:pPr>
      <w:hyperlink w:anchor="_Toc466799797" w:history="1">
        <w:r w:rsidR="00330D5F" w:rsidRPr="008B68A9">
          <w:rPr>
            <w:rStyle w:val="Hyperlink"/>
          </w:rPr>
          <w:t>Table 3: Themes from budget user narratives</w:t>
        </w:r>
        <w:r w:rsidR="00330D5F" w:rsidRPr="008B68A9">
          <w:rPr>
            <w:webHidden/>
          </w:rPr>
          <w:tab/>
        </w:r>
        <w:r w:rsidR="00330D5F" w:rsidRPr="008B68A9">
          <w:rPr>
            <w:webHidden/>
          </w:rPr>
          <w:fldChar w:fldCharType="begin"/>
        </w:r>
        <w:r w:rsidR="00330D5F" w:rsidRPr="008B68A9">
          <w:rPr>
            <w:webHidden/>
          </w:rPr>
          <w:instrText xml:space="preserve"> PAGEREF _Toc466799797 \h </w:instrText>
        </w:r>
        <w:r w:rsidR="00330D5F" w:rsidRPr="008B68A9">
          <w:rPr>
            <w:webHidden/>
          </w:rPr>
        </w:r>
        <w:r w:rsidR="00330D5F" w:rsidRPr="008B68A9">
          <w:rPr>
            <w:webHidden/>
          </w:rPr>
          <w:fldChar w:fldCharType="separate"/>
        </w:r>
        <w:r w:rsidR="00330D5F" w:rsidRPr="008B68A9">
          <w:rPr>
            <w:webHidden/>
          </w:rPr>
          <w:t>133</w:t>
        </w:r>
        <w:r w:rsidR="00330D5F" w:rsidRPr="008B68A9">
          <w:rPr>
            <w:webHidden/>
          </w:rPr>
          <w:fldChar w:fldCharType="end"/>
        </w:r>
      </w:hyperlink>
    </w:p>
    <w:p w14:paraId="16C7A0E1" w14:textId="77777777" w:rsidR="00330D5F" w:rsidRPr="008B68A9" w:rsidRDefault="008B68A9">
      <w:pPr>
        <w:pStyle w:val="TOC1"/>
        <w:rPr>
          <w:rFonts w:eastAsiaTheme="minorEastAsia"/>
          <w:sz w:val="22"/>
          <w:lang w:eastAsia="en-GB"/>
        </w:rPr>
      </w:pPr>
      <w:hyperlink w:anchor="_Toc466799798" w:history="1">
        <w:r w:rsidR="00330D5F" w:rsidRPr="008B68A9">
          <w:rPr>
            <w:rStyle w:val="Hyperlink"/>
          </w:rPr>
          <w:t>Table 4: Positive professional experiences</w:t>
        </w:r>
        <w:r w:rsidR="00330D5F" w:rsidRPr="008B68A9">
          <w:rPr>
            <w:webHidden/>
          </w:rPr>
          <w:tab/>
        </w:r>
        <w:r w:rsidR="00330D5F" w:rsidRPr="008B68A9">
          <w:rPr>
            <w:webHidden/>
          </w:rPr>
          <w:fldChar w:fldCharType="begin"/>
        </w:r>
        <w:r w:rsidR="00330D5F" w:rsidRPr="008B68A9">
          <w:rPr>
            <w:webHidden/>
          </w:rPr>
          <w:instrText xml:space="preserve"> PAGEREF _Toc466799798 \h </w:instrText>
        </w:r>
        <w:r w:rsidR="00330D5F" w:rsidRPr="008B68A9">
          <w:rPr>
            <w:webHidden/>
          </w:rPr>
        </w:r>
        <w:r w:rsidR="00330D5F" w:rsidRPr="008B68A9">
          <w:rPr>
            <w:webHidden/>
          </w:rPr>
          <w:fldChar w:fldCharType="separate"/>
        </w:r>
        <w:r w:rsidR="00330D5F" w:rsidRPr="008B68A9">
          <w:rPr>
            <w:webHidden/>
          </w:rPr>
          <w:t>134</w:t>
        </w:r>
        <w:r w:rsidR="00330D5F" w:rsidRPr="008B68A9">
          <w:rPr>
            <w:webHidden/>
          </w:rPr>
          <w:fldChar w:fldCharType="end"/>
        </w:r>
      </w:hyperlink>
    </w:p>
    <w:p w14:paraId="03738573" w14:textId="77777777" w:rsidR="00330D5F" w:rsidRPr="008B68A9" w:rsidRDefault="008B68A9">
      <w:pPr>
        <w:pStyle w:val="TOC1"/>
        <w:rPr>
          <w:rFonts w:eastAsiaTheme="minorEastAsia"/>
          <w:sz w:val="22"/>
          <w:lang w:eastAsia="en-GB"/>
        </w:rPr>
      </w:pPr>
      <w:hyperlink w:anchor="_Toc466799799" w:history="1">
        <w:r w:rsidR="00330D5F" w:rsidRPr="008B68A9">
          <w:rPr>
            <w:rStyle w:val="Hyperlink"/>
          </w:rPr>
          <w:t>Table 5: Challenges for professionals</w:t>
        </w:r>
        <w:r w:rsidR="00330D5F" w:rsidRPr="008B68A9">
          <w:rPr>
            <w:webHidden/>
          </w:rPr>
          <w:tab/>
        </w:r>
        <w:r w:rsidR="00330D5F" w:rsidRPr="008B68A9">
          <w:rPr>
            <w:webHidden/>
          </w:rPr>
          <w:fldChar w:fldCharType="begin"/>
        </w:r>
        <w:r w:rsidR="00330D5F" w:rsidRPr="008B68A9">
          <w:rPr>
            <w:webHidden/>
          </w:rPr>
          <w:instrText xml:space="preserve"> PAGEREF _Toc466799799 \h </w:instrText>
        </w:r>
        <w:r w:rsidR="00330D5F" w:rsidRPr="008B68A9">
          <w:rPr>
            <w:webHidden/>
          </w:rPr>
        </w:r>
        <w:r w:rsidR="00330D5F" w:rsidRPr="008B68A9">
          <w:rPr>
            <w:webHidden/>
          </w:rPr>
          <w:fldChar w:fldCharType="separate"/>
        </w:r>
        <w:r w:rsidR="00330D5F" w:rsidRPr="008B68A9">
          <w:rPr>
            <w:webHidden/>
          </w:rPr>
          <w:t>134</w:t>
        </w:r>
        <w:r w:rsidR="00330D5F" w:rsidRPr="008B68A9">
          <w:rPr>
            <w:webHidden/>
          </w:rPr>
          <w:fldChar w:fldCharType="end"/>
        </w:r>
      </w:hyperlink>
    </w:p>
    <w:p w14:paraId="01D3389D" w14:textId="77777777" w:rsidR="00330D5F" w:rsidRPr="008B68A9" w:rsidRDefault="008B68A9">
      <w:pPr>
        <w:pStyle w:val="TOC1"/>
        <w:rPr>
          <w:rFonts w:eastAsiaTheme="minorEastAsia"/>
          <w:sz w:val="22"/>
          <w:lang w:eastAsia="en-GB"/>
        </w:rPr>
      </w:pPr>
      <w:hyperlink w:anchor="_Toc466799800" w:history="1">
        <w:r w:rsidR="00330D5F" w:rsidRPr="008B68A9">
          <w:rPr>
            <w:rStyle w:val="Hyperlink"/>
          </w:rPr>
          <w:t>Table 6: External broker experience</w:t>
        </w:r>
        <w:r w:rsidR="00330D5F" w:rsidRPr="008B68A9">
          <w:rPr>
            <w:webHidden/>
          </w:rPr>
          <w:tab/>
        </w:r>
        <w:r w:rsidR="00330D5F" w:rsidRPr="008B68A9">
          <w:rPr>
            <w:webHidden/>
          </w:rPr>
          <w:fldChar w:fldCharType="begin"/>
        </w:r>
        <w:r w:rsidR="00330D5F" w:rsidRPr="008B68A9">
          <w:rPr>
            <w:webHidden/>
          </w:rPr>
          <w:instrText xml:space="preserve"> PAGEREF _Toc466799800 \h </w:instrText>
        </w:r>
        <w:r w:rsidR="00330D5F" w:rsidRPr="008B68A9">
          <w:rPr>
            <w:webHidden/>
          </w:rPr>
        </w:r>
        <w:r w:rsidR="00330D5F" w:rsidRPr="008B68A9">
          <w:rPr>
            <w:webHidden/>
          </w:rPr>
          <w:fldChar w:fldCharType="separate"/>
        </w:r>
        <w:r w:rsidR="00330D5F" w:rsidRPr="008B68A9">
          <w:rPr>
            <w:webHidden/>
          </w:rPr>
          <w:t>135</w:t>
        </w:r>
        <w:r w:rsidR="00330D5F" w:rsidRPr="008B68A9">
          <w:rPr>
            <w:webHidden/>
          </w:rPr>
          <w:fldChar w:fldCharType="end"/>
        </w:r>
      </w:hyperlink>
    </w:p>
    <w:p w14:paraId="1F2F9C7B" w14:textId="77777777" w:rsidR="00330D5F" w:rsidRPr="008B68A9" w:rsidRDefault="008B68A9">
      <w:pPr>
        <w:pStyle w:val="TOC1"/>
        <w:rPr>
          <w:rFonts w:eastAsiaTheme="minorEastAsia"/>
          <w:sz w:val="22"/>
          <w:lang w:eastAsia="en-GB"/>
        </w:rPr>
      </w:pPr>
      <w:hyperlink w:anchor="_Toc466799801" w:history="1">
        <w:r w:rsidR="00330D5F" w:rsidRPr="008B68A9">
          <w:rPr>
            <w:rStyle w:val="Hyperlink"/>
          </w:rPr>
          <w:t>Table 7: Internal broker experience</w:t>
        </w:r>
        <w:r w:rsidR="00330D5F" w:rsidRPr="008B68A9">
          <w:rPr>
            <w:webHidden/>
          </w:rPr>
          <w:tab/>
        </w:r>
        <w:r w:rsidR="00330D5F" w:rsidRPr="008B68A9">
          <w:rPr>
            <w:webHidden/>
          </w:rPr>
          <w:fldChar w:fldCharType="begin"/>
        </w:r>
        <w:r w:rsidR="00330D5F" w:rsidRPr="008B68A9">
          <w:rPr>
            <w:webHidden/>
          </w:rPr>
          <w:instrText xml:space="preserve"> PAGEREF _Toc466799801 \h </w:instrText>
        </w:r>
        <w:r w:rsidR="00330D5F" w:rsidRPr="008B68A9">
          <w:rPr>
            <w:webHidden/>
          </w:rPr>
        </w:r>
        <w:r w:rsidR="00330D5F" w:rsidRPr="008B68A9">
          <w:rPr>
            <w:webHidden/>
          </w:rPr>
          <w:fldChar w:fldCharType="separate"/>
        </w:r>
        <w:r w:rsidR="00330D5F" w:rsidRPr="008B68A9">
          <w:rPr>
            <w:webHidden/>
          </w:rPr>
          <w:t>136</w:t>
        </w:r>
        <w:r w:rsidR="00330D5F" w:rsidRPr="008B68A9">
          <w:rPr>
            <w:webHidden/>
          </w:rPr>
          <w:fldChar w:fldCharType="end"/>
        </w:r>
      </w:hyperlink>
    </w:p>
    <w:p w14:paraId="0092CC11" w14:textId="77777777" w:rsidR="00330D5F" w:rsidRPr="008B68A9" w:rsidRDefault="008B68A9">
      <w:pPr>
        <w:pStyle w:val="TOC1"/>
        <w:rPr>
          <w:rFonts w:eastAsiaTheme="minorEastAsia"/>
          <w:sz w:val="22"/>
          <w:lang w:eastAsia="en-GB"/>
        </w:rPr>
      </w:pPr>
      <w:hyperlink w:anchor="_Toc466799802" w:history="1">
        <w:r w:rsidR="00330D5F" w:rsidRPr="008B68A9">
          <w:rPr>
            <w:rStyle w:val="Hyperlink"/>
          </w:rPr>
          <w:t>Table 8: Peer brokerage experience</w:t>
        </w:r>
        <w:r w:rsidR="00330D5F" w:rsidRPr="008B68A9">
          <w:rPr>
            <w:webHidden/>
          </w:rPr>
          <w:tab/>
        </w:r>
        <w:r w:rsidR="00330D5F" w:rsidRPr="008B68A9">
          <w:rPr>
            <w:webHidden/>
          </w:rPr>
          <w:fldChar w:fldCharType="begin"/>
        </w:r>
        <w:r w:rsidR="00330D5F" w:rsidRPr="008B68A9">
          <w:rPr>
            <w:webHidden/>
          </w:rPr>
          <w:instrText xml:space="preserve"> PAGEREF _Toc466799802 \h </w:instrText>
        </w:r>
        <w:r w:rsidR="00330D5F" w:rsidRPr="008B68A9">
          <w:rPr>
            <w:webHidden/>
          </w:rPr>
        </w:r>
        <w:r w:rsidR="00330D5F" w:rsidRPr="008B68A9">
          <w:rPr>
            <w:webHidden/>
          </w:rPr>
          <w:fldChar w:fldCharType="separate"/>
        </w:r>
        <w:r w:rsidR="00330D5F" w:rsidRPr="008B68A9">
          <w:rPr>
            <w:webHidden/>
          </w:rPr>
          <w:t>136</w:t>
        </w:r>
        <w:r w:rsidR="00330D5F" w:rsidRPr="008B68A9">
          <w:rPr>
            <w:webHidden/>
          </w:rPr>
          <w:fldChar w:fldCharType="end"/>
        </w:r>
      </w:hyperlink>
    </w:p>
    <w:p w14:paraId="1AAB6731" w14:textId="77777777" w:rsidR="00330D5F" w:rsidRPr="008B68A9" w:rsidRDefault="008B68A9">
      <w:pPr>
        <w:pStyle w:val="TOC1"/>
        <w:rPr>
          <w:rFonts w:eastAsiaTheme="minorEastAsia"/>
          <w:sz w:val="22"/>
          <w:lang w:eastAsia="en-GB"/>
        </w:rPr>
      </w:pPr>
      <w:hyperlink w:anchor="_Toc466799803" w:history="1">
        <w:r w:rsidR="00330D5F" w:rsidRPr="008B68A9">
          <w:rPr>
            <w:rStyle w:val="Hyperlink"/>
          </w:rPr>
          <w:t>Table 9: Mapping budget spend</w:t>
        </w:r>
        <w:r w:rsidR="00330D5F" w:rsidRPr="008B68A9">
          <w:rPr>
            <w:webHidden/>
          </w:rPr>
          <w:tab/>
        </w:r>
        <w:r w:rsidR="00330D5F" w:rsidRPr="008B68A9">
          <w:rPr>
            <w:webHidden/>
          </w:rPr>
          <w:fldChar w:fldCharType="begin"/>
        </w:r>
        <w:r w:rsidR="00330D5F" w:rsidRPr="008B68A9">
          <w:rPr>
            <w:webHidden/>
          </w:rPr>
          <w:instrText xml:space="preserve"> PAGEREF _Toc466799803 \h </w:instrText>
        </w:r>
        <w:r w:rsidR="00330D5F" w:rsidRPr="008B68A9">
          <w:rPr>
            <w:webHidden/>
          </w:rPr>
        </w:r>
        <w:r w:rsidR="00330D5F" w:rsidRPr="008B68A9">
          <w:rPr>
            <w:webHidden/>
          </w:rPr>
          <w:fldChar w:fldCharType="separate"/>
        </w:r>
        <w:r w:rsidR="00330D5F" w:rsidRPr="008B68A9">
          <w:rPr>
            <w:webHidden/>
          </w:rPr>
          <w:t>138</w:t>
        </w:r>
        <w:r w:rsidR="00330D5F" w:rsidRPr="008B68A9">
          <w:rPr>
            <w:webHidden/>
          </w:rPr>
          <w:fldChar w:fldCharType="end"/>
        </w:r>
      </w:hyperlink>
    </w:p>
    <w:p w14:paraId="3CA2936D" w14:textId="77777777" w:rsidR="00330D5F" w:rsidRPr="008B68A9" w:rsidRDefault="008B68A9">
      <w:pPr>
        <w:pStyle w:val="TOC1"/>
        <w:rPr>
          <w:rFonts w:eastAsiaTheme="minorEastAsia"/>
          <w:sz w:val="22"/>
          <w:lang w:eastAsia="en-GB"/>
        </w:rPr>
      </w:pPr>
      <w:hyperlink w:anchor="_Toc466799804" w:history="1">
        <w:r w:rsidR="00330D5F" w:rsidRPr="008B68A9">
          <w:rPr>
            <w:rStyle w:val="Hyperlink"/>
          </w:rPr>
          <w:t>Table 10: People in personalisation</w:t>
        </w:r>
        <w:r w:rsidR="00330D5F" w:rsidRPr="008B68A9">
          <w:rPr>
            <w:webHidden/>
          </w:rPr>
          <w:tab/>
        </w:r>
        <w:r w:rsidR="00330D5F" w:rsidRPr="008B68A9">
          <w:rPr>
            <w:webHidden/>
          </w:rPr>
          <w:fldChar w:fldCharType="begin"/>
        </w:r>
        <w:r w:rsidR="00330D5F" w:rsidRPr="008B68A9">
          <w:rPr>
            <w:webHidden/>
          </w:rPr>
          <w:instrText xml:space="preserve"> PAGEREF _Toc466799804 \h </w:instrText>
        </w:r>
        <w:r w:rsidR="00330D5F" w:rsidRPr="008B68A9">
          <w:rPr>
            <w:webHidden/>
          </w:rPr>
        </w:r>
        <w:r w:rsidR="00330D5F" w:rsidRPr="008B68A9">
          <w:rPr>
            <w:webHidden/>
          </w:rPr>
          <w:fldChar w:fldCharType="separate"/>
        </w:r>
        <w:r w:rsidR="00330D5F" w:rsidRPr="008B68A9">
          <w:rPr>
            <w:webHidden/>
          </w:rPr>
          <w:t>143</w:t>
        </w:r>
        <w:r w:rsidR="00330D5F" w:rsidRPr="008B68A9">
          <w:rPr>
            <w:webHidden/>
          </w:rPr>
          <w:fldChar w:fldCharType="end"/>
        </w:r>
      </w:hyperlink>
    </w:p>
    <w:p w14:paraId="43FE8CA9" w14:textId="77777777" w:rsidR="00330D5F" w:rsidRPr="008B68A9" w:rsidRDefault="008B68A9">
      <w:pPr>
        <w:pStyle w:val="TOC1"/>
        <w:rPr>
          <w:rFonts w:eastAsiaTheme="minorEastAsia"/>
          <w:sz w:val="22"/>
          <w:lang w:eastAsia="en-GB"/>
        </w:rPr>
      </w:pPr>
      <w:hyperlink w:anchor="_Toc466799805" w:history="1">
        <w:r w:rsidR="00330D5F" w:rsidRPr="008B68A9">
          <w:rPr>
            <w:rStyle w:val="Hyperlink"/>
          </w:rPr>
          <w:t>Table 11: Processes in personalisation</w:t>
        </w:r>
        <w:r w:rsidR="00330D5F" w:rsidRPr="008B68A9">
          <w:rPr>
            <w:webHidden/>
          </w:rPr>
          <w:tab/>
        </w:r>
        <w:r w:rsidR="00330D5F" w:rsidRPr="008B68A9">
          <w:rPr>
            <w:webHidden/>
          </w:rPr>
          <w:fldChar w:fldCharType="begin"/>
        </w:r>
        <w:r w:rsidR="00330D5F" w:rsidRPr="008B68A9">
          <w:rPr>
            <w:webHidden/>
          </w:rPr>
          <w:instrText xml:space="preserve"> PAGEREF _Toc466799805 \h </w:instrText>
        </w:r>
        <w:r w:rsidR="00330D5F" w:rsidRPr="008B68A9">
          <w:rPr>
            <w:webHidden/>
          </w:rPr>
        </w:r>
        <w:r w:rsidR="00330D5F" w:rsidRPr="008B68A9">
          <w:rPr>
            <w:webHidden/>
          </w:rPr>
          <w:fldChar w:fldCharType="separate"/>
        </w:r>
        <w:r w:rsidR="00330D5F" w:rsidRPr="008B68A9">
          <w:rPr>
            <w:webHidden/>
          </w:rPr>
          <w:t>144</w:t>
        </w:r>
        <w:r w:rsidR="00330D5F" w:rsidRPr="008B68A9">
          <w:rPr>
            <w:webHidden/>
          </w:rPr>
          <w:fldChar w:fldCharType="end"/>
        </w:r>
      </w:hyperlink>
    </w:p>
    <w:p w14:paraId="1766F947" w14:textId="77777777" w:rsidR="00330D5F" w:rsidRPr="008B68A9" w:rsidRDefault="008B68A9">
      <w:pPr>
        <w:pStyle w:val="TOC1"/>
        <w:rPr>
          <w:rFonts w:eastAsiaTheme="minorEastAsia"/>
          <w:sz w:val="22"/>
          <w:lang w:eastAsia="en-GB"/>
        </w:rPr>
      </w:pPr>
      <w:hyperlink w:anchor="_Toc466799806" w:history="1">
        <w:r w:rsidR="00330D5F" w:rsidRPr="008B68A9">
          <w:rPr>
            <w:rStyle w:val="Hyperlink"/>
          </w:rPr>
          <w:t>Table 12: Preparation for personalisation</w:t>
        </w:r>
        <w:r w:rsidR="00330D5F" w:rsidRPr="008B68A9">
          <w:rPr>
            <w:webHidden/>
          </w:rPr>
          <w:tab/>
        </w:r>
        <w:r w:rsidR="00330D5F" w:rsidRPr="008B68A9">
          <w:rPr>
            <w:webHidden/>
          </w:rPr>
          <w:fldChar w:fldCharType="begin"/>
        </w:r>
        <w:r w:rsidR="00330D5F" w:rsidRPr="008B68A9">
          <w:rPr>
            <w:webHidden/>
          </w:rPr>
          <w:instrText xml:space="preserve"> PAGEREF _Toc466799806 \h </w:instrText>
        </w:r>
        <w:r w:rsidR="00330D5F" w:rsidRPr="008B68A9">
          <w:rPr>
            <w:webHidden/>
          </w:rPr>
        </w:r>
        <w:r w:rsidR="00330D5F" w:rsidRPr="008B68A9">
          <w:rPr>
            <w:webHidden/>
          </w:rPr>
          <w:fldChar w:fldCharType="separate"/>
        </w:r>
        <w:r w:rsidR="00330D5F" w:rsidRPr="008B68A9">
          <w:rPr>
            <w:webHidden/>
          </w:rPr>
          <w:t>145</w:t>
        </w:r>
        <w:r w:rsidR="00330D5F" w:rsidRPr="008B68A9">
          <w:rPr>
            <w:webHidden/>
          </w:rPr>
          <w:fldChar w:fldCharType="end"/>
        </w:r>
      </w:hyperlink>
    </w:p>
    <w:p w14:paraId="6475D003" w14:textId="77777777" w:rsidR="00330D5F" w:rsidRPr="008B68A9" w:rsidRDefault="008B68A9">
      <w:pPr>
        <w:pStyle w:val="TOC1"/>
        <w:rPr>
          <w:rFonts w:eastAsiaTheme="minorEastAsia"/>
          <w:sz w:val="22"/>
          <w:lang w:eastAsia="en-GB"/>
        </w:rPr>
      </w:pPr>
      <w:hyperlink w:anchor="_Toc466799807" w:history="1">
        <w:r w:rsidR="00330D5F" w:rsidRPr="008B68A9">
          <w:rPr>
            <w:rStyle w:val="Hyperlink"/>
          </w:rPr>
          <w:t>Table 13: Issues for the organisation</w:t>
        </w:r>
        <w:r w:rsidR="00330D5F" w:rsidRPr="008B68A9">
          <w:rPr>
            <w:webHidden/>
          </w:rPr>
          <w:tab/>
        </w:r>
        <w:r w:rsidR="00330D5F" w:rsidRPr="008B68A9">
          <w:rPr>
            <w:webHidden/>
          </w:rPr>
          <w:fldChar w:fldCharType="begin"/>
        </w:r>
        <w:r w:rsidR="00330D5F" w:rsidRPr="008B68A9">
          <w:rPr>
            <w:webHidden/>
          </w:rPr>
          <w:instrText xml:space="preserve"> PAGEREF _Toc466799807 \h </w:instrText>
        </w:r>
        <w:r w:rsidR="00330D5F" w:rsidRPr="008B68A9">
          <w:rPr>
            <w:webHidden/>
          </w:rPr>
        </w:r>
        <w:r w:rsidR="00330D5F" w:rsidRPr="008B68A9">
          <w:rPr>
            <w:webHidden/>
          </w:rPr>
          <w:fldChar w:fldCharType="separate"/>
        </w:r>
        <w:r w:rsidR="00330D5F" w:rsidRPr="008B68A9">
          <w:rPr>
            <w:webHidden/>
          </w:rPr>
          <w:t>146</w:t>
        </w:r>
        <w:r w:rsidR="00330D5F" w:rsidRPr="008B68A9">
          <w:rPr>
            <w:webHidden/>
          </w:rPr>
          <w:fldChar w:fldCharType="end"/>
        </w:r>
      </w:hyperlink>
    </w:p>
    <w:p w14:paraId="16B9FE46" w14:textId="77777777" w:rsidR="00330D5F" w:rsidRPr="008B68A9" w:rsidRDefault="008B68A9">
      <w:pPr>
        <w:pStyle w:val="TOC1"/>
        <w:rPr>
          <w:rFonts w:eastAsiaTheme="minorEastAsia"/>
          <w:sz w:val="22"/>
          <w:lang w:eastAsia="en-GB"/>
        </w:rPr>
      </w:pPr>
      <w:hyperlink w:anchor="_Toc466799808" w:history="1">
        <w:r w:rsidR="00330D5F" w:rsidRPr="008B68A9">
          <w:rPr>
            <w:rStyle w:val="Hyperlink"/>
          </w:rPr>
          <w:t>Table 14: Themes from interviews</w:t>
        </w:r>
        <w:r w:rsidR="00330D5F" w:rsidRPr="008B68A9">
          <w:rPr>
            <w:webHidden/>
          </w:rPr>
          <w:tab/>
        </w:r>
        <w:r w:rsidR="00330D5F" w:rsidRPr="008B68A9">
          <w:rPr>
            <w:webHidden/>
          </w:rPr>
          <w:fldChar w:fldCharType="begin"/>
        </w:r>
        <w:r w:rsidR="00330D5F" w:rsidRPr="008B68A9">
          <w:rPr>
            <w:webHidden/>
          </w:rPr>
          <w:instrText xml:space="preserve"> PAGEREF _Toc466799808 \h </w:instrText>
        </w:r>
        <w:r w:rsidR="00330D5F" w:rsidRPr="008B68A9">
          <w:rPr>
            <w:webHidden/>
          </w:rPr>
        </w:r>
        <w:r w:rsidR="00330D5F" w:rsidRPr="008B68A9">
          <w:rPr>
            <w:webHidden/>
          </w:rPr>
          <w:fldChar w:fldCharType="separate"/>
        </w:r>
        <w:r w:rsidR="00330D5F" w:rsidRPr="008B68A9">
          <w:rPr>
            <w:webHidden/>
          </w:rPr>
          <w:t>151</w:t>
        </w:r>
        <w:r w:rsidR="00330D5F" w:rsidRPr="008B68A9">
          <w:rPr>
            <w:webHidden/>
          </w:rPr>
          <w:fldChar w:fldCharType="end"/>
        </w:r>
      </w:hyperlink>
    </w:p>
    <w:p w14:paraId="785C8E94" w14:textId="77777777" w:rsidR="00330D5F" w:rsidRPr="008B68A9" w:rsidRDefault="008B68A9">
      <w:pPr>
        <w:pStyle w:val="TOC1"/>
        <w:rPr>
          <w:rFonts w:eastAsiaTheme="minorEastAsia"/>
          <w:sz w:val="22"/>
          <w:lang w:eastAsia="en-GB"/>
        </w:rPr>
      </w:pPr>
      <w:hyperlink w:anchor="_Toc466799809" w:history="1">
        <w:r w:rsidR="00330D5F" w:rsidRPr="008B68A9">
          <w:rPr>
            <w:rStyle w:val="Hyperlink"/>
          </w:rPr>
          <w:t>Table 15: Themes from stakeholder interviews</w:t>
        </w:r>
        <w:r w:rsidR="00330D5F" w:rsidRPr="008B68A9">
          <w:rPr>
            <w:webHidden/>
          </w:rPr>
          <w:tab/>
        </w:r>
        <w:r w:rsidR="00330D5F" w:rsidRPr="008B68A9">
          <w:rPr>
            <w:webHidden/>
          </w:rPr>
          <w:fldChar w:fldCharType="begin"/>
        </w:r>
        <w:r w:rsidR="00330D5F" w:rsidRPr="008B68A9">
          <w:rPr>
            <w:webHidden/>
          </w:rPr>
          <w:instrText xml:space="preserve"> PAGEREF _Toc466799809 \h </w:instrText>
        </w:r>
        <w:r w:rsidR="00330D5F" w:rsidRPr="008B68A9">
          <w:rPr>
            <w:webHidden/>
          </w:rPr>
        </w:r>
        <w:r w:rsidR="00330D5F" w:rsidRPr="008B68A9">
          <w:rPr>
            <w:webHidden/>
          </w:rPr>
          <w:fldChar w:fldCharType="separate"/>
        </w:r>
        <w:r w:rsidR="00330D5F" w:rsidRPr="008B68A9">
          <w:rPr>
            <w:webHidden/>
          </w:rPr>
          <w:t>153</w:t>
        </w:r>
        <w:r w:rsidR="00330D5F" w:rsidRPr="008B68A9">
          <w:rPr>
            <w:webHidden/>
          </w:rPr>
          <w:fldChar w:fldCharType="end"/>
        </w:r>
      </w:hyperlink>
    </w:p>
    <w:p w14:paraId="11D6CB17" w14:textId="77777777" w:rsidR="00330D5F" w:rsidRPr="008B68A9" w:rsidRDefault="008B68A9">
      <w:pPr>
        <w:pStyle w:val="TOC1"/>
        <w:rPr>
          <w:rFonts w:eastAsiaTheme="minorEastAsia"/>
          <w:sz w:val="22"/>
          <w:lang w:eastAsia="en-GB"/>
        </w:rPr>
      </w:pPr>
      <w:hyperlink w:anchor="_Toc466799810" w:history="1">
        <w:r w:rsidR="00330D5F" w:rsidRPr="008B68A9">
          <w:rPr>
            <w:rStyle w:val="Hyperlink"/>
          </w:rPr>
          <w:t>Table 16: Themes for broker interviews</w:t>
        </w:r>
        <w:r w:rsidR="00330D5F" w:rsidRPr="008B68A9">
          <w:rPr>
            <w:webHidden/>
          </w:rPr>
          <w:tab/>
        </w:r>
        <w:r w:rsidR="00330D5F" w:rsidRPr="008B68A9">
          <w:rPr>
            <w:webHidden/>
          </w:rPr>
          <w:fldChar w:fldCharType="begin"/>
        </w:r>
        <w:r w:rsidR="00330D5F" w:rsidRPr="008B68A9">
          <w:rPr>
            <w:webHidden/>
          </w:rPr>
          <w:instrText xml:space="preserve"> PAGEREF _Toc466799810 \h </w:instrText>
        </w:r>
        <w:r w:rsidR="00330D5F" w:rsidRPr="008B68A9">
          <w:rPr>
            <w:webHidden/>
          </w:rPr>
        </w:r>
        <w:r w:rsidR="00330D5F" w:rsidRPr="008B68A9">
          <w:rPr>
            <w:webHidden/>
          </w:rPr>
          <w:fldChar w:fldCharType="separate"/>
        </w:r>
        <w:r w:rsidR="00330D5F" w:rsidRPr="008B68A9">
          <w:rPr>
            <w:webHidden/>
          </w:rPr>
          <w:t>153</w:t>
        </w:r>
        <w:r w:rsidR="00330D5F" w:rsidRPr="008B68A9">
          <w:rPr>
            <w:webHidden/>
          </w:rPr>
          <w:fldChar w:fldCharType="end"/>
        </w:r>
      </w:hyperlink>
    </w:p>
    <w:p w14:paraId="550E0AC5" w14:textId="77777777" w:rsidR="00DF399F" w:rsidRPr="008B68A9" w:rsidRDefault="00DF399F" w:rsidP="00266F60">
      <w:r w:rsidRPr="008B68A9">
        <w:fldChar w:fldCharType="end"/>
      </w:r>
    </w:p>
    <w:p w14:paraId="7B468D37" w14:textId="77777777" w:rsidR="001A0F2E" w:rsidRPr="008B68A9" w:rsidRDefault="001A0F2E" w:rsidP="00266F60">
      <w:pPr>
        <w:sectPr w:rsidR="001A0F2E" w:rsidRPr="008B68A9" w:rsidSect="000D7831">
          <w:pgSz w:w="11906" w:h="16838"/>
          <w:pgMar w:top="1440" w:right="1418" w:bottom="1440" w:left="2268" w:header="708" w:footer="708" w:gutter="0"/>
          <w:pgNumType w:fmt="lowerRoman"/>
          <w:cols w:space="708"/>
          <w:docGrid w:linePitch="360"/>
        </w:sectPr>
      </w:pPr>
    </w:p>
    <w:p w14:paraId="5CA45E3B" w14:textId="1387F46B" w:rsidR="001A0F2E" w:rsidRPr="008B68A9" w:rsidRDefault="000C5EB8" w:rsidP="000C5EB8">
      <w:pPr>
        <w:pStyle w:val="1L1header"/>
      </w:pPr>
      <w:bookmarkStart w:id="6" w:name="_Toc466800269"/>
      <w:r w:rsidRPr="008B68A9">
        <w:lastRenderedPageBreak/>
        <w:t>Index of Charts</w:t>
      </w:r>
      <w:r w:rsidR="00EC6243" w:rsidRPr="008B68A9">
        <w:t xml:space="preserve"> and Figures</w:t>
      </w:r>
      <w:bookmarkEnd w:id="6"/>
    </w:p>
    <w:p w14:paraId="7152C5B3" w14:textId="77777777" w:rsidR="00330D5F" w:rsidRPr="008B68A9" w:rsidRDefault="00EC6243">
      <w:pPr>
        <w:pStyle w:val="TOC1"/>
        <w:rPr>
          <w:rFonts w:eastAsiaTheme="minorEastAsia"/>
          <w:sz w:val="22"/>
          <w:lang w:eastAsia="en-GB"/>
        </w:rPr>
      </w:pPr>
      <w:r w:rsidRPr="008B68A9">
        <w:fldChar w:fldCharType="begin"/>
      </w:r>
      <w:r w:rsidRPr="008B68A9">
        <w:instrText xml:space="preserve"> TOC \h \z \t "9a figure caption,1" </w:instrText>
      </w:r>
      <w:r w:rsidRPr="008B68A9">
        <w:fldChar w:fldCharType="separate"/>
      </w:r>
      <w:hyperlink w:anchor="_Toc466799811" w:history="1">
        <w:r w:rsidR="00330D5F" w:rsidRPr="008B68A9">
          <w:rPr>
            <w:rStyle w:val="Hyperlink"/>
          </w:rPr>
          <w:t>Chart 1: Breakdown of use of recovery budgets</w:t>
        </w:r>
        <w:r w:rsidR="00330D5F" w:rsidRPr="008B68A9">
          <w:rPr>
            <w:webHidden/>
          </w:rPr>
          <w:tab/>
        </w:r>
        <w:r w:rsidR="00330D5F" w:rsidRPr="008B68A9">
          <w:rPr>
            <w:webHidden/>
          </w:rPr>
          <w:fldChar w:fldCharType="begin"/>
        </w:r>
        <w:r w:rsidR="00330D5F" w:rsidRPr="008B68A9">
          <w:rPr>
            <w:webHidden/>
          </w:rPr>
          <w:instrText xml:space="preserve"> PAGEREF _Toc466799811 \h </w:instrText>
        </w:r>
        <w:r w:rsidR="00330D5F" w:rsidRPr="008B68A9">
          <w:rPr>
            <w:webHidden/>
          </w:rPr>
        </w:r>
        <w:r w:rsidR="00330D5F" w:rsidRPr="008B68A9">
          <w:rPr>
            <w:webHidden/>
          </w:rPr>
          <w:fldChar w:fldCharType="separate"/>
        </w:r>
        <w:r w:rsidR="00330D5F" w:rsidRPr="008B68A9">
          <w:rPr>
            <w:webHidden/>
          </w:rPr>
          <w:t>128</w:t>
        </w:r>
        <w:r w:rsidR="00330D5F" w:rsidRPr="008B68A9">
          <w:rPr>
            <w:webHidden/>
          </w:rPr>
          <w:fldChar w:fldCharType="end"/>
        </w:r>
      </w:hyperlink>
    </w:p>
    <w:p w14:paraId="0F774750" w14:textId="77777777" w:rsidR="00330D5F" w:rsidRPr="008B68A9" w:rsidRDefault="008B68A9">
      <w:pPr>
        <w:pStyle w:val="TOC1"/>
        <w:rPr>
          <w:rFonts w:eastAsiaTheme="minorEastAsia"/>
          <w:sz w:val="22"/>
          <w:lang w:eastAsia="en-GB"/>
        </w:rPr>
      </w:pPr>
      <w:hyperlink w:anchor="_Toc466799812" w:history="1">
        <w:r w:rsidR="00330D5F" w:rsidRPr="008B68A9">
          <w:rPr>
            <w:rStyle w:val="Hyperlink"/>
          </w:rPr>
          <w:t>Chart 2: Number of participants on S.D.S study site 2</w:t>
        </w:r>
        <w:r w:rsidR="00330D5F" w:rsidRPr="008B68A9">
          <w:rPr>
            <w:webHidden/>
          </w:rPr>
          <w:tab/>
        </w:r>
        <w:r w:rsidR="00330D5F" w:rsidRPr="008B68A9">
          <w:rPr>
            <w:webHidden/>
          </w:rPr>
          <w:fldChar w:fldCharType="begin"/>
        </w:r>
        <w:r w:rsidR="00330D5F" w:rsidRPr="008B68A9">
          <w:rPr>
            <w:webHidden/>
          </w:rPr>
          <w:instrText xml:space="preserve"> PAGEREF _Toc466799812 \h </w:instrText>
        </w:r>
        <w:r w:rsidR="00330D5F" w:rsidRPr="008B68A9">
          <w:rPr>
            <w:webHidden/>
          </w:rPr>
        </w:r>
        <w:r w:rsidR="00330D5F" w:rsidRPr="008B68A9">
          <w:rPr>
            <w:webHidden/>
          </w:rPr>
          <w:fldChar w:fldCharType="separate"/>
        </w:r>
        <w:r w:rsidR="00330D5F" w:rsidRPr="008B68A9">
          <w:rPr>
            <w:webHidden/>
          </w:rPr>
          <w:t>137</w:t>
        </w:r>
        <w:r w:rsidR="00330D5F" w:rsidRPr="008B68A9">
          <w:rPr>
            <w:webHidden/>
          </w:rPr>
          <w:fldChar w:fldCharType="end"/>
        </w:r>
      </w:hyperlink>
    </w:p>
    <w:p w14:paraId="6DF76F19" w14:textId="77777777" w:rsidR="00330D5F" w:rsidRPr="008B68A9" w:rsidRDefault="008B68A9">
      <w:pPr>
        <w:pStyle w:val="TOC1"/>
        <w:rPr>
          <w:rFonts w:eastAsiaTheme="minorEastAsia"/>
          <w:sz w:val="22"/>
          <w:lang w:eastAsia="en-GB"/>
        </w:rPr>
      </w:pPr>
      <w:hyperlink w:anchor="_Toc466799813" w:history="1">
        <w:r w:rsidR="00330D5F" w:rsidRPr="008B68A9">
          <w:rPr>
            <w:rStyle w:val="Hyperlink"/>
          </w:rPr>
          <w:t>Chart 3: Brokerage route on S.D.S study site 2</w:t>
        </w:r>
        <w:r w:rsidR="00330D5F" w:rsidRPr="008B68A9">
          <w:rPr>
            <w:webHidden/>
          </w:rPr>
          <w:tab/>
        </w:r>
        <w:r w:rsidR="00330D5F" w:rsidRPr="008B68A9">
          <w:rPr>
            <w:webHidden/>
          </w:rPr>
          <w:fldChar w:fldCharType="begin"/>
        </w:r>
        <w:r w:rsidR="00330D5F" w:rsidRPr="008B68A9">
          <w:rPr>
            <w:webHidden/>
          </w:rPr>
          <w:instrText xml:space="preserve"> PAGEREF _Toc466799813 \h </w:instrText>
        </w:r>
        <w:r w:rsidR="00330D5F" w:rsidRPr="008B68A9">
          <w:rPr>
            <w:webHidden/>
          </w:rPr>
        </w:r>
        <w:r w:rsidR="00330D5F" w:rsidRPr="008B68A9">
          <w:rPr>
            <w:webHidden/>
          </w:rPr>
          <w:fldChar w:fldCharType="separate"/>
        </w:r>
        <w:r w:rsidR="00330D5F" w:rsidRPr="008B68A9">
          <w:rPr>
            <w:webHidden/>
          </w:rPr>
          <w:t>137</w:t>
        </w:r>
        <w:r w:rsidR="00330D5F" w:rsidRPr="008B68A9">
          <w:rPr>
            <w:webHidden/>
          </w:rPr>
          <w:fldChar w:fldCharType="end"/>
        </w:r>
      </w:hyperlink>
    </w:p>
    <w:p w14:paraId="486E0446" w14:textId="77777777" w:rsidR="00330D5F" w:rsidRPr="008B68A9" w:rsidRDefault="008B68A9">
      <w:pPr>
        <w:pStyle w:val="TOC1"/>
        <w:rPr>
          <w:rFonts w:eastAsiaTheme="minorEastAsia"/>
          <w:sz w:val="22"/>
          <w:lang w:eastAsia="en-GB"/>
        </w:rPr>
      </w:pPr>
      <w:hyperlink w:anchor="_Toc466799814" w:history="1">
        <w:r w:rsidR="00330D5F" w:rsidRPr="008B68A9">
          <w:rPr>
            <w:rStyle w:val="Hyperlink"/>
          </w:rPr>
          <w:t>Chart 4: Visual breakdown of budget spend: item by frequency</w:t>
        </w:r>
        <w:r w:rsidR="00330D5F" w:rsidRPr="008B68A9">
          <w:rPr>
            <w:webHidden/>
          </w:rPr>
          <w:tab/>
        </w:r>
        <w:r w:rsidR="00330D5F" w:rsidRPr="008B68A9">
          <w:rPr>
            <w:webHidden/>
          </w:rPr>
          <w:fldChar w:fldCharType="begin"/>
        </w:r>
        <w:r w:rsidR="00330D5F" w:rsidRPr="008B68A9">
          <w:rPr>
            <w:webHidden/>
          </w:rPr>
          <w:instrText xml:space="preserve"> PAGEREF _Toc466799814 \h </w:instrText>
        </w:r>
        <w:r w:rsidR="00330D5F" w:rsidRPr="008B68A9">
          <w:rPr>
            <w:webHidden/>
          </w:rPr>
        </w:r>
        <w:r w:rsidR="00330D5F" w:rsidRPr="008B68A9">
          <w:rPr>
            <w:webHidden/>
          </w:rPr>
          <w:fldChar w:fldCharType="separate"/>
        </w:r>
        <w:r w:rsidR="00330D5F" w:rsidRPr="008B68A9">
          <w:rPr>
            <w:webHidden/>
          </w:rPr>
          <w:t>139</w:t>
        </w:r>
        <w:r w:rsidR="00330D5F" w:rsidRPr="008B68A9">
          <w:rPr>
            <w:webHidden/>
          </w:rPr>
          <w:fldChar w:fldCharType="end"/>
        </w:r>
      </w:hyperlink>
    </w:p>
    <w:p w14:paraId="3FA6C460" w14:textId="77777777" w:rsidR="00330D5F" w:rsidRPr="008B68A9" w:rsidRDefault="008B68A9">
      <w:pPr>
        <w:pStyle w:val="TOC1"/>
        <w:rPr>
          <w:rFonts w:eastAsiaTheme="minorEastAsia"/>
          <w:sz w:val="22"/>
          <w:lang w:eastAsia="en-GB"/>
        </w:rPr>
      </w:pPr>
      <w:hyperlink w:anchor="_Toc466799815" w:history="1">
        <w:r w:rsidR="00330D5F" w:rsidRPr="008B68A9">
          <w:rPr>
            <w:rStyle w:val="Hyperlink"/>
          </w:rPr>
          <w:t>Chart 5: Age of budget users</w:t>
        </w:r>
        <w:r w:rsidR="00330D5F" w:rsidRPr="008B68A9">
          <w:rPr>
            <w:webHidden/>
          </w:rPr>
          <w:tab/>
        </w:r>
        <w:r w:rsidR="00330D5F" w:rsidRPr="008B68A9">
          <w:rPr>
            <w:webHidden/>
          </w:rPr>
          <w:fldChar w:fldCharType="begin"/>
        </w:r>
        <w:r w:rsidR="00330D5F" w:rsidRPr="008B68A9">
          <w:rPr>
            <w:webHidden/>
          </w:rPr>
          <w:instrText xml:space="preserve"> PAGEREF _Toc466799815 \h </w:instrText>
        </w:r>
        <w:r w:rsidR="00330D5F" w:rsidRPr="008B68A9">
          <w:rPr>
            <w:webHidden/>
          </w:rPr>
        </w:r>
        <w:r w:rsidR="00330D5F" w:rsidRPr="008B68A9">
          <w:rPr>
            <w:webHidden/>
          </w:rPr>
          <w:fldChar w:fldCharType="separate"/>
        </w:r>
        <w:r w:rsidR="00330D5F" w:rsidRPr="008B68A9">
          <w:rPr>
            <w:webHidden/>
          </w:rPr>
          <w:t>154</w:t>
        </w:r>
        <w:r w:rsidR="00330D5F" w:rsidRPr="008B68A9">
          <w:rPr>
            <w:webHidden/>
          </w:rPr>
          <w:fldChar w:fldCharType="end"/>
        </w:r>
      </w:hyperlink>
    </w:p>
    <w:p w14:paraId="7BC873A2" w14:textId="77777777" w:rsidR="00330D5F" w:rsidRPr="008B68A9" w:rsidRDefault="008B68A9">
      <w:pPr>
        <w:pStyle w:val="TOC1"/>
        <w:rPr>
          <w:rFonts w:eastAsiaTheme="minorEastAsia"/>
          <w:sz w:val="22"/>
          <w:lang w:eastAsia="en-GB"/>
        </w:rPr>
      </w:pPr>
      <w:hyperlink w:anchor="_Toc466799816" w:history="1">
        <w:r w:rsidR="00330D5F" w:rsidRPr="008B68A9">
          <w:rPr>
            <w:rStyle w:val="Hyperlink"/>
          </w:rPr>
          <w:t>Chart 6: Percentage of participants accessing support and care options</w:t>
        </w:r>
        <w:r w:rsidR="00330D5F" w:rsidRPr="008B68A9">
          <w:rPr>
            <w:webHidden/>
          </w:rPr>
          <w:tab/>
        </w:r>
        <w:r w:rsidR="00330D5F" w:rsidRPr="008B68A9">
          <w:rPr>
            <w:webHidden/>
          </w:rPr>
          <w:fldChar w:fldCharType="begin"/>
        </w:r>
        <w:r w:rsidR="00330D5F" w:rsidRPr="008B68A9">
          <w:rPr>
            <w:webHidden/>
          </w:rPr>
          <w:instrText xml:space="preserve"> PAGEREF _Toc466799816 \h </w:instrText>
        </w:r>
        <w:r w:rsidR="00330D5F" w:rsidRPr="008B68A9">
          <w:rPr>
            <w:webHidden/>
          </w:rPr>
        </w:r>
        <w:r w:rsidR="00330D5F" w:rsidRPr="008B68A9">
          <w:rPr>
            <w:webHidden/>
          </w:rPr>
          <w:fldChar w:fldCharType="separate"/>
        </w:r>
        <w:r w:rsidR="00330D5F" w:rsidRPr="008B68A9">
          <w:rPr>
            <w:webHidden/>
          </w:rPr>
          <w:t>154</w:t>
        </w:r>
        <w:r w:rsidR="00330D5F" w:rsidRPr="008B68A9">
          <w:rPr>
            <w:webHidden/>
          </w:rPr>
          <w:fldChar w:fldCharType="end"/>
        </w:r>
      </w:hyperlink>
    </w:p>
    <w:p w14:paraId="5409091C" w14:textId="77777777" w:rsidR="00330D5F" w:rsidRPr="008B68A9" w:rsidRDefault="008B68A9">
      <w:pPr>
        <w:pStyle w:val="TOC1"/>
        <w:rPr>
          <w:rFonts w:eastAsiaTheme="minorEastAsia"/>
          <w:sz w:val="22"/>
          <w:lang w:eastAsia="en-GB"/>
        </w:rPr>
      </w:pPr>
      <w:hyperlink w:anchor="_Toc466799817" w:history="1">
        <w:r w:rsidR="00330D5F" w:rsidRPr="008B68A9">
          <w:rPr>
            <w:rStyle w:val="Hyperlink"/>
          </w:rPr>
          <w:t>Figure 1: Frequency and temporal formation of coding</w:t>
        </w:r>
        <w:r w:rsidR="00330D5F" w:rsidRPr="008B68A9">
          <w:rPr>
            <w:webHidden/>
          </w:rPr>
          <w:tab/>
        </w:r>
        <w:r w:rsidR="00330D5F" w:rsidRPr="008B68A9">
          <w:rPr>
            <w:webHidden/>
          </w:rPr>
          <w:fldChar w:fldCharType="begin"/>
        </w:r>
        <w:r w:rsidR="00330D5F" w:rsidRPr="008B68A9">
          <w:rPr>
            <w:webHidden/>
          </w:rPr>
          <w:instrText xml:space="preserve"> PAGEREF _Toc466799817 \h </w:instrText>
        </w:r>
        <w:r w:rsidR="00330D5F" w:rsidRPr="008B68A9">
          <w:rPr>
            <w:webHidden/>
          </w:rPr>
        </w:r>
        <w:r w:rsidR="00330D5F" w:rsidRPr="008B68A9">
          <w:rPr>
            <w:webHidden/>
          </w:rPr>
          <w:fldChar w:fldCharType="separate"/>
        </w:r>
        <w:r w:rsidR="00330D5F" w:rsidRPr="008B68A9">
          <w:rPr>
            <w:webHidden/>
          </w:rPr>
          <w:t>159</w:t>
        </w:r>
        <w:r w:rsidR="00330D5F" w:rsidRPr="008B68A9">
          <w:rPr>
            <w:webHidden/>
          </w:rPr>
          <w:fldChar w:fldCharType="end"/>
        </w:r>
      </w:hyperlink>
    </w:p>
    <w:p w14:paraId="79AF495D" w14:textId="77777777" w:rsidR="00330D5F" w:rsidRPr="008B68A9" w:rsidRDefault="008B68A9">
      <w:pPr>
        <w:pStyle w:val="TOC1"/>
        <w:rPr>
          <w:rFonts w:eastAsiaTheme="minorEastAsia"/>
          <w:sz w:val="22"/>
          <w:lang w:eastAsia="en-GB"/>
        </w:rPr>
      </w:pPr>
      <w:hyperlink w:anchor="_Toc466799818" w:history="1">
        <w:r w:rsidR="00330D5F" w:rsidRPr="008B68A9">
          <w:rPr>
            <w:rStyle w:val="Hyperlink"/>
          </w:rPr>
          <w:t>Figure 2: Full coding frequency</w:t>
        </w:r>
        <w:r w:rsidR="00330D5F" w:rsidRPr="008B68A9">
          <w:rPr>
            <w:webHidden/>
          </w:rPr>
          <w:tab/>
        </w:r>
        <w:r w:rsidR="00330D5F" w:rsidRPr="008B68A9">
          <w:rPr>
            <w:webHidden/>
          </w:rPr>
          <w:fldChar w:fldCharType="begin"/>
        </w:r>
        <w:r w:rsidR="00330D5F" w:rsidRPr="008B68A9">
          <w:rPr>
            <w:webHidden/>
          </w:rPr>
          <w:instrText xml:space="preserve"> PAGEREF _Toc466799818 \h </w:instrText>
        </w:r>
        <w:r w:rsidR="00330D5F" w:rsidRPr="008B68A9">
          <w:rPr>
            <w:webHidden/>
          </w:rPr>
        </w:r>
        <w:r w:rsidR="00330D5F" w:rsidRPr="008B68A9">
          <w:rPr>
            <w:webHidden/>
          </w:rPr>
          <w:fldChar w:fldCharType="separate"/>
        </w:r>
        <w:r w:rsidR="00330D5F" w:rsidRPr="008B68A9">
          <w:rPr>
            <w:webHidden/>
          </w:rPr>
          <w:t>160</w:t>
        </w:r>
        <w:r w:rsidR="00330D5F" w:rsidRPr="008B68A9">
          <w:rPr>
            <w:webHidden/>
          </w:rPr>
          <w:fldChar w:fldCharType="end"/>
        </w:r>
      </w:hyperlink>
    </w:p>
    <w:p w14:paraId="549E7EF4" w14:textId="77777777" w:rsidR="00330D5F" w:rsidRPr="008B68A9" w:rsidRDefault="008B68A9">
      <w:pPr>
        <w:pStyle w:val="TOC1"/>
        <w:rPr>
          <w:rFonts w:eastAsiaTheme="minorEastAsia"/>
          <w:sz w:val="22"/>
          <w:lang w:eastAsia="en-GB"/>
        </w:rPr>
      </w:pPr>
      <w:hyperlink w:anchor="_Toc466799819" w:history="1">
        <w:r w:rsidR="00330D5F" w:rsidRPr="008B68A9">
          <w:rPr>
            <w:rStyle w:val="Hyperlink"/>
          </w:rPr>
          <w:t>Figure 3: Coding development</w:t>
        </w:r>
        <w:r w:rsidR="00330D5F" w:rsidRPr="008B68A9">
          <w:rPr>
            <w:webHidden/>
          </w:rPr>
          <w:tab/>
        </w:r>
        <w:r w:rsidR="00330D5F" w:rsidRPr="008B68A9">
          <w:rPr>
            <w:webHidden/>
          </w:rPr>
          <w:fldChar w:fldCharType="begin"/>
        </w:r>
        <w:r w:rsidR="00330D5F" w:rsidRPr="008B68A9">
          <w:rPr>
            <w:webHidden/>
          </w:rPr>
          <w:instrText xml:space="preserve"> PAGEREF _Toc466799819 \h </w:instrText>
        </w:r>
        <w:r w:rsidR="00330D5F" w:rsidRPr="008B68A9">
          <w:rPr>
            <w:webHidden/>
          </w:rPr>
        </w:r>
        <w:r w:rsidR="00330D5F" w:rsidRPr="008B68A9">
          <w:rPr>
            <w:webHidden/>
          </w:rPr>
          <w:fldChar w:fldCharType="separate"/>
        </w:r>
        <w:r w:rsidR="00330D5F" w:rsidRPr="008B68A9">
          <w:rPr>
            <w:webHidden/>
          </w:rPr>
          <w:t>164</w:t>
        </w:r>
        <w:r w:rsidR="00330D5F" w:rsidRPr="008B68A9">
          <w:rPr>
            <w:webHidden/>
          </w:rPr>
          <w:fldChar w:fldCharType="end"/>
        </w:r>
      </w:hyperlink>
    </w:p>
    <w:p w14:paraId="5F792E61" w14:textId="77777777" w:rsidR="00330D5F" w:rsidRPr="008B68A9" w:rsidRDefault="008B68A9">
      <w:pPr>
        <w:pStyle w:val="TOC1"/>
        <w:rPr>
          <w:rFonts w:eastAsiaTheme="minorEastAsia"/>
          <w:sz w:val="22"/>
          <w:lang w:eastAsia="en-GB"/>
        </w:rPr>
      </w:pPr>
      <w:hyperlink w:anchor="_Toc466799820" w:history="1">
        <w:r w:rsidR="00330D5F" w:rsidRPr="008B68A9">
          <w:rPr>
            <w:rStyle w:val="Hyperlink"/>
          </w:rPr>
          <w:t>Figure 3: Tropes from professionals’ and users’ story-line work</w:t>
        </w:r>
        <w:r w:rsidR="00330D5F" w:rsidRPr="008B68A9">
          <w:rPr>
            <w:webHidden/>
          </w:rPr>
          <w:tab/>
        </w:r>
        <w:r w:rsidR="00330D5F" w:rsidRPr="008B68A9">
          <w:rPr>
            <w:webHidden/>
          </w:rPr>
          <w:fldChar w:fldCharType="begin"/>
        </w:r>
        <w:r w:rsidR="00330D5F" w:rsidRPr="008B68A9">
          <w:rPr>
            <w:webHidden/>
          </w:rPr>
          <w:instrText xml:space="preserve"> PAGEREF _Toc466799820 \h </w:instrText>
        </w:r>
        <w:r w:rsidR="00330D5F" w:rsidRPr="008B68A9">
          <w:rPr>
            <w:webHidden/>
          </w:rPr>
        </w:r>
        <w:r w:rsidR="00330D5F" w:rsidRPr="008B68A9">
          <w:rPr>
            <w:webHidden/>
          </w:rPr>
          <w:fldChar w:fldCharType="separate"/>
        </w:r>
        <w:r w:rsidR="00330D5F" w:rsidRPr="008B68A9">
          <w:rPr>
            <w:webHidden/>
          </w:rPr>
          <w:t>205</w:t>
        </w:r>
        <w:r w:rsidR="00330D5F" w:rsidRPr="008B68A9">
          <w:rPr>
            <w:webHidden/>
          </w:rPr>
          <w:fldChar w:fldCharType="end"/>
        </w:r>
      </w:hyperlink>
    </w:p>
    <w:p w14:paraId="46F533FA" w14:textId="77777777" w:rsidR="00330D5F" w:rsidRPr="008B68A9" w:rsidRDefault="008B68A9">
      <w:pPr>
        <w:pStyle w:val="TOC1"/>
        <w:rPr>
          <w:rFonts w:eastAsiaTheme="minorEastAsia"/>
          <w:sz w:val="22"/>
          <w:lang w:eastAsia="en-GB"/>
        </w:rPr>
      </w:pPr>
      <w:hyperlink w:anchor="_Toc466799821" w:history="1">
        <w:r w:rsidR="00330D5F" w:rsidRPr="008B68A9">
          <w:rPr>
            <w:rStyle w:val="Hyperlink"/>
            <w:lang w:eastAsia="en-GB"/>
          </w:rPr>
          <w:t>Figure</w:t>
        </w:r>
        <w:r w:rsidR="00330D5F" w:rsidRPr="008B68A9">
          <w:rPr>
            <w:rStyle w:val="Hyperlink"/>
          </w:rPr>
          <w:t xml:space="preserve"> 4: Oppositional/receptive and nuanced/binary model of orientation</w:t>
        </w:r>
        <w:r w:rsidR="00330D5F" w:rsidRPr="008B68A9">
          <w:rPr>
            <w:webHidden/>
          </w:rPr>
          <w:tab/>
        </w:r>
        <w:r w:rsidR="00330D5F" w:rsidRPr="008B68A9">
          <w:rPr>
            <w:webHidden/>
          </w:rPr>
          <w:fldChar w:fldCharType="begin"/>
        </w:r>
        <w:r w:rsidR="00330D5F" w:rsidRPr="008B68A9">
          <w:rPr>
            <w:webHidden/>
          </w:rPr>
          <w:instrText xml:space="preserve"> PAGEREF _Toc466799821 \h </w:instrText>
        </w:r>
        <w:r w:rsidR="00330D5F" w:rsidRPr="008B68A9">
          <w:rPr>
            <w:webHidden/>
          </w:rPr>
        </w:r>
        <w:r w:rsidR="00330D5F" w:rsidRPr="008B68A9">
          <w:rPr>
            <w:webHidden/>
          </w:rPr>
          <w:fldChar w:fldCharType="separate"/>
        </w:r>
        <w:r w:rsidR="00330D5F" w:rsidRPr="008B68A9">
          <w:rPr>
            <w:webHidden/>
          </w:rPr>
          <w:t>227</w:t>
        </w:r>
        <w:r w:rsidR="00330D5F" w:rsidRPr="008B68A9">
          <w:rPr>
            <w:webHidden/>
          </w:rPr>
          <w:fldChar w:fldCharType="end"/>
        </w:r>
      </w:hyperlink>
    </w:p>
    <w:p w14:paraId="7BA8D026" w14:textId="77777777" w:rsidR="00447EE0" w:rsidRPr="008B68A9" w:rsidRDefault="00EC6243" w:rsidP="00EC6243">
      <w:r w:rsidRPr="008B68A9">
        <w:fldChar w:fldCharType="end"/>
      </w:r>
    </w:p>
    <w:p w14:paraId="5D3DA964" w14:textId="77777777" w:rsidR="00EC6243" w:rsidRPr="008B68A9" w:rsidRDefault="00EC6243" w:rsidP="00597B66">
      <w:pPr>
        <w:spacing w:line="360" w:lineRule="auto"/>
        <w:jc w:val="both"/>
        <w:rPr>
          <w:b/>
          <w:sz w:val="36"/>
          <w:szCs w:val="24"/>
        </w:rPr>
      </w:pPr>
    </w:p>
    <w:p w14:paraId="16463FE9" w14:textId="77777777" w:rsidR="00447EE0" w:rsidRPr="008B68A9" w:rsidRDefault="00447EE0" w:rsidP="00597B66">
      <w:pPr>
        <w:spacing w:line="360" w:lineRule="auto"/>
        <w:jc w:val="both"/>
        <w:rPr>
          <w:b/>
          <w:sz w:val="36"/>
          <w:szCs w:val="24"/>
        </w:rPr>
        <w:sectPr w:rsidR="00447EE0" w:rsidRPr="008B68A9" w:rsidSect="000D7831">
          <w:pgSz w:w="11906" w:h="16838"/>
          <w:pgMar w:top="1440" w:right="1418" w:bottom="1440" w:left="2268" w:header="708" w:footer="708" w:gutter="0"/>
          <w:pgNumType w:fmt="lowerRoman"/>
          <w:cols w:space="708"/>
          <w:docGrid w:linePitch="360"/>
        </w:sectPr>
      </w:pPr>
    </w:p>
    <w:p w14:paraId="11C2C2EB" w14:textId="3CDA23AB" w:rsidR="008C2722" w:rsidRPr="008B68A9" w:rsidRDefault="000C5EB8" w:rsidP="00A454AE">
      <w:pPr>
        <w:pStyle w:val="1L1header"/>
      </w:pPr>
      <w:bookmarkStart w:id="7" w:name="_Toc466800270"/>
      <w:bookmarkStart w:id="8" w:name="_Toc413827329"/>
      <w:r w:rsidRPr="008B68A9">
        <w:lastRenderedPageBreak/>
        <w:t>Glossary of T</w:t>
      </w:r>
      <w:r w:rsidR="00643114" w:rsidRPr="008B68A9">
        <w:t>erms</w:t>
      </w:r>
      <w:bookmarkEnd w:id="7"/>
    </w:p>
    <w:tbl>
      <w:tblPr>
        <w:tblStyle w:val="TableGrid"/>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689"/>
        <w:gridCol w:w="2073"/>
        <w:gridCol w:w="4312"/>
      </w:tblGrid>
      <w:tr w:rsidR="000C5EB8" w:rsidRPr="008B68A9" w14:paraId="24A1F3FD" w14:textId="77777777" w:rsidTr="000C5EB8">
        <w:trPr>
          <w:cantSplit/>
          <w:trHeight w:val="399"/>
          <w:tblHeader/>
        </w:trPr>
        <w:tc>
          <w:tcPr>
            <w:tcW w:w="1689" w:type="dxa"/>
            <w:shd w:val="clear" w:color="auto" w:fill="F2F2F2" w:themeFill="background1" w:themeFillShade="F2"/>
            <w:vAlign w:val="center"/>
          </w:tcPr>
          <w:p w14:paraId="77BC5C14" w14:textId="3D40FBB5" w:rsidR="008C2722" w:rsidRPr="008B68A9" w:rsidRDefault="000C5EB8" w:rsidP="000C5EB8">
            <w:pPr>
              <w:spacing w:after="80" w:line="240" w:lineRule="auto"/>
              <w:jc w:val="center"/>
              <w:rPr>
                <w:b/>
                <w:sz w:val="22"/>
              </w:rPr>
            </w:pPr>
            <w:r w:rsidRPr="008B68A9">
              <w:rPr>
                <w:b/>
                <w:sz w:val="22"/>
              </w:rPr>
              <w:t>Term</w:t>
            </w:r>
          </w:p>
        </w:tc>
        <w:tc>
          <w:tcPr>
            <w:tcW w:w="2075" w:type="dxa"/>
            <w:shd w:val="clear" w:color="auto" w:fill="F2F2F2" w:themeFill="background1" w:themeFillShade="F2"/>
            <w:vAlign w:val="center"/>
          </w:tcPr>
          <w:p w14:paraId="102559A3" w14:textId="3BC29A1C" w:rsidR="008C2722" w:rsidRPr="008B68A9" w:rsidRDefault="000C5EB8" w:rsidP="000C5EB8">
            <w:pPr>
              <w:spacing w:after="80" w:line="240" w:lineRule="auto"/>
              <w:jc w:val="center"/>
              <w:rPr>
                <w:b/>
                <w:sz w:val="22"/>
              </w:rPr>
            </w:pPr>
            <w:r w:rsidRPr="008B68A9">
              <w:rPr>
                <w:b/>
                <w:sz w:val="22"/>
              </w:rPr>
              <w:t>Alternative terms</w:t>
            </w:r>
          </w:p>
        </w:tc>
        <w:tc>
          <w:tcPr>
            <w:tcW w:w="4320" w:type="dxa"/>
            <w:shd w:val="clear" w:color="auto" w:fill="F2F2F2" w:themeFill="background1" w:themeFillShade="F2"/>
            <w:vAlign w:val="center"/>
          </w:tcPr>
          <w:p w14:paraId="03EC8B20" w14:textId="7524BA7E" w:rsidR="008C2722" w:rsidRPr="008B68A9" w:rsidRDefault="000C5EB8" w:rsidP="000C5EB8">
            <w:pPr>
              <w:spacing w:after="80" w:line="240" w:lineRule="auto"/>
              <w:jc w:val="center"/>
              <w:rPr>
                <w:b/>
                <w:sz w:val="22"/>
              </w:rPr>
            </w:pPr>
            <w:r w:rsidRPr="008B68A9">
              <w:rPr>
                <w:b/>
                <w:sz w:val="22"/>
              </w:rPr>
              <w:t>Definition</w:t>
            </w:r>
          </w:p>
        </w:tc>
      </w:tr>
      <w:tr w:rsidR="008C2722" w:rsidRPr="008B68A9" w14:paraId="774564D9" w14:textId="77777777" w:rsidTr="000C5EB8">
        <w:trPr>
          <w:cantSplit/>
        </w:trPr>
        <w:tc>
          <w:tcPr>
            <w:tcW w:w="1689" w:type="dxa"/>
          </w:tcPr>
          <w:p w14:paraId="7419EE93" w14:textId="77777777" w:rsidR="008C2722" w:rsidRPr="008B68A9" w:rsidRDefault="001C4DEC" w:rsidP="000C5EB8">
            <w:pPr>
              <w:spacing w:after="80" w:line="240" w:lineRule="auto"/>
              <w:rPr>
                <w:b/>
                <w:sz w:val="22"/>
              </w:rPr>
            </w:pPr>
            <w:r w:rsidRPr="008B68A9">
              <w:rPr>
                <w:b/>
                <w:sz w:val="22"/>
              </w:rPr>
              <w:t>Advocate</w:t>
            </w:r>
          </w:p>
        </w:tc>
        <w:tc>
          <w:tcPr>
            <w:tcW w:w="2075" w:type="dxa"/>
          </w:tcPr>
          <w:p w14:paraId="21E26A0D" w14:textId="77777777" w:rsidR="008C2722" w:rsidRPr="008B68A9" w:rsidRDefault="008C2722" w:rsidP="000C5EB8">
            <w:pPr>
              <w:spacing w:after="80" w:line="240" w:lineRule="auto"/>
              <w:rPr>
                <w:sz w:val="22"/>
              </w:rPr>
            </w:pPr>
          </w:p>
        </w:tc>
        <w:tc>
          <w:tcPr>
            <w:tcW w:w="4320" w:type="dxa"/>
          </w:tcPr>
          <w:p w14:paraId="060B36E3" w14:textId="7FE07D2B" w:rsidR="008C2722" w:rsidRPr="008B68A9" w:rsidRDefault="000822D3" w:rsidP="000C5EB8">
            <w:pPr>
              <w:spacing w:after="80" w:line="240" w:lineRule="auto"/>
              <w:rPr>
                <w:sz w:val="22"/>
              </w:rPr>
            </w:pPr>
            <w:r w:rsidRPr="008B68A9">
              <w:rPr>
                <w:sz w:val="22"/>
              </w:rPr>
              <w:t>“Advocacy means getting support from another person to help you express your views and wishes, and to help make sure your voice is heard.” (Mind 2016)</w:t>
            </w:r>
          </w:p>
        </w:tc>
      </w:tr>
      <w:tr w:rsidR="00B84326" w:rsidRPr="008B68A9" w14:paraId="497143C6" w14:textId="77777777" w:rsidTr="000C5EB8">
        <w:trPr>
          <w:cantSplit/>
        </w:trPr>
        <w:tc>
          <w:tcPr>
            <w:tcW w:w="1689" w:type="dxa"/>
          </w:tcPr>
          <w:p w14:paraId="3C3AD67D" w14:textId="77777777" w:rsidR="00B84326" w:rsidRPr="008B68A9" w:rsidRDefault="00B84326" w:rsidP="000C5EB8">
            <w:pPr>
              <w:spacing w:after="80" w:line="240" w:lineRule="auto"/>
              <w:rPr>
                <w:b/>
                <w:sz w:val="22"/>
              </w:rPr>
            </w:pPr>
            <w:r w:rsidRPr="008B68A9">
              <w:rPr>
                <w:b/>
                <w:sz w:val="22"/>
              </w:rPr>
              <w:t>Advanced organiser</w:t>
            </w:r>
          </w:p>
        </w:tc>
        <w:tc>
          <w:tcPr>
            <w:tcW w:w="2075" w:type="dxa"/>
          </w:tcPr>
          <w:p w14:paraId="3843446A" w14:textId="0E78B516" w:rsidR="00B84326" w:rsidRPr="008B68A9" w:rsidRDefault="00203DDA" w:rsidP="000C5EB8">
            <w:pPr>
              <w:spacing w:after="80" w:line="240" w:lineRule="auto"/>
              <w:rPr>
                <w:sz w:val="22"/>
              </w:rPr>
            </w:pPr>
            <w:r w:rsidRPr="008B68A9">
              <w:rPr>
                <w:sz w:val="22"/>
              </w:rPr>
              <w:t xml:space="preserve">Figure </w:t>
            </w:r>
          </w:p>
        </w:tc>
        <w:tc>
          <w:tcPr>
            <w:tcW w:w="4320" w:type="dxa"/>
          </w:tcPr>
          <w:p w14:paraId="07A46988" w14:textId="147CB000" w:rsidR="00B84326" w:rsidRPr="008B68A9" w:rsidRDefault="006E4D32" w:rsidP="000C5EB8">
            <w:pPr>
              <w:spacing w:after="80" w:line="240" w:lineRule="auto"/>
              <w:rPr>
                <w:sz w:val="22"/>
              </w:rPr>
            </w:pPr>
            <w:r w:rsidRPr="008B68A9">
              <w:rPr>
                <w:sz w:val="22"/>
              </w:rPr>
              <w:t xml:space="preserve">A diagram </w:t>
            </w:r>
            <w:r w:rsidR="00203DDA" w:rsidRPr="008B68A9">
              <w:rPr>
                <w:sz w:val="22"/>
              </w:rPr>
              <w:t xml:space="preserve">or figure </w:t>
            </w:r>
            <w:r w:rsidRPr="008B68A9">
              <w:rPr>
                <w:sz w:val="22"/>
              </w:rPr>
              <w:t>to organise and convey information meaningfully building on material previously learned or covered</w:t>
            </w:r>
            <w:r w:rsidR="00E60CBE" w:rsidRPr="008B68A9">
              <w:rPr>
                <w:sz w:val="22"/>
              </w:rPr>
              <w:t xml:space="preserve">. </w:t>
            </w:r>
          </w:p>
        </w:tc>
      </w:tr>
      <w:tr w:rsidR="008C2722" w:rsidRPr="008B68A9" w14:paraId="00EF96EF" w14:textId="77777777" w:rsidTr="000C5EB8">
        <w:trPr>
          <w:cantSplit/>
        </w:trPr>
        <w:tc>
          <w:tcPr>
            <w:tcW w:w="1689" w:type="dxa"/>
          </w:tcPr>
          <w:p w14:paraId="1941D3B4" w14:textId="77777777" w:rsidR="008C2722" w:rsidRPr="008B68A9" w:rsidRDefault="00885D9A" w:rsidP="000C5EB8">
            <w:pPr>
              <w:spacing w:after="80" w:line="240" w:lineRule="auto"/>
              <w:rPr>
                <w:b/>
                <w:sz w:val="22"/>
              </w:rPr>
            </w:pPr>
            <w:r w:rsidRPr="008B68A9">
              <w:rPr>
                <w:b/>
                <w:sz w:val="22"/>
              </w:rPr>
              <w:t>Broker</w:t>
            </w:r>
          </w:p>
        </w:tc>
        <w:tc>
          <w:tcPr>
            <w:tcW w:w="2075" w:type="dxa"/>
          </w:tcPr>
          <w:p w14:paraId="0D6372E4" w14:textId="77777777" w:rsidR="00B84326" w:rsidRPr="008B68A9" w:rsidRDefault="00B84326" w:rsidP="000C5EB8">
            <w:pPr>
              <w:spacing w:after="80" w:line="240" w:lineRule="auto"/>
              <w:rPr>
                <w:sz w:val="22"/>
              </w:rPr>
            </w:pPr>
            <w:r w:rsidRPr="008B68A9">
              <w:rPr>
                <w:sz w:val="22"/>
              </w:rPr>
              <w:t>Support planning broker</w:t>
            </w:r>
          </w:p>
          <w:p w14:paraId="3B3B47C8" w14:textId="77777777" w:rsidR="00E85227" w:rsidRPr="008B68A9" w:rsidRDefault="00E85227" w:rsidP="000C5EB8">
            <w:pPr>
              <w:spacing w:after="80" w:line="240" w:lineRule="auto"/>
              <w:rPr>
                <w:sz w:val="22"/>
              </w:rPr>
            </w:pPr>
            <w:r w:rsidRPr="008B68A9">
              <w:rPr>
                <w:sz w:val="22"/>
              </w:rPr>
              <w:t>Recovery budget broker</w:t>
            </w:r>
          </w:p>
          <w:p w14:paraId="6C3D8AE9" w14:textId="77777777" w:rsidR="00E85227" w:rsidRPr="008B68A9" w:rsidRDefault="00E85227" w:rsidP="000C5EB8">
            <w:pPr>
              <w:spacing w:after="80" w:line="240" w:lineRule="auto"/>
              <w:rPr>
                <w:sz w:val="22"/>
              </w:rPr>
            </w:pPr>
            <w:r w:rsidRPr="008B68A9">
              <w:rPr>
                <w:sz w:val="22"/>
              </w:rPr>
              <w:t>Recovery coaches</w:t>
            </w:r>
          </w:p>
          <w:p w14:paraId="100702E2" w14:textId="77777777" w:rsidR="00E85227" w:rsidRPr="008B68A9" w:rsidRDefault="00E85227" w:rsidP="000C5EB8">
            <w:pPr>
              <w:spacing w:after="80" w:line="240" w:lineRule="auto"/>
              <w:rPr>
                <w:sz w:val="22"/>
              </w:rPr>
            </w:pPr>
            <w:r w:rsidRPr="008B68A9">
              <w:rPr>
                <w:sz w:val="22"/>
              </w:rPr>
              <w:t>Life/recovery coach</w:t>
            </w:r>
          </w:p>
          <w:p w14:paraId="780663DA" w14:textId="77777777" w:rsidR="008C2722" w:rsidRPr="008B68A9" w:rsidRDefault="00E85227" w:rsidP="000C5EB8">
            <w:pPr>
              <w:spacing w:after="80" w:line="240" w:lineRule="auto"/>
              <w:rPr>
                <w:sz w:val="22"/>
              </w:rPr>
            </w:pPr>
            <w:r w:rsidRPr="008B68A9">
              <w:rPr>
                <w:sz w:val="22"/>
              </w:rPr>
              <w:t>Resource broker</w:t>
            </w:r>
          </w:p>
        </w:tc>
        <w:tc>
          <w:tcPr>
            <w:tcW w:w="4320" w:type="dxa"/>
          </w:tcPr>
          <w:p w14:paraId="2831948A" w14:textId="77777777" w:rsidR="00E85227" w:rsidRPr="008B68A9" w:rsidRDefault="00E85227" w:rsidP="000C5EB8">
            <w:pPr>
              <w:spacing w:after="80" w:line="240" w:lineRule="auto"/>
              <w:rPr>
                <w:sz w:val="22"/>
              </w:rPr>
            </w:pPr>
            <w:r w:rsidRPr="008B68A9">
              <w:rPr>
                <w:sz w:val="22"/>
              </w:rPr>
              <w:t>Paid person involved in facilitating and/or support and care needs.</w:t>
            </w:r>
          </w:p>
          <w:p w14:paraId="2F59082A" w14:textId="77777777" w:rsidR="008C2722" w:rsidRPr="008B68A9" w:rsidRDefault="001573D9" w:rsidP="001573D9">
            <w:pPr>
              <w:spacing w:after="80" w:line="240" w:lineRule="auto"/>
              <w:rPr>
                <w:sz w:val="22"/>
              </w:rPr>
            </w:pPr>
            <w:r w:rsidRPr="008B68A9">
              <w:rPr>
                <w:sz w:val="22"/>
              </w:rPr>
              <w:t>Brokers p</w:t>
            </w:r>
            <w:r w:rsidR="00E85227" w:rsidRPr="008B68A9">
              <w:rPr>
                <w:sz w:val="22"/>
              </w:rPr>
              <w:t>rovide advice and support to consumers in planning and monitoring of services</w:t>
            </w:r>
            <w:r w:rsidRPr="008B68A9">
              <w:rPr>
                <w:sz w:val="22"/>
              </w:rPr>
              <w:t>,</w:t>
            </w:r>
            <w:r w:rsidR="00E85227" w:rsidRPr="008B68A9">
              <w:rPr>
                <w:sz w:val="22"/>
              </w:rPr>
              <w:t xml:space="preserve"> and may assist them in organising the service they choose (Doty </w:t>
            </w:r>
            <w:r w:rsidR="006A06E9" w:rsidRPr="008B68A9">
              <w:rPr>
                <w:i/>
                <w:sz w:val="22"/>
              </w:rPr>
              <w:t>et al</w:t>
            </w:r>
            <w:r w:rsidR="00E85227" w:rsidRPr="008B68A9">
              <w:rPr>
                <w:sz w:val="22"/>
              </w:rPr>
              <w:t xml:space="preserve">., 2010), however they do not make decisions or take any action not decided upon by the consumer (Cook </w:t>
            </w:r>
            <w:r w:rsidR="006A06E9" w:rsidRPr="008B68A9">
              <w:rPr>
                <w:i/>
                <w:sz w:val="22"/>
              </w:rPr>
              <w:t>et al</w:t>
            </w:r>
            <w:r w:rsidR="00E85227" w:rsidRPr="008B68A9">
              <w:rPr>
                <w:sz w:val="22"/>
              </w:rPr>
              <w:t>., 2010)</w:t>
            </w:r>
            <w:r w:rsidR="00AC54EC" w:rsidRPr="008B68A9">
              <w:rPr>
                <w:sz w:val="22"/>
              </w:rPr>
              <w:t>.</w:t>
            </w:r>
          </w:p>
          <w:p w14:paraId="111C2CCE" w14:textId="02495716" w:rsidR="00A04CDE" w:rsidRPr="008B68A9" w:rsidRDefault="00FB4FC1" w:rsidP="001573D9">
            <w:pPr>
              <w:spacing w:after="80" w:line="240" w:lineRule="auto"/>
              <w:rPr>
                <w:sz w:val="22"/>
              </w:rPr>
            </w:pPr>
            <w:r w:rsidRPr="008B68A9">
              <w:rPr>
                <w:sz w:val="22"/>
              </w:rPr>
              <w:t>“…facilitating the outcomes that have been set by the individual – taking on what the person would like you to do.” (Leach (2015, p.6)</w:t>
            </w:r>
          </w:p>
        </w:tc>
      </w:tr>
      <w:tr w:rsidR="008C2722" w:rsidRPr="008B68A9" w14:paraId="53BB893A" w14:textId="77777777" w:rsidTr="000C5EB8">
        <w:trPr>
          <w:cantSplit/>
        </w:trPr>
        <w:tc>
          <w:tcPr>
            <w:tcW w:w="1689" w:type="dxa"/>
          </w:tcPr>
          <w:p w14:paraId="027DF5DE" w14:textId="61BAA056" w:rsidR="008C2722" w:rsidRPr="008B68A9" w:rsidRDefault="00B84326" w:rsidP="000C5EB8">
            <w:pPr>
              <w:spacing w:after="80" w:line="240" w:lineRule="auto"/>
              <w:rPr>
                <w:b/>
                <w:sz w:val="22"/>
              </w:rPr>
            </w:pPr>
            <w:r w:rsidRPr="008B68A9">
              <w:rPr>
                <w:b/>
                <w:sz w:val="22"/>
              </w:rPr>
              <w:t xml:space="preserve">Collective </w:t>
            </w:r>
            <w:r w:rsidR="001573D9" w:rsidRPr="008B68A9">
              <w:rPr>
                <w:b/>
                <w:sz w:val="22"/>
              </w:rPr>
              <w:t>c</w:t>
            </w:r>
            <w:r w:rsidRPr="008B68A9">
              <w:rPr>
                <w:b/>
                <w:sz w:val="22"/>
              </w:rPr>
              <w:t>ase</w:t>
            </w:r>
          </w:p>
        </w:tc>
        <w:tc>
          <w:tcPr>
            <w:tcW w:w="2075" w:type="dxa"/>
          </w:tcPr>
          <w:p w14:paraId="354DEB1D" w14:textId="77777777" w:rsidR="008C2722" w:rsidRPr="008B68A9" w:rsidRDefault="00B84326" w:rsidP="000C5EB8">
            <w:pPr>
              <w:spacing w:after="80" w:line="240" w:lineRule="auto"/>
              <w:rPr>
                <w:sz w:val="22"/>
              </w:rPr>
            </w:pPr>
            <w:r w:rsidRPr="008B68A9">
              <w:rPr>
                <w:sz w:val="22"/>
              </w:rPr>
              <w:t>Case study</w:t>
            </w:r>
          </w:p>
          <w:p w14:paraId="094195FC" w14:textId="77777777" w:rsidR="00B84326" w:rsidRPr="008B68A9" w:rsidRDefault="00B84326" w:rsidP="000C5EB8">
            <w:pPr>
              <w:spacing w:after="80" w:line="240" w:lineRule="auto"/>
              <w:rPr>
                <w:sz w:val="22"/>
              </w:rPr>
            </w:pPr>
            <w:r w:rsidRPr="008B68A9">
              <w:rPr>
                <w:sz w:val="22"/>
              </w:rPr>
              <w:t>Re-evaluation</w:t>
            </w:r>
          </w:p>
        </w:tc>
        <w:tc>
          <w:tcPr>
            <w:tcW w:w="4320" w:type="dxa"/>
          </w:tcPr>
          <w:p w14:paraId="34239297" w14:textId="2CE6C013" w:rsidR="008C2722" w:rsidRPr="008B68A9" w:rsidRDefault="00E60CBE" w:rsidP="005B17D3">
            <w:pPr>
              <w:spacing w:after="80" w:line="240" w:lineRule="auto"/>
              <w:rPr>
                <w:sz w:val="22"/>
              </w:rPr>
            </w:pPr>
            <w:r w:rsidRPr="008B68A9">
              <w:rPr>
                <w:sz w:val="22"/>
              </w:rPr>
              <w:t>“…a researcher may jointly study a number of cases in order to investigate a phenomenon, population... similar or dissimilar…</w:t>
            </w:r>
            <w:r w:rsidR="001573D9" w:rsidRPr="008B68A9">
              <w:rPr>
                <w:sz w:val="22"/>
              </w:rPr>
              <w:t xml:space="preserve"> </w:t>
            </w:r>
            <w:r w:rsidRPr="008B68A9">
              <w:rPr>
                <w:sz w:val="22"/>
              </w:rPr>
              <w:t>They are chosen because it is believed that understanding them will lead to better understanding..."</w:t>
            </w:r>
            <w:r w:rsidR="001573D9" w:rsidRPr="008B68A9">
              <w:rPr>
                <w:sz w:val="22"/>
              </w:rPr>
              <w:t xml:space="preserve"> </w:t>
            </w:r>
            <w:r w:rsidRPr="008B68A9">
              <w:rPr>
                <w:sz w:val="22"/>
              </w:rPr>
              <w:t>(</w:t>
            </w:r>
            <w:r w:rsidR="00592D68" w:rsidRPr="008B68A9">
              <w:rPr>
                <w:sz w:val="22"/>
              </w:rPr>
              <w:t xml:space="preserve">Stake 2000 </w:t>
            </w:r>
            <w:r w:rsidRPr="008B68A9">
              <w:rPr>
                <w:sz w:val="22"/>
              </w:rPr>
              <w:t>p</w:t>
            </w:r>
            <w:r w:rsidR="001573D9" w:rsidRPr="008B68A9">
              <w:rPr>
                <w:sz w:val="22"/>
              </w:rPr>
              <w:t xml:space="preserve">. </w:t>
            </w:r>
            <w:r w:rsidRPr="008B68A9">
              <w:rPr>
                <w:sz w:val="22"/>
              </w:rPr>
              <w:t>437).</w:t>
            </w:r>
          </w:p>
        </w:tc>
      </w:tr>
      <w:tr w:rsidR="00E31841" w:rsidRPr="008B68A9" w14:paraId="7350CF76" w14:textId="77777777" w:rsidTr="000C5EB8">
        <w:trPr>
          <w:cantSplit/>
        </w:trPr>
        <w:tc>
          <w:tcPr>
            <w:tcW w:w="1689" w:type="dxa"/>
          </w:tcPr>
          <w:p w14:paraId="3DFC1723" w14:textId="7E33E942" w:rsidR="00E31841" w:rsidRPr="008B68A9" w:rsidRDefault="00E31841" w:rsidP="000C5EB8">
            <w:pPr>
              <w:spacing w:after="80" w:line="240" w:lineRule="auto"/>
              <w:rPr>
                <w:b/>
                <w:sz w:val="22"/>
              </w:rPr>
            </w:pPr>
            <w:r w:rsidRPr="008B68A9">
              <w:rPr>
                <w:b/>
                <w:sz w:val="22"/>
              </w:rPr>
              <w:t>Contingent narrative</w:t>
            </w:r>
          </w:p>
        </w:tc>
        <w:tc>
          <w:tcPr>
            <w:tcW w:w="2075" w:type="dxa"/>
          </w:tcPr>
          <w:p w14:paraId="0B10604D" w14:textId="288891DF" w:rsidR="00E31841" w:rsidRPr="008B68A9" w:rsidRDefault="00E31841" w:rsidP="000C5EB8">
            <w:pPr>
              <w:spacing w:after="80" w:line="240" w:lineRule="auto"/>
              <w:rPr>
                <w:sz w:val="22"/>
              </w:rPr>
            </w:pPr>
            <w:r w:rsidRPr="008B68A9">
              <w:rPr>
                <w:sz w:val="22"/>
              </w:rPr>
              <w:t>contingency</w:t>
            </w:r>
          </w:p>
        </w:tc>
        <w:tc>
          <w:tcPr>
            <w:tcW w:w="4320" w:type="dxa"/>
          </w:tcPr>
          <w:p w14:paraId="0E4B217F" w14:textId="3F4BD7A6" w:rsidR="00E31841" w:rsidRPr="008B68A9" w:rsidRDefault="00E31841" w:rsidP="005B17D3">
            <w:pPr>
              <w:spacing w:after="80" w:line="240" w:lineRule="auto"/>
              <w:rPr>
                <w:sz w:val="22"/>
              </w:rPr>
            </w:pPr>
            <w:r w:rsidRPr="008B68A9">
              <w:rPr>
                <w:sz w:val="22"/>
              </w:rPr>
              <w:t>“…’contingent narratives' which involve explanations of illness onset that deal with its ‘proximate’ causes and the practical and disabling effects of symptoms.” (Bury 2001, p265)</w:t>
            </w:r>
          </w:p>
        </w:tc>
      </w:tr>
      <w:tr w:rsidR="003F49ED" w:rsidRPr="008B68A9" w14:paraId="56355CC9" w14:textId="77777777" w:rsidTr="000C5EB8">
        <w:trPr>
          <w:cantSplit/>
        </w:trPr>
        <w:tc>
          <w:tcPr>
            <w:tcW w:w="1689" w:type="dxa"/>
          </w:tcPr>
          <w:p w14:paraId="5C8C5A83" w14:textId="77777777" w:rsidR="003F49ED" w:rsidRPr="008B68A9" w:rsidRDefault="0086211D" w:rsidP="000C5EB8">
            <w:pPr>
              <w:spacing w:after="80" w:line="240" w:lineRule="auto"/>
              <w:rPr>
                <w:b/>
                <w:sz w:val="22"/>
              </w:rPr>
            </w:pPr>
            <w:r w:rsidRPr="008B68A9">
              <w:rPr>
                <w:b/>
                <w:sz w:val="22"/>
              </w:rPr>
              <w:t>Early intervention team</w:t>
            </w:r>
          </w:p>
        </w:tc>
        <w:tc>
          <w:tcPr>
            <w:tcW w:w="2075" w:type="dxa"/>
          </w:tcPr>
          <w:p w14:paraId="0F792D0F" w14:textId="77777777" w:rsidR="003F49ED" w:rsidRPr="008B68A9" w:rsidRDefault="0086211D" w:rsidP="000C5EB8">
            <w:pPr>
              <w:spacing w:after="80" w:line="240" w:lineRule="auto"/>
              <w:rPr>
                <w:sz w:val="22"/>
              </w:rPr>
            </w:pPr>
            <w:r w:rsidRPr="008B68A9">
              <w:rPr>
                <w:sz w:val="22"/>
              </w:rPr>
              <w:t>EIT</w:t>
            </w:r>
          </w:p>
        </w:tc>
        <w:tc>
          <w:tcPr>
            <w:tcW w:w="4320" w:type="dxa"/>
          </w:tcPr>
          <w:p w14:paraId="36C24748" w14:textId="5EB70EE3" w:rsidR="003F49ED" w:rsidRPr="008B68A9" w:rsidRDefault="0086211D" w:rsidP="00AC54EC">
            <w:pPr>
              <w:spacing w:after="80" w:line="240" w:lineRule="auto"/>
              <w:rPr>
                <w:sz w:val="22"/>
              </w:rPr>
            </w:pPr>
            <w:r w:rsidRPr="008B68A9">
              <w:rPr>
                <w:sz w:val="22"/>
              </w:rPr>
              <w:t>A community based multidisciplinary mental health team prov</w:t>
            </w:r>
            <w:r w:rsidR="00AC54EC" w:rsidRPr="008B68A9">
              <w:rPr>
                <w:sz w:val="22"/>
              </w:rPr>
              <w:t>id</w:t>
            </w:r>
            <w:r w:rsidRPr="008B68A9">
              <w:rPr>
                <w:sz w:val="22"/>
              </w:rPr>
              <w:t xml:space="preserve">ing care and support </w:t>
            </w:r>
            <w:r w:rsidR="00F43A2F" w:rsidRPr="008B68A9">
              <w:rPr>
                <w:sz w:val="22"/>
              </w:rPr>
              <w:t xml:space="preserve">for up to </w:t>
            </w:r>
            <w:r w:rsidR="00AC54EC" w:rsidRPr="008B68A9">
              <w:rPr>
                <w:sz w:val="22"/>
              </w:rPr>
              <w:t>three years</w:t>
            </w:r>
            <w:r w:rsidR="00F43A2F" w:rsidRPr="008B68A9">
              <w:rPr>
                <w:sz w:val="22"/>
              </w:rPr>
              <w:t xml:space="preserve"> </w:t>
            </w:r>
            <w:r w:rsidRPr="008B68A9">
              <w:rPr>
                <w:sz w:val="22"/>
              </w:rPr>
              <w:t>for</w:t>
            </w:r>
            <w:r w:rsidR="00F43A2F" w:rsidRPr="008B68A9">
              <w:rPr>
                <w:sz w:val="22"/>
              </w:rPr>
              <w:t xml:space="preserve"> people aged 14-35 with</w:t>
            </w:r>
            <w:r w:rsidRPr="008B68A9">
              <w:rPr>
                <w:sz w:val="22"/>
              </w:rPr>
              <w:t xml:space="preserve"> first episode psychosis</w:t>
            </w:r>
            <w:r w:rsidR="00AC54EC" w:rsidRPr="008B68A9">
              <w:rPr>
                <w:sz w:val="22"/>
              </w:rPr>
              <w:t>.</w:t>
            </w:r>
          </w:p>
        </w:tc>
      </w:tr>
      <w:tr w:rsidR="00E85227" w:rsidRPr="008B68A9" w14:paraId="7E501736" w14:textId="77777777" w:rsidTr="000C5EB8">
        <w:trPr>
          <w:cantSplit/>
        </w:trPr>
        <w:tc>
          <w:tcPr>
            <w:tcW w:w="1689" w:type="dxa"/>
          </w:tcPr>
          <w:p w14:paraId="58357DBC" w14:textId="77777777" w:rsidR="00E85227" w:rsidRPr="008B68A9" w:rsidRDefault="00E85227" w:rsidP="000C5EB8">
            <w:pPr>
              <w:spacing w:after="80" w:line="240" w:lineRule="auto"/>
              <w:rPr>
                <w:b/>
                <w:sz w:val="22"/>
              </w:rPr>
            </w:pPr>
            <w:r w:rsidRPr="008B68A9">
              <w:rPr>
                <w:b/>
                <w:sz w:val="22"/>
              </w:rPr>
              <w:t>Individual budget</w:t>
            </w:r>
          </w:p>
        </w:tc>
        <w:tc>
          <w:tcPr>
            <w:tcW w:w="2075" w:type="dxa"/>
          </w:tcPr>
          <w:p w14:paraId="172572A9" w14:textId="3EC11ABD" w:rsidR="00E85227" w:rsidRPr="008B68A9" w:rsidRDefault="00AC54EC" w:rsidP="000C5EB8">
            <w:pPr>
              <w:spacing w:after="80" w:line="240" w:lineRule="auto"/>
              <w:rPr>
                <w:sz w:val="22"/>
              </w:rPr>
            </w:pPr>
            <w:r w:rsidRPr="008B68A9">
              <w:rPr>
                <w:sz w:val="22"/>
              </w:rPr>
              <w:t>P</w:t>
            </w:r>
            <w:r w:rsidR="00E85227" w:rsidRPr="008B68A9">
              <w:rPr>
                <w:sz w:val="22"/>
              </w:rPr>
              <w:t>ersonal</w:t>
            </w:r>
            <w:r w:rsidRPr="008B68A9">
              <w:rPr>
                <w:sz w:val="22"/>
              </w:rPr>
              <w:t xml:space="preserve"> budget</w:t>
            </w:r>
          </w:p>
        </w:tc>
        <w:tc>
          <w:tcPr>
            <w:tcW w:w="4320" w:type="dxa"/>
          </w:tcPr>
          <w:p w14:paraId="12AC7D50" w14:textId="7C6F6A14" w:rsidR="00E85227" w:rsidRPr="008B68A9" w:rsidRDefault="00410B19" w:rsidP="000C5EB8">
            <w:pPr>
              <w:spacing w:after="80" w:line="240" w:lineRule="auto"/>
              <w:rPr>
                <w:sz w:val="22"/>
              </w:rPr>
            </w:pPr>
            <w:r w:rsidRPr="008B68A9">
              <w:rPr>
                <w:sz w:val="22"/>
              </w:rPr>
              <w:t>“An individual budget is a sum of money given to people with which they can buy the services and equipment they need to meet their support and care need</w:t>
            </w:r>
            <w:r w:rsidR="00AC54EC" w:rsidRPr="008B68A9">
              <w:rPr>
                <w:sz w:val="22"/>
              </w:rPr>
              <w:t>.</w:t>
            </w:r>
            <w:r w:rsidRPr="008B68A9">
              <w:rPr>
                <w:sz w:val="22"/>
              </w:rPr>
              <w:t>” (In-Control 2016)</w:t>
            </w:r>
          </w:p>
        </w:tc>
      </w:tr>
      <w:tr w:rsidR="005148A1" w:rsidRPr="008B68A9" w14:paraId="010C03D1" w14:textId="77777777" w:rsidTr="000C5EB8">
        <w:trPr>
          <w:cantSplit/>
        </w:trPr>
        <w:tc>
          <w:tcPr>
            <w:tcW w:w="1689" w:type="dxa"/>
          </w:tcPr>
          <w:p w14:paraId="619778D0" w14:textId="77777777" w:rsidR="005148A1" w:rsidRPr="008B68A9" w:rsidRDefault="005148A1" w:rsidP="000C5EB8">
            <w:pPr>
              <w:spacing w:after="80" w:line="240" w:lineRule="auto"/>
              <w:rPr>
                <w:b/>
                <w:sz w:val="22"/>
              </w:rPr>
            </w:pPr>
            <w:r w:rsidRPr="008B68A9">
              <w:rPr>
                <w:b/>
                <w:sz w:val="22"/>
              </w:rPr>
              <w:lastRenderedPageBreak/>
              <w:t>Individual personal commissioning</w:t>
            </w:r>
          </w:p>
        </w:tc>
        <w:tc>
          <w:tcPr>
            <w:tcW w:w="2075" w:type="dxa"/>
          </w:tcPr>
          <w:p w14:paraId="0B02A9B1" w14:textId="77777777" w:rsidR="005148A1" w:rsidRPr="008B68A9" w:rsidRDefault="005148A1" w:rsidP="000C5EB8">
            <w:pPr>
              <w:spacing w:after="80" w:line="240" w:lineRule="auto"/>
              <w:rPr>
                <w:sz w:val="22"/>
              </w:rPr>
            </w:pPr>
            <w:r w:rsidRPr="008B68A9">
              <w:rPr>
                <w:sz w:val="22"/>
              </w:rPr>
              <w:t>IPC</w:t>
            </w:r>
          </w:p>
        </w:tc>
        <w:tc>
          <w:tcPr>
            <w:tcW w:w="4320" w:type="dxa"/>
          </w:tcPr>
          <w:p w14:paraId="0034B4E2" w14:textId="6978CAE2" w:rsidR="005148A1" w:rsidRPr="008B68A9" w:rsidRDefault="005148A1" w:rsidP="000C5EB8">
            <w:pPr>
              <w:spacing w:after="80" w:line="240" w:lineRule="auto"/>
              <w:rPr>
                <w:sz w:val="22"/>
              </w:rPr>
            </w:pPr>
            <w:r w:rsidRPr="008B68A9">
              <w:rPr>
                <w:sz w:val="22"/>
              </w:rPr>
              <w:t>“</w:t>
            </w:r>
            <w:r w:rsidR="00AC54EC" w:rsidRPr="008B68A9">
              <w:rPr>
                <w:rFonts w:ascii="Arial" w:hAnsi="Arial" w:cs="Arial"/>
                <w:sz w:val="22"/>
              </w:rPr>
              <w:t>…</w:t>
            </w:r>
            <w:r w:rsidRPr="008B68A9">
              <w:rPr>
                <w:sz w:val="22"/>
              </w:rPr>
              <w:t>enables people, carers and families to blend and control the resources available to them across the system in order to ‘commission’ their own care through personalised care planning and personal budgets</w:t>
            </w:r>
            <w:r w:rsidR="00AC54EC" w:rsidRPr="008B68A9">
              <w:rPr>
                <w:sz w:val="22"/>
              </w:rPr>
              <w:t>.</w:t>
            </w:r>
            <w:r w:rsidRPr="008B68A9">
              <w:rPr>
                <w:sz w:val="22"/>
              </w:rPr>
              <w:t>” (Stevens 2015)</w:t>
            </w:r>
          </w:p>
        </w:tc>
      </w:tr>
      <w:tr w:rsidR="00E85227" w:rsidRPr="008B68A9" w14:paraId="72CE70E7" w14:textId="77777777" w:rsidTr="000C5EB8">
        <w:trPr>
          <w:cantSplit/>
        </w:trPr>
        <w:tc>
          <w:tcPr>
            <w:tcW w:w="1689" w:type="dxa"/>
          </w:tcPr>
          <w:p w14:paraId="44FB27DE" w14:textId="77777777" w:rsidR="00E85227" w:rsidRPr="008B68A9" w:rsidRDefault="00E85227" w:rsidP="000C5EB8">
            <w:pPr>
              <w:spacing w:after="80" w:line="240" w:lineRule="auto"/>
              <w:rPr>
                <w:b/>
                <w:sz w:val="22"/>
              </w:rPr>
            </w:pPr>
            <w:r w:rsidRPr="008B68A9">
              <w:rPr>
                <w:b/>
                <w:sz w:val="22"/>
              </w:rPr>
              <w:t xml:space="preserve">Intellectual </w:t>
            </w:r>
            <w:r w:rsidR="005148A1" w:rsidRPr="008B68A9">
              <w:rPr>
                <w:b/>
                <w:sz w:val="22"/>
              </w:rPr>
              <w:t>impairment</w:t>
            </w:r>
          </w:p>
        </w:tc>
        <w:tc>
          <w:tcPr>
            <w:tcW w:w="2075" w:type="dxa"/>
          </w:tcPr>
          <w:p w14:paraId="723547AC" w14:textId="77777777" w:rsidR="00E85227" w:rsidRPr="008B68A9" w:rsidRDefault="00E85227" w:rsidP="000C5EB8">
            <w:pPr>
              <w:spacing w:after="80" w:line="240" w:lineRule="auto"/>
              <w:rPr>
                <w:sz w:val="22"/>
              </w:rPr>
            </w:pPr>
            <w:r w:rsidRPr="008B68A9">
              <w:rPr>
                <w:sz w:val="22"/>
              </w:rPr>
              <w:t>Intellectual disability</w:t>
            </w:r>
          </w:p>
          <w:p w14:paraId="010B96B6" w14:textId="2FC307B6" w:rsidR="00E85227" w:rsidRPr="008B68A9" w:rsidRDefault="00E85227" w:rsidP="000C5EB8">
            <w:pPr>
              <w:spacing w:after="80" w:line="240" w:lineRule="auto"/>
              <w:rPr>
                <w:sz w:val="22"/>
              </w:rPr>
            </w:pPr>
            <w:r w:rsidRPr="008B68A9">
              <w:rPr>
                <w:sz w:val="22"/>
              </w:rPr>
              <w:t xml:space="preserve">Learning </w:t>
            </w:r>
            <w:r w:rsidR="00AC54EC" w:rsidRPr="008B68A9">
              <w:rPr>
                <w:sz w:val="22"/>
              </w:rPr>
              <w:t>d</w:t>
            </w:r>
            <w:r w:rsidRPr="008B68A9">
              <w:rPr>
                <w:sz w:val="22"/>
              </w:rPr>
              <w:t>isability</w:t>
            </w:r>
          </w:p>
          <w:p w14:paraId="34A17618" w14:textId="6EB3D5D8" w:rsidR="00E85227" w:rsidRPr="008B68A9" w:rsidRDefault="00E85227" w:rsidP="000C5EB8">
            <w:pPr>
              <w:spacing w:after="80" w:line="240" w:lineRule="auto"/>
              <w:rPr>
                <w:sz w:val="22"/>
              </w:rPr>
            </w:pPr>
          </w:p>
        </w:tc>
        <w:tc>
          <w:tcPr>
            <w:tcW w:w="4320" w:type="dxa"/>
          </w:tcPr>
          <w:p w14:paraId="313C567B" w14:textId="77777777" w:rsidR="00E85227" w:rsidRPr="008B68A9" w:rsidRDefault="005148A1" w:rsidP="000C5EB8">
            <w:pPr>
              <w:spacing w:after="80" w:line="240" w:lineRule="auto"/>
              <w:rPr>
                <w:sz w:val="22"/>
              </w:rPr>
            </w:pPr>
            <w:r w:rsidRPr="008B68A9">
              <w:rPr>
                <w:sz w:val="22"/>
              </w:rPr>
              <w:t>“A learning disability is a reduced intellectual ability and difficulty with everyday activities – for example household tasks, socialising or managing money – which affects someone for their whole life.” (Mencap 2016)</w:t>
            </w:r>
          </w:p>
        </w:tc>
      </w:tr>
      <w:tr w:rsidR="001D5241" w:rsidRPr="008B68A9" w14:paraId="55B36AF5" w14:textId="77777777" w:rsidTr="000C5EB8">
        <w:trPr>
          <w:cantSplit/>
        </w:trPr>
        <w:tc>
          <w:tcPr>
            <w:tcW w:w="1689" w:type="dxa"/>
          </w:tcPr>
          <w:p w14:paraId="74CE49A9" w14:textId="77777777" w:rsidR="001D5241" w:rsidRPr="008B68A9" w:rsidRDefault="001D5241" w:rsidP="000C5EB8">
            <w:pPr>
              <w:spacing w:after="80" w:line="240" w:lineRule="auto"/>
              <w:rPr>
                <w:b/>
                <w:sz w:val="22"/>
              </w:rPr>
            </w:pPr>
            <w:r w:rsidRPr="008B68A9">
              <w:rPr>
                <w:b/>
                <w:sz w:val="22"/>
              </w:rPr>
              <w:t>Normalisation</w:t>
            </w:r>
          </w:p>
        </w:tc>
        <w:tc>
          <w:tcPr>
            <w:tcW w:w="2075" w:type="dxa"/>
          </w:tcPr>
          <w:p w14:paraId="0DE9C1E5" w14:textId="675EC8D4" w:rsidR="00AC54EC" w:rsidRPr="008B68A9" w:rsidRDefault="001D5241" w:rsidP="000C5EB8">
            <w:pPr>
              <w:spacing w:after="80" w:line="240" w:lineRule="auto"/>
              <w:rPr>
                <w:sz w:val="22"/>
              </w:rPr>
            </w:pPr>
            <w:r w:rsidRPr="008B68A9">
              <w:rPr>
                <w:sz w:val="22"/>
              </w:rPr>
              <w:t xml:space="preserve">Social </w:t>
            </w:r>
            <w:r w:rsidR="00AC54EC" w:rsidRPr="008B68A9">
              <w:rPr>
                <w:sz w:val="22"/>
              </w:rPr>
              <w:t>r</w:t>
            </w:r>
            <w:r w:rsidRPr="008B68A9">
              <w:rPr>
                <w:sz w:val="22"/>
              </w:rPr>
              <w:t xml:space="preserve">ole </w:t>
            </w:r>
            <w:r w:rsidR="00AC54EC" w:rsidRPr="008B68A9">
              <w:rPr>
                <w:sz w:val="22"/>
              </w:rPr>
              <w:t>v</w:t>
            </w:r>
            <w:r w:rsidRPr="008B68A9">
              <w:rPr>
                <w:sz w:val="22"/>
              </w:rPr>
              <w:t xml:space="preserve">alorisation </w:t>
            </w:r>
          </w:p>
          <w:p w14:paraId="28ECC4AB" w14:textId="5BC01BF9" w:rsidR="001D5241" w:rsidRPr="008B68A9" w:rsidRDefault="001D5241" w:rsidP="000C5EB8">
            <w:pPr>
              <w:spacing w:after="80" w:line="240" w:lineRule="auto"/>
              <w:rPr>
                <w:sz w:val="22"/>
              </w:rPr>
            </w:pPr>
            <w:r w:rsidRPr="008B68A9">
              <w:rPr>
                <w:sz w:val="22"/>
              </w:rPr>
              <w:t>SRV</w:t>
            </w:r>
          </w:p>
        </w:tc>
        <w:tc>
          <w:tcPr>
            <w:tcW w:w="4320" w:type="dxa"/>
          </w:tcPr>
          <w:p w14:paraId="1E4199BB" w14:textId="5DAAAE6D" w:rsidR="001D5241" w:rsidRPr="008B68A9" w:rsidRDefault="001D5241" w:rsidP="000C5EB8">
            <w:pPr>
              <w:spacing w:after="80" w:line="240" w:lineRule="auto"/>
              <w:rPr>
                <w:sz w:val="22"/>
              </w:rPr>
            </w:pPr>
            <w:r w:rsidRPr="008B68A9">
              <w:rPr>
                <w:sz w:val="22"/>
              </w:rPr>
              <w:t>“</w:t>
            </w:r>
            <w:r w:rsidR="00AC54EC" w:rsidRPr="008B68A9">
              <w:rPr>
                <w:rFonts w:ascii="Arial" w:hAnsi="Arial" w:cs="Arial"/>
                <w:sz w:val="22"/>
              </w:rPr>
              <w:t>…</w:t>
            </w:r>
            <w:r w:rsidRPr="008B68A9">
              <w:rPr>
                <w:sz w:val="22"/>
              </w:rPr>
              <w:t>making available to all persons with disabilities or other handicaps, patterns of life and conditions of everyday living which are as close as possible or indeed the same as the regular circumstances and ways of life as society” (Nirje, 1985)</w:t>
            </w:r>
          </w:p>
        </w:tc>
      </w:tr>
      <w:tr w:rsidR="001D5241" w:rsidRPr="008B68A9" w14:paraId="5079FB6C" w14:textId="77777777" w:rsidTr="000C5EB8">
        <w:trPr>
          <w:cantSplit/>
        </w:trPr>
        <w:tc>
          <w:tcPr>
            <w:tcW w:w="1689" w:type="dxa"/>
          </w:tcPr>
          <w:p w14:paraId="5F1B128B" w14:textId="77777777" w:rsidR="001D5241" w:rsidRPr="008B68A9" w:rsidRDefault="00B84326" w:rsidP="000C5EB8">
            <w:pPr>
              <w:spacing w:after="80" w:line="240" w:lineRule="auto"/>
              <w:rPr>
                <w:b/>
                <w:sz w:val="22"/>
              </w:rPr>
            </w:pPr>
            <w:r w:rsidRPr="008B68A9">
              <w:rPr>
                <w:b/>
                <w:sz w:val="22"/>
              </w:rPr>
              <w:t>Narrative</w:t>
            </w:r>
          </w:p>
        </w:tc>
        <w:tc>
          <w:tcPr>
            <w:tcW w:w="2075" w:type="dxa"/>
          </w:tcPr>
          <w:p w14:paraId="2CA33AA9" w14:textId="77777777" w:rsidR="001D5241" w:rsidRPr="008B68A9" w:rsidRDefault="00376618" w:rsidP="000C5EB8">
            <w:pPr>
              <w:spacing w:after="80" w:line="240" w:lineRule="auto"/>
              <w:rPr>
                <w:sz w:val="22"/>
              </w:rPr>
            </w:pPr>
            <w:r w:rsidRPr="008B68A9">
              <w:rPr>
                <w:sz w:val="22"/>
              </w:rPr>
              <w:t>Narratives</w:t>
            </w:r>
          </w:p>
          <w:p w14:paraId="0D0E28E9" w14:textId="77777777" w:rsidR="00376618" w:rsidRPr="008B68A9" w:rsidRDefault="00376618" w:rsidP="000C5EB8">
            <w:pPr>
              <w:spacing w:after="80" w:line="240" w:lineRule="auto"/>
              <w:rPr>
                <w:sz w:val="22"/>
              </w:rPr>
            </w:pPr>
            <w:r w:rsidRPr="008B68A9">
              <w:rPr>
                <w:sz w:val="22"/>
              </w:rPr>
              <w:t>Stories</w:t>
            </w:r>
          </w:p>
          <w:p w14:paraId="3F04FC59" w14:textId="77777777" w:rsidR="00376618" w:rsidRPr="008B68A9" w:rsidRDefault="00AC54EC" w:rsidP="000C5EB8">
            <w:pPr>
              <w:spacing w:after="80" w:line="240" w:lineRule="auto"/>
              <w:rPr>
                <w:sz w:val="22"/>
              </w:rPr>
            </w:pPr>
            <w:r w:rsidRPr="008B68A9">
              <w:rPr>
                <w:sz w:val="22"/>
              </w:rPr>
              <w:t>S</w:t>
            </w:r>
            <w:r w:rsidR="00376618" w:rsidRPr="008B68A9">
              <w:rPr>
                <w:sz w:val="22"/>
              </w:rPr>
              <w:t>tory</w:t>
            </w:r>
          </w:p>
          <w:p w14:paraId="73441901" w14:textId="3D51ACEC" w:rsidR="00A12208" w:rsidRPr="008B68A9" w:rsidRDefault="00A12208" w:rsidP="000C5EB8">
            <w:pPr>
              <w:spacing w:after="80" w:line="240" w:lineRule="auto"/>
              <w:rPr>
                <w:sz w:val="22"/>
              </w:rPr>
            </w:pPr>
            <w:r w:rsidRPr="008B68A9">
              <w:rPr>
                <w:sz w:val="22"/>
              </w:rPr>
              <w:t>Story-work</w:t>
            </w:r>
          </w:p>
        </w:tc>
        <w:tc>
          <w:tcPr>
            <w:tcW w:w="4320" w:type="dxa"/>
          </w:tcPr>
          <w:p w14:paraId="0163BFF1" w14:textId="77777777" w:rsidR="001D5241" w:rsidRPr="008B68A9" w:rsidRDefault="00376618" w:rsidP="000C5EB8">
            <w:pPr>
              <w:spacing w:after="80" w:line="240" w:lineRule="auto"/>
              <w:rPr>
                <w:sz w:val="22"/>
              </w:rPr>
            </w:pPr>
            <w:r w:rsidRPr="008B68A9">
              <w:rPr>
                <w:sz w:val="22"/>
              </w:rPr>
              <w:t>“…the fundamental scheme for linking individual human actions and events into interrelated aspects of an understandable composite.” (Polkinghorne 19</w:t>
            </w:r>
            <w:r w:rsidR="00350D68" w:rsidRPr="008B68A9">
              <w:rPr>
                <w:sz w:val="22"/>
              </w:rPr>
              <w:t>9</w:t>
            </w:r>
            <w:r w:rsidRPr="008B68A9">
              <w:rPr>
                <w:sz w:val="22"/>
              </w:rPr>
              <w:t>8</w:t>
            </w:r>
            <w:r w:rsidR="00AC54EC" w:rsidRPr="008B68A9">
              <w:rPr>
                <w:sz w:val="22"/>
              </w:rPr>
              <w:t>,</w:t>
            </w:r>
            <w:r w:rsidRPr="008B68A9">
              <w:rPr>
                <w:sz w:val="22"/>
              </w:rPr>
              <w:t xml:space="preserve"> p</w:t>
            </w:r>
            <w:r w:rsidR="00AC54EC" w:rsidRPr="008B68A9">
              <w:rPr>
                <w:sz w:val="22"/>
              </w:rPr>
              <w:t xml:space="preserve">. </w:t>
            </w:r>
            <w:r w:rsidRPr="008B68A9">
              <w:rPr>
                <w:sz w:val="22"/>
              </w:rPr>
              <w:t>13)</w:t>
            </w:r>
          </w:p>
          <w:p w14:paraId="16803B92" w14:textId="75BF5240" w:rsidR="00A12208" w:rsidRPr="008B68A9" w:rsidRDefault="00A12208" w:rsidP="000C5EB8">
            <w:pPr>
              <w:spacing w:after="80" w:line="240" w:lineRule="auto"/>
              <w:rPr>
                <w:sz w:val="22"/>
              </w:rPr>
            </w:pPr>
            <w:r w:rsidRPr="008B68A9">
              <w:rPr>
                <w:sz w:val="22"/>
              </w:rPr>
              <w:t>Also used as method of analysing participant interviews, (see chapter 4.2.2)</w:t>
            </w:r>
          </w:p>
        </w:tc>
      </w:tr>
      <w:tr w:rsidR="001D5241" w:rsidRPr="008B68A9" w14:paraId="43C05634" w14:textId="77777777" w:rsidTr="000C5EB8">
        <w:trPr>
          <w:cantSplit/>
        </w:trPr>
        <w:tc>
          <w:tcPr>
            <w:tcW w:w="1689" w:type="dxa"/>
          </w:tcPr>
          <w:p w14:paraId="72AF3E97" w14:textId="77777777" w:rsidR="001D5241" w:rsidRPr="008B68A9" w:rsidRDefault="00206314" w:rsidP="000C5EB8">
            <w:pPr>
              <w:spacing w:after="80" w:line="240" w:lineRule="auto"/>
              <w:rPr>
                <w:b/>
                <w:sz w:val="22"/>
              </w:rPr>
            </w:pPr>
            <w:r w:rsidRPr="008B68A9">
              <w:rPr>
                <w:b/>
                <w:sz w:val="22"/>
              </w:rPr>
              <w:t>Narrative trajectory</w:t>
            </w:r>
          </w:p>
        </w:tc>
        <w:tc>
          <w:tcPr>
            <w:tcW w:w="2075" w:type="dxa"/>
          </w:tcPr>
          <w:p w14:paraId="48011753" w14:textId="77777777" w:rsidR="001D5241" w:rsidRPr="008B68A9" w:rsidRDefault="00206314" w:rsidP="000C5EB8">
            <w:pPr>
              <w:spacing w:after="80" w:line="240" w:lineRule="auto"/>
              <w:rPr>
                <w:sz w:val="22"/>
              </w:rPr>
            </w:pPr>
            <w:r w:rsidRPr="008B68A9">
              <w:rPr>
                <w:sz w:val="22"/>
              </w:rPr>
              <w:t>Trajectories</w:t>
            </w:r>
          </w:p>
          <w:p w14:paraId="6CE8975A" w14:textId="77777777" w:rsidR="00206314" w:rsidRPr="008B68A9" w:rsidRDefault="00206314" w:rsidP="000C5EB8">
            <w:pPr>
              <w:spacing w:after="80" w:line="240" w:lineRule="auto"/>
              <w:rPr>
                <w:sz w:val="22"/>
              </w:rPr>
            </w:pPr>
          </w:p>
        </w:tc>
        <w:tc>
          <w:tcPr>
            <w:tcW w:w="4320" w:type="dxa"/>
          </w:tcPr>
          <w:p w14:paraId="32034D7C" w14:textId="7D39F879" w:rsidR="001D5241" w:rsidRPr="008B68A9" w:rsidRDefault="00EC32E8" w:rsidP="000C5EB8">
            <w:pPr>
              <w:spacing w:after="80" w:line="240" w:lineRule="auto"/>
              <w:rPr>
                <w:sz w:val="22"/>
              </w:rPr>
            </w:pPr>
            <w:r w:rsidRPr="008B68A9">
              <w:rPr>
                <w:sz w:val="22"/>
              </w:rPr>
              <w:t>“</w:t>
            </w:r>
            <w:r w:rsidR="00AC54EC" w:rsidRPr="008B68A9">
              <w:rPr>
                <w:rFonts w:ascii="Arial" w:hAnsi="Arial" w:cs="Arial"/>
                <w:sz w:val="22"/>
              </w:rPr>
              <w:t>…</w:t>
            </w:r>
            <w:r w:rsidRPr="008B68A9">
              <w:rPr>
                <w:sz w:val="22"/>
              </w:rPr>
              <w:t>a fundamental means of generating coherence and direction over time”</w:t>
            </w:r>
            <w:r w:rsidR="00E46FF2" w:rsidRPr="008B68A9">
              <w:rPr>
                <w:sz w:val="22"/>
              </w:rPr>
              <w:t>.</w:t>
            </w:r>
            <w:r w:rsidRPr="008B68A9">
              <w:rPr>
                <w:sz w:val="22"/>
              </w:rPr>
              <w:t xml:space="preserve"> (Gergen and Gergen 1983 p.</w:t>
            </w:r>
            <w:r w:rsidR="00AC54EC" w:rsidRPr="008B68A9">
              <w:rPr>
                <w:sz w:val="22"/>
              </w:rPr>
              <w:t xml:space="preserve"> </w:t>
            </w:r>
            <w:r w:rsidRPr="008B68A9">
              <w:rPr>
                <w:sz w:val="22"/>
              </w:rPr>
              <w:t>258)</w:t>
            </w:r>
          </w:p>
        </w:tc>
      </w:tr>
      <w:tr w:rsidR="00E85227" w:rsidRPr="008B68A9" w14:paraId="62DA15EA" w14:textId="77777777" w:rsidTr="000C5EB8">
        <w:trPr>
          <w:cantSplit/>
        </w:trPr>
        <w:tc>
          <w:tcPr>
            <w:tcW w:w="1689" w:type="dxa"/>
          </w:tcPr>
          <w:p w14:paraId="44B7DFA8" w14:textId="77777777" w:rsidR="00E85227" w:rsidRPr="008B68A9" w:rsidRDefault="00E85227" w:rsidP="000C5EB8">
            <w:pPr>
              <w:spacing w:after="80" w:line="240" w:lineRule="auto"/>
              <w:rPr>
                <w:b/>
                <w:sz w:val="22"/>
              </w:rPr>
            </w:pPr>
            <w:r w:rsidRPr="008B68A9">
              <w:rPr>
                <w:b/>
                <w:sz w:val="22"/>
              </w:rPr>
              <w:t>Personalisation</w:t>
            </w:r>
          </w:p>
          <w:p w14:paraId="5D0C16E8" w14:textId="77777777" w:rsidR="00E85227" w:rsidRPr="008B68A9" w:rsidRDefault="00E85227" w:rsidP="000C5EB8">
            <w:pPr>
              <w:spacing w:after="80" w:line="240" w:lineRule="auto"/>
              <w:rPr>
                <w:b/>
                <w:sz w:val="22"/>
              </w:rPr>
            </w:pPr>
          </w:p>
        </w:tc>
        <w:tc>
          <w:tcPr>
            <w:tcW w:w="2075" w:type="dxa"/>
          </w:tcPr>
          <w:p w14:paraId="33D7AB2F" w14:textId="77777777" w:rsidR="00E85227" w:rsidRPr="008B68A9" w:rsidRDefault="00AC3092" w:rsidP="000C5EB8">
            <w:pPr>
              <w:spacing w:after="80" w:line="240" w:lineRule="auto"/>
              <w:rPr>
                <w:sz w:val="22"/>
              </w:rPr>
            </w:pPr>
            <w:r w:rsidRPr="008B68A9">
              <w:rPr>
                <w:sz w:val="22"/>
              </w:rPr>
              <w:t>Self-directed care</w:t>
            </w:r>
          </w:p>
          <w:p w14:paraId="63CB283C" w14:textId="686FC657" w:rsidR="00AC3092" w:rsidRPr="008B68A9" w:rsidRDefault="000C5EB8" w:rsidP="000C5EB8">
            <w:pPr>
              <w:spacing w:after="80" w:line="240" w:lineRule="auto"/>
              <w:rPr>
                <w:sz w:val="22"/>
              </w:rPr>
            </w:pPr>
            <w:r w:rsidRPr="008B68A9">
              <w:rPr>
                <w:sz w:val="22"/>
              </w:rPr>
              <w:t>Self-directed support</w:t>
            </w:r>
          </w:p>
        </w:tc>
        <w:tc>
          <w:tcPr>
            <w:tcW w:w="4320" w:type="dxa"/>
          </w:tcPr>
          <w:p w14:paraId="03D3791E" w14:textId="610CF212" w:rsidR="00E85227" w:rsidRPr="008B68A9" w:rsidRDefault="00B21121" w:rsidP="000C5EB8">
            <w:pPr>
              <w:spacing w:after="80" w:line="240" w:lineRule="auto"/>
              <w:rPr>
                <w:sz w:val="22"/>
              </w:rPr>
            </w:pPr>
            <w:r w:rsidRPr="008B68A9">
              <w:rPr>
                <w:sz w:val="22"/>
              </w:rPr>
              <w:t>To “describe the concept of giving choice and control to individuals across public services”</w:t>
            </w:r>
            <w:r w:rsidR="00E46FF2" w:rsidRPr="008B68A9">
              <w:rPr>
                <w:sz w:val="22"/>
              </w:rPr>
              <w:t>.</w:t>
            </w:r>
            <w:r w:rsidRPr="008B68A9">
              <w:rPr>
                <w:sz w:val="22"/>
              </w:rPr>
              <w:t xml:space="preserve"> (Alakeson 2013</w:t>
            </w:r>
            <w:r w:rsidR="00350D68" w:rsidRPr="008B68A9">
              <w:rPr>
                <w:sz w:val="22"/>
              </w:rPr>
              <w:t>b</w:t>
            </w:r>
            <w:r w:rsidRPr="008B68A9">
              <w:rPr>
                <w:sz w:val="22"/>
              </w:rPr>
              <w:t xml:space="preserve"> p.9)</w:t>
            </w:r>
          </w:p>
        </w:tc>
      </w:tr>
      <w:tr w:rsidR="00E85227" w:rsidRPr="008B68A9" w14:paraId="021BFCA3" w14:textId="77777777" w:rsidTr="000C5EB8">
        <w:trPr>
          <w:cantSplit/>
        </w:trPr>
        <w:tc>
          <w:tcPr>
            <w:tcW w:w="1689" w:type="dxa"/>
          </w:tcPr>
          <w:p w14:paraId="63879DAE" w14:textId="77777777" w:rsidR="00E85227" w:rsidRPr="008B68A9" w:rsidRDefault="00E85227" w:rsidP="000C5EB8">
            <w:pPr>
              <w:spacing w:after="80" w:line="240" w:lineRule="auto"/>
              <w:rPr>
                <w:b/>
                <w:sz w:val="22"/>
              </w:rPr>
            </w:pPr>
            <w:r w:rsidRPr="008B68A9">
              <w:rPr>
                <w:b/>
                <w:sz w:val="22"/>
              </w:rPr>
              <w:t>Personal budget</w:t>
            </w:r>
          </w:p>
          <w:p w14:paraId="64B8F6B9" w14:textId="77777777" w:rsidR="00E85227" w:rsidRPr="008B68A9" w:rsidRDefault="00E85227" w:rsidP="000C5EB8">
            <w:pPr>
              <w:spacing w:after="80" w:line="240" w:lineRule="auto"/>
              <w:rPr>
                <w:b/>
                <w:sz w:val="22"/>
              </w:rPr>
            </w:pPr>
          </w:p>
        </w:tc>
        <w:tc>
          <w:tcPr>
            <w:tcW w:w="2075" w:type="dxa"/>
          </w:tcPr>
          <w:p w14:paraId="26DE013C" w14:textId="77777777" w:rsidR="00FA6CBE" w:rsidRPr="008B68A9" w:rsidRDefault="00FA6CBE" w:rsidP="000C5EB8">
            <w:pPr>
              <w:spacing w:after="80" w:line="240" w:lineRule="auto"/>
              <w:rPr>
                <w:sz w:val="22"/>
              </w:rPr>
            </w:pPr>
            <w:r w:rsidRPr="008B68A9">
              <w:rPr>
                <w:sz w:val="22"/>
              </w:rPr>
              <w:t>Personal budgets</w:t>
            </w:r>
          </w:p>
          <w:p w14:paraId="2DE20F19" w14:textId="77777777" w:rsidR="00E85227" w:rsidRPr="008B68A9" w:rsidRDefault="00FA6CBE" w:rsidP="000C5EB8">
            <w:pPr>
              <w:spacing w:after="80" w:line="240" w:lineRule="auto"/>
              <w:rPr>
                <w:sz w:val="22"/>
              </w:rPr>
            </w:pPr>
            <w:r w:rsidRPr="008B68A9">
              <w:rPr>
                <w:sz w:val="22"/>
              </w:rPr>
              <w:t>Individual budgets</w:t>
            </w:r>
          </w:p>
        </w:tc>
        <w:tc>
          <w:tcPr>
            <w:tcW w:w="4320" w:type="dxa"/>
          </w:tcPr>
          <w:p w14:paraId="546A03AE" w14:textId="77777777" w:rsidR="00E85227" w:rsidRPr="008B68A9" w:rsidRDefault="00B649B9" w:rsidP="000C5EB8">
            <w:pPr>
              <w:spacing w:after="80" w:line="240" w:lineRule="auto"/>
              <w:rPr>
                <w:sz w:val="22"/>
              </w:rPr>
            </w:pPr>
            <w:r w:rsidRPr="008B68A9">
              <w:rPr>
                <w:sz w:val="22"/>
              </w:rPr>
              <w:t>“</w:t>
            </w:r>
            <w:r w:rsidR="00410B19" w:rsidRPr="008B68A9">
              <w:rPr>
                <w:sz w:val="22"/>
              </w:rPr>
              <w:t>A personal budget is money that is available to someone who needs support. The money comes from their local authority social services and is allocated to the individual to spend on help and support to meet their assessed eligible needs and agreed outcomes.</w:t>
            </w:r>
            <w:r w:rsidRPr="008B68A9">
              <w:rPr>
                <w:sz w:val="22"/>
              </w:rPr>
              <w:t>” (In-Control 2016)</w:t>
            </w:r>
          </w:p>
        </w:tc>
      </w:tr>
      <w:tr w:rsidR="00B21121" w:rsidRPr="008B68A9" w14:paraId="5233AB11" w14:textId="77777777" w:rsidTr="000C5EB8">
        <w:trPr>
          <w:cantSplit/>
        </w:trPr>
        <w:tc>
          <w:tcPr>
            <w:tcW w:w="1689" w:type="dxa"/>
          </w:tcPr>
          <w:p w14:paraId="06B7A534" w14:textId="77777777" w:rsidR="00B21121" w:rsidRPr="008B68A9" w:rsidRDefault="00B21121" w:rsidP="000C5EB8">
            <w:pPr>
              <w:spacing w:after="80" w:line="240" w:lineRule="auto"/>
              <w:rPr>
                <w:b/>
                <w:sz w:val="22"/>
              </w:rPr>
            </w:pPr>
            <w:r w:rsidRPr="008B68A9">
              <w:rPr>
                <w:b/>
                <w:sz w:val="22"/>
              </w:rPr>
              <w:t>Personal health budget</w:t>
            </w:r>
          </w:p>
        </w:tc>
        <w:tc>
          <w:tcPr>
            <w:tcW w:w="2075" w:type="dxa"/>
          </w:tcPr>
          <w:p w14:paraId="4E4960E8" w14:textId="77777777" w:rsidR="00B21121" w:rsidRPr="008B68A9" w:rsidRDefault="00B21121" w:rsidP="000C5EB8">
            <w:pPr>
              <w:spacing w:after="80" w:line="240" w:lineRule="auto"/>
              <w:rPr>
                <w:sz w:val="22"/>
              </w:rPr>
            </w:pPr>
            <w:r w:rsidRPr="008B68A9">
              <w:rPr>
                <w:sz w:val="22"/>
              </w:rPr>
              <w:t>PHB</w:t>
            </w:r>
            <w:r w:rsidR="00FA6CBE" w:rsidRPr="008B68A9">
              <w:rPr>
                <w:sz w:val="22"/>
              </w:rPr>
              <w:t>s</w:t>
            </w:r>
          </w:p>
        </w:tc>
        <w:tc>
          <w:tcPr>
            <w:tcW w:w="4320" w:type="dxa"/>
          </w:tcPr>
          <w:p w14:paraId="70178AC5" w14:textId="48AF90FA" w:rsidR="00B21121" w:rsidRPr="008B68A9" w:rsidRDefault="00B21121" w:rsidP="000C5EB8">
            <w:pPr>
              <w:spacing w:after="80" w:line="240" w:lineRule="auto"/>
              <w:rPr>
                <w:sz w:val="22"/>
              </w:rPr>
            </w:pPr>
            <w:r w:rsidRPr="008B68A9">
              <w:rPr>
                <w:sz w:val="22"/>
              </w:rPr>
              <w:t xml:space="preserve">“A personal health budget is an individual allocation of NHS resources that can be used to meet identified health and well-being needs in possibly new and innovative ways outside of traditionally commissioned services.” (Alakeson </w:t>
            </w:r>
            <w:r w:rsidR="00AC06A3" w:rsidRPr="008B68A9">
              <w:rPr>
                <w:i/>
                <w:sz w:val="22"/>
              </w:rPr>
              <w:t>et al.</w:t>
            </w:r>
            <w:r w:rsidRPr="008B68A9">
              <w:rPr>
                <w:sz w:val="22"/>
              </w:rPr>
              <w:t xml:space="preserve"> 2016)</w:t>
            </w:r>
          </w:p>
        </w:tc>
      </w:tr>
      <w:tr w:rsidR="00E85227" w:rsidRPr="008B68A9" w14:paraId="2EC52E14" w14:textId="77777777" w:rsidTr="000C5EB8">
        <w:trPr>
          <w:cantSplit/>
        </w:trPr>
        <w:tc>
          <w:tcPr>
            <w:tcW w:w="1689" w:type="dxa"/>
          </w:tcPr>
          <w:p w14:paraId="23367CA0" w14:textId="77777777" w:rsidR="00E85227" w:rsidRPr="008B68A9" w:rsidRDefault="00E85227" w:rsidP="000C5EB8">
            <w:pPr>
              <w:spacing w:after="80" w:line="240" w:lineRule="auto"/>
              <w:rPr>
                <w:b/>
                <w:sz w:val="22"/>
              </w:rPr>
            </w:pPr>
            <w:r w:rsidRPr="008B68A9">
              <w:rPr>
                <w:b/>
                <w:sz w:val="22"/>
              </w:rPr>
              <w:t>Person centred planning</w:t>
            </w:r>
          </w:p>
          <w:p w14:paraId="7C57CA9B" w14:textId="77777777" w:rsidR="00E85227" w:rsidRPr="008B68A9" w:rsidRDefault="00E85227" w:rsidP="000C5EB8">
            <w:pPr>
              <w:spacing w:after="80" w:line="240" w:lineRule="auto"/>
              <w:rPr>
                <w:b/>
                <w:sz w:val="22"/>
              </w:rPr>
            </w:pPr>
          </w:p>
        </w:tc>
        <w:tc>
          <w:tcPr>
            <w:tcW w:w="2075" w:type="dxa"/>
          </w:tcPr>
          <w:p w14:paraId="4F049D42" w14:textId="77777777" w:rsidR="00E85227" w:rsidRPr="008B68A9" w:rsidRDefault="002A7560" w:rsidP="000C5EB8">
            <w:pPr>
              <w:spacing w:after="80" w:line="240" w:lineRule="auto"/>
              <w:rPr>
                <w:sz w:val="22"/>
              </w:rPr>
            </w:pPr>
            <w:r w:rsidRPr="008B68A9">
              <w:rPr>
                <w:sz w:val="22"/>
              </w:rPr>
              <w:t>PCP</w:t>
            </w:r>
          </w:p>
          <w:p w14:paraId="7F11DE0A" w14:textId="77777777" w:rsidR="002A7560" w:rsidRPr="008B68A9" w:rsidRDefault="002A7560" w:rsidP="000C5EB8">
            <w:pPr>
              <w:spacing w:after="80" w:line="240" w:lineRule="auto"/>
              <w:rPr>
                <w:sz w:val="22"/>
              </w:rPr>
            </w:pPr>
            <w:r w:rsidRPr="008B68A9">
              <w:rPr>
                <w:sz w:val="22"/>
              </w:rPr>
              <w:t>Person centred thinking tools</w:t>
            </w:r>
          </w:p>
        </w:tc>
        <w:tc>
          <w:tcPr>
            <w:tcW w:w="4320" w:type="dxa"/>
          </w:tcPr>
          <w:p w14:paraId="6B802981" w14:textId="68ACC426" w:rsidR="00E85227" w:rsidRPr="008B68A9" w:rsidRDefault="002A7560" w:rsidP="000C5EB8">
            <w:pPr>
              <w:spacing w:after="80" w:line="240" w:lineRule="auto"/>
              <w:rPr>
                <w:sz w:val="22"/>
              </w:rPr>
            </w:pPr>
            <w:r w:rsidRPr="008B68A9">
              <w:rPr>
                <w:sz w:val="22"/>
              </w:rPr>
              <w:t>“The continual process of listening and learning now and in the future of what is important to and for the person and acting upon this</w:t>
            </w:r>
            <w:r w:rsidR="00415741" w:rsidRPr="008B68A9">
              <w:rPr>
                <w:sz w:val="22"/>
              </w:rPr>
              <w:t xml:space="preserve"> </w:t>
            </w:r>
            <w:r w:rsidRPr="008B68A9">
              <w:rPr>
                <w:sz w:val="22"/>
              </w:rPr>
              <w:t>in alliance with families and friends</w:t>
            </w:r>
            <w:r w:rsidR="00E46FF2" w:rsidRPr="008B68A9">
              <w:rPr>
                <w:sz w:val="22"/>
              </w:rPr>
              <w:t>.</w:t>
            </w:r>
            <w:r w:rsidRPr="008B68A9">
              <w:rPr>
                <w:sz w:val="22"/>
              </w:rPr>
              <w:t>” (Sanderson 2000 p</w:t>
            </w:r>
            <w:r w:rsidR="00E46FF2" w:rsidRPr="008B68A9">
              <w:rPr>
                <w:sz w:val="22"/>
              </w:rPr>
              <w:t>.</w:t>
            </w:r>
            <w:r w:rsidRPr="008B68A9">
              <w:rPr>
                <w:sz w:val="22"/>
              </w:rPr>
              <w:t xml:space="preserve"> 2)</w:t>
            </w:r>
          </w:p>
        </w:tc>
      </w:tr>
      <w:tr w:rsidR="00E85227" w:rsidRPr="008B68A9" w14:paraId="0E86AE2D" w14:textId="77777777" w:rsidTr="000C5EB8">
        <w:trPr>
          <w:cantSplit/>
        </w:trPr>
        <w:tc>
          <w:tcPr>
            <w:tcW w:w="1689" w:type="dxa"/>
          </w:tcPr>
          <w:p w14:paraId="5D85849D" w14:textId="77777777" w:rsidR="00E85227" w:rsidRPr="008B68A9" w:rsidRDefault="00E85227" w:rsidP="000C5EB8">
            <w:pPr>
              <w:spacing w:after="80" w:line="240" w:lineRule="auto"/>
              <w:rPr>
                <w:b/>
                <w:sz w:val="22"/>
              </w:rPr>
            </w:pPr>
            <w:r w:rsidRPr="008B68A9">
              <w:rPr>
                <w:b/>
                <w:sz w:val="22"/>
              </w:rPr>
              <w:lastRenderedPageBreak/>
              <w:t>Physical disability</w:t>
            </w:r>
          </w:p>
        </w:tc>
        <w:tc>
          <w:tcPr>
            <w:tcW w:w="2075" w:type="dxa"/>
          </w:tcPr>
          <w:p w14:paraId="663D6296" w14:textId="1259AB01" w:rsidR="00E85227" w:rsidRPr="008B68A9" w:rsidRDefault="00E85227" w:rsidP="000C5EB8">
            <w:pPr>
              <w:spacing w:after="80" w:line="240" w:lineRule="auto"/>
              <w:rPr>
                <w:sz w:val="22"/>
              </w:rPr>
            </w:pPr>
            <w:r w:rsidRPr="008B68A9">
              <w:rPr>
                <w:sz w:val="22"/>
              </w:rPr>
              <w:t xml:space="preserve">Sensory </w:t>
            </w:r>
            <w:r w:rsidR="00E46FF2" w:rsidRPr="008B68A9">
              <w:rPr>
                <w:sz w:val="22"/>
              </w:rPr>
              <w:t>d</w:t>
            </w:r>
            <w:r w:rsidRPr="008B68A9">
              <w:rPr>
                <w:sz w:val="22"/>
              </w:rPr>
              <w:t>isability</w:t>
            </w:r>
          </w:p>
          <w:p w14:paraId="5BFBEF61" w14:textId="06DC8B7B" w:rsidR="00E85227" w:rsidRPr="008B68A9" w:rsidRDefault="00E85227" w:rsidP="000C5EB8">
            <w:pPr>
              <w:spacing w:after="80" w:line="240" w:lineRule="auto"/>
              <w:rPr>
                <w:sz w:val="22"/>
              </w:rPr>
            </w:pPr>
            <w:r w:rsidRPr="008B68A9">
              <w:rPr>
                <w:sz w:val="22"/>
              </w:rPr>
              <w:t xml:space="preserve">Acquired </w:t>
            </w:r>
            <w:r w:rsidR="00E46FF2" w:rsidRPr="008B68A9">
              <w:rPr>
                <w:sz w:val="22"/>
              </w:rPr>
              <w:t>b</w:t>
            </w:r>
            <w:r w:rsidRPr="008B68A9">
              <w:rPr>
                <w:sz w:val="22"/>
              </w:rPr>
              <w:t xml:space="preserve">rain </w:t>
            </w:r>
            <w:r w:rsidR="00E46FF2" w:rsidRPr="008B68A9">
              <w:rPr>
                <w:sz w:val="22"/>
              </w:rPr>
              <w:t>i</w:t>
            </w:r>
            <w:r w:rsidRPr="008B68A9">
              <w:rPr>
                <w:sz w:val="22"/>
              </w:rPr>
              <w:t>njury</w:t>
            </w:r>
          </w:p>
          <w:p w14:paraId="6B1B42BD" w14:textId="7F789097" w:rsidR="00E85227" w:rsidRPr="008B68A9" w:rsidRDefault="00E85227" w:rsidP="000C5EB8">
            <w:pPr>
              <w:spacing w:after="80" w:line="240" w:lineRule="auto"/>
              <w:rPr>
                <w:sz w:val="22"/>
              </w:rPr>
            </w:pPr>
            <w:r w:rsidRPr="008B68A9">
              <w:rPr>
                <w:sz w:val="22"/>
              </w:rPr>
              <w:t xml:space="preserve">Traumatic </w:t>
            </w:r>
            <w:r w:rsidR="00E46FF2" w:rsidRPr="008B68A9">
              <w:rPr>
                <w:sz w:val="22"/>
              </w:rPr>
              <w:t>b</w:t>
            </w:r>
            <w:r w:rsidRPr="008B68A9">
              <w:rPr>
                <w:sz w:val="22"/>
              </w:rPr>
              <w:t xml:space="preserve">rain </w:t>
            </w:r>
            <w:r w:rsidR="00E46FF2" w:rsidRPr="008B68A9">
              <w:rPr>
                <w:sz w:val="22"/>
              </w:rPr>
              <w:t>i</w:t>
            </w:r>
            <w:r w:rsidRPr="008B68A9">
              <w:rPr>
                <w:sz w:val="22"/>
              </w:rPr>
              <w:t>njury</w:t>
            </w:r>
          </w:p>
        </w:tc>
        <w:tc>
          <w:tcPr>
            <w:tcW w:w="4320" w:type="dxa"/>
          </w:tcPr>
          <w:p w14:paraId="0FDC3916" w14:textId="77777777" w:rsidR="00E85227" w:rsidRPr="008B68A9" w:rsidRDefault="002A7560" w:rsidP="000C5EB8">
            <w:pPr>
              <w:spacing w:after="80" w:line="240" w:lineRule="auto"/>
              <w:rPr>
                <w:sz w:val="22"/>
              </w:rPr>
            </w:pPr>
            <w:r w:rsidRPr="008B68A9">
              <w:rPr>
                <w:sz w:val="22"/>
              </w:rPr>
              <w:t>Used in reference to people with impaired physical or sensory function.</w:t>
            </w:r>
          </w:p>
        </w:tc>
      </w:tr>
      <w:tr w:rsidR="00B7148C" w:rsidRPr="008B68A9" w14:paraId="1C9B33F6" w14:textId="77777777" w:rsidTr="000C5EB8">
        <w:trPr>
          <w:cantSplit/>
        </w:trPr>
        <w:tc>
          <w:tcPr>
            <w:tcW w:w="1689" w:type="dxa"/>
          </w:tcPr>
          <w:p w14:paraId="5FD4BC21" w14:textId="77777777" w:rsidR="00B7148C" w:rsidRPr="008B68A9" w:rsidRDefault="00B7148C" w:rsidP="000C5EB8">
            <w:pPr>
              <w:spacing w:after="80" w:line="240" w:lineRule="auto"/>
              <w:rPr>
                <w:b/>
                <w:sz w:val="22"/>
              </w:rPr>
            </w:pPr>
            <w:r w:rsidRPr="008B68A9">
              <w:rPr>
                <w:b/>
                <w:sz w:val="22"/>
              </w:rPr>
              <w:t>Risk enablement</w:t>
            </w:r>
          </w:p>
        </w:tc>
        <w:tc>
          <w:tcPr>
            <w:tcW w:w="2075" w:type="dxa"/>
          </w:tcPr>
          <w:p w14:paraId="7F421846" w14:textId="77777777" w:rsidR="00B7148C" w:rsidRPr="008B68A9" w:rsidRDefault="00206314" w:rsidP="000C5EB8">
            <w:pPr>
              <w:spacing w:after="80" w:line="240" w:lineRule="auto"/>
              <w:rPr>
                <w:sz w:val="22"/>
              </w:rPr>
            </w:pPr>
            <w:r w:rsidRPr="008B68A9">
              <w:rPr>
                <w:sz w:val="22"/>
              </w:rPr>
              <w:t>Risk</w:t>
            </w:r>
          </w:p>
          <w:p w14:paraId="25AA30EA" w14:textId="77777777" w:rsidR="00206314" w:rsidRPr="008B68A9" w:rsidRDefault="00206314" w:rsidP="000C5EB8">
            <w:pPr>
              <w:spacing w:after="80" w:line="240" w:lineRule="auto"/>
              <w:rPr>
                <w:sz w:val="22"/>
              </w:rPr>
            </w:pPr>
            <w:r w:rsidRPr="008B68A9">
              <w:rPr>
                <w:sz w:val="22"/>
              </w:rPr>
              <w:t>Risk management</w:t>
            </w:r>
          </w:p>
        </w:tc>
        <w:tc>
          <w:tcPr>
            <w:tcW w:w="4320" w:type="dxa"/>
          </w:tcPr>
          <w:p w14:paraId="0D2341AD" w14:textId="77777777" w:rsidR="00B7148C" w:rsidRPr="008B68A9" w:rsidRDefault="002D184E" w:rsidP="000C5EB8">
            <w:pPr>
              <w:spacing w:after="80" w:line="240" w:lineRule="auto"/>
              <w:rPr>
                <w:sz w:val="22"/>
              </w:rPr>
            </w:pPr>
            <w:r w:rsidRPr="008B68A9">
              <w:rPr>
                <w:sz w:val="22"/>
              </w:rPr>
              <w:t>“Risk enablement is concerned with managing these risks effectively and finding a balance between the need to protect vulnerable people and promoting the rights of the individual.” (In-Control 2016)</w:t>
            </w:r>
          </w:p>
        </w:tc>
      </w:tr>
      <w:tr w:rsidR="00E85227" w:rsidRPr="008B68A9" w14:paraId="5730F98A" w14:textId="77777777" w:rsidTr="000C5EB8">
        <w:trPr>
          <w:cantSplit/>
        </w:trPr>
        <w:tc>
          <w:tcPr>
            <w:tcW w:w="1689" w:type="dxa"/>
          </w:tcPr>
          <w:p w14:paraId="09251AFE" w14:textId="77777777" w:rsidR="00E85227" w:rsidRPr="008B68A9" w:rsidRDefault="00E85227" w:rsidP="000C5EB8">
            <w:pPr>
              <w:spacing w:after="80" w:line="240" w:lineRule="auto"/>
              <w:rPr>
                <w:b/>
                <w:sz w:val="22"/>
              </w:rPr>
            </w:pPr>
            <w:r w:rsidRPr="008B68A9">
              <w:rPr>
                <w:b/>
                <w:sz w:val="22"/>
              </w:rPr>
              <w:t xml:space="preserve">Self-directed </w:t>
            </w:r>
            <w:r w:rsidR="001D5241" w:rsidRPr="008B68A9">
              <w:rPr>
                <w:b/>
                <w:sz w:val="22"/>
              </w:rPr>
              <w:t>support</w:t>
            </w:r>
          </w:p>
          <w:p w14:paraId="6F8945B5" w14:textId="77777777" w:rsidR="00E85227" w:rsidRPr="008B68A9" w:rsidRDefault="00E85227" w:rsidP="000C5EB8">
            <w:pPr>
              <w:spacing w:after="80" w:line="240" w:lineRule="auto"/>
              <w:rPr>
                <w:b/>
                <w:sz w:val="22"/>
              </w:rPr>
            </w:pPr>
          </w:p>
        </w:tc>
        <w:tc>
          <w:tcPr>
            <w:tcW w:w="2075" w:type="dxa"/>
          </w:tcPr>
          <w:p w14:paraId="00441CE1" w14:textId="77777777" w:rsidR="001D5241" w:rsidRPr="008B68A9" w:rsidRDefault="001D5241" w:rsidP="000C5EB8">
            <w:pPr>
              <w:spacing w:after="80" w:line="240" w:lineRule="auto"/>
              <w:rPr>
                <w:sz w:val="22"/>
              </w:rPr>
            </w:pPr>
            <w:r w:rsidRPr="008B68A9">
              <w:rPr>
                <w:sz w:val="22"/>
              </w:rPr>
              <w:t>Self-directed care</w:t>
            </w:r>
          </w:p>
          <w:p w14:paraId="50149B69" w14:textId="77777777" w:rsidR="001D5241" w:rsidRPr="008B68A9" w:rsidRDefault="001D5241" w:rsidP="000C5EB8">
            <w:pPr>
              <w:spacing w:after="80" w:line="240" w:lineRule="auto"/>
              <w:rPr>
                <w:sz w:val="22"/>
              </w:rPr>
            </w:pPr>
            <w:r w:rsidRPr="008B68A9">
              <w:rPr>
                <w:sz w:val="22"/>
              </w:rPr>
              <w:t>Self-directed support</w:t>
            </w:r>
          </w:p>
          <w:p w14:paraId="419AE369" w14:textId="77777777" w:rsidR="001D5241" w:rsidRPr="008B68A9" w:rsidRDefault="001D5241" w:rsidP="000C5EB8">
            <w:pPr>
              <w:spacing w:after="80" w:line="240" w:lineRule="auto"/>
              <w:rPr>
                <w:sz w:val="22"/>
              </w:rPr>
            </w:pPr>
            <w:r w:rsidRPr="008B68A9">
              <w:rPr>
                <w:sz w:val="22"/>
              </w:rPr>
              <w:t>Consumer-directed care</w:t>
            </w:r>
          </w:p>
          <w:p w14:paraId="6E131A51" w14:textId="77777777" w:rsidR="001D5241" w:rsidRPr="008B68A9" w:rsidRDefault="001D5241" w:rsidP="000C5EB8">
            <w:pPr>
              <w:spacing w:after="80" w:line="240" w:lineRule="auto"/>
              <w:rPr>
                <w:sz w:val="22"/>
              </w:rPr>
            </w:pPr>
            <w:r w:rsidRPr="008B68A9">
              <w:rPr>
                <w:sz w:val="22"/>
              </w:rPr>
              <w:t>Consumer-directed support</w:t>
            </w:r>
          </w:p>
          <w:p w14:paraId="1C596B46" w14:textId="2318F377" w:rsidR="00E85227" w:rsidRPr="008B68A9" w:rsidRDefault="000C5EB8" w:rsidP="000C5EB8">
            <w:pPr>
              <w:spacing w:after="80" w:line="240" w:lineRule="auto"/>
              <w:rPr>
                <w:sz w:val="22"/>
              </w:rPr>
            </w:pPr>
            <w:r w:rsidRPr="008B68A9">
              <w:rPr>
                <w:sz w:val="22"/>
              </w:rPr>
              <w:t>Consumer-directed health care</w:t>
            </w:r>
          </w:p>
        </w:tc>
        <w:tc>
          <w:tcPr>
            <w:tcW w:w="4320" w:type="dxa"/>
          </w:tcPr>
          <w:p w14:paraId="2D7520B1" w14:textId="4AD77D0E" w:rsidR="001D5241" w:rsidRPr="008B68A9" w:rsidRDefault="001D5241" w:rsidP="000C5EB8">
            <w:pPr>
              <w:spacing w:after="80" w:line="240" w:lineRule="auto"/>
              <w:rPr>
                <w:sz w:val="22"/>
              </w:rPr>
            </w:pPr>
            <w:r w:rsidRPr="008B68A9">
              <w:rPr>
                <w:sz w:val="22"/>
              </w:rPr>
              <w:t>“</w:t>
            </w:r>
            <w:r w:rsidR="00E46FF2" w:rsidRPr="008B68A9">
              <w:rPr>
                <w:rFonts w:ascii="Arial" w:hAnsi="Arial" w:cs="Arial"/>
                <w:sz w:val="22"/>
              </w:rPr>
              <w:t>…</w:t>
            </w:r>
            <w:r w:rsidRPr="008B68A9">
              <w:rPr>
                <w:sz w:val="22"/>
              </w:rPr>
              <w:t>self-directed care is based on giving each consumer control of an individual budget with which to purchase goods and services to meet his or her needs in place of or in addition to receiv</w:t>
            </w:r>
            <w:r w:rsidR="002D184E" w:rsidRPr="008B68A9">
              <w:rPr>
                <w:sz w:val="22"/>
              </w:rPr>
              <w:t>ing directly provided services</w:t>
            </w:r>
            <w:r w:rsidR="00E46FF2" w:rsidRPr="008B68A9">
              <w:rPr>
                <w:sz w:val="22"/>
              </w:rPr>
              <w:t>.</w:t>
            </w:r>
            <w:r w:rsidR="002D184E" w:rsidRPr="008B68A9">
              <w:rPr>
                <w:sz w:val="22"/>
              </w:rPr>
              <w:t xml:space="preserve">” </w:t>
            </w:r>
            <w:r w:rsidRPr="008B68A9">
              <w:rPr>
                <w:sz w:val="22"/>
              </w:rPr>
              <w:t>(Alakeson, 2008)</w:t>
            </w:r>
          </w:p>
          <w:p w14:paraId="0173EBFD" w14:textId="5513105A" w:rsidR="00E85227" w:rsidRPr="008B68A9" w:rsidRDefault="001D5241" w:rsidP="000C5EB8">
            <w:pPr>
              <w:spacing w:after="80" w:line="240" w:lineRule="auto"/>
              <w:rPr>
                <w:sz w:val="22"/>
              </w:rPr>
            </w:pPr>
            <w:r w:rsidRPr="008B68A9">
              <w:rPr>
                <w:sz w:val="22"/>
              </w:rPr>
              <w:t>“</w:t>
            </w:r>
            <w:r w:rsidR="00E46FF2" w:rsidRPr="008B68A9">
              <w:rPr>
                <w:rFonts w:ascii="Arial" w:hAnsi="Arial" w:cs="Arial"/>
                <w:sz w:val="22"/>
              </w:rPr>
              <w:t>…</w:t>
            </w:r>
            <w:r w:rsidRPr="008B68A9">
              <w:rPr>
                <w:sz w:val="22"/>
              </w:rPr>
              <w:t>an alternative way of delivering services that seeks to empower participants by expanding their degree of choice and control in selecting services</w:t>
            </w:r>
            <w:r w:rsidR="00E46FF2" w:rsidRPr="008B68A9">
              <w:rPr>
                <w:sz w:val="22"/>
              </w:rPr>
              <w:t>.</w:t>
            </w:r>
            <w:r w:rsidRPr="008B68A9">
              <w:rPr>
                <w:sz w:val="22"/>
              </w:rPr>
              <w:t>” (Alakeson 2010)</w:t>
            </w:r>
          </w:p>
        </w:tc>
      </w:tr>
      <w:tr w:rsidR="00E85227" w:rsidRPr="008B68A9" w14:paraId="76F381C5" w14:textId="77777777" w:rsidTr="000C5EB8">
        <w:trPr>
          <w:cantSplit/>
        </w:trPr>
        <w:tc>
          <w:tcPr>
            <w:tcW w:w="1689" w:type="dxa"/>
          </w:tcPr>
          <w:p w14:paraId="0CE1F88E" w14:textId="77777777" w:rsidR="00E85227" w:rsidRPr="008B68A9" w:rsidRDefault="00E85227" w:rsidP="000C5EB8">
            <w:pPr>
              <w:spacing w:after="80" w:line="240" w:lineRule="auto"/>
              <w:rPr>
                <w:b/>
                <w:sz w:val="22"/>
              </w:rPr>
            </w:pPr>
            <w:r w:rsidRPr="008B68A9">
              <w:rPr>
                <w:b/>
                <w:sz w:val="22"/>
              </w:rPr>
              <w:t>Service user</w:t>
            </w:r>
          </w:p>
        </w:tc>
        <w:tc>
          <w:tcPr>
            <w:tcW w:w="2075" w:type="dxa"/>
          </w:tcPr>
          <w:p w14:paraId="54092139" w14:textId="4F4FDE8D" w:rsidR="00E85227" w:rsidRPr="008B68A9" w:rsidRDefault="00E85227" w:rsidP="000C5EB8">
            <w:pPr>
              <w:spacing w:after="80" w:line="240" w:lineRule="auto"/>
              <w:rPr>
                <w:sz w:val="22"/>
              </w:rPr>
            </w:pPr>
            <w:r w:rsidRPr="008B68A9">
              <w:rPr>
                <w:sz w:val="22"/>
              </w:rPr>
              <w:t xml:space="preserve">Consumer </w:t>
            </w:r>
            <w:r w:rsidR="00E46FF2" w:rsidRPr="008B68A9">
              <w:rPr>
                <w:sz w:val="22"/>
              </w:rPr>
              <w:t>c</w:t>
            </w:r>
            <w:r w:rsidRPr="008B68A9">
              <w:rPr>
                <w:sz w:val="22"/>
              </w:rPr>
              <w:t>lient Recipient Participant Beneficiary</w:t>
            </w:r>
          </w:p>
        </w:tc>
        <w:tc>
          <w:tcPr>
            <w:tcW w:w="4320" w:type="dxa"/>
          </w:tcPr>
          <w:p w14:paraId="7D4C660A" w14:textId="77777777" w:rsidR="00E85227" w:rsidRPr="008B68A9" w:rsidRDefault="00E85227" w:rsidP="000C5EB8">
            <w:pPr>
              <w:spacing w:after="80" w:line="240" w:lineRule="auto"/>
              <w:rPr>
                <w:sz w:val="22"/>
              </w:rPr>
            </w:pPr>
            <w:r w:rsidRPr="008B68A9">
              <w:rPr>
                <w:sz w:val="22"/>
              </w:rPr>
              <w:t>Person who accesses funding or services to meet their daily living need</w:t>
            </w:r>
            <w:r w:rsidR="002D184E" w:rsidRPr="008B68A9">
              <w:rPr>
                <w:sz w:val="22"/>
              </w:rPr>
              <w:t>.</w:t>
            </w:r>
          </w:p>
        </w:tc>
      </w:tr>
      <w:tr w:rsidR="001D5241" w:rsidRPr="008B68A9" w14:paraId="17B496AA" w14:textId="77777777" w:rsidTr="000C5EB8">
        <w:trPr>
          <w:cantSplit/>
        </w:trPr>
        <w:tc>
          <w:tcPr>
            <w:tcW w:w="1689" w:type="dxa"/>
          </w:tcPr>
          <w:p w14:paraId="76C65162" w14:textId="46199E11" w:rsidR="001D5241" w:rsidRPr="008B68A9" w:rsidRDefault="001D5241" w:rsidP="000C5EB8">
            <w:pPr>
              <w:spacing w:after="80" w:line="240" w:lineRule="auto"/>
              <w:rPr>
                <w:b/>
                <w:sz w:val="22"/>
              </w:rPr>
            </w:pPr>
            <w:r w:rsidRPr="008B68A9">
              <w:rPr>
                <w:b/>
                <w:sz w:val="22"/>
              </w:rPr>
              <w:t xml:space="preserve">Service </w:t>
            </w:r>
            <w:r w:rsidR="00E46FF2" w:rsidRPr="008B68A9">
              <w:rPr>
                <w:b/>
                <w:sz w:val="22"/>
              </w:rPr>
              <w:t>p</w:t>
            </w:r>
            <w:r w:rsidRPr="008B68A9">
              <w:rPr>
                <w:b/>
                <w:sz w:val="22"/>
              </w:rPr>
              <w:t>rovider</w:t>
            </w:r>
          </w:p>
        </w:tc>
        <w:tc>
          <w:tcPr>
            <w:tcW w:w="2075" w:type="dxa"/>
          </w:tcPr>
          <w:p w14:paraId="312D0F51" w14:textId="77777777" w:rsidR="001D5241" w:rsidRPr="008B68A9" w:rsidRDefault="001D5241" w:rsidP="000C5EB8">
            <w:pPr>
              <w:spacing w:after="80" w:line="240" w:lineRule="auto"/>
              <w:rPr>
                <w:sz w:val="22"/>
              </w:rPr>
            </w:pPr>
            <w:r w:rsidRPr="008B68A9">
              <w:rPr>
                <w:sz w:val="22"/>
              </w:rPr>
              <w:t>Agency</w:t>
            </w:r>
          </w:p>
          <w:p w14:paraId="28B173DD" w14:textId="77777777" w:rsidR="001D5241" w:rsidRPr="008B68A9" w:rsidRDefault="001D5241" w:rsidP="000C5EB8">
            <w:pPr>
              <w:spacing w:after="80" w:line="240" w:lineRule="auto"/>
              <w:rPr>
                <w:sz w:val="22"/>
              </w:rPr>
            </w:pPr>
            <w:r w:rsidRPr="008B68A9">
              <w:rPr>
                <w:sz w:val="22"/>
              </w:rPr>
              <w:t>Organisation</w:t>
            </w:r>
          </w:p>
          <w:p w14:paraId="1039035A" w14:textId="77777777" w:rsidR="00E46FF2" w:rsidRPr="008B68A9" w:rsidRDefault="001D5241" w:rsidP="000C5EB8">
            <w:pPr>
              <w:spacing w:after="80" w:line="240" w:lineRule="auto"/>
              <w:rPr>
                <w:sz w:val="22"/>
              </w:rPr>
            </w:pPr>
            <w:r w:rsidRPr="008B68A9">
              <w:rPr>
                <w:sz w:val="22"/>
              </w:rPr>
              <w:t xml:space="preserve">Independent provider </w:t>
            </w:r>
          </w:p>
          <w:p w14:paraId="3AB6AC2B" w14:textId="76425E79" w:rsidR="001D5241" w:rsidRPr="008B68A9" w:rsidRDefault="001D5241" w:rsidP="000C5EB8">
            <w:pPr>
              <w:spacing w:after="80" w:line="240" w:lineRule="auto"/>
              <w:rPr>
                <w:sz w:val="22"/>
              </w:rPr>
            </w:pPr>
            <w:r w:rsidRPr="008B68A9">
              <w:rPr>
                <w:sz w:val="22"/>
              </w:rPr>
              <w:t>Support provider</w:t>
            </w:r>
          </w:p>
        </w:tc>
        <w:tc>
          <w:tcPr>
            <w:tcW w:w="4320" w:type="dxa"/>
          </w:tcPr>
          <w:p w14:paraId="0CF7C105" w14:textId="5FD1B9A8" w:rsidR="001D5241" w:rsidRPr="008B68A9" w:rsidRDefault="00EC5875" w:rsidP="000C5EB8">
            <w:pPr>
              <w:spacing w:after="80" w:line="240" w:lineRule="auto"/>
              <w:rPr>
                <w:sz w:val="22"/>
              </w:rPr>
            </w:pPr>
            <w:r w:rsidRPr="008B68A9">
              <w:rPr>
                <w:sz w:val="22"/>
              </w:rPr>
              <w:t>P</w:t>
            </w:r>
            <w:r w:rsidR="001D5241" w:rsidRPr="008B68A9">
              <w:rPr>
                <w:sz w:val="22"/>
              </w:rPr>
              <w:t>rovider engaged to deliver care or support</w:t>
            </w:r>
            <w:r w:rsidRPr="008B68A9">
              <w:rPr>
                <w:sz w:val="22"/>
              </w:rPr>
              <w:t xml:space="preserve"> through contracted agreement, whether statutory or third sector.</w:t>
            </w:r>
          </w:p>
        </w:tc>
      </w:tr>
      <w:tr w:rsidR="00AB68AC" w:rsidRPr="008B68A9" w14:paraId="79564AB9" w14:textId="77777777" w:rsidTr="000C5EB8">
        <w:trPr>
          <w:cantSplit/>
        </w:trPr>
        <w:tc>
          <w:tcPr>
            <w:tcW w:w="1689" w:type="dxa"/>
          </w:tcPr>
          <w:p w14:paraId="25280013" w14:textId="7E7D9DF4" w:rsidR="00AB68AC" w:rsidRPr="008B68A9" w:rsidRDefault="00AB68AC" w:rsidP="000C5EB8">
            <w:pPr>
              <w:spacing w:after="80" w:line="240" w:lineRule="auto"/>
              <w:rPr>
                <w:b/>
                <w:sz w:val="22"/>
              </w:rPr>
            </w:pPr>
            <w:r w:rsidRPr="008B68A9">
              <w:rPr>
                <w:b/>
                <w:sz w:val="22"/>
              </w:rPr>
              <w:t>Story work</w:t>
            </w:r>
          </w:p>
        </w:tc>
        <w:tc>
          <w:tcPr>
            <w:tcW w:w="2075" w:type="dxa"/>
          </w:tcPr>
          <w:p w14:paraId="0A9796DF" w14:textId="3AF6C30F" w:rsidR="00AB68AC" w:rsidRPr="008B68A9" w:rsidRDefault="00AB68AC" w:rsidP="000C5EB8">
            <w:pPr>
              <w:spacing w:after="80" w:line="240" w:lineRule="auto"/>
              <w:rPr>
                <w:sz w:val="22"/>
              </w:rPr>
            </w:pPr>
            <w:r w:rsidRPr="008B68A9">
              <w:rPr>
                <w:sz w:val="22"/>
              </w:rPr>
              <w:t>See narrative</w:t>
            </w:r>
          </w:p>
        </w:tc>
        <w:tc>
          <w:tcPr>
            <w:tcW w:w="4320" w:type="dxa"/>
          </w:tcPr>
          <w:p w14:paraId="7483A4CD" w14:textId="5FB54047" w:rsidR="00AB68AC" w:rsidRPr="008B68A9" w:rsidRDefault="00AB68AC" w:rsidP="003E5595">
            <w:pPr>
              <w:spacing w:after="80" w:line="240" w:lineRule="auto"/>
              <w:rPr>
                <w:sz w:val="22"/>
              </w:rPr>
            </w:pPr>
            <w:r w:rsidRPr="008B68A9">
              <w:rPr>
                <w:sz w:val="22"/>
              </w:rPr>
              <w:t xml:space="preserve">Story work describes the </w:t>
            </w:r>
            <w:r w:rsidR="00894C1E" w:rsidRPr="008B68A9">
              <w:rPr>
                <w:sz w:val="22"/>
              </w:rPr>
              <w:t>processes of the story teller or narrator demonstrating their stories purpose. The act may</w:t>
            </w:r>
            <w:r w:rsidRPr="008B68A9">
              <w:rPr>
                <w:sz w:val="22"/>
              </w:rPr>
              <w:t xml:space="preserve"> </w:t>
            </w:r>
            <w:r w:rsidR="00894C1E" w:rsidRPr="008B68A9">
              <w:rPr>
                <w:sz w:val="22"/>
              </w:rPr>
              <w:t>be consciously purposive</w:t>
            </w:r>
            <w:r w:rsidRPr="008B68A9">
              <w:rPr>
                <w:sz w:val="22"/>
              </w:rPr>
              <w:t xml:space="preserve"> conscious or </w:t>
            </w:r>
            <w:r w:rsidR="00894C1E" w:rsidRPr="008B68A9">
              <w:rPr>
                <w:sz w:val="22"/>
              </w:rPr>
              <w:t>part of narr</w:t>
            </w:r>
            <w:r w:rsidR="008C4E1B" w:rsidRPr="008B68A9">
              <w:rPr>
                <w:sz w:val="22"/>
              </w:rPr>
              <w:t>ative smoothing,</w:t>
            </w:r>
            <w:r w:rsidR="00A12208" w:rsidRPr="008B68A9">
              <w:rPr>
                <w:sz w:val="22"/>
              </w:rPr>
              <w:t xml:space="preserve"> </w:t>
            </w:r>
            <w:r w:rsidR="008C4E1B" w:rsidRPr="008B68A9">
              <w:rPr>
                <w:sz w:val="22"/>
              </w:rPr>
              <w:t>(see Sarbin 1986</w:t>
            </w:r>
            <w:r w:rsidR="00A12208" w:rsidRPr="008B68A9">
              <w:rPr>
                <w:sz w:val="22"/>
              </w:rPr>
              <w:t xml:space="preserve"> chap</w:t>
            </w:r>
            <w:r w:rsidR="00894C1E" w:rsidRPr="008B68A9">
              <w:rPr>
                <w:sz w:val="22"/>
              </w:rPr>
              <w:t>t</w:t>
            </w:r>
            <w:r w:rsidR="00A12208" w:rsidRPr="008B68A9">
              <w:rPr>
                <w:sz w:val="22"/>
              </w:rPr>
              <w:t>er</w:t>
            </w:r>
            <w:r w:rsidR="00894C1E" w:rsidRPr="008B68A9">
              <w:rPr>
                <w:sz w:val="22"/>
              </w:rPr>
              <w:t xml:space="preserve"> 4).</w:t>
            </w:r>
            <w:r w:rsidRPr="008B68A9">
              <w:rPr>
                <w:sz w:val="22"/>
              </w:rPr>
              <w:t xml:space="preserve"> </w:t>
            </w:r>
            <w:r w:rsidR="003E5595" w:rsidRPr="008B68A9">
              <w:rPr>
                <w:sz w:val="22"/>
              </w:rPr>
              <w:t>Story work implies all narratives have function and purpose for the narrator.</w:t>
            </w:r>
            <w:r w:rsidR="00894C1E" w:rsidRPr="008B68A9">
              <w:rPr>
                <w:sz w:val="22"/>
              </w:rPr>
              <w:t xml:space="preserve"> </w:t>
            </w:r>
          </w:p>
        </w:tc>
      </w:tr>
      <w:tr w:rsidR="00A12208" w:rsidRPr="008B68A9" w14:paraId="7FDD1C7E" w14:textId="77777777" w:rsidTr="000C5EB8">
        <w:trPr>
          <w:cantSplit/>
        </w:trPr>
        <w:tc>
          <w:tcPr>
            <w:tcW w:w="1689" w:type="dxa"/>
          </w:tcPr>
          <w:p w14:paraId="7256F298" w14:textId="476FBB29" w:rsidR="00A12208" w:rsidRPr="008B68A9" w:rsidRDefault="00A12208" w:rsidP="000C5EB8">
            <w:pPr>
              <w:spacing w:after="80" w:line="240" w:lineRule="auto"/>
              <w:rPr>
                <w:b/>
                <w:sz w:val="22"/>
              </w:rPr>
            </w:pPr>
            <w:r w:rsidRPr="008B68A9">
              <w:rPr>
                <w:b/>
                <w:sz w:val="22"/>
              </w:rPr>
              <w:t>Story-line</w:t>
            </w:r>
          </w:p>
        </w:tc>
        <w:tc>
          <w:tcPr>
            <w:tcW w:w="2075" w:type="dxa"/>
          </w:tcPr>
          <w:p w14:paraId="0CA5AECD" w14:textId="246BE5CB" w:rsidR="00A12208" w:rsidRPr="008B68A9" w:rsidRDefault="00A12208" w:rsidP="000C5EB8">
            <w:pPr>
              <w:spacing w:after="80" w:line="240" w:lineRule="auto"/>
              <w:rPr>
                <w:sz w:val="22"/>
              </w:rPr>
            </w:pPr>
            <w:r w:rsidRPr="008B68A9">
              <w:rPr>
                <w:sz w:val="22"/>
              </w:rPr>
              <w:t>Story-Line</w:t>
            </w:r>
          </w:p>
        </w:tc>
        <w:tc>
          <w:tcPr>
            <w:tcW w:w="4320" w:type="dxa"/>
          </w:tcPr>
          <w:p w14:paraId="589F23F8" w14:textId="0BE3D8E8" w:rsidR="00A12208" w:rsidRPr="008B68A9" w:rsidRDefault="00A12208" w:rsidP="003E5595">
            <w:pPr>
              <w:spacing w:after="80" w:line="240" w:lineRule="auto"/>
            </w:pPr>
            <w:r w:rsidRPr="008B68A9">
              <w:t>Used in analysis of participant interview data meaning:</w:t>
            </w:r>
          </w:p>
          <w:p w14:paraId="4B2FB26F" w14:textId="5CEF04FC" w:rsidR="00A12208" w:rsidRPr="008B68A9" w:rsidRDefault="00A12208" w:rsidP="003E5595">
            <w:pPr>
              <w:spacing w:after="80" w:line="240" w:lineRule="auto"/>
              <w:rPr>
                <w:sz w:val="22"/>
              </w:rPr>
            </w:pPr>
            <w:r w:rsidRPr="008B68A9">
              <w:rPr>
                <w:sz w:val="22"/>
              </w:rPr>
              <w:t>“…a generative sort of narrative that allows actors to draw upon various discursive categories to give meaning to specific physical or social phenomena.” (Hajer 1997 p. 56)</w:t>
            </w:r>
          </w:p>
        </w:tc>
      </w:tr>
      <w:tr w:rsidR="00E85227" w:rsidRPr="008B68A9" w14:paraId="38D34697" w14:textId="77777777" w:rsidTr="000C5EB8">
        <w:trPr>
          <w:cantSplit/>
        </w:trPr>
        <w:tc>
          <w:tcPr>
            <w:tcW w:w="1689" w:type="dxa"/>
          </w:tcPr>
          <w:p w14:paraId="0604B3EE" w14:textId="77777777" w:rsidR="00E85227" w:rsidRPr="008B68A9" w:rsidRDefault="00E85227" w:rsidP="000C5EB8">
            <w:pPr>
              <w:spacing w:after="80" w:line="240" w:lineRule="auto"/>
              <w:rPr>
                <w:b/>
                <w:sz w:val="22"/>
              </w:rPr>
            </w:pPr>
            <w:r w:rsidRPr="008B68A9">
              <w:rPr>
                <w:b/>
                <w:sz w:val="22"/>
              </w:rPr>
              <w:lastRenderedPageBreak/>
              <w:t>Support plan</w:t>
            </w:r>
          </w:p>
          <w:p w14:paraId="7D775F77" w14:textId="77777777" w:rsidR="00E85227" w:rsidRPr="008B68A9" w:rsidRDefault="00E85227" w:rsidP="000C5EB8">
            <w:pPr>
              <w:spacing w:after="80" w:line="240" w:lineRule="auto"/>
              <w:rPr>
                <w:b/>
                <w:sz w:val="22"/>
              </w:rPr>
            </w:pPr>
          </w:p>
        </w:tc>
        <w:tc>
          <w:tcPr>
            <w:tcW w:w="2075" w:type="dxa"/>
          </w:tcPr>
          <w:p w14:paraId="6796464C" w14:textId="77777777" w:rsidR="00E85227" w:rsidRPr="008B68A9" w:rsidRDefault="00447819" w:rsidP="000C5EB8">
            <w:pPr>
              <w:spacing w:after="80" w:line="240" w:lineRule="auto"/>
              <w:rPr>
                <w:sz w:val="22"/>
              </w:rPr>
            </w:pPr>
            <w:r w:rsidRPr="008B68A9">
              <w:rPr>
                <w:sz w:val="22"/>
              </w:rPr>
              <w:t>Plan</w:t>
            </w:r>
          </w:p>
          <w:p w14:paraId="0B13CB5F" w14:textId="77777777" w:rsidR="00447819" w:rsidRPr="008B68A9" w:rsidRDefault="00447819" w:rsidP="000C5EB8">
            <w:pPr>
              <w:spacing w:after="80" w:line="240" w:lineRule="auto"/>
              <w:rPr>
                <w:sz w:val="22"/>
              </w:rPr>
            </w:pPr>
            <w:r w:rsidRPr="008B68A9">
              <w:rPr>
                <w:sz w:val="22"/>
              </w:rPr>
              <w:t>Budget request</w:t>
            </w:r>
          </w:p>
        </w:tc>
        <w:tc>
          <w:tcPr>
            <w:tcW w:w="4320" w:type="dxa"/>
          </w:tcPr>
          <w:p w14:paraId="116DB55C" w14:textId="2D3F50D8" w:rsidR="00E85227" w:rsidRPr="008B68A9" w:rsidRDefault="002D184E" w:rsidP="00E46FF2">
            <w:pPr>
              <w:spacing w:after="80" w:line="240" w:lineRule="auto"/>
              <w:rPr>
                <w:sz w:val="22"/>
              </w:rPr>
            </w:pPr>
            <w:r w:rsidRPr="008B68A9">
              <w:rPr>
                <w:sz w:val="22"/>
              </w:rPr>
              <w:t>“…how an individual will spend their personal budget to best meet their support needs and get</w:t>
            </w:r>
            <w:r w:rsidR="00896D6F" w:rsidRPr="008B68A9">
              <w:rPr>
                <w:sz w:val="22"/>
              </w:rPr>
              <w:t xml:space="preserve"> [sic] </w:t>
            </w:r>
            <w:r w:rsidRPr="008B68A9">
              <w:rPr>
                <w:sz w:val="22"/>
              </w:rPr>
              <w:t>achieve their identified outcomes… created by the individual to get the life they want and may be written, videoed, or include pictures and sounds.” (In-Control 2016)</w:t>
            </w:r>
          </w:p>
        </w:tc>
      </w:tr>
      <w:tr w:rsidR="00E85227" w:rsidRPr="008B68A9" w14:paraId="610B7C14" w14:textId="77777777" w:rsidTr="000C5EB8">
        <w:trPr>
          <w:cantSplit/>
        </w:trPr>
        <w:tc>
          <w:tcPr>
            <w:tcW w:w="1689" w:type="dxa"/>
          </w:tcPr>
          <w:p w14:paraId="1C47E33A" w14:textId="77777777" w:rsidR="00E85227" w:rsidRPr="008B68A9" w:rsidRDefault="00E85227" w:rsidP="000C5EB8">
            <w:pPr>
              <w:spacing w:after="80" w:line="240" w:lineRule="auto"/>
              <w:rPr>
                <w:b/>
                <w:sz w:val="22"/>
              </w:rPr>
            </w:pPr>
            <w:r w:rsidRPr="008B68A9">
              <w:rPr>
                <w:b/>
                <w:sz w:val="22"/>
              </w:rPr>
              <w:t>Sign off panel</w:t>
            </w:r>
          </w:p>
          <w:p w14:paraId="0CE4EFC8" w14:textId="77777777" w:rsidR="00E85227" w:rsidRPr="008B68A9" w:rsidRDefault="00E85227" w:rsidP="000C5EB8">
            <w:pPr>
              <w:spacing w:after="80" w:line="240" w:lineRule="auto"/>
              <w:rPr>
                <w:b/>
                <w:sz w:val="22"/>
              </w:rPr>
            </w:pPr>
          </w:p>
        </w:tc>
        <w:tc>
          <w:tcPr>
            <w:tcW w:w="2075" w:type="dxa"/>
          </w:tcPr>
          <w:p w14:paraId="45CF789D" w14:textId="77777777" w:rsidR="00E85227" w:rsidRPr="008B68A9" w:rsidRDefault="00206314" w:rsidP="000C5EB8">
            <w:pPr>
              <w:spacing w:after="80" w:line="240" w:lineRule="auto"/>
              <w:rPr>
                <w:sz w:val="22"/>
              </w:rPr>
            </w:pPr>
            <w:r w:rsidRPr="008B68A9">
              <w:rPr>
                <w:sz w:val="22"/>
              </w:rPr>
              <w:t>Panel</w:t>
            </w:r>
          </w:p>
        </w:tc>
        <w:tc>
          <w:tcPr>
            <w:tcW w:w="4320" w:type="dxa"/>
          </w:tcPr>
          <w:p w14:paraId="4352F846" w14:textId="1769031F" w:rsidR="00E85227" w:rsidRPr="008B68A9" w:rsidRDefault="00EC5875" w:rsidP="00E46FF2">
            <w:pPr>
              <w:spacing w:after="80" w:line="240" w:lineRule="auto"/>
              <w:rPr>
                <w:sz w:val="22"/>
              </w:rPr>
            </w:pPr>
            <w:r w:rsidRPr="008B68A9">
              <w:rPr>
                <w:sz w:val="22"/>
              </w:rPr>
              <w:t>Representatives from statutory services and sometimes user</w:t>
            </w:r>
            <w:r w:rsidR="00AB0F10" w:rsidRPr="008B68A9">
              <w:rPr>
                <w:sz w:val="22"/>
              </w:rPr>
              <w:t>-</w:t>
            </w:r>
            <w:r w:rsidRPr="008B68A9">
              <w:rPr>
                <w:sz w:val="22"/>
              </w:rPr>
              <w:t xml:space="preserve">led organisations </w:t>
            </w:r>
            <w:r w:rsidR="00E46FF2" w:rsidRPr="008B68A9">
              <w:rPr>
                <w:sz w:val="22"/>
              </w:rPr>
              <w:t xml:space="preserve">who </w:t>
            </w:r>
            <w:r w:rsidRPr="008B68A9">
              <w:rPr>
                <w:sz w:val="22"/>
              </w:rPr>
              <w:t>oversee and approve support plan purchases and acquisitions.</w:t>
            </w:r>
          </w:p>
        </w:tc>
      </w:tr>
      <w:tr w:rsidR="002D184E" w:rsidRPr="008B68A9" w14:paraId="2D7B6B1F" w14:textId="77777777" w:rsidTr="000C5EB8">
        <w:trPr>
          <w:cantSplit/>
        </w:trPr>
        <w:tc>
          <w:tcPr>
            <w:tcW w:w="1689" w:type="dxa"/>
          </w:tcPr>
          <w:p w14:paraId="10A405A0" w14:textId="77777777" w:rsidR="002D184E" w:rsidRPr="008B68A9" w:rsidRDefault="002D184E" w:rsidP="000C5EB8">
            <w:pPr>
              <w:spacing w:after="80" w:line="240" w:lineRule="auto"/>
              <w:rPr>
                <w:b/>
                <w:sz w:val="22"/>
              </w:rPr>
            </w:pPr>
            <w:r w:rsidRPr="008B68A9">
              <w:rPr>
                <w:b/>
                <w:sz w:val="22"/>
              </w:rPr>
              <w:t>Traditional services</w:t>
            </w:r>
          </w:p>
          <w:p w14:paraId="7F789659" w14:textId="77777777" w:rsidR="002D184E" w:rsidRPr="008B68A9" w:rsidRDefault="002D184E" w:rsidP="000C5EB8">
            <w:pPr>
              <w:spacing w:after="80" w:line="240" w:lineRule="auto"/>
              <w:rPr>
                <w:b/>
                <w:sz w:val="22"/>
              </w:rPr>
            </w:pPr>
          </w:p>
        </w:tc>
        <w:tc>
          <w:tcPr>
            <w:tcW w:w="2075" w:type="dxa"/>
          </w:tcPr>
          <w:p w14:paraId="502CE29F" w14:textId="77777777" w:rsidR="002D184E" w:rsidRPr="008B68A9" w:rsidRDefault="002D184E" w:rsidP="000C5EB8">
            <w:pPr>
              <w:spacing w:after="80" w:line="240" w:lineRule="auto"/>
              <w:rPr>
                <w:sz w:val="22"/>
              </w:rPr>
            </w:pPr>
            <w:r w:rsidRPr="008B68A9">
              <w:rPr>
                <w:sz w:val="22"/>
              </w:rPr>
              <w:t>Traditional case-management model</w:t>
            </w:r>
            <w:r w:rsidRPr="008B68A9">
              <w:rPr>
                <w:b/>
                <w:sz w:val="22"/>
              </w:rPr>
              <w:t xml:space="preserve"> </w:t>
            </w:r>
            <w:r w:rsidRPr="008B68A9">
              <w:rPr>
                <w:sz w:val="22"/>
              </w:rPr>
              <w:t>Agency-directed care</w:t>
            </w:r>
          </w:p>
          <w:p w14:paraId="64FEC533" w14:textId="77777777" w:rsidR="002D184E" w:rsidRPr="008B68A9" w:rsidRDefault="002D184E" w:rsidP="000C5EB8">
            <w:pPr>
              <w:spacing w:after="80" w:line="240" w:lineRule="auto"/>
              <w:rPr>
                <w:sz w:val="22"/>
              </w:rPr>
            </w:pPr>
            <w:r w:rsidRPr="008B68A9">
              <w:rPr>
                <w:sz w:val="22"/>
              </w:rPr>
              <w:t>Agency-based services</w:t>
            </w:r>
          </w:p>
          <w:p w14:paraId="1CE034C2" w14:textId="77777777" w:rsidR="002D184E" w:rsidRPr="008B68A9" w:rsidRDefault="002D184E" w:rsidP="000C5EB8">
            <w:pPr>
              <w:spacing w:after="80" w:line="240" w:lineRule="auto"/>
              <w:rPr>
                <w:sz w:val="22"/>
              </w:rPr>
            </w:pPr>
            <w:r w:rsidRPr="008B68A9">
              <w:rPr>
                <w:sz w:val="22"/>
              </w:rPr>
              <w:t>Case management</w:t>
            </w:r>
          </w:p>
        </w:tc>
        <w:tc>
          <w:tcPr>
            <w:tcW w:w="4320" w:type="dxa"/>
          </w:tcPr>
          <w:p w14:paraId="6054BA49" w14:textId="39D11528" w:rsidR="002D184E" w:rsidRPr="008B68A9" w:rsidRDefault="002D184E" w:rsidP="00E46FF2">
            <w:pPr>
              <w:spacing w:after="80" w:line="240" w:lineRule="auto"/>
              <w:rPr>
                <w:sz w:val="22"/>
              </w:rPr>
            </w:pPr>
            <w:r w:rsidRPr="008B68A9">
              <w:rPr>
                <w:sz w:val="22"/>
              </w:rPr>
              <w:t>Typical or traditional agency based services who procure funds and deliver services to people as assessed</w:t>
            </w:r>
            <w:r w:rsidR="00E46FF2" w:rsidRPr="008B68A9">
              <w:rPr>
                <w:sz w:val="22"/>
              </w:rPr>
              <w:t xml:space="preserve">; </w:t>
            </w:r>
            <w:r w:rsidRPr="008B68A9">
              <w:rPr>
                <w:sz w:val="22"/>
              </w:rPr>
              <w:t xml:space="preserve">may be statutory health, (NHS), or </w:t>
            </w:r>
            <w:r w:rsidR="00E46FF2" w:rsidRPr="008B68A9">
              <w:rPr>
                <w:sz w:val="22"/>
              </w:rPr>
              <w:t>l</w:t>
            </w:r>
            <w:r w:rsidRPr="008B68A9">
              <w:rPr>
                <w:sz w:val="22"/>
              </w:rPr>
              <w:t xml:space="preserve">ocal </w:t>
            </w:r>
            <w:r w:rsidR="00E46FF2" w:rsidRPr="008B68A9">
              <w:rPr>
                <w:sz w:val="22"/>
              </w:rPr>
              <w:t>a</w:t>
            </w:r>
            <w:r w:rsidRPr="008B68A9">
              <w:rPr>
                <w:sz w:val="22"/>
              </w:rPr>
              <w:t>uthority, or a combination of both.</w:t>
            </w:r>
          </w:p>
        </w:tc>
      </w:tr>
      <w:tr w:rsidR="002D184E" w:rsidRPr="008B68A9" w14:paraId="2FB37992" w14:textId="77777777" w:rsidTr="000C5EB8">
        <w:trPr>
          <w:cantSplit/>
        </w:trPr>
        <w:tc>
          <w:tcPr>
            <w:tcW w:w="8084" w:type="dxa"/>
            <w:gridSpan w:val="3"/>
          </w:tcPr>
          <w:p w14:paraId="72C94D9D" w14:textId="47623F1C" w:rsidR="002D184E" w:rsidRPr="008B68A9" w:rsidRDefault="002D184E" w:rsidP="000C5EB8">
            <w:pPr>
              <w:spacing w:after="80" w:line="240" w:lineRule="auto"/>
              <w:jc w:val="right"/>
              <w:rPr>
                <w:sz w:val="22"/>
              </w:rPr>
            </w:pPr>
            <w:r w:rsidRPr="008B68A9">
              <w:rPr>
                <w:sz w:val="22"/>
              </w:rPr>
              <w:t>Format modified</w:t>
            </w:r>
            <w:r w:rsidR="003F3DEE" w:rsidRPr="008B68A9">
              <w:rPr>
                <w:sz w:val="22"/>
              </w:rPr>
              <w:t xml:space="preserve"> with permission</w:t>
            </w:r>
            <w:r w:rsidRPr="008B68A9">
              <w:rPr>
                <w:sz w:val="22"/>
              </w:rPr>
              <w:t xml:space="preserve"> from Crozier </w:t>
            </w:r>
            <w:r w:rsidR="00AC06A3" w:rsidRPr="008B68A9">
              <w:rPr>
                <w:i/>
                <w:sz w:val="22"/>
              </w:rPr>
              <w:t>et al.</w:t>
            </w:r>
            <w:r w:rsidRPr="008B68A9">
              <w:rPr>
                <w:sz w:val="22"/>
              </w:rPr>
              <w:t xml:space="preserve"> 2012</w:t>
            </w:r>
          </w:p>
        </w:tc>
      </w:tr>
    </w:tbl>
    <w:p w14:paraId="134BA17F" w14:textId="77777777" w:rsidR="008C2722" w:rsidRPr="008B68A9" w:rsidRDefault="00AC3092" w:rsidP="00AC3092">
      <w:pPr>
        <w:tabs>
          <w:tab w:val="left" w:pos="5509"/>
        </w:tabs>
      </w:pPr>
      <w:r w:rsidRPr="008B68A9">
        <w:tab/>
      </w:r>
    </w:p>
    <w:p w14:paraId="577F353D" w14:textId="77777777" w:rsidR="00643114" w:rsidRPr="008B68A9" w:rsidRDefault="00643114" w:rsidP="00643114">
      <w:r w:rsidRPr="008B68A9">
        <w:br w:type="page"/>
      </w:r>
    </w:p>
    <w:p w14:paraId="462A5687" w14:textId="7DD8B6B4" w:rsidR="004A5A76" w:rsidRPr="008B68A9" w:rsidRDefault="00232096" w:rsidP="00C63FF5">
      <w:pPr>
        <w:pStyle w:val="1L1header"/>
      </w:pPr>
      <w:bookmarkStart w:id="9" w:name="_Toc466800271"/>
      <w:r w:rsidRPr="008B68A9">
        <w:lastRenderedPageBreak/>
        <w:t>Chapter 1</w:t>
      </w:r>
      <w:bookmarkEnd w:id="8"/>
      <w:r w:rsidR="00234D02" w:rsidRPr="008B68A9">
        <w:t>: Setting the scene</w:t>
      </w:r>
      <w:bookmarkEnd w:id="9"/>
    </w:p>
    <w:p w14:paraId="61464C10" w14:textId="5D74BF91" w:rsidR="004A5A76" w:rsidRPr="008B68A9" w:rsidRDefault="004A5A76" w:rsidP="00DA13FA">
      <w:pPr>
        <w:pStyle w:val="2L2header"/>
      </w:pPr>
      <w:bookmarkStart w:id="10" w:name="_Toc413827330"/>
      <w:bookmarkStart w:id="11" w:name="_Toc466800272"/>
      <w:r w:rsidRPr="008B68A9">
        <w:t>1.1 Introduction to the thesis</w:t>
      </w:r>
      <w:bookmarkEnd w:id="10"/>
      <w:bookmarkEnd w:id="11"/>
    </w:p>
    <w:p w14:paraId="60E0E58A" w14:textId="642A9050" w:rsidR="0055364C" w:rsidRPr="008B68A9" w:rsidRDefault="004A5A76" w:rsidP="002F0FD7">
      <w:pPr>
        <w:pStyle w:val="5arangedleft"/>
      </w:pPr>
      <w:r w:rsidRPr="008B68A9">
        <w:t xml:space="preserve">This thesis </w:t>
      </w:r>
      <w:r w:rsidR="00BE6762" w:rsidRPr="008B68A9">
        <w:t>examines</w:t>
      </w:r>
      <w:r w:rsidR="00F2655D" w:rsidRPr="008B68A9">
        <w:t xml:space="preserve"> the way</w:t>
      </w:r>
      <w:r w:rsidR="00BE6762" w:rsidRPr="008B68A9">
        <w:t>s</w:t>
      </w:r>
      <w:r w:rsidRPr="008B68A9">
        <w:t xml:space="preserve"> </w:t>
      </w:r>
      <w:r w:rsidR="00BE6762" w:rsidRPr="008B68A9">
        <w:t>participants</w:t>
      </w:r>
      <w:r w:rsidRPr="008B68A9">
        <w:t xml:space="preserve"> </w:t>
      </w:r>
      <w:r w:rsidR="00F2655D" w:rsidRPr="008B68A9">
        <w:t xml:space="preserve">who have been </w:t>
      </w:r>
      <w:r w:rsidRPr="008B68A9">
        <w:t xml:space="preserve">involved </w:t>
      </w:r>
      <w:r w:rsidR="00A52DCE" w:rsidRPr="008B68A9">
        <w:t>with</w:t>
      </w:r>
      <w:r w:rsidRPr="008B68A9">
        <w:t xml:space="preserve"> personalisation </w:t>
      </w:r>
      <w:r w:rsidR="003A0225" w:rsidRPr="008B68A9">
        <w:t>pilot projects</w:t>
      </w:r>
      <w:r w:rsidR="00BE6762" w:rsidRPr="008B68A9">
        <w:t xml:space="preserve"> create their </w:t>
      </w:r>
      <w:r w:rsidR="00E46FF2" w:rsidRPr="008B68A9">
        <w:t xml:space="preserve">identity </w:t>
      </w:r>
      <w:r w:rsidR="00BE6762" w:rsidRPr="008B68A9">
        <w:t xml:space="preserve">and </w:t>
      </w:r>
      <w:r w:rsidR="00E46FF2" w:rsidRPr="008B68A9">
        <w:t xml:space="preserve">that </w:t>
      </w:r>
      <w:r w:rsidR="00BE6762" w:rsidRPr="008B68A9">
        <w:t>of others</w:t>
      </w:r>
      <w:r w:rsidR="0055364C" w:rsidRPr="008B68A9">
        <w:t xml:space="preserve"> in </w:t>
      </w:r>
      <w:r w:rsidR="00C757E6" w:rsidRPr="008B68A9">
        <w:t>through</w:t>
      </w:r>
      <w:r w:rsidR="0055364C" w:rsidRPr="008B68A9">
        <w:t xml:space="preserve"> their personal narratives. The work combines semi-structured interview data from four personal budget implementation studies undertaken by this researcher between 2008 and 2011</w:t>
      </w:r>
      <w:r w:rsidR="00DF3EC4" w:rsidRPr="008B68A9">
        <w:t>.</w:t>
      </w:r>
      <w:r w:rsidR="00415741" w:rsidRPr="008B68A9">
        <w:t xml:space="preserve"> </w:t>
      </w:r>
      <w:r w:rsidR="00DF3EC4" w:rsidRPr="008B68A9">
        <w:t>The narratives</w:t>
      </w:r>
      <w:r w:rsidR="0055364C" w:rsidRPr="008B68A9">
        <w:t xml:space="preserve"> </w:t>
      </w:r>
      <w:r w:rsidR="00DF3EC4" w:rsidRPr="008B68A9">
        <w:t>are used</w:t>
      </w:r>
      <w:r w:rsidR="0055364C" w:rsidRPr="008B68A9">
        <w:t xml:space="preserve"> </w:t>
      </w:r>
      <w:r w:rsidR="00C757E6" w:rsidRPr="008B68A9">
        <w:t>in</w:t>
      </w:r>
      <w:r w:rsidR="0055364C" w:rsidRPr="008B68A9">
        <w:t xml:space="preserve"> a collective case study after Stake (2000)</w:t>
      </w:r>
      <w:r w:rsidR="00DF3EC4" w:rsidRPr="008B68A9">
        <w:t xml:space="preserve">, </w:t>
      </w:r>
      <w:r w:rsidR="00E46FF2" w:rsidRPr="008B68A9">
        <w:t xml:space="preserve">and </w:t>
      </w:r>
      <w:r w:rsidR="00C757E6" w:rsidRPr="008B68A9">
        <w:t>were</w:t>
      </w:r>
      <w:r w:rsidR="00E46FF2" w:rsidRPr="008B68A9">
        <w:t xml:space="preserve"> obtained </w:t>
      </w:r>
      <w:r w:rsidR="00DF3EC4" w:rsidRPr="008B68A9">
        <w:t>from</w:t>
      </w:r>
      <w:r w:rsidR="00CC0B15" w:rsidRPr="008B68A9">
        <w:t xml:space="preserve"> participants </w:t>
      </w:r>
      <w:r w:rsidR="00C757E6" w:rsidRPr="008B68A9">
        <w:t>including</w:t>
      </w:r>
      <w:r w:rsidR="00E46FF2" w:rsidRPr="008B68A9">
        <w:t xml:space="preserve"> </w:t>
      </w:r>
      <w:r w:rsidR="00DF3EC4" w:rsidRPr="008B68A9">
        <w:t>budget</w:t>
      </w:r>
      <w:r w:rsidR="00CC0B15" w:rsidRPr="008B68A9">
        <w:t xml:space="preserve"> users, carers, </w:t>
      </w:r>
      <w:r w:rsidR="00E46FF2" w:rsidRPr="008B68A9">
        <w:t xml:space="preserve">and </w:t>
      </w:r>
      <w:r w:rsidR="00CC0B15" w:rsidRPr="008B68A9">
        <w:t>support planning brokers</w:t>
      </w:r>
      <w:r w:rsidR="00E46FF2" w:rsidRPr="008B68A9">
        <w:t>,</w:t>
      </w:r>
      <w:r w:rsidR="00CC0B15" w:rsidRPr="008B68A9">
        <w:t xml:space="preserve"> </w:t>
      </w:r>
      <w:r w:rsidR="00E46FF2" w:rsidRPr="008B68A9">
        <w:t xml:space="preserve">including </w:t>
      </w:r>
      <w:r w:rsidR="00CC0B15" w:rsidRPr="008B68A9">
        <w:t>professionals and their managers from health and social services settings.</w:t>
      </w:r>
      <w:r w:rsidR="00415741" w:rsidRPr="008B68A9">
        <w:t xml:space="preserve"> </w:t>
      </w:r>
      <w:r w:rsidR="00C757E6" w:rsidRPr="008B68A9">
        <w:t>The majority of tho</w:t>
      </w:r>
      <w:r w:rsidR="00CC0B15" w:rsidRPr="008B68A9">
        <w:t>se professionals</w:t>
      </w:r>
      <w:r w:rsidR="00D23FA4" w:rsidRPr="008B68A9">
        <w:t>, whether front line or managerial</w:t>
      </w:r>
      <w:r w:rsidR="00E46FF2" w:rsidRPr="008B68A9">
        <w:t>,</w:t>
      </w:r>
      <w:r w:rsidR="00D23FA4" w:rsidRPr="008B68A9">
        <w:t xml:space="preserve"> were</w:t>
      </w:r>
      <w:r w:rsidR="00CC0B15" w:rsidRPr="008B68A9">
        <w:t xml:space="preserve"> qualified in mental health nursing or social work</w:t>
      </w:r>
      <w:r w:rsidR="00E46FF2" w:rsidRPr="008B68A9">
        <w:t>,</w:t>
      </w:r>
      <w:r w:rsidR="00DF3EC4" w:rsidRPr="008B68A9">
        <w:t xml:space="preserve"> and employed </w:t>
      </w:r>
      <w:r w:rsidR="007B7B6E" w:rsidRPr="008B68A9">
        <w:t>by the</w:t>
      </w:r>
      <w:r w:rsidR="00DF3EC4" w:rsidRPr="008B68A9">
        <w:t xml:space="preserve"> National H</w:t>
      </w:r>
      <w:r w:rsidR="007B7B6E" w:rsidRPr="008B68A9">
        <w:t>ealth Service</w:t>
      </w:r>
      <w:r w:rsidR="00E46FF2" w:rsidRPr="008B68A9">
        <w:t xml:space="preserve"> (NHS)</w:t>
      </w:r>
      <w:r w:rsidR="007B7B6E" w:rsidRPr="008B68A9">
        <w:t xml:space="preserve"> or </w:t>
      </w:r>
      <w:r w:rsidR="00E46FF2" w:rsidRPr="008B68A9">
        <w:t>l</w:t>
      </w:r>
      <w:r w:rsidR="007B7B6E" w:rsidRPr="008B68A9">
        <w:t xml:space="preserve">ocal </w:t>
      </w:r>
      <w:r w:rsidR="00E46FF2" w:rsidRPr="008B68A9">
        <w:t>a</w:t>
      </w:r>
      <w:r w:rsidR="00C757E6" w:rsidRPr="008B68A9">
        <w:t>uthority</w:t>
      </w:r>
      <w:r w:rsidR="007B7B6E" w:rsidRPr="008B68A9">
        <w:t>.</w:t>
      </w:r>
    </w:p>
    <w:p w14:paraId="2ED2D645" w14:textId="1F117BC1" w:rsidR="008E1574" w:rsidRPr="008B68A9" w:rsidRDefault="0055364C" w:rsidP="002F0FD7">
      <w:pPr>
        <w:pStyle w:val="5arangedleft"/>
      </w:pPr>
      <w:r w:rsidRPr="008B68A9">
        <w:t>T</w:t>
      </w:r>
      <w:r w:rsidR="00BE6762" w:rsidRPr="008B68A9">
        <w:t xml:space="preserve">he context of </w:t>
      </w:r>
      <w:r w:rsidRPr="008B68A9">
        <w:t>a dominant discourse of</w:t>
      </w:r>
      <w:r w:rsidR="00BE6762" w:rsidRPr="008B68A9">
        <w:t xml:space="preserve"> consu</w:t>
      </w:r>
      <w:r w:rsidRPr="008B68A9">
        <w:t xml:space="preserve">mer choice </w:t>
      </w:r>
      <w:r w:rsidR="0007009C" w:rsidRPr="008B68A9">
        <w:t>and indi</w:t>
      </w:r>
      <w:r w:rsidR="00BD7D5C" w:rsidRPr="008B68A9">
        <w:t xml:space="preserve">vidualisation in public services </w:t>
      </w:r>
      <w:r w:rsidR="0007009C" w:rsidRPr="008B68A9">
        <w:t xml:space="preserve">will be discussed in terms of United Kingdom and </w:t>
      </w:r>
      <w:r w:rsidR="009247E5" w:rsidRPr="008B68A9">
        <w:t xml:space="preserve">wider </w:t>
      </w:r>
      <w:r w:rsidR="0007009C" w:rsidRPr="008B68A9">
        <w:t>international perspectives</w:t>
      </w:r>
      <w:r w:rsidR="00E4674B" w:rsidRPr="008B68A9">
        <w:t>,</w:t>
      </w:r>
      <w:r w:rsidR="0007009C" w:rsidRPr="008B68A9">
        <w:t xml:space="preserve"> </w:t>
      </w:r>
      <w:r w:rsidR="009247E5" w:rsidRPr="008B68A9">
        <w:t>as will</w:t>
      </w:r>
      <w:r w:rsidR="00FE0051" w:rsidRPr="008B68A9">
        <w:t xml:space="preserve"> the relationship between user-</w:t>
      </w:r>
      <w:r w:rsidR="0007009C" w:rsidRPr="008B68A9">
        <w:t>led self-</w:t>
      </w:r>
      <w:r w:rsidRPr="008B68A9">
        <w:t>determination</w:t>
      </w:r>
      <w:r w:rsidR="0007009C" w:rsidRPr="008B68A9">
        <w:t xml:space="preserve"> </w:t>
      </w:r>
      <w:r w:rsidR="0059229A" w:rsidRPr="008B68A9">
        <w:t>and economic austerity.</w:t>
      </w:r>
      <w:r w:rsidR="00FE0051" w:rsidRPr="008B68A9">
        <w:t xml:space="preserve"> There is a dearth of </w:t>
      </w:r>
      <w:r w:rsidR="00BD7D5C" w:rsidRPr="008B68A9">
        <w:t xml:space="preserve">personalisation </w:t>
      </w:r>
      <w:r w:rsidR="00FE0051" w:rsidRPr="008B68A9">
        <w:t>literature analysi</w:t>
      </w:r>
      <w:r w:rsidR="00E46FF2" w:rsidRPr="008B68A9">
        <w:t>ng</w:t>
      </w:r>
      <w:r w:rsidR="00FE0051" w:rsidRPr="008B68A9">
        <w:t xml:space="preserve"> the impact </w:t>
      </w:r>
      <w:r w:rsidR="00BD7D5C" w:rsidRPr="008B68A9">
        <w:t>it</w:t>
      </w:r>
      <w:r w:rsidR="00FE0051" w:rsidRPr="008B68A9">
        <w:t xml:space="preserve"> has on the experiences of people with mental health problems compared to other groups of need.</w:t>
      </w:r>
      <w:r w:rsidR="00415741" w:rsidRPr="008B68A9">
        <w:t xml:space="preserve"> </w:t>
      </w:r>
      <w:r w:rsidR="00FE0051" w:rsidRPr="008B68A9">
        <w:t>This</w:t>
      </w:r>
      <w:r w:rsidR="00BE6762" w:rsidRPr="008B68A9">
        <w:t xml:space="preserve"> study will explore</w:t>
      </w:r>
      <w:r w:rsidR="00E46FF2" w:rsidRPr="008B68A9">
        <w:t>,</w:t>
      </w:r>
      <w:r w:rsidR="00BE6762" w:rsidRPr="008B68A9">
        <w:t xml:space="preserve"> through participant narratives, the constructions of budget users, case management professionals and personnel fulfilling brokerage roles using personal budgets</w:t>
      </w:r>
      <w:r w:rsidR="00FE0051" w:rsidRPr="008B68A9">
        <w:t xml:space="preserve"> in mental health settings.</w:t>
      </w:r>
    </w:p>
    <w:p w14:paraId="6972E78F" w14:textId="6C3837CD" w:rsidR="00232096" w:rsidRPr="008B68A9" w:rsidRDefault="00480412" w:rsidP="002F0FD7">
      <w:pPr>
        <w:pStyle w:val="5arangedleft"/>
      </w:pPr>
      <w:r w:rsidRPr="008B68A9">
        <w:t>Participant</w:t>
      </w:r>
      <w:r w:rsidR="0015585A" w:rsidRPr="008B68A9">
        <w:t xml:space="preserve"> </w:t>
      </w:r>
      <w:r w:rsidR="009B4414" w:rsidRPr="008B68A9">
        <w:t xml:space="preserve">narrative </w:t>
      </w:r>
      <w:r w:rsidR="00C05580" w:rsidRPr="008B68A9">
        <w:t xml:space="preserve">journeys </w:t>
      </w:r>
      <w:r w:rsidR="00600CF7" w:rsidRPr="008B68A9">
        <w:t>are</w:t>
      </w:r>
      <w:r w:rsidR="00C05580" w:rsidRPr="008B68A9">
        <w:t xml:space="preserve"> described</w:t>
      </w:r>
      <w:r w:rsidR="00FB24B6" w:rsidRPr="008B68A9">
        <w:t xml:space="preserve"> </w:t>
      </w:r>
      <w:r w:rsidR="00846E58" w:rsidRPr="008B68A9">
        <w:t>through a social constructionist lens</w:t>
      </w:r>
      <w:r w:rsidR="008E1574" w:rsidRPr="008B68A9">
        <w:t xml:space="preserve"> (Burr 19</w:t>
      </w:r>
      <w:r w:rsidR="00D3195F" w:rsidRPr="008B68A9">
        <w:t>95</w:t>
      </w:r>
      <w:r w:rsidR="008E1574" w:rsidRPr="008B68A9">
        <w:t>)</w:t>
      </w:r>
      <w:r w:rsidR="003B3472" w:rsidRPr="008B68A9">
        <w:t>:</w:t>
      </w:r>
      <w:r w:rsidR="00846E58" w:rsidRPr="008B68A9">
        <w:t xml:space="preserve"> in particular I use narrative trajectory </w:t>
      </w:r>
      <w:r w:rsidR="00D3195F" w:rsidRPr="008B68A9">
        <w:t>(Gergen and Gergen 1983,</w:t>
      </w:r>
      <w:r w:rsidR="00B7017E" w:rsidRPr="008B68A9">
        <w:t xml:space="preserve"> 1986), </w:t>
      </w:r>
      <w:r w:rsidR="00846E58" w:rsidRPr="008B68A9">
        <w:t>positioning</w:t>
      </w:r>
      <w:r w:rsidR="00D3195F" w:rsidRPr="008B68A9">
        <w:t xml:space="preserve"> theory</w:t>
      </w:r>
      <w:r w:rsidR="00846E58" w:rsidRPr="008B68A9">
        <w:t xml:space="preserve"> </w:t>
      </w:r>
      <w:r w:rsidR="00B7017E" w:rsidRPr="008B68A9">
        <w:t>(</w:t>
      </w:r>
      <w:r w:rsidR="00E66195" w:rsidRPr="008B68A9">
        <w:t xml:space="preserve">Harré and </w:t>
      </w:r>
      <w:r w:rsidR="00B7017E" w:rsidRPr="008B68A9">
        <w:t xml:space="preserve">Van Langenhove 1999, Harré </w:t>
      </w:r>
      <w:r w:rsidR="00E66195" w:rsidRPr="008B68A9">
        <w:t>2008</w:t>
      </w:r>
      <w:r w:rsidR="00B7017E" w:rsidRPr="008B68A9">
        <w:t xml:space="preserve">), story-line work (Needham 2011a), </w:t>
      </w:r>
      <w:r w:rsidR="00846E58" w:rsidRPr="008B68A9">
        <w:t xml:space="preserve">and </w:t>
      </w:r>
      <w:r w:rsidR="00D3195F" w:rsidRPr="008B68A9">
        <w:t xml:space="preserve">the concept of </w:t>
      </w:r>
      <w:r w:rsidR="00846E58" w:rsidRPr="008B68A9">
        <w:t>conventi</w:t>
      </w:r>
      <w:r w:rsidR="00B7017E" w:rsidRPr="008B68A9">
        <w:t>ons</w:t>
      </w:r>
      <w:r w:rsidR="00846E58" w:rsidRPr="008B68A9">
        <w:t xml:space="preserve"> of warrant</w:t>
      </w:r>
      <w:r w:rsidR="00D3195F" w:rsidRPr="008B68A9">
        <w:t xml:space="preserve"> (Gergen </w:t>
      </w:r>
      <w:r w:rsidR="00C1176D" w:rsidRPr="008B68A9">
        <w:t>1989</w:t>
      </w:r>
      <w:r w:rsidR="00D3195F" w:rsidRPr="008B68A9">
        <w:t>). These approaches are used</w:t>
      </w:r>
      <w:r w:rsidR="00846E58" w:rsidRPr="008B68A9">
        <w:t xml:space="preserve"> as devices to </w:t>
      </w:r>
      <w:r w:rsidR="009B4414" w:rsidRPr="008B68A9">
        <w:t xml:space="preserve">explore </w:t>
      </w:r>
      <w:r w:rsidR="00846E58" w:rsidRPr="008B68A9">
        <w:t>participants’</w:t>
      </w:r>
      <w:r w:rsidR="009B4414" w:rsidRPr="008B68A9">
        <w:t xml:space="preserve"> identity work undertaken through their speech acts as they engage in personalisation processes. </w:t>
      </w:r>
      <w:r w:rsidRPr="008B68A9">
        <w:t>This</w:t>
      </w:r>
      <w:r w:rsidR="009B4414" w:rsidRPr="008B68A9">
        <w:t xml:space="preserve"> thesis offers a framework </w:t>
      </w:r>
      <w:r w:rsidRPr="008B68A9">
        <w:t>that outlines</w:t>
      </w:r>
      <w:r w:rsidR="009B4414" w:rsidRPr="008B68A9">
        <w:t xml:space="preserve"> the narrative journeys </w:t>
      </w:r>
      <w:r w:rsidR="00CC0B15" w:rsidRPr="008B68A9">
        <w:t>expressed</w:t>
      </w:r>
      <w:r w:rsidR="009B4414" w:rsidRPr="008B68A9">
        <w:t xml:space="preserve"> by recipients </w:t>
      </w:r>
      <w:r w:rsidR="00CC0B15" w:rsidRPr="008B68A9">
        <w:t>as they cast and recast their identities</w:t>
      </w:r>
      <w:r w:rsidR="003B3472" w:rsidRPr="008B68A9">
        <w:t>,</w:t>
      </w:r>
      <w:r w:rsidR="00CC0B15" w:rsidRPr="008B68A9">
        <w:t xml:space="preserve"> </w:t>
      </w:r>
      <w:r w:rsidR="009B4414" w:rsidRPr="008B68A9">
        <w:t xml:space="preserve">and their resultant orientation to </w:t>
      </w:r>
      <w:r w:rsidR="009B4414" w:rsidRPr="008B68A9">
        <w:lastRenderedPageBreak/>
        <w:t>personalisation</w:t>
      </w:r>
      <w:r w:rsidR="003B3472" w:rsidRPr="008B68A9">
        <w:t>,</w:t>
      </w:r>
      <w:r w:rsidR="00BE6762" w:rsidRPr="008B68A9">
        <w:t xml:space="preserve"> and suggests what t</w:t>
      </w:r>
      <w:r w:rsidR="00373F17" w:rsidRPr="008B68A9">
        <w:t xml:space="preserve">he implications </w:t>
      </w:r>
      <w:r w:rsidR="00BE6762" w:rsidRPr="008B68A9">
        <w:t xml:space="preserve">of this work </w:t>
      </w:r>
      <w:r w:rsidR="003B3472" w:rsidRPr="008B68A9">
        <w:t>are</w:t>
      </w:r>
      <w:r w:rsidR="00BE6762" w:rsidRPr="008B68A9">
        <w:t xml:space="preserve"> </w:t>
      </w:r>
      <w:r w:rsidR="00373F17" w:rsidRPr="008B68A9">
        <w:t xml:space="preserve">for </w:t>
      </w:r>
      <w:r w:rsidR="00C05580" w:rsidRPr="008B68A9">
        <w:t xml:space="preserve">personalisation in mental health </w:t>
      </w:r>
      <w:r w:rsidR="00373F17" w:rsidRPr="008B68A9">
        <w:t>practice</w:t>
      </w:r>
      <w:r w:rsidR="00BE6762" w:rsidRPr="008B68A9">
        <w:t xml:space="preserve"> and</w:t>
      </w:r>
      <w:r w:rsidR="00C05580" w:rsidRPr="008B68A9">
        <w:t xml:space="preserve"> training</w:t>
      </w:r>
      <w:r w:rsidR="00373F17" w:rsidRPr="008B68A9">
        <w:t>.</w:t>
      </w:r>
    </w:p>
    <w:p w14:paraId="782A58A0" w14:textId="01B28FCB" w:rsidR="004A5A76" w:rsidRPr="008B68A9" w:rsidRDefault="004A5A76" w:rsidP="00DA13FA">
      <w:pPr>
        <w:pStyle w:val="2L2header"/>
      </w:pPr>
      <w:bookmarkStart w:id="12" w:name="_Toc413827331"/>
      <w:bookmarkStart w:id="13" w:name="_Toc466800273"/>
      <w:r w:rsidRPr="008B68A9">
        <w:t>1.2 Objectives</w:t>
      </w:r>
      <w:bookmarkEnd w:id="12"/>
      <w:bookmarkEnd w:id="13"/>
    </w:p>
    <w:p w14:paraId="0B96DFC0" w14:textId="569F00B0" w:rsidR="00373F17" w:rsidRPr="008B68A9" w:rsidRDefault="00864ED9" w:rsidP="002F0FD7">
      <w:pPr>
        <w:pStyle w:val="5arangedleft"/>
      </w:pPr>
      <w:r w:rsidRPr="008B68A9">
        <w:t xml:space="preserve">The objectives of this thesis are framed </w:t>
      </w:r>
      <w:r w:rsidR="000C6898" w:rsidRPr="008B68A9">
        <w:t>by the multiple narratives that have been produced by the introduction and growth of personalisation in public service arenas</w:t>
      </w:r>
      <w:r w:rsidR="003B3472" w:rsidRPr="008B68A9">
        <w:t>,</w:t>
      </w:r>
      <w:r w:rsidR="000C6898" w:rsidRPr="008B68A9">
        <w:t xml:space="preserve"> where a single strand or interpretation is not possible.</w:t>
      </w:r>
      <w:r w:rsidR="00415741" w:rsidRPr="008B68A9">
        <w:t xml:space="preserve"> </w:t>
      </w:r>
      <w:r w:rsidR="000C6898" w:rsidRPr="008B68A9">
        <w:t>The presence of multiple interpretations of personal</w:t>
      </w:r>
      <w:r w:rsidR="00D36442" w:rsidRPr="008B68A9">
        <w:t>is</w:t>
      </w:r>
      <w:r w:rsidR="000C6898" w:rsidRPr="008B68A9">
        <w:t xml:space="preserve">ation by actors from a wide range of backgrounds and interests makes an examination of </w:t>
      </w:r>
      <w:r w:rsidR="00D36442" w:rsidRPr="008B68A9">
        <w:t>personalisation</w:t>
      </w:r>
      <w:r w:rsidR="000C6898" w:rsidRPr="008B68A9">
        <w:t xml:space="preserve"> </w:t>
      </w:r>
      <w:r w:rsidR="00835A1B" w:rsidRPr="008B68A9">
        <w:t>interesting</w:t>
      </w:r>
      <w:r w:rsidR="00D36442" w:rsidRPr="008B68A9">
        <w:t xml:space="preserve"> and relevant</w:t>
      </w:r>
      <w:r w:rsidR="003B3472" w:rsidRPr="008B68A9">
        <w:t>,</w:t>
      </w:r>
      <w:r w:rsidR="00D36442" w:rsidRPr="008B68A9">
        <w:t xml:space="preserve"> particularly as the concept has garnered broad support from disparate </w:t>
      </w:r>
      <w:r w:rsidR="00480412" w:rsidRPr="008B68A9">
        <w:t>interests</w:t>
      </w:r>
      <w:r w:rsidR="00D36442" w:rsidRPr="008B68A9">
        <w:t>.</w:t>
      </w:r>
      <w:r w:rsidR="00415741" w:rsidRPr="008B68A9">
        <w:t xml:space="preserve"> </w:t>
      </w:r>
      <w:r w:rsidR="000065E2" w:rsidRPr="008B68A9">
        <w:t>Personalisation produces</w:t>
      </w:r>
      <w:r w:rsidR="00676A8D" w:rsidRPr="008B68A9">
        <w:t xml:space="preserve"> multiple interpretations</w:t>
      </w:r>
      <w:r w:rsidR="003B3472" w:rsidRPr="008B68A9">
        <w:t>,</w:t>
      </w:r>
      <w:r w:rsidR="00676A8D" w:rsidRPr="008B68A9">
        <w:t xml:space="preserve"> from social justice</w:t>
      </w:r>
      <w:r w:rsidR="003B3472" w:rsidRPr="008B68A9">
        <w:t xml:space="preserve"> and</w:t>
      </w:r>
      <w:r w:rsidR="00676A8D" w:rsidRPr="008B68A9">
        <w:t xml:space="preserve"> self-determination</w:t>
      </w:r>
      <w:r w:rsidR="003B3472" w:rsidRPr="008B68A9">
        <w:t>, to</w:t>
      </w:r>
      <w:r w:rsidR="00676A8D" w:rsidRPr="008B68A9">
        <w:t xml:space="preserve"> economic philosophical arguments of neo-liberalism</w:t>
      </w:r>
      <w:r w:rsidR="000065E2" w:rsidRPr="008B68A9">
        <w:t xml:space="preserve"> and commodification</w:t>
      </w:r>
      <w:r w:rsidR="003B3472" w:rsidRPr="008B68A9">
        <w:t>;</w:t>
      </w:r>
      <w:r w:rsidR="000065E2" w:rsidRPr="008B68A9">
        <w:t xml:space="preserve"> no one dominant narrative of personalisation exists.</w:t>
      </w:r>
      <w:r w:rsidR="00415741" w:rsidRPr="008B68A9">
        <w:t xml:space="preserve"> </w:t>
      </w:r>
      <w:r w:rsidR="000065E2" w:rsidRPr="008B68A9">
        <w:t>N</w:t>
      </w:r>
      <w:r w:rsidR="00D36442" w:rsidRPr="008B68A9">
        <w:t>or can there be a single</w:t>
      </w:r>
      <w:r w:rsidR="000065E2" w:rsidRPr="008B68A9">
        <w:t xml:space="preserve"> shared</w:t>
      </w:r>
      <w:r w:rsidR="00D36442" w:rsidRPr="008B68A9">
        <w:t xml:space="preserve"> reality</w:t>
      </w:r>
      <w:r w:rsidR="00172F93" w:rsidRPr="008B68A9">
        <w:t>,</w:t>
      </w:r>
      <w:r w:rsidR="000065E2" w:rsidRPr="008B68A9">
        <w:t xml:space="preserve"> as our interactions produce </w:t>
      </w:r>
      <w:r w:rsidR="00733AED" w:rsidRPr="008B68A9">
        <w:t>identity</w:t>
      </w:r>
      <w:r w:rsidR="00D36442" w:rsidRPr="008B68A9">
        <w:t xml:space="preserve"> </w:t>
      </w:r>
      <w:r w:rsidR="00733AED" w:rsidRPr="008B68A9">
        <w:t>through</w:t>
      </w:r>
      <w:r w:rsidR="00676A8D" w:rsidRPr="008B68A9">
        <w:t xml:space="preserve"> </w:t>
      </w:r>
      <w:r w:rsidR="00D36442" w:rsidRPr="008B68A9">
        <w:t xml:space="preserve">socially constructed </w:t>
      </w:r>
      <w:r w:rsidR="00083C00" w:rsidRPr="008B68A9">
        <w:t>action</w:t>
      </w:r>
      <w:r w:rsidR="00676A8D" w:rsidRPr="008B68A9">
        <w:t>.</w:t>
      </w:r>
      <w:r w:rsidR="00415741" w:rsidRPr="008B68A9">
        <w:t xml:space="preserve"> </w:t>
      </w:r>
      <w:r w:rsidR="00733AED" w:rsidRPr="008B68A9">
        <w:t>The overall interest of this author is to explore</w:t>
      </w:r>
      <w:r w:rsidR="00172F93" w:rsidRPr="008B68A9">
        <w:t>,</w:t>
      </w:r>
      <w:r w:rsidR="00733AED" w:rsidRPr="008B68A9">
        <w:t xml:space="preserve"> through the speech acts of participants introduced to individual budgets in mental health community service settings, their narrative identities and interactions arising from those </w:t>
      </w:r>
      <w:r w:rsidR="00172F93" w:rsidRPr="008B68A9">
        <w:t>budgets</w:t>
      </w:r>
      <w:r w:rsidR="00733AED" w:rsidRPr="008B68A9">
        <w:t>.</w:t>
      </w:r>
    </w:p>
    <w:p w14:paraId="36127256" w14:textId="41D963FF" w:rsidR="00864ED9" w:rsidRPr="008B68A9" w:rsidRDefault="00733AED" w:rsidP="002F0FD7">
      <w:pPr>
        <w:pStyle w:val="5arangedleft"/>
      </w:pPr>
      <w:r w:rsidRPr="008B68A9">
        <w:t>More specifically</w:t>
      </w:r>
      <w:r w:rsidR="00172F93" w:rsidRPr="008B68A9">
        <w:t>,</w:t>
      </w:r>
      <w:r w:rsidRPr="008B68A9">
        <w:t xml:space="preserve"> the work </w:t>
      </w:r>
      <w:r w:rsidR="00172F93" w:rsidRPr="008B68A9">
        <w:t xml:space="preserve">achieves </w:t>
      </w:r>
      <w:r w:rsidRPr="008B68A9">
        <w:t>the following objectives:</w:t>
      </w:r>
    </w:p>
    <w:p w14:paraId="7CB91FCF" w14:textId="4BDE0228" w:rsidR="00864ED9" w:rsidRPr="008B68A9" w:rsidRDefault="00C63FF5" w:rsidP="002F0FD7">
      <w:pPr>
        <w:pStyle w:val="7bulletornumberedlist"/>
      </w:pPr>
      <w:r w:rsidRPr="008B68A9">
        <w:t>•</w:t>
      </w:r>
      <w:r w:rsidRPr="008B68A9">
        <w:tab/>
      </w:r>
      <w:r w:rsidR="00864ED9" w:rsidRPr="008B68A9">
        <w:t>To produce</w:t>
      </w:r>
      <w:r w:rsidR="00172F93" w:rsidRPr="008B68A9">
        <w:t xml:space="preserve"> and</w:t>
      </w:r>
      <w:r w:rsidR="00864ED9" w:rsidRPr="008B68A9">
        <w:t xml:space="preserve"> </w:t>
      </w:r>
      <w:r w:rsidR="00172F93" w:rsidRPr="008B68A9">
        <w:t xml:space="preserve">analyse </w:t>
      </w:r>
      <w:r w:rsidR="00864ED9" w:rsidRPr="008B68A9">
        <w:t>a collective case study taken from accounts of personalisation from four separa</w:t>
      </w:r>
      <w:r w:rsidR="00627458" w:rsidRPr="008B68A9">
        <w:t>te studies</w:t>
      </w:r>
      <w:r w:rsidR="00CD6F4D" w:rsidRPr="008B68A9">
        <w:t>.</w:t>
      </w:r>
    </w:p>
    <w:p w14:paraId="65064ED8" w14:textId="1F058E2D" w:rsidR="00627458" w:rsidRPr="008B68A9" w:rsidRDefault="00C63FF5" w:rsidP="002F0FD7">
      <w:pPr>
        <w:pStyle w:val="7bulletornumberedlist"/>
      </w:pPr>
      <w:r w:rsidRPr="008B68A9">
        <w:t>•</w:t>
      </w:r>
      <w:r w:rsidRPr="008B68A9">
        <w:tab/>
      </w:r>
      <w:r w:rsidR="00627458" w:rsidRPr="008B68A9">
        <w:t xml:space="preserve">To </w:t>
      </w:r>
      <w:r w:rsidR="00172F93" w:rsidRPr="008B68A9">
        <w:t xml:space="preserve">use </w:t>
      </w:r>
      <w:r w:rsidR="00627458" w:rsidRPr="008B68A9">
        <w:t>a social constructionist lens with narrative methodology to explore the identity work of case study participants as they experience personalisation</w:t>
      </w:r>
      <w:r w:rsidR="00CD6F4D" w:rsidRPr="008B68A9">
        <w:t>.</w:t>
      </w:r>
    </w:p>
    <w:p w14:paraId="3E0B9E0B" w14:textId="332C1F6D" w:rsidR="00CD6F4D" w:rsidRPr="008B68A9" w:rsidRDefault="00C63FF5" w:rsidP="002F0FD7">
      <w:pPr>
        <w:pStyle w:val="7bulletornumberedlist"/>
      </w:pPr>
      <w:r w:rsidRPr="008B68A9">
        <w:t>•</w:t>
      </w:r>
      <w:r w:rsidRPr="008B68A9">
        <w:tab/>
      </w:r>
      <w:r w:rsidR="00CD6F4D" w:rsidRPr="008B68A9">
        <w:t xml:space="preserve">To explore the impact of personalisation </w:t>
      </w:r>
      <w:r w:rsidR="00172F93" w:rsidRPr="008B68A9">
        <w:t xml:space="preserve">on </w:t>
      </w:r>
      <w:r w:rsidR="00CD6F4D" w:rsidRPr="008B68A9">
        <w:t>people with mental health problems and actors involved in their support and care.</w:t>
      </w:r>
    </w:p>
    <w:p w14:paraId="5EBAE336" w14:textId="77777777" w:rsidR="00CD6F4D" w:rsidRPr="008B68A9" w:rsidRDefault="00C63FF5" w:rsidP="002F0FD7">
      <w:pPr>
        <w:pStyle w:val="7bulletornumberedlist"/>
      </w:pPr>
      <w:r w:rsidRPr="008B68A9">
        <w:t>•</w:t>
      </w:r>
      <w:r w:rsidRPr="008B68A9">
        <w:tab/>
      </w:r>
      <w:r w:rsidR="007165AA" w:rsidRPr="008B68A9">
        <w:t>To explore the positioning between professional workers, people receiving personal budgets and brokers as they negotiate the changes personalisation demands.</w:t>
      </w:r>
    </w:p>
    <w:p w14:paraId="42AB78F1" w14:textId="48CF6A3B" w:rsidR="004A5A76" w:rsidRPr="008B68A9" w:rsidRDefault="004A5A76" w:rsidP="00DA13FA">
      <w:pPr>
        <w:pStyle w:val="2L2header"/>
      </w:pPr>
      <w:bookmarkStart w:id="14" w:name="_Toc413827332"/>
      <w:bookmarkStart w:id="15" w:name="_Toc466800274"/>
      <w:r w:rsidRPr="008B68A9">
        <w:lastRenderedPageBreak/>
        <w:t>1.3 Why study personalisation in mental health</w:t>
      </w:r>
      <w:bookmarkEnd w:id="14"/>
      <w:r w:rsidR="00172F93" w:rsidRPr="008B68A9">
        <w:t>?</w:t>
      </w:r>
      <w:bookmarkEnd w:id="15"/>
    </w:p>
    <w:p w14:paraId="474B85B9" w14:textId="51BA96B9" w:rsidR="008E296B" w:rsidRPr="008B68A9" w:rsidRDefault="004A5A76" w:rsidP="002F0FD7">
      <w:pPr>
        <w:pStyle w:val="5arangedleft"/>
      </w:pPr>
      <w:r w:rsidRPr="008B68A9">
        <w:t>The driver</w:t>
      </w:r>
      <w:r w:rsidR="002A2D3F" w:rsidRPr="008B68A9">
        <w:t>s</w:t>
      </w:r>
      <w:r w:rsidRPr="008B68A9">
        <w:t xml:space="preserve"> for personalisation and greater user choice </w:t>
      </w:r>
      <w:r w:rsidR="00D3195F" w:rsidRPr="008B68A9">
        <w:t>in service design and delivery are many</w:t>
      </w:r>
      <w:r w:rsidR="00172F93" w:rsidRPr="008B68A9">
        <w:t>,</w:t>
      </w:r>
      <w:r w:rsidR="00D3195F" w:rsidRPr="008B68A9">
        <w:t xml:space="preserve"> with no single unifying narrative.</w:t>
      </w:r>
      <w:r w:rsidR="00415741" w:rsidRPr="008B68A9">
        <w:t xml:space="preserve"> </w:t>
      </w:r>
      <w:r w:rsidR="007D5EB7" w:rsidRPr="008B68A9">
        <w:t>Personalisation has gained traction as a major policy thread for delivering social care</w:t>
      </w:r>
      <w:r w:rsidR="00172F93" w:rsidRPr="008B68A9">
        <w:t>,</w:t>
      </w:r>
      <w:r w:rsidR="008E296B" w:rsidRPr="008B68A9">
        <w:t xml:space="preserve"> and increasingly health care too.</w:t>
      </w:r>
      <w:r w:rsidR="00415741" w:rsidRPr="008B68A9">
        <w:t xml:space="preserve"> </w:t>
      </w:r>
      <w:r w:rsidR="008E296B" w:rsidRPr="008B68A9">
        <w:t xml:space="preserve">Whilst personalisation beyond direct payments in social care began with </w:t>
      </w:r>
      <w:r w:rsidR="008E296B" w:rsidRPr="008B68A9">
        <w:rPr>
          <w:i/>
        </w:rPr>
        <w:t>Putting People First</w:t>
      </w:r>
      <w:r w:rsidR="008E296B" w:rsidRPr="008B68A9">
        <w:t xml:space="preserve"> (HM Government 2007), reaching the point where legislation cements the right to personal budgets (Care Act 2014), </w:t>
      </w:r>
      <w:r w:rsidR="00172F93" w:rsidRPr="008B68A9">
        <w:t>attitudes to</w:t>
      </w:r>
      <w:r w:rsidR="008E296B" w:rsidRPr="008B68A9">
        <w:t xml:space="preserve"> personalisation </w:t>
      </w:r>
      <w:r w:rsidR="00B86454" w:rsidRPr="008B68A9">
        <w:t xml:space="preserve">within </w:t>
      </w:r>
      <w:r w:rsidR="008E296B" w:rsidRPr="008B68A9">
        <w:t xml:space="preserve">mental health services </w:t>
      </w:r>
      <w:r w:rsidR="00072D5E" w:rsidRPr="008B68A9">
        <w:t xml:space="preserve">have </w:t>
      </w:r>
      <w:r w:rsidR="008E296B" w:rsidRPr="008B68A9">
        <w:t>until recently been ambivalent (</w:t>
      </w:r>
      <w:r w:rsidR="00C9639A" w:rsidRPr="008B68A9">
        <w:t>Mental Health Network 2009</w:t>
      </w:r>
      <w:r w:rsidR="008E296B" w:rsidRPr="008B68A9">
        <w:t xml:space="preserve">). </w:t>
      </w:r>
    </w:p>
    <w:p w14:paraId="3755F1AF" w14:textId="2287AE98" w:rsidR="00FC0017" w:rsidRPr="008B68A9" w:rsidRDefault="007A6126" w:rsidP="002F0FD7">
      <w:pPr>
        <w:pStyle w:val="5arangedleft"/>
      </w:pPr>
      <w:r w:rsidRPr="008B68A9">
        <w:t>A</w:t>
      </w:r>
      <w:r w:rsidR="002117B1" w:rsidRPr="008B68A9">
        <w:t>cademics</w:t>
      </w:r>
      <w:r w:rsidR="00685618" w:rsidRPr="008B68A9">
        <w:t xml:space="preserve"> and policy advisors</w:t>
      </w:r>
      <w:r w:rsidR="002117B1" w:rsidRPr="008B68A9">
        <w:t xml:space="preserve"> </w:t>
      </w:r>
      <w:r w:rsidR="008E296B" w:rsidRPr="008B68A9">
        <w:t>have</w:t>
      </w:r>
      <w:r w:rsidR="002117B1" w:rsidRPr="008B68A9">
        <w:t xml:space="preserve"> played a </w:t>
      </w:r>
      <w:r w:rsidR="00597C26" w:rsidRPr="008B68A9">
        <w:t>leading</w:t>
      </w:r>
      <w:r w:rsidR="002117B1" w:rsidRPr="008B68A9">
        <w:t xml:space="preserve"> role </w:t>
      </w:r>
      <w:r w:rsidR="00597C26" w:rsidRPr="008B68A9">
        <w:t>in the development</w:t>
      </w:r>
      <w:r w:rsidR="002117B1" w:rsidRPr="008B68A9">
        <w:t xml:space="preserve"> </w:t>
      </w:r>
      <w:r w:rsidR="00D3195F" w:rsidRPr="008B68A9">
        <w:t>of</w:t>
      </w:r>
      <w:r w:rsidR="002117B1" w:rsidRPr="008B68A9">
        <w:t xml:space="preserve"> </w:t>
      </w:r>
      <w:r w:rsidR="008E296B" w:rsidRPr="008B68A9">
        <w:t>personalisation</w:t>
      </w:r>
      <w:r w:rsidR="00B86454" w:rsidRPr="008B68A9">
        <w:t>,</w:t>
      </w:r>
      <w:r w:rsidR="008E296B" w:rsidRPr="008B68A9">
        <w:t xml:space="preserve"> </w:t>
      </w:r>
      <w:r w:rsidR="002117B1" w:rsidRPr="008B68A9">
        <w:t xml:space="preserve">as well as leading </w:t>
      </w:r>
      <w:r w:rsidR="00597C26" w:rsidRPr="008B68A9">
        <w:t>in</w:t>
      </w:r>
      <w:r w:rsidR="002117B1" w:rsidRPr="008B68A9">
        <w:t xml:space="preserve"> </w:t>
      </w:r>
      <w:r w:rsidR="00597C26" w:rsidRPr="008B68A9">
        <w:t>the development of</w:t>
      </w:r>
      <w:r w:rsidR="002117B1" w:rsidRPr="008B68A9">
        <w:t xml:space="preserve"> models for </w:t>
      </w:r>
      <w:r w:rsidR="00D3195F" w:rsidRPr="008B68A9">
        <w:t>implementation</w:t>
      </w:r>
      <w:r w:rsidR="002117B1" w:rsidRPr="008B68A9">
        <w:t xml:space="preserve"> </w:t>
      </w:r>
      <w:r w:rsidR="00F024D5" w:rsidRPr="008B68A9">
        <w:t>(</w:t>
      </w:r>
      <w:r w:rsidR="00685618" w:rsidRPr="008B68A9">
        <w:t xml:space="preserve">Leadbeater 2004, </w:t>
      </w:r>
      <w:r w:rsidR="004A5A76" w:rsidRPr="008B68A9">
        <w:t xml:space="preserve">Alakeson 2007, </w:t>
      </w:r>
      <w:r w:rsidR="00CB237E" w:rsidRPr="008B68A9">
        <w:t xml:space="preserve">Alakeson 2008, Carr 2008, </w:t>
      </w:r>
      <w:r w:rsidR="00597C26" w:rsidRPr="008B68A9">
        <w:t>Needham 2008, 2009a</w:t>
      </w:r>
      <w:r w:rsidR="00CB237E" w:rsidRPr="008B68A9">
        <w:t xml:space="preserve">). Evaluations and large scale research has sought to provide evidence supporting the shift towards individual user choice, such as </w:t>
      </w:r>
      <w:r w:rsidR="004A5A76" w:rsidRPr="008B68A9">
        <w:t xml:space="preserve">Glendinning </w:t>
      </w:r>
      <w:r w:rsidR="00AC06A3" w:rsidRPr="008B68A9">
        <w:rPr>
          <w:i/>
        </w:rPr>
        <w:t>et al.</w:t>
      </w:r>
      <w:r w:rsidR="004A5A76" w:rsidRPr="008B68A9">
        <w:t xml:space="preserve"> </w:t>
      </w:r>
      <w:r w:rsidR="00CB237E" w:rsidRPr="008B68A9">
        <w:t>(</w:t>
      </w:r>
      <w:r w:rsidR="004A5A76" w:rsidRPr="008B68A9">
        <w:t>2008</w:t>
      </w:r>
      <w:r w:rsidR="00CB237E" w:rsidRPr="008B68A9">
        <w:t xml:space="preserve">) and Waters and Hatton 2014) in social care and </w:t>
      </w:r>
      <w:r w:rsidR="00A941AA" w:rsidRPr="008B68A9">
        <w:t xml:space="preserve">Forder </w:t>
      </w:r>
      <w:r w:rsidR="00AC06A3" w:rsidRPr="008B68A9">
        <w:rPr>
          <w:i/>
        </w:rPr>
        <w:t>et al.</w:t>
      </w:r>
      <w:r w:rsidR="00A941AA" w:rsidRPr="008B68A9">
        <w:t xml:space="preserve"> </w:t>
      </w:r>
      <w:r w:rsidR="00CB237E" w:rsidRPr="008B68A9">
        <w:t>(</w:t>
      </w:r>
      <w:r w:rsidR="00A941AA" w:rsidRPr="008B68A9">
        <w:t>2012</w:t>
      </w:r>
      <w:r w:rsidR="00CB237E" w:rsidRPr="008B68A9">
        <w:t>) in health settings. T</w:t>
      </w:r>
      <w:r w:rsidR="00CA3302" w:rsidRPr="008B68A9">
        <w:t>heir</w:t>
      </w:r>
      <w:r w:rsidR="002117B1" w:rsidRPr="008B68A9">
        <w:t xml:space="preserve"> work has</w:t>
      </w:r>
      <w:r w:rsidR="004A5A76" w:rsidRPr="008B68A9">
        <w:t xml:space="preserve"> </w:t>
      </w:r>
      <w:r w:rsidR="00513B29" w:rsidRPr="008B68A9">
        <w:t>increased user involvement in the design and delivery of health and social care</w:t>
      </w:r>
      <w:r w:rsidR="00A66D92" w:rsidRPr="008B68A9">
        <w:t>,</w:t>
      </w:r>
      <w:r w:rsidR="002A2D3F" w:rsidRPr="008B68A9">
        <w:t xml:space="preserve"> which Needham (2011b) de</w:t>
      </w:r>
      <w:r w:rsidR="00D3195F" w:rsidRPr="008B68A9">
        <w:t>scribes as a win-win narrative,</w:t>
      </w:r>
      <w:r w:rsidR="00A66D92" w:rsidRPr="008B68A9">
        <w:t xml:space="preserve"> </w:t>
      </w:r>
      <w:r w:rsidR="00633EC9" w:rsidRPr="008B68A9">
        <w:t xml:space="preserve">though throughout </w:t>
      </w:r>
      <w:r w:rsidR="00A66D92" w:rsidRPr="008B68A9">
        <w:t>concern regarding the implementation</w:t>
      </w:r>
      <w:r w:rsidR="00D249BD" w:rsidRPr="008B68A9">
        <w:t xml:space="preserve"> and potential consequences of </w:t>
      </w:r>
      <w:r w:rsidR="00633EC9" w:rsidRPr="008B68A9">
        <w:t>personalisation</w:t>
      </w:r>
      <w:r w:rsidR="00A66D92" w:rsidRPr="008B68A9">
        <w:t xml:space="preserve"> policy</w:t>
      </w:r>
      <w:r w:rsidR="00D3195F" w:rsidRPr="008B68A9">
        <w:t xml:space="preserve"> </w:t>
      </w:r>
      <w:r w:rsidR="00072D5E" w:rsidRPr="008B68A9">
        <w:t xml:space="preserve">has </w:t>
      </w:r>
      <w:r w:rsidR="00D3195F" w:rsidRPr="008B68A9">
        <w:t>been voiced</w:t>
      </w:r>
      <w:r w:rsidR="003A6437" w:rsidRPr="008B68A9">
        <w:t xml:space="preserve"> (Beresford 2008</w:t>
      </w:r>
      <w:r w:rsidR="00A66D92" w:rsidRPr="008B68A9">
        <w:t>, Daly 2008</w:t>
      </w:r>
      <w:r w:rsidR="00513B29" w:rsidRPr="008B68A9">
        <w:t xml:space="preserve">, </w:t>
      </w:r>
      <w:r w:rsidR="00685618" w:rsidRPr="008B68A9">
        <w:t>Carr 2011</w:t>
      </w:r>
      <w:r w:rsidR="00095039" w:rsidRPr="008B68A9">
        <w:t>a</w:t>
      </w:r>
      <w:r w:rsidR="00685618" w:rsidRPr="008B68A9">
        <w:t xml:space="preserve">, </w:t>
      </w:r>
      <w:r w:rsidR="00A94488" w:rsidRPr="008B68A9">
        <w:t>Slasberg</w:t>
      </w:r>
      <w:r w:rsidR="00A66D92" w:rsidRPr="008B68A9">
        <w:t xml:space="preserve"> 2014).</w:t>
      </w:r>
      <w:r w:rsidR="00415741" w:rsidRPr="008B68A9">
        <w:t xml:space="preserve"> </w:t>
      </w:r>
      <w:r w:rsidR="00A94488" w:rsidRPr="008B68A9">
        <w:t>P</w:t>
      </w:r>
      <w:r w:rsidR="004A5A76" w:rsidRPr="008B68A9">
        <w:t>rofessional opinion</w:t>
      </w:r>
      <w:r w:rsidR="00D3195F" w:rsidRPr="008B68A9">
        <w:t xml:space="preserve"> </w:t>
      </w:r>
      <w:r w:rsidR="008E296B" w:rsidRPr="008B68A9">
        <w:t>has been</w:t>
      </w:r>
      <w:r w:rsidR="00D3195F" w:rsidRPr="008B68A9">
        <w:t xml:space="preserve"> divided</w:t>
      </w:r>
      <w:r w:rsidR="00A66D92" w:rsidRPr="008B68A9">
        <w:t xml:space="preserve"> in some areas of personalisation</w:t>
      </w:r>
      <w:r w:rsidR="00072D5E" w:rsidRPr="008B68A9">
        <w:t>,</w:t>
      </w:r>
      <w:r w:rsidR="00D3195F" w:rsidRPr="008B68A9">
        <w:t xml:space="preserve"> where </w:t>
      </w:r>
      <w:r w:rsidR="00633EC9" w:rsidRPr="008B68A9">
        <w:t xml:space="preserve">an </w:t>
      </w:r>
      <w:r w:rsidR="00D3195F" w:rsidRPr="008B68A9">
        <w:t>outward</w:t>
      </w:r>
      <w:r w:rsidR="00A66D92" w:rsidRPr="008B68A9">
        <w:t xml:space="preserve"> </w:t>
      </w:r>
      <w:r w:rsidR="00887FF6" w:rsidRPr="008B68A9">
        <w:t>acceptance</w:t>
      </w:r>
      <w:r w:rsidR="00D3195F" w:rsidRPr="008B68A9">
        <w:t xml:space="preserve"> of the principle of increased choice and</w:t>
      </w:r>
      <w:r w:rsidR="00BF5E52" w:rsidRPr="008B68A9">
        <w:t xml:space="preserve"> user</w:t>
      </w:r>
      <w:r w:rsidR="00D3195F" w:rsidRPr="008B68A9">
        <w:t xml:space="preserve"> involvement</w:t>
      </w:r>
      <w:r w:rsidR="00BF5E52" w:rsidRPr="008B68A9">
        <w:t xml:space="preserve"> </w:t>
      </w:r>
      <w:r w:rsidR="00072D5E" w:rsidRPr="008B68A9">
        <w:t xml:space="preserve">is </w:t>
      </w:r>
      <w:r w:rsidR="00BF5E52" w:rsidRPr="008B68A9">
        <w:t>expressed</w:t>
      </w:r>
      <w:r w:rsidR="00072D5E" w:rsidRPr="008B68A9">
        <w:t>;</w:t>
      </w:r>
      <w:r w:rsidR="00A66D92" w:rsidRPr="008B68A9">
        <w:t xml:space="preserve"> however</w:t>
      </w:r>
      <w:r w:rsidR="00072D5E" w:rsidRPr="008B68A9">
        <w:t>,</w:t>
      </w:r>
      <w:r w:rsidR="00A66D92" w:rsidRPr="008B68A9">
        <w:t xml:space="preserve"> </w:t>
      </w:r>
      <w:r w:rsidR="00A94488" w:rsidRPr="008B68A9">
        <w:t xml:space="preserve">in </w:t>
      </w:r>
      <w:r w:rsidR="00D3195F" w:rsidRPr="008B68A9">
        <w:t xml:space="preserve">terms of risk and </w:t>
      </w:r>
      <w:r w:rsidR="00072D5E" w:rsidRPr="008B68A9">
        <w:t xml:space="preserve">users’ </w:t>
      </w:r>
      <w:r w:rsidR="00D3195F" w:rsidRPr="008B68A9">
        <w:t xml:space="preserve">competence </w:t>
      </w:r>
      <w:r w:rsidR="00BF5E52" w:rsidRPr="008B68A9">
        <w:t xml:space="preserve">to self-determine, </w:t>
      </w:r>
      <w:r w:rsidR="00A66D92" w:rsidRPr="008B68A9">
        <w:t>mental health</w:t>
      </w:r>
      <w:r w:rsidR="00A94488" w:rsidRPr="008B68A9">
        <w:t xml:space="preserve"> policy </w:t>
      </w:r>
      <w:r w:rsidR="004A5A76" w:rsidRPr="008B68A9">
        <w:t xml:space="preserve">toward increased </w:t>
      </w:r>
      <w:r w:rsidR="00A94488" w:rsidRPr="008B68A9">
        <w:t>personalisation</w:t>
      </w:r>
      <w:r w:rsidR="004A5A76" w:rsidRPr="008B68A9">
        <w:t xml:space="preserve"> remains</w:t>
      </w:r>
      <w:r w:rsidR="00A66D92" w:rsidRPr="008B68A9">
        <w:t xml:space="preserve"> </w:t>
      </w:r>
      <w:r w:rsidR="00BF5E52" w:rsidRPr="008B68A9">
        <w:t xml:space="preserve">at best </w:t>
      </w:r>
      <w:r w:rsidR="004A5A76" w:rsidRPr="008B68A9">
        <w:t>ambiguous (R</w:t>
      </w:r>
      <w:r w:rsidR="00D3195F" w:rsidRPr="008B68A9">
        <w:t xml:space="preserve">oyal </w:t>
      </w:r>
      <w:r w:rsidR="004A5A76" w:rsidRPr="008B68A9">
        <w:t>C</w:t>
      </w:r>
      <w:r w:rsidR="00D3195F" w:rsidRPr="008B68A9">
        <w:t xml:space="preserve">ollege of </w:t>
      </w:r>
      <w:r w:rsidR="004A5A76" w:rsidRPr="008B68A9">
        <w:t>N</w:t>
      </w:r>
      <w:r w:rsidR="00D3195F" w:rsidRPr="008B68A9">
        <w:t xml:space="preserve">ursing </w:t>
      </w:r>
      <w:r w:rsidR="004A5A76" w:rsidRPr="008B68A9">
        <w:t>2012, R</w:t>
      </w:r>
      <w:r w:rsidR="00D3195F" w:rsidRPr="008B68A9">
        <w:t xml:space="preserve">oyal </w:t>
      </w:r>
      <w:r w:rsidR="004A5A76" w:rsidRPr="008B68A9">
        <w:t>C</w:t>
      </w:r>
      <w:r w:rsidR="00D3195F" w:rsidRPr="008B68A9">
        <w:t xml:space="preserve">ollege of </w:t>
      </w:r>
      <w:r w:rsidR="004A5A76" w:rsidRPr="008B68A9">
        <w:t>Psy</w:t>
      </w:r>
      <w:r w:rsidR="00D3195F" w:rsidRPr="008B68A9">
        <w:t>chiatrists</w:t>
      </w:r>
      <w:r w:rsidR="00DC5532" w:rsidRPr="008B68A9">
        <w:t xml:space="preserve"> &amp; </w:t>
      </w:r>
      <w:r w:rsidR="00C9639A" w:rsidRPr="008B68A9">
        <w:t>Association o</w:t>
      </w:r>
      <w:r w:rsidR="005B17D3" w:rsidRPr="008B68A9">
        <w:t xml:space="preserve">f </w:t>
      </w:r>
      <w:r w:rsidR="00D3195F" w:rsidRPr="008B68A9">
        <w:t xml:space="preserve">Directors </w:t>
      </w:r>
      <w:r w:rsidR="005B17D3" w:rsidRPr="008B68A9">
        <w:t>o</w:t>
      </w:r>
      <w:r w:rsidR="00D3195F" w:rsidRPr="008B68A9">
        <w:t xml:space="preserve">f </w:t>
      </w:r>
      <w:r w:rsidR="00DC5532" w:rsidRPr="008B68A9">
        <w:t>S</w:t>
      </w:r>
      <w:r w:rsidR="00D3195F" w:rsidRPr="008B68A9">
        <w:t xml:space="preserve">ocial </w:t>
      </w:r>
      <w:r w:rsidR="00DC5532" w:rsidRPr="008B68A9">
        <w:t>S</w:t>
      </w:r>
      <w:r w:rsidR="00D3195F" w:rsidRPr="008B68A9">
        <w:t>ervices</w:t>
      </w:r>
      <w:r w:rsidR="00DC5532" w:rsidRPr="008B68A9">
        <w:t xml:space="preserve"> 2013</w:t>
      </w:r>
      <w:r w:rsidR="004A5A76" w:rsidRPr="008B68A9">
        <w:t>)</w:t>
      </w:r>
      <w:r w:rsidR="00FC0017" w:rsidRPr="008B68A9">
        <w:t>.</w:t>
      </w:r>
      <w:r w:rsidR="00415741" w:rsidRPr="008B68A9">
        <w:t xml:space="preserve"> </w:t>
      </w:r>
    </w:p>
    <w:p w14:paraId="77259A7E" w14:textId="7D9AD27B" w:rsidR="004A5A76" w:rsidRPr="008B68A9" w:rsidRDefault="004B3AE3" w:rsidP="002F0FD7">
      <w:pPr>
        <w:pStyle w:val="5arangedleft"/>
      </w:pPr>
      <w:r w:rsidRPr="008B68A9">
        <w:t>In a</w:t>
      </w:r>
      <w:r w:rsidR="00D207C7" w:rsidRPr="008B68A9">
        <w:t>dult m</w:t>
      </w:r>
      <w:r w:rsidR="00BF5E52" w:rsidRPr="008B68A9">
        <w:t>ental health services have accepted recovery approaches as their guiding principle for deliver</w:t>
      </w:r>
      <w:r w:rsidR="00405995" w:rsidRPr="008B68A9">
        <w:t>ing services (DH 2006</w:t>
      </w:r>
      <w:r w:rsidR="00831396" w:rsidRPr="008B68A9">
        <w:t>d</w:t>
      </w:r>
      <w:r w:rsidR="00405995" w:rsidRPr="008B68A9">
        <w:t xml:space="preserve">, RCPsych </w:t>
      </w:r>
      <w:r w:rsidR="00BF5E52" w:rsidRPr="008B68A9">
        <w:t>20</w:t>
      </w:r>
      <w:r w:rsidR="00D838DB" w:rsidRPr="008B68A9">
        <w:t>07), which adopts partnership and person centred care approaches with users</w:t>
      </w:r>
      <w:r w:rsidRPr="008B68A9">
        <w:t xml:space="preserve"> as its foundations</w:t>
      </w:r>
      <w:r w:rsidR="00D838DB" w:rsidRPr="008B68A9">
        <w:t>.</w:t>
      </w:r>
      <w:r w:rsidR="00415741" w:rsidRPr="008B68A9">
        <w:t xml:space="preserve"> </w:t>
      </w:r>
      <w:r w:rsidRPr="008B68A9">
        <w:t>Combining</w:t>
      </w:r>
      <w:r w:rsidR="00D838DB" w:rsidRPr="008B68A9">
        <w:t xml:space="preserve"> </w:t>
      </w:r>
      <w:r w:rsidR="004A5A76" w:rsidRPr="008B68A9">
        <w:t xml:space="preserve">the </w:t>
      </w:r>
      <w:r w:rsidR="0075025D" w:rsidRPr="008B68A9">
        <w:t xml:space="preserve">personalisation </w:t>
      </w:r>
      <w:r w:rsidR="00F05BD5" w:rsidRPr="008B68A9">
        <w:t xml:space="preserve">with </w:t>
      </w:r>
      <w:r w:rsidR="0075025D" w:rsidRPr="008B68A9">
        <w:t xml:space="preserve">the </w:t>
      </w:r>
      <w:r w:rsidR="004A5A76" w:rsidRPr="008B68A9">
        <w:t>optimistic narrative of recovery approaches</w:t>
      </w:r>
      <w:r w:rsidR="002B6B9B" w:rsidRPr="008B68A9">
        <w:t xml:space="preserve"> </w:t>
      </w:r>
      <w:r w:rsidR="004A5A76" w:rsidRPr="008B68A9">
        <w:t>(</w:t>
      </w:r>
      <w:r w:rsidR="002B6B9B" w:rsidRPr="008B68A9">
        <w:t xml:space="preserve">Deegan 1996, </w:t>
      </w:r>
      <w:r w:rsidR="004A5A76" w:rsidRPr="008B68A9">
        <w:t>Repper and Perkins 2003)</w:t>
      </w:r>
      <w:r w:rsidR="00D838DB" w:rsidRPr="008B68A9">
        <w:t>, two points are raised.</w:t>
      </w:r>
      <w:r w:rsidR="00415741" w:rsidRPr="008B68A9">
        <w:t xml:space="preserve"> </w:t>
      </w:r>
      <w:r w:rsidR="00680219" w:rsidRPr="008B68A9">
        <w:t>S</w:t>
      </w:r>
      <w:r w:rsidR="00D838DB" w:rsidRPr="008B68A9">
        <w:t>tudies</w:t>
      </w:r>
      <w:r w:rsidR="004A5A76" w:rsidRPr="008B68A9">
        <w:t xml:space="preserve"> </w:t>
      </w:r>
      <w:r w:rsidRPr="008B68A9">
        <w:t>exploring</w:t>
      </w:r>
      <w:r w:rsidR="004A5A76" w:rsidRPr="008B68A9">
        <w:t xml:space="preserve"> </w:t>
      </w:r>
      <w:r w:rsidR="004A5A76" w:rsidRPr="008B68A9">
        <w:lastRenderedPageBreak/>
        <w:t>person centred appro</w:t>
      </w:r>
      <w:r w:rsidR="00680219" w:rsidRPr="008B68A9">
        <w:t>aches have mostly</w:t>
      </w:r>
      <w:r w:rsidR="00D838DB" w:rsidRPr="008B68A9">
        <w:t xml:space="preserve"> been undertaken in intellectual impairment</w:t>
      </w:r>
      <w:r w:rsidR="004A5A76" w:rsidRPr="008B68A9">
        <w:t xml:space="preserve"> services or</w:t>
      </w:r>
      <w:r w:rsidR="008C7953" w:rsidRPr="008B68A9">
        <w:t xml:space="preserve"> for </w:t>
      </w:r>
      <w:r w:rsidR="004A5A76" w:rsidRPr="008B68A9">
        <w:t>people with physical impairments</w:t>
      </w:r>
      <w:r w:rsidR="00333EEA" w:rsidRPr="008B68A9">
        <w:t xml:space="preserve"> (Robertson </w:t>
      </w:r>
      <w:r w:rsidR="00AC06A3" w:rsidRPr="008B68A9">
        <w:rPr>
          <w:i/>
        </w:rPr>
        <w:t>et al.</w:t>
      </w:r>
      <w:r w:rsidR="00333EEA" w:rsidRPr="008B68A9">
        <w:t xml:space="preserve"> 2005)</w:t>
      </w:r>
      <w:r w:rsidR="004A5A76" w:rsidRPr="008B68A9">
        <w:t>.</w:t>
      </w:r>
      <w:r w:rsidRPr="008B68A9">
        <w:t xml:space="preserve"> Secondly l</w:t>
      </w:r>
      <w:r w:rsidR="004A5A76" w:rsidRPr="008B68A9">
        <w:t>ittle has been written</w:t>
      </w:r>
      <w:r w:rsidR="00F05BD5" w:rsidRPr="008B68A9">
        <w:t>, and</w:t>
      </w:r>
      <w:r w:rsidR="004A5A76" w:rsidRPr="008B68A9">
        <w:t xml:space="preserve"> less researched, about</w:t>
      </w:r>
      <w:r w:rsidR="00680219" w:rsidRPr="008B68A9">
        <w:t xml:space="preserve"> the potential impact of person-</w:t>
      </w:r>
      <w:r w:rsidR="004A5A76" w:rsidRPr="008B68A9">
        <w:t>centred</w:t>
      </w:r>
      <w:r w:rsidR="00680219" w:rsidRPr="008B68A9">
        <w:t xml:space="preserve"> thinking</w:t>
      </w:r>
      <w:r w:rsidR="004A5A76" w:rsidRPr="008B68A9">
        <w:t xml:space="preserve"> approaches </w:t>
      </w:r>
      <w:r w:rsidR="00F05BD5" w:rsidRPr="008B68A9">
        <w:t xml:space="preserve">to </w:t>
      </w:r>
      <w:r w:rsidR="008E2A26" w:rsidRPr="008B68A9">
        <w:t xml:space="preserve">personalisation </w:t>
      </w:r>
      <w:r w:rsidR="004A5A76" w:rsidRPr="008B68A9">
        <w:t>for people with mental health problems.</w:t>
      </w:r>
      <w:r w:rsidR="00415741" w:rsidRPr="008B68A9">
        <w:t xml:space="preserve"> </w:t>
      </w:r>
      <w:r w:rsidR="00680219" w:rsidRPr="008B68A9">
        <w:t>Therefore this study aims to develop knowledge through exploring the experiences of participants as they use personal budgets in mental health</w:t>
      </w:r>
      <w:r w:rsidR="00F05BD5" w:rsidRPr="008B68A9">
        <w:t>,</w:t>
      </w:r>
      <w:r w:rsidR="002618C9" w:rsidRPr="008B68A9">
        <w:t xml:space="preserve"> and </w:t>
      </w:r>
      <w:r w:rsidR="00B86454" w:rsidRPr="008B68A9">
        <w:t xml:space="preserve">to </w:t>
      </w:r>
      <w:r w:rsidR="002618C9" w:rsidRPr="008B68A9">
        <w:t>examine the relationships between participants as they undertake roles</w:t>
      </w:r>
      <w:r w:rsidRPr="008B68A9">
        <w:t xml:space="preserve"> change initiated by personalisation</w:t>
      </w:r>
      <w:r w:rsidR="00680219" w:rsidRPr="008B68A9">
        <w:t>.</w:t>
      </w:r>
      <w:r w:rsidR="00415741" w:rsidRPr="008B68A9">
        <w:t xml:space="preserve"> </w:t>
      </w:r>
      <w:r w:rsidR="008E296B" w:rsidRPr="008B68A9">
        <w:t>The NHS Confederation (2015</w:t>
      </w:r>
      <w:r w:rsidR="00353D60" w:rsidRPr="008B68A9">
        <w:t xml:space="preserve"> p</w:t>
      </w:r>
      <w:r w:rsidR="00F05BD5" w:rsidRPr="008B68A9">
        <w:t xml:space="preserve">. </w:t>
      </w:r>
      <w:r w:rsidR="00353D60" w:rsidRPr="008B68A9">
        <w:t>1</w:t>
      </w:r>
      <w:r w:rsidR="008E296B" w:rsidRPr="008B68A9">
        <w:t xml:space="preserve">) now state that “The question is </w:t>
      </w:r>
      <w:r w:rsidR="00353D60" w:rsidRPr="008B68A9">
        <w:t xml:space="preserve">no longer whether to implement </w:t>
      </w:r>
      <w:r w:rsidR="008E296B" w:rsidRPr="008B68A9">
        <w:t>personal health</w:t>
      </w:r>
      <w:r w:rsidR="00353D60" w:rsidRPr="008B68A9">
        <w:t xml:space="preserve"> budgets in mental health, but </w:t>
      </w:r>
      <w:r w:rsidR="008E296B" w:rsidRPr="008B68A9">
        <w:t>how to do so and for whom</w:t>
      </w:r>
      <w:r w:rsidR="00353D60" w:rsidRPr="008B68A9">
        <w:t>”</w:t>
      </w:r>
      <w:r w:rsidR="00B86454" w:rsidRPr="008B68A9">
        <w:t>;</w:t>
      </w:r>
      <w:r w:rsidR="00353D60" w:rsidRPr="008B68A9">
        <w:t xml:space="preserve"> </w:t>
      </w:r>
      <w:r w:rsidR="00B86454" w:rsidRPr="008B68A9">
        <w:t>and i</w:t>
      </w:r>
      <w:r w:rsidR="00353D60" w:rsidRPr="008B68A9">
        <w:t>ndicat</w:t>
      </w:r>
      <w:r w:rsidR="00B86454" w:rsidRPr="008B68A9">
        <w:t>e</w:t>
      </w:r>
      <w:r w:rsidR="00353D60" w:rsidRPr="008B68A9">
        <w:t xml:space="preserve"> their </w:t>
      </w:r>
      <w:r w:rsidR="002618C9" w:rsidRPr="008B68A9">
        <w:t>response</w:t>
      </w:r>
      <w:r w:rsidR="00353D60" w:rsidRPr="008B68A9">
        <w:t xml:space="preserve"> towards the </w:t>
      </w:r>
      <w:r w:rsidR="002618C9" w:rsidRPr="008B68A9">
        <w:t>directive (NHS Mandate 2015),</w:t>
      </w:r>
      <w:r w:rsidR="00353D60" w:rsidRPr="008B68A9">
        <w:t xml:space="preserve"> </w:t>
      </w:r>
      <w:r w:rsidR="00B86454" w:rsidRPr="008B68A9">
        <w:t xml:space="preserve">moving </w:t>
      </w:r>
      <w:r w:rsidR="00353D60" w:rsidRPr="008B68A9">
        <w:t>towards individualised care</w:t>
      </w:r>
      <w:r w:rsidR="00B86454" w:rsidRPr="008B68A9">
        <w:t>,</w:t>
      </w:r>
      <w:r w:rsidR="00353D60" w:rsidRPr="008B68A9">
        <w:t xml:space="preserve"> with </w:t>
      </w:r>
      <w:r w:rsidR="002618C9" w:rsidRPr="008B68A9">
        <w:t xml:space="preserve">mental health service </w:t>
      </w:r>
      <w:r w:rsidR="00353D60" w:rsidRPr="008B68A9">
        <w:t>users undertaking a far greater role in planning and directing th</w:t>
      </w:r>
      <w:r w:rsidR="002618C9" w:rsidRPr="008B68A9">
        <w:t>eir care where evidence supports their use.</w:t>
      </w:r>
    </w:p>
    <w:p w14:paraId="78A4BE65" w14:textId="68A45919" w:rsidR="0057586E" w:rsidRPr="008B68A9" w:rsidRDefault="007D5EB7" w:rsidP="002F0FD7">
      <w:pPr>
        <w:pStyle w:val="5arangedleft"/>
      </w:pPr>
      <w:r w:rsidRPr="008B68A9">
        <w:t>T</w:t>
      </w:r>
      <w:r w:rsidR="00680219" w:rsidRPr="008B68A9">
        <w:t>his study</w:t>
      </w:r>
      <w:r w:rsidRPr="008B68A9">
        <w:t xml:space="preserve"> is interested in</w:t>
      </w:r>
      <w:r w:rsidR="00680219" w:rsidRPr="008B68A9">
        <w:t xml:space="preserve"> t</w:t>
      </w:r>
      <w:r w:rsidR="00F11711" w:rsidRPr="008B68A9">
        <w:t xml:space="preserve">he construction of </w:t>
      </w:r>
      <w:r w:rsidR="004A5A76" w:rsidRPr="008B68A9">
        <w:t>mental health problems</w:t>
      </w:r>
      <w:r w:rsidRPr="008B68A9">
        <w:t xml:space="preserve"> and the difference </w:t>
      </w:r>
      <w:r w:rsidR="00D000F3" w:rsidRPr="008B68A9">
        <w:t>such constructions</w:t>
      </w:r>
      <w:r w:rsidRPr="008B68A9">
        <w:t xml:space="preserve"> </w:t>
      </w:r>
      <w:r w:rsidR="00B86454" w:rsidRPr="008B68A9">
        <w:t xml:space="preserve">make to </w:t>
      </w:r>
      <w:r w:rsidRPr="008B68A9">
        <w:t xml:space="preserve">personalisation, as most of </w:t>
      </w:r>
      <w:r w:rsidR="00D000F3" w:rsidRPr="008B68A9">
        <w:t xml:space="preserve">personalisation </w:t>
      </w:r>
      <w:r w:rsidRPr="008B68A9">
        <w:t>research</w:t>
      </w:r>
      <w:r w:rsidR="00D000F3" w:rsidRPr="008B68A9">
        <w:t xml:space="preserve"> as stated</w:t>
      </w:r>
      <w:r w:rsidRPr="008B68A9">
        <w:t xml:space="preserve"> has focused on </w:t>
      </w:r>
      <w:r w:rsidR="00680219" w:rsidRPr="008B68A9">
        <w:t>people with</w:t>
      </w:r>
      <w:r w:rsidR="004A5A76" w:rsidRPr="008B68A9">
        <w:t xml:space="preserve"> phy</w:t>
      </w:r>
      <w:r w:rsidR="00C76813" w:rsidRPr="008B68A9">
        <w:t xml:space="preserve">sical or </w:t>
      </w:r>
      <w:r w:rsidR="00C82338" w:rsidRPr="008B68A9">
        <w:t>intellectual</w:t>
      </w:r>
      <w:r w:rsidR="00C76813" w:rsidRPr="008B68A9">
        <w:t xml:space="preserve"> impairments.</w:t>
      </w:r>
      <w:r w:rsidR="00415741" w:rsidRPr="008B68A9">
        <w:t xml:space="preserve"> </w:t>
      </w:r>
      <w:r w:rsidRPr="008B68A9">
        <w:t>Differences in constructing</w:t>
      </w:r>
      <w:r w:rsidR="004A5A76" w:rsidRPr="008B68A9">
        <w:t xml:space="preserve"> issues of risk and danger</w:t>
      </w:r>
      <w:r w:rsidR="00680219" w:rsidRPr="008B68A9">
        <w:t xml:space="preserve"> associated with mental health </w:t>
      </w:r>
      <w:r w:rsidR="00844C96" w:rsidRPr="008B68A9">
        <w:t>have</w:t>
      </w:r>
      <w:r w:rsidR="004A5A76" w:rsidRPr="008B68A9">
        <w:t xml:space="preserve"> been </w:t>
      </w:r>
      <w:r w:rsidR="00B86454" w:rsidRPr="008B68A9">
        <w:t xml:space="preserve">similar </w:t>
      </w:r>
      <w:r w:rsidR="004A5A76" w:rsidRPr="008B68A9">
        <w:t xml:space="preserve">to </w:t>
      </w:r>
      <w:r w:rsidR="000540D2" w:rsidRPr="008B68A9">
        <w:t xml:space="preserve">those </w:t>
      </w:r>
      <w:r w:rsidR="002270B7" w:rsidRPr="008B68A9">
        <w:t>of</w:t>
      </w:r>
      <w:r w:rsidR="004A5A76" w:rsidRPr="008B68A9">
        <w:t xml:space="preserve"> autonomy and choice</w:t>
      </w:r>
      <w:r w:rsidR="000540D2" w:rsidRPr="008B68A9">
        <w:t>;</w:t>
      </w:r>
      <w:r w:rsidR="004A5A76" w:rsidRPr="008B68A9">
        <w:t xml:space="preserve"> for example</w:t>
      </w:r>
      <w:r w:rsidR="002270B7" w:rsidRPr="008B68A9">
        <w:t xml:space="preserve"> </w:t>
      </w:r>
      <w:r w:rsidR="00757D52" w:rsidRPr="008B68A9">
        <w:t>Cutcliffe and Hannigan</w:t>
      </w:r>
      <w:r w:rsidR="002270B7" w:rsidRPr="008B68A9">
        <w:t xml:space="preserve"> (200</w:t>
      </w:r>
      <w:r w:rsidR="00757D52" w:rsidRPr="008B68A9">
        <w:t>1</w:t>
      </w:r>
      <w:r w:rsidR="004A5A76" w:rsidRPr="008B68A9">
        <w:t>)</w:t>
      </w:r>
      <w:r w:rsidR="000540D2" w:rsidRPr="008B68A9">
        <w:t>,</w:t>
      </w:r>
      <w:r w:rsidR="00412A5B" w:rsidRPr="008B68A9">
        <w:t xml:space="preserve"> and Stickley and Felton (2006)</w:t>
      </w:r>
      <w:r w:rsidR="004A5A76" w:rsidRPr="008B68A9">
        <w:t>.</w:t>
      </w:r>
      <w:r w:rsidR="00415741" w:rsidRPr="008B68A9">
        <w:t xml:space="preserve"> </w:t>
      </w:r>
      <w:r w:rsidR="00A22067" w:rsidRPr="008B68A9">
        <w:t>Additionally</w:t>
      </w:r>
      <w:r w:rsidR="002270B7" w:rsidRPr="008B68A9">
        <w:t>,</w:t>
      </w:r>
      <w:r w:rsidR="00A22067" w:rsidRPr="008B68A9">
        <w:t xml:space="preserve"> there is a strong discourse of medicalisation </w:t>
      </w:r>
      <w:r w:rsidR="003D34B6" w:rsidRPr="008B68A9">
        <w:t>(Spandler 2007</w:t>
      </w:r>
      <w:r w:rsidR="00067DD0" w:rsidRPr="008B68A9">
        <w:t>)</w:t>
      </w:r>
      <w:r w:rsidR="00A22067" w:rsidRPr="008B68A9">
        <w:t xml:space="preserve"> </w:t>
      </w:r>
      <w:r w:rsidR="002710B2" w:rsidRPr="008B68A9">
        <w:t>in</w:t>
      </w:r>
      <w:r w:rsidR="000540D2" w:rsidRPr="008B68A9">
        <w:t xml:space="preserve"> mental health services </w:t>
      </w:r>
      <w:r w:rsidR="00A22067" w:rsidRPr="008B68A9">
        <w:t xml:space="preserve">dominated </w:t>
      </w:r>
      <w:r w:rsidR="002710B2" w:rsidRPr="008B68A9">
        <w:t>by</w:t>
      </w:r>
      <w:r w:rsidR="002270B7" w:rsidRPr="008B68A9">
        <w:t xml:space="preserve"> psychiatric medicine</w:t>
      </w:r>
      <w:r w:rsidR="00680219" w:rsidRPr="008B68A9">
        <w:t>,</w:t>
      </w:r>
      <w:r w:rsidR="004A5A76" w:rsidRPr="008B68A9">
        <w:t xml:space="preserve"> </w:t>
      </w:r>
      <w:r w:rsidR="008E2A26" w:rsidRPr="008B68A9">
        <w:t xml:space="preserve">where </w:t>
      </w:r>
      <w:r w:rsidR="0057586E" w:rsidRPr="008B68A9">
        <w:t>perceptions of</w:t>
      </w:r>
      <w:r w:rsidR="008E2A26" w:rsidRPr="008B68A9">
        <w:t xml:space="preserve"> capacity and fluctuating mental health status have been used </w:t>
      </w:r>
      <w:r w:rsidR="0057586E" w:rsidRPr="008B68A9">
        <w:t xml:space="preserve">to limit the availability and uptake of personalisation (Hamilton </w:t>
      </w:r>
      <w:r w:rsidR="00AC06A3" w:rsidRPr="008B68A9">
        <w:rPr>
          <w:i/>
        </w:rPr>
        <w:t>et al.</w:t>
      </w:r>
      <w:r w:rsidR="0057586E" w:rsidRPr="008B68A9">
        <w:t xml:space="preserve"> 2015</w:t>
      </w:r>
      <w:r w:rsidR="000C6E12" w:rsidRPr="008B68A9">
        <w:t>a</w:t>
      </w:r>
      <w:r w:rsidR="0057586E" w:rsidRPr="008B68A9">
        <w:t>).</w:t>
      </w:r>
      <w:r w:rsidR="00415741" w:rsidRPr="008B68A9">
        <w:t xml:space="preserve"> </w:t>
      </w:r>
      <w:r w:rsidR="00680219" w:rsidRPr="008B68A9">
        <w:t xml:space="preserve">Kinderman </w:t>
      </w:r>
      <w:r w:rsidR="002710B2" w:rsidRPr="008B68A9">
        <w:t>(</w:t>
      </w:r>
      <w:r w:rsidR="009C2DCF" w:rsidRPr="008B68A9">
        <w:t>201</w:t>
      </w:r>
      <w:r w:rsidR="009C5833" w:rsidRPr="008B68A9">
        <w:t>4a</w:t>
      </w:r>
      <w:r w:rsidR="002710B2" w:rsidRPr="008B68A9">
        <w:t>) and</w:t>
      </w:r>
      <w:r w:rsidR="00680219" w:rsidRPr="008B68A9">
        <w:t xml:space="preserve"> Bentall </w:t>
      </w:r>
      <w:r w:rsidR="002710B2" w:rsidRPr="008B68A9">
        <w:t>(2016) contest medicine’s right to dominate mental health</w:t>
      </w:r>
      <w:r w:rsidR="00680219" w:rsidRPr="008B68A9">
        <w:t xml:space="preserve"> although</w:t>
      </w:r>
      <w:r w:rsidR="002710B2" w:rsidRPr="008B68A9">
        <w:t xml:space="preserve"> an</w:t>
      </w:r>
      <w:r w:rsidR="00680219" w:rsidRPr="008B68A9">
        <w:t xml:space="preserve"> illness and disorder </w:t>
      </w:r>
      <w:r w:rsidR="002710B2" w:rsidRPr="008B68A9">
        <w:t xml:space="preserve">frame </w:t>
      </w:r>
      <w:r w:rsidR="00680219" w:rsidRPr="008B68A9">
        <w:t>in mental health for many</w:t>
      </w:r>
      <w:r w:rsidR="002710B2" w:rsidRPr="008B68A9">
        <w:t xml:space="preserve"> </w:t>
      </w:r>
      <w:r w:rsidR="00680219" w:rsidRPr="008B68A9">
        <w:t>constitute</w:t>
      </w:r>
      <w:r w:rsidR="002710B2" w:rsidRPr="008B68A9">
        <w:t>s</w:t>
      </w:r>
      <w:r w:rsidR="00680219" w:rsidRPr="008B68A9">
        <w:t xml:space="preserve"> a powerful and convincing narrative for those experiencing distress (Solomon </w:t>
      </w:r>
      <w:r w:rsidR="0055571A" w:rsidRPr="008B68A9">
        <w:t>2002).</w:t>
      </w:r>
    </w:p>
    <w:p w14:paraId="632914D0" w14:textId="6BAF6CF0" w:rsidR="006864AA" w:rsidRPr="008B68A9" w:rsidRDefault="004A5A76" w:rsidP="002F0FD7">
      <w:pPr>
        <w:pStyle w:val="5arangedleft"/>
      </w:pPr>
      <w:r w:rsidRPr="008B68A9">
        <w:t xml:space="preserve">Power </w:t>
      </w:r>
      <w:r w:rsidR="002270B7" w:rsidRPr="008B68A9">
        <w:t>as an interest</w:t>
      </w:r>
      <w:r w:rsidRPr="008B68A9">
        <w:t xml:space="preserve"> in mental health</w:t>
      </w:r>
      <w:r w:rsidR="002270B7" w:rsidRPr="008B68A9">
        <w:t xml:space="preserve"> has been </w:t>
      </w:r>
      <w:r w:rsidR="00710E30" w:rsidRPr="008B68A9">
        <w:t xml:space="preserve">the </w:t>
      </w:r>
      <w:r w:rsidR="002270B7" w:rsidRPr="008B68A9">
        <w:t xml:space="preserve">subject </w:t>
      </w:r>
      <w:r w:rsidR="00710E30" w:rsidRPr="008B68A9">
        <w:t xml:space="preserve">of </w:t>
      </w:r>
      <w:r w:rsidR="00A22D8F" w:rsidRPr="008B68A9">
        <w:t xml:space="preserve">much </w:t>
      </w:r>
      <w:r w:rsidR="002270B7" w:rsidRPr="008B68A9">
        <w:t>literature (Scull 199</w:t>
      </w:r>
      <w:r w:rsidR="00292D14" w:rsidRPr="008B68A9">
        <w:t>3</w:t>
      </w:r>
      <w:r w:rsidR="000C6E12" w:rsidRPr="008B68A9">
        <w:t>)</w:t>
      </w:r>
      <w:r w:rsidRPr="008B68A9">
        <w:t xml:space="preserve"> </w:t>
      </w:r>
      <w:r w:rsidR="00710E30" w:rsidRPr="008B68A9">
        <w:t xml:space="preserve">and </w:t>
      </w:r>
      <w:r w:rsidR="00A22D8F" w:rsidRPr="008B68A9">
        <w:t>debate in practice (Bentall 2009, Kinderman 201</w:t>
      </w:r>
      <w:r w:rsidR="00292D14" w:rsidRPr="008B68A9">
        <w:t>3</w:t>
      </w:r>
      <w:r w:rsidR="000C6E12" w:rsidRPr="008B68A9">
        <w:t>)</w:t>
      </w:r>
      <w:r w:rsidR="00A22D8F" w:rsidRPr="008B68A9">
        <w:t>, as well</w:t>
      </w:r>
      <w:r w:rsidR="002270B7" w:rsidRPr="008B68A9">
        <w:t xml:space="preserve"> a</w:t>
      </w:r>
      <w:r w:rsidR="00A22D8F" w:rsidRPr="008B68A9">
        <w:t>s a</w:t>
      </w:r>
      <w:r w:rsidR="002270B7" w:rsidRPr="008B68A9">
        <w:t xml:space="preserve"> research methodology such as Foucault</w:t>
      </w:r>
      <w:r w:rsidR="00710E30" w:rsidRPr="008B68A9">
        <w:t>’s</w:t>
      </w:r>
      <w:r w:rsidR="002270B7" w:rsidRPr="008B68A9">
        <w:t xml:space="preserve"> </w:t>
      </w:r>
      <w:r w:rsidR="003B1DAB" w:rsidRPr="008B68A9">
        <w:t>d</w:t>
      </w:r>
      <w:r w:rsidR="002270B7" w:rsidRPr="008B68A9">
        <w:t xml:space="preserve">iscourse </w:t>
      </w:r>
      <w:r w:rsidR="003B1DAB" w:rsidRPr="008B68A9">
        <w:t>a</w:t>
      </w:r>
      <w:r w:rsidR="002270B7" w:rsidRPr="008B68A9">
        <w:t xml:space="preserve">nalysis </w:t>
      </w:r>
      <w:r w:rsidR="00A22D8F" w:rsidRPr="008B68A9">
        <w:t>(Burr 1995).</w:t>
      </w:r>
      <w:r w:rsidR="00415741" w:rsidRPr="008B68A9">
        <w:t xml:space="preserve"> </w:t>
      </w:r>
      <w:r w:rsidR="0041054E" w:rsidRPr="008B68A9">
        <w:t xml:space="preserve">Through the </w:t>
      </w:r>
      <w:r w:rsidR="00405995" w:rsidRPr="008B68A9">
        <w:t xml:space="preserve">actor’s </w:t>
      </w:r>
      <w:r w:rsidR="00A22D8F" w:rsidRPr="008B68A9">
        <w:t>speech acts</w:t>
      </w:r>
      <w:r w:rsidR="00710E30" w:rsidRPr="008B68A9">
        <w:t>,</w:t>
      </w:r>
      <w:r w:rsidR="00A22D8F" w:rsidRPr="008B68A9">
        <w:t xml:space="preserve"> </w:t>
      </w:r>
      <w:r w:rsidRPr="008B68A9">
        <w:t>form</w:t>
      </w:r>
      <w:r w:rsidR="00831FCD" w:rsidRPr="008B68A9">
        <w:t>s</w:t>
      </w:r>
      <w:r w:rsidRPr="008B68A9">
        <w:t xml:space="preserve"> of power</w:t>
      </w:r>
      <w:r w:rsidR="005132D5" w:rsidRPr="008B68A9">
        <w:t xml:space="preserve"> </w:t>
      </w:r>
      <w:r w:rsidR="0041054E" w:rsidRPr="008B68A9">
        <w:t>are</w:t>
      </w:r>
      <w:r w:rsidR="005132D5" w:rsidRPr="008B68A9">
        <w:t xml:space="preserve"> </w:t>
      </w:r>
      <w:r w:rsidR="00872690" w:rsidRPr="008B68A9">
        <w:t xml:space="preserve">continuously </w:t>
      </w:r>
      <w:r w:rsidR="005132D5" w:rsidRPr="008B68A9">
        <w:t xml:space="preserve">expressed </w:t>
      </w:r>
      <w:r w:rsidR="004C4BCF" w:rsidRPr="008B68A9">
        <w:t xml:space="preserve">as </w:t>
      </w:r>
      <w:r w:rsidR="0041054E" w:rsidRPr="008B68A9">
        <w:t xml:space="preserve">the </w:t>
      </w:r>
      <w:r w:rsidR="00831FCD" w:rsidRPr="008B68A9">
        <w:t xml:space="preserve">struggle </w:t>
      </w:r>
      <w:r w:rsidR="00405995" w:rsidRPr="008B68A9">
        <w:t>for</w:t>
      </w:r>
      <w:r w:rsidR="00831FCD" w:rsidRPr="008B68A9">
        <w:t xml:space="preserve"> </w:t>
      </w:r>
      <w:r w:rsidR="005132D5" w:rsidRPr="008B68A9">
        <w:t>control in mental health</w:t>
      </w:r>
      <w:r w:rsidR="00872690" w:rsidRPr="008B68A9">
        <w:t xml:space="preserve"> between users and providers of services</w:t>
      </w:r>
      <w:r w:rsidR="0041054E" w:rsidRPr="008B68A9">
        <w:t>.</w:t>
      </w:r>
      <w:r w:rsidR="00415741" w:rsidRPr="008B68A9">
        <w:t xml:space="preserve"> </w:t>
      </w:r>
      <w:r w:rsidR="00405995" w:rsidRPr="008B68A9">
        <w:t>S</w:t>
      </w:r>
      <w:r w:rsidRPr="008B68A9">
        <w:t>ervice us</w:t>
      </w:r>
      <w:r w:rsidR="0041054E" w:rsidRPr="008B68A9">
        <w:t xml:space="preserve">ers as objects </w:t>
      </w:r>
      <w:r w:rsidR="0041054E" w:rsidRPr="008B68A9">
        <w:lastRenderedPageBreak/>
        <w:t>of knowledge</w:t>
      </w:r>
      <w:r w:rsidRPr="008B68A9">
        <w:t xml:space="preserve"> </w:t>
      </w:r>
      <w:r w:rsidR="0041054E" w:rsidRPr="008B68A9">
        <w:t xml:space="preserve">are subject to </w:t>
      </w:r>
      <w:r w:rsidRPr="008B68A9">
        <w:t xml:space="preserve">power </w:t>
      </w:r>
      <w:r w:rsidR="0041054E" w:rsidRPr="008B68A9">
        <w:t>identities, as</w:t>
      </w:r>
      <w:r w:rsidRPr="008B68A9">
        <w:t xml:space="preserve"> control </w:t>
      </w:r>
      <w:r w:rsidR="006864AA" w:rsidRPr="008B68A9">
        <w:t>lies</w:t>
      </w:r>
      <w:r w:rsidRPr="008B68A9">
        <w:t xml:space="preserve"> with </w:t>
      </w:r>
      <w:r w:rsidR="00831FCD" w:rsidRPr="008B68A9">
        <w:t>those</w:t>
      </w:r>
      <w:r w:rsidRPr="008B68A9">
        <w:t xml:space="preserve"> organising care</w:t>
      </w:r>
      <w:r w:rsidR="00A22D8F" w:rsidRPr="008B68A9">
        <w:t xml:space="preserve"> </w:t>
      </w:r>
      <w:r w:rsidR="0041054E" w:rsidRPr="008B68A9">
        <w:t>(</w:t>
      </w:r>
      <w:r w:rsidR="00A22D8F" w:rsidRPr="008B68A9">
        <w:t xml:space="preserve">Schirato </w:t>
      </w:r>
      <w:r w:rsidR="00AC06A3" w:rsidRPr="008B68A9">
        <w:rPr>
          <w:i/>
        </w:rPr>
        <w:t>et al.</w:t>
      </w:r>
      <w:r w:rsidR="00A22D8F" w:rsidRPr="008B68A9">
        <w:t xml:space="preserve"> (2012)</w:t>
      </w:r>
      <w:r w:rsidR="00405995" w:rsidRPr="008B68A9">
        <w:t xml:space="preserve">, although Foucault </w:t>
      </w:r>
      <w:r w:rsidR="004C4BCF" w:rsidRPr="008B68A9">
        <w:t xml:space="preserve">more accurately </w:t>
      </w:r>
      <w:r w:rsidR="00405995" w:rsidRPr="008B68A9">
        <w:t>suggest</w:t>
      </w:r>
      <w:r w:rsidR="0060411D" w:rsidRPr="008B68A9">
        <w:t>s</w:t>
      </w:r>
      <w:r w:rsidR="00405995" w:rsidRPr="008B68A9">
        <w:t xml:space="preserve"> that struggles for power occur continuously and </w:t>
      </w:r>
      <w:r w:rsidR="004C4BCF" w:rsidRPr="008B68A9">
        <w:t xml:space="preserve">are </w:t>
      </w:r>
      <w:r w:rsidR="00405995" w:rsidRPr="008B68A9">
        <w:t>undertaken by all actors</w:t>
      </w:r>
      <w:r w:rsidRPr="008B68A9">
        <w:t>.</w:t>
      </w:r>
      <w:r w:rsidR="00415741" w:rsidRPr="008B68A9">
        <w:t xml:space="preserve"> </w:t>
      </w:r>
      <w:r w:rsidR="0041054E" w:rsidRPr="008B68A9">
        <w:t xml:space="preserve">This </w:t>
      </w:r>
      <w:r w:rsidR="00533B47" w:rsidRPr="008B68A9">
        <w:t>study</w:t>
      </w:r>
      <w:r w:rsidR="004C4BCF" w:rsidRPr="008B68A9">
        <w:t>,</w:t>
      </w:r>
      <w:r w:rsidR="00405995" w:rsidRPr="008B68A9">
        <w:t xml:space="preserve"> however</w:t>
      </w:r>
      <w:r w:rsidR="004C4BCF" w:rsidRPr="008B68A9">
        <w:t>,</w:t>
      </w:r>
      <w:r w:rsidR="00533B47" w:rsidRPr="008B68A9">
        <w:t xml:space="preserve"> </w:t>
      </w:r>
      <w:r w:rsidR="00AF4760" w:rsidRPr="008B68A9">
        <w:t>does not use</w:t>
      </w:r>
      <w:r w:rsidR="0041054E" w:rsidRPr="008B68A9">
        <w:t xml:space="preserve"> Foucault</w:t>
      </w:r>
      <w:r w:rsidR="004C4BCF" w:rsidRPr="008B68A9">
        <w:t>’s work</w:t>
      </w:r>
      <w:r w:rsidR="0041054E" w:rsidRPr="008B68A9">
        <w:t xml:space="preserve"> as a research method</w:t>
      </w:r>
      <w:r w:rsidR="00AF4760" w:rsidRPr="008B68A9">
        <w:t>,</w:t>
      </w:r>
      <w:r w:rsidR="0041054E" w:rsidRPr="008B68A9">
        <w:t xml:space="preserve"> although </w:t>
      </w:r>
      <w:r w:rsidR="00DC7B4A" w:rsidRPr="008B68A9">
        <w:t>I acknowledge</w:t>
      </w:r>
      <w:r w:rsidR="0041054E" w:rsidRPr="008B68A9">
        <w:t xml:space="preserve"> the contribution of power and identity </w:t>
      </w:r>
      <w:r w:rsidR="00533B47" w:rsidRPr="008B68A9">
        <w:t>that his work provides to an examination of powerful institutions and vulnerable actors.</w:t>
      </w:r>
      <w:r w:rsidR="00415741" w:rsidRPr="008B68A9">
        <w:t xml:space="preserve"> </w:t>
      </w:r>
      <w:r w:rsidR="004C4BCF" w:rsidRPr="008B68A9">
        <w:t>Professional m</w:t>
      </w:r>
      <w:r w:rsidR="00AF4760" w:rsidRPr="008B68A9">
        <w:t xml:space="preserve">ental health </w:t>
      </w:r>
      <w:r w:rsidR="00846207" w:rsidRPr="008B68A9">
        <w:t>personnel</w:t>
      </w:r>
      <w:r w:rsidR="004C4BCF" w:rsidRPr="008B68A9">
        <w:t>,</w:t>
      </w:r>
      <w:r w:rsidR="00AF4760" w:rsidRPr="008B68A9">
        <w:t xml:space="preserve"> through asymmetric power</w:t>
      </w:r>
      <w:r w:rsidR="004C4BCF" w:rsidRPr="008B68A9">
        <w:t>,</w:t>
      </w:r>
      <w:r w:rsidR="00AF4760" w:rsidRPr="008B68A9">
        <w:t xml:space="preserve"> create</w:t>
      </w:r>
      <w:r w:rsidRPr="008B68A9">
        <w:t xml:space="preserve"> </w:t>
      </w:r>
      <w:r w:rsidR="00533B47" w:rsidRPr="008B68A9">
        <w:t>a</w:t>
      </w:r>
      <w:r w:rsidRPr="008B68A9">
        <w:t xml:space="preserve"> duality</w:t>
      </w:r>
      <w:r w:rsidR="00533B47" w:rsidRPr="008B68A9">
        <w:t xml:space="preserve"> of identity</w:t>
      </w:r>
      <w:r w:rsidR="00DC7B4A" w:rsidRPr="008B68A9">
        <w:t xml:space="preserve"> as</w:t>
      </w:r>
      <w:r w:rsidRPr="008B68A9">
        <w:t xml:space="preserve"> </w:t>
      </w:r>
      <w:r w:rsidR="00533B47" w:rsidRPr="008B68A9">
        <w:t>carer and custodian in accomplishing their roles</w:t>
      </w:r>
      <w:r w:rsidR="004B2C06" w:rsidRPr="008B68A9">
        <w:t xml:space="preserve"> (Cutcliffe 2008</w:t>
      </w:r>
      <w:r w:rsidR="006E0D66" w:rsidRPr="008B68A9">
        <w:t>)</w:t>
      </w:r>
      <w:r w:rsidRPr="008B68A9">
        <w:t>.</w:t>
      </w:r>
      <w:r w:rsidR="00415741" w:rsidRPr="008B68A9">
        <w:t xml:space="preserve"> </w:t>
      </w:r>
      <w:r w:rsidRPr="008B68A9">
        <w:t xml:space="preserve">Personalisation challenges this orthodoxy, </w:t>
      </w:r>
      <w:r w:rsidR="0098199D" w:rsidRPr="008B68A9">
        <w:t xml:space="preserve">producing </w:t>
      </w:r>
      <w:r w:rsidR="00846207" w:rsidRPr="008B68A9">
        <w:t xml:space="preserve">the </w:t>
      </w:r>
      <w:r w:rsidR="0098199D" w:rsidRPr="008B68A9">
        <w:t>conditions where</w:t>
      </w:r>
      <w:r w:rsidR="006E0D66" w:rsidRPr="008B68A9">
        <w:t xml:space="preserve"> users</w:t>
      </w:r>
      <w:r w:rsidR="00DC7B4A" w:rsidRPr="008B68A9">
        <w:t xml:space="preserve"> themselves</w:t>
      </w:r>
      <w:r w:rsidRPr="008B68A9">
        <w:t xml:space="preserve"> </w:t>
      </w:r>
      <w:r w:rsidR="0098199D" w:rsidRPr="008B68A9">
        <w:t xml:space="preserve">become </w:t>
      </w:r>
      <w:r w:rsidRPr="008B68A9">
        <w:t>power</w:t>
      </w:r>
      <w:r w:rsidR="006E0D66" w:rsidRPr="008B68A9">
        <w:t>ful</w:t>
      </w:r>
      <w:r w:rsidRPr="008B68A9">
        <w:t xml:space="preserve">, </w:t>
      </w:r>
      <w:r w:rsidR="00846207" w:rsidRPr="008B68A9">
        <w:t>challenging</w:t>
      </w:r>
      <w:r w:rsidRPr="008B68A9">
        <w:t xml:space="preserve"> </w:t>
      </w:r>
      <w:r w:rsidR="0098199D" w:rsidRPr="008B68A9">
        <w:t>professionals</w:t>
      </w:r>
      <w:r w:rsidRPr="008B68A9">
        <w:t xml:space="preserve"> </w:t>
      </w:r>
      <w:r w:rsidR="00846207" w:rsidRPr="008B68A9">
        <w:t xml:space="preserve">to </w:t>
      </w:r>
      <w:r w:rsidRPr="008B68A9">
        <w:t>cede historically established control</w:t>
      </w:r>
      <w:r w:rsidR="0098199D" w:rsidRPr="008B68A9">
        <w:t xml:space="preserve"> and </w:t>
      </w:r>
      <w:r w:rsidR="00DC7B4A" w:rsidRPr="008B68A9">
        <w:t>authority</w:t>
      </w:r>
      <w:r w:rsidRPr="008B68A9">
        <w:t>.</w:t>
      </w:r>
      <w:r w:rsidR="00415741" w:rsidRPr="008B68A9">
        <w:t xml:space="preserve"> </w:t>
      </w:r>
      <w:r w:rsidR="006864AA" w:rsidRPr="008B68A9">
        <w:t xml:space="preserve">This study explores the identity work that </w:t>
      </w:r>
      <w:r w:rsidR="00846207" w:rsidRPr="008B68A9">
        <w:t>occurred</w:t>
      </w:r>
      <w:r w:rsidR="004C4BCF" w:rsidRPr="008B68A9">
        <w:t>,</w:t>
      </w:r>
      <w:r w:rsidR="006864AA" w:rsidRPr="008B68A9">
        <w:t xml:space="preserve"> and </w:t>
      </w:r>
      <w:r w:rsidR="00DC7B4A" w:rsidRPr="008B68A9">
        <w:t xml:space="preserve">how </w:t>
      </w:r>
      <w:r w:rsidR="006864AA" w:rsidRPr="008B68A9">
        <w:t xml:space="preserve">professional relationships </w:t>
      </w:r>
      <w:r w:rsidR="00DC7B4A" w:rsidRPr="008B68A9">
        <w:t>were</w:t>
      </w:r>
      <w:r w:rsidR="006864AA" w:rsidRPr="008B68A9">
        <w:t xml:space="preserve"> challenged </w:t>
      </w:r>
      <w:r w:rsidR="00DC7B4A" w:rsidRPr="008B68A9">
        <w:t xml:space="preserve">through </w:t>
      </w:r>
      <w:r w:rsidR="00846207" w:rsidRPr="008B68A9">
        <w:t>the</w:t>
      </w:r>
      <w:r w:rsidR="00DC7B4A" w:rsidRPr="008B68A9">
        <w:t xml:space="preserve"> imperative for</w:t>
      </w:r>
      <w:r w:rsidR="006864AA" w:rsidRPr="008B68A9">
        <w:t xml:space="preserve"> partnership</w:t>
      </w:r>
      <w:r w:rsidR="00DC7B4A" w:rsidRPr="008B68A9">
        <w:t xml:space="preserve"> working</w:t>
      </w:r>
      <w:r w:rsidR="00846207" w:rsidRPr="008B68A9">
        <w:t xml:space="preserve"> personalisation demands</w:t>
      </w:r>
      <w:r w:rsidR="006864AA" w:rsidRPr="008B68A9">
        <w:t>.</w:t>
      </w:r>
    </w:p>
    <w:p w14:paraId="3A104D99" w14:textId="3BAB99E2" w:rsidR="006176FF" w:rsidRPr="008B68A9" w:rsidRDefault="006176FF" w:rsidP="00DA13FA">
      <w:pPr>
        <w:pStyle w:val="2L2header"/>
      </w:pPr>
      <w:bookmarkStart w:id="16" w:name="_Toc413827336"/>
      <w:bookmarkStart w:id="17" w:name="_Toc466800275"/>
      <w:r w:rsidRPr="008B68A9">
        <w:t>1.</w:t>
      </w:r>
      <w:r w:rsidR="003B1DAB" w:rsidRPr="008B68A9">
        <w:t>4</w:t>
      </w:r>
      <w:r w:rsidRPr="008B68A9">
        <w:t xml:space="preserve"> Organisation of the thesis</w:t>
      </w:r>
      <w:bookmarkEnd w:id="16"/>
      <w:bookmarkEnd w:id="17"/>
    </w:p>
    <w:p w14:paraId="1E7DBEDA" w14:textId="4FDE577D" w:rsidR="00BF14EA" w:rsidRPr="008B68A9" w:rsidRDefault="00924000" w:rsidP="002F0FD7">
      <w:pPr>
        <w:pStyle w:val="5arangedleft"/>
      </w:pPr>
      <w:r w:rsidRPr="008B68A9">
        <w:t>Chapter</w:t>
      </w:r>
      <w:r w:rsidR="00DC7B4A" w:rsidRPr="008B68A9">
        <w:t xml:space="preserve"> 2</w:t>
      </w:r>
      <w:r w:rsidR="007D30F0" w:rsidRPr="008B68A9">
        <w:t xml:space="preserve"> discusses</w:t>
      </w:r>
      <w:r w:rsidR="00AF4760" w:rsidRPr="008B68A9">
        <w:t xml:space="preserve"> the development of personalisation and the</w:t>
      </w:r>
      <w:r w:rsidR="00DC7B4A" w:rsidRPr="008B68A9">
        <w:t xml:space="preserve"> complexity of defining the narratives</w:t>
      </w:r>
      <w:r w:rsidR="00F13E6D" w:rsidRPr="008B68A9">
        <w:t xml:space="preserve"> that together represent personalisation as policy, practice</w:t>
      </w:r>
      <w:r w:rsidR="003B1DAB" w:rsidRPr="008B68A9">
        <w:t>,</w:t>
      </w:r>
      <w:r w:rsidR="00F13E6D" w:rsidRPr="008B68A9">
        <w:t xml:space="preserve"> and </w:t>
      </w:r>
      <w:r w:rsidR="003B1DAB" w:rsidRPr="008B68A9">
        <w:t xml:space="preserve">the </w:t>
      </w:r>
      <w:r w:rsidR="00F13E6D" w:rsidRPr="008B68A9">
        <w:t>wider influences of disruption, consumerism and austerity.</w:t>
      </w:r>
      <w:r w:rsidR="00415741" w:rsidRPr="008B68A9">
        <w:t xml:space="preserve"> </w:t>
      </w:r>
      <w:r w:rsidR="00F13E6D" w:rsidRPr="008B68A9">
        <w:t xml:space="preserve">Historical links between the early user movement for </w:t>
      </w:r>
      <w:r w:rsidR="003F76DD" w:rsidRPr="008B68A9">
        <w:t>self-determination</w:t>
      </w:r>
      <w:r w:rsidR="00F13E6D" w:rsidRPr="008B68A9">
        <w:t xml:space="preserve"> and contemporary policy are explored</w:t>
      </w:r>
      <w:r w:rsidR="003B1DAB" w:rsidRPr="008B68A9">
        <w:t>,</w:t>
      </w:r>
      <w:r w:rsidR="00F13E6D" w:rsidRPr="008B68A9">
        <w:t xml:space="preserve"> </w:t>
      </w:r>
      <w:r w:rsidR="001B7360" w:rsidRPr="008B68A9">
        <w:t>as are</w:t>
      </w:r>
      <w:r w:rsidR="00F13E6D" w:rsidRPr="008B68A9">
        <w:t xml:space="preserve"> the implications for constructed identity of interested actors.</w:t>
      </w:r>
      <w:r w:rsidR="00415741" w:rsidRPr="008B68A9">
        <w:t xml:space="preserve"> </w:t>
      </w:r>
      <w:r w:rsidR="00F13E6D" w:rsidRPr="008B68A9">
        <w:t xml:space="preserve">The chapter places personalisation in </w:t>
      </w:r>
      <w:r w:rsidR="0028682D" w:rsidRPr="008B68A9">
        <w:t>a</w:t>
      </w:r>
      <w:r w:rsidR="00F13E6D" w:rsidRPr="008B68A9">
        <w:t xml:space="preserve"> context of consumerism and power</w:t>
      </w:r>
      <w:r w:rsidR="003F76DD" w:rsidRPr="008B68A9">
        <w:t xml:space="preserve"> within a government</w:t>
      </w:r>
      <w:r w:rsidR="003B1DAB" w:rsidRPr="008B68A9">
        <w:t>-</w:t>
      </w:r>
      <w:r w:rsidR="003F76DD" w:rsidRPr="008B68A9">
        <w:t>led austerity narrative</w:t>
      </w:r>
      <w:r w:rsidR="005E19DF" w:rsidRPr="008B68A9">
        <w:t>.</w:t>
      </w:r>
      <w:r w:rsidR="00415741" w:rsidRPr="008B68A9">
        <w:t xml:space="preserve"> </w:t>
      </w:r>
      <w:r w:rsidR="005E19DF" w:rsidRPr="008B68A9">
        <w:t>The parallels between personalisation and recovery approaches are drawn</w:t>
      </w:r>
      <w:r w:rsidR="003B1DAB" w:rsidRPr="008B68A9">
        <w:t>,</w:t>
      </w:r>
      <w:r w:rsidR="005E19DF" w:rsidRPr="008B68A9">
        <w:t xml:space="preserve"> </w:t>
      </w:r>
      <w:r w:rsidR="0028682D" w:rsidRPr="008B68A9">
        <w:t>as are</w:t>
      </w:r>
      <w:r w:rsidR="005E19DF" w:rsidRPr="008B68A9">
        <w:t xml:space="preserve"> the policy implications for practitioners and users.</w:t>
      </w:r>
      <w:r w:rsidR="00415741" w:rsidRPr="008B68A9">
        <w:t xml:space="preserve"> </w:t>
      </w:r>
      <w:r w:rsidR="00EA40FC" w:rsidRPr="008B68A9">
        <w:t>Central to the identity struggles in mental health, questions of power and professional asymmetry are discussed in the context of co-production a</w:t>
      </w:r>
      <w:r w:rsidR="0028682D" w:rsidRPr="008B68A9">
        <w:t>nd brokerage in personalisation.</w:t>
      </w:r>
      <w:r w:rsidR="00155F7A" w:rsidRPr="008B68A9">
        <w:t xml:space="preserve"> The role of brokers and their relationship to users and professionals is discussed and the argument for independent brokerage</w:t>
      </w:r>
      <w:r w:rsidR="00EA40FC" w:rsidRPr="008B68A9">
        <w:t xml:space="preserve"> for mental health services</w:t>
      </w:r>
      <w:r w:rsidR="00155F7A" w:rsidRPr="008B68A9">
        <w:t xml:space="preserve"> is made</w:t>
      </w:r>
      <w:r w:rsidR="007649E6" w:rsidRPr="008B68A9">
        <w:t>.</w:t>
      </w:r>
    </w:p>
    <w:p w14:paraId="590F639F" w14:textId="10F7E17C" w:rsidR="006176FF" w:rsidRPr="008B68A9" w:rsidRDefault="006176FF" w:rsidP="002F0FD7">
      <w:pPr>
        <w:pStyle w:val="5arangedleft"/>
      </w:pPr>
      <w:r w:rsidRPr="008B68A9">
        <w:t xml:space="preserve">In chapter </w:t>
      </w:r>
      <w:r w:rsidR="00BF14EA" w:rsidRPr="008B68A9">
        <w:t>3</w:t>
      </w:r>
      <w:r w:rsidRPr="008B68A9">
        <w:t xml:space="preserve"> </w:t>
      </w:r>
      <w:r w:rsidR="007649E6" w:rsidRPr="008B68A9">
        <w:t xml:space="preserve">a review of the literature is presented </w:t>
      </w:r>
      <w:r w:rsidR="0089095E" w:rsidRPr="008B68A9">
        <w:t>which</w:t>
      </w:r>
      <w:r w:rsidR="00C50D4B" w:rsidRPr="008B68A9">
        <w:t xml:space="preserve"> </w:t>
      </w:r>
      <w:r w:rsidR="004452A3" w:rsidRPr="008B68A9">
        <w:t>considers health and social care evidence from UK and international perspectives.</w:t>
      </w:r>
      <w:r w:rsidR="00415741" w:rsidRPr="008B68A9">
        <w:t xml:space="preserve"> </w:t>
      </w:r>
      <w:r w:rsidR="00EA40FC" w:rsidRPr="008B68A9">
        <w:t xml:space="preserve">The evidential basis </w:t>
      </w:r>
      <w:r w:rsidR="0089095E" w:rsidRPr="008B68A9">
        <w:t>of</w:t>
      </w:r>
      <w:r w:rsidR="00EA40FC" w:rsidRPr="008B68A9">
        <w:t xml:space="preserve"> the claims made on behalf of personalisation in its many forms is challenged and the </w:t>
      </w:r>
      <w:r w:rsidR="00EA40FC" w:rsidRPr="008B68A9">
        <w:lastRenderedPageBreak/>
        <w:t xml:space="preserve">question of whether governments are addressing care affordability over self-directed or user led care is made. </w:t>
      </w:r>
      <w:r w:rsidR="00853E3C" w:rsidRPr="008B68A9">
        <w:t>Finally</w:t>
      </w:r>
      <w:r w:rsidR="005D21E1" w:rsidRPr="008B68A9">
        <w:t>,</w:t>
      </w:r>
      <w:r w:rsidR="00853E3C" w:rsidRPr="008B68A9">
        <w:t xml:space="preserve"> the chapter </w:t>
      </w:r>
      <w:r w:rsidR="00EA40FC" w:rsidRPr="008B68A9">
        <w:t>focusses on the UK mental health specific personalisation literature and the implications and limitation of those studies</w:t>
      </w:r>
      <w:r w:rsidR="00C96859" w:rsidRPr="008B68A9">
        <w:t>.</w:t>
      </w:r>
    </w:p>
    <w:p w14:paraId="3E6DADF8" w14:textId="4990E1C5" w:rsidR="006176FF" w:rsidRPr="008B68A9" w:rsidRDefault="00BF14EA" w:rsidP="00B022FC">
      <w:pPr>
        <w:pStyle w:val="5arangedleft"/>
      </w:pPr>
      <w:r w:rsidRPr="008B68A9">
        <w:t>C</w:t>
      </w:r>
      <w:r w:rsidR="006176FF" w:rsidRPr="008B68A9">
        <w:t xml:space="preserve">hapter </w:t>
      </w:r>
      <w:r w:rsidRPr="008B68A9">
        <w:t>4</w:t>
      </w:r>
      <w:r w:rsidR="006176FF" w:rsidRPr="008B68A9">
        <w:t xml:space="preserve"> outline</w:t>
      </w:r>
      <w:r w:rsidR="00C96859" w:rsidRPr="008B68A9">
        <w:t>s</w:t>
      </w:r>
      <w:r w:rsidR="006176FF" w:rsidRPr="008B68A9">
        <w:t xml:space="preserve"> </w:t>
      </w:r>
      <w:r w:rsidR="00C96859" w:rsidRPr="008B68A9">
        <w:t>the methodological basis and</w:t>
      </w:r>
      <w:r w:rsidR="006176FF" w:rsidRPr="008B68A9">
        <w:t xml:space="preserve"> rationale </w:t>
      </w:r>
      <w:r w:rsidR="00C96859" w:rsidRPr="008B68A9">
        <w:t xml:space="preserve">for </w:t>
      </w:r>
      <w:r w:rsidR="005D21E1" w:rsidRPr="008B68A9">
        <w:t xml:space="preserve">the use of </w:t>
      </w:r>
      <w:r w:rsidR="00C96859" w:rsidRPr="008B68A9">
        <w:t xml:space="preserve">narrative </w:t>
      </w:r>
      <w:r w:rsidR="004F64E7" w:rsidRPr="008B68A9">
        <w:t>and social constructionism in this work.</w:t>
      </w:r>
      <w:r w:rsidR="00415741" w:rsidRPr="008B68A9">
        <w:t xml:space="preserve"> </w:t>
      </w:r>
      <w:r w:rsidR="004F64E7" w:rsidRPr="008B68A9">
        <w:t>Divided into three sections</w:t>
      </w:r>
      <w:r w:rsidR="005D21E1" w:rsidRPr="008B68A9">
        <w:t>,</w:t>
      </w:r>
      <w:r w:rsidR="004F64E7" w:rsidRPr="008B68A9">
        <w:t xml:space="preserve"> the methodology, study design and challenges of </w:t>
      </w:r>
      <w:r w:rsidR="005D21E1" w:rsidRPr="008B68A9">
        <w:t xml:space="preserve">my </w:t>
      </w:r>
      <w:r w:rsidR="004F64E7" w:rsidRPr="008B68A9">
        <w:t>chosen method are discussed.</w:t>
      </w:r>
      <w:r w:rsidR="00415741" w:rsidRPr="008B68A9">
        <w:t xml:space="preserve"> </w:t>
      </w:r>
      <w:r w:rsidR="00B022FC" w:rsidRPr="008B68A9">
        <w:t>A</w:t>
      </w:r>
      <w:r w:rsidR="006176FF" w:rsidRPr="008B68A9">
        <w:t xml:space="preserve">n account and analysis of </w:t>
      </w:r>
      <w:r w:rsidR="00B022FC" w:rsidRPr="008B68A9">
        <w:t>the</w:t>
      </w:r>
      <w:r w:rsidR="006176FF" w:rsidRPr="008B68A9">
        <w:t xml:space="preserve"> use of Gergen and Gergen’s (1986)</w:t>
      </w:r>
      <w:r w:rsidR="005D21E1" w:rsidRPr="008B68A9">
        <w:t xml:space="preserve"> </w:t>
      </w:r>
      <w:r w:rsidR="00B022FC" w:rsidRPr="008B68A9">
        <w:t>concept</w:t>
      </w:r>
      <w:r w:rsidR="00F34F9F" w:rsidRPr="008B68A9">
        <w:t xml:space="preserve"> of </w:t>
      </w:r>
      <w:r w:rsidR="000F08FF" w:rsidRPr="008B68A9">
        <w:t>narrative</w:t>
      </w:r>
      <w:r w:rsidR="006176FF" w:rsidRPr="008B68A9">
        <w:t xml:space="preserve"> </w:t>
      </w:r>
      <w:r w:rsidR="00F34F9F" w:rsidRPr="008B68A9">
        <w:t>trajectory</w:t>
      </w:r>
      <w:r w:rsidR="005D21E1" w:rsidRPr="008B68A9">
        <w:t>,</w:t>
      </w:r>
      <w:r w:rsidR="00F34F9F" w:rsidRPr="008B68A9">
        <w:t xml:space="preserve"> and </w:t>
      </w:r>
      <w:r w:rsidR="00B022FC" w:rsidRPr="008B68A9">
        <w:t>also</w:t>
      </w:r>
      <w:r w:rsidR="005D21E1" w:rsidRPr="008B68A9">
        <w:t xml:space="preserve"> </w:t>
      </w:r>
      <w:r w:rsidR="006176FF" w:rsidRPr="008B68A9">
        <w:t>Bury’s (2001</w:t>
      </w:r>
      <w:r w:rsidR="00B022FC" w:rsidRPr="008B68A9">
        <w:t>, p.265</w:t>
      </w:r>
      <w:r w:rsidR="006176FF" w:rsidRPr="008B68A9">
        <w:t xml:space="preserve">) </w:t>
      </w:r>
      <w:r w:rsidR="00E31841" w:rsidRPr="008B68A9">
        <w:t>‘</w:t>
      </w:r>
      <w:r w:rsidR="006176FF" w:rsidRPr="008B68A9">
        <w:t>contingent narrative</w:t>
      </w:r>
      <w:r w:rsidR="00E31841" w:rsidRPr="008B68A9">
        <w:t>’</w:t>
      </w:r>
      <w:r w:rsidR="006176FF" w:rsidRPr="008B68A9">
        <w:t xml:space="preserve"> </w:t>
      </w:r>
      <w:r w:rsidR="00B022FC" w:rsidRPr="008B68A9">
        <w:t xml:space="preserve">which is used throughout this thesis as meaning, “…`contingent narratives' which involve explanations of illness onset that deal with its `proximate' causes and the practical and disabling effects of symptoms” </w:t>
      </w:r>
      <w:r w:rsidR="006176FF" w:rsidRPr="008B68A9">
        <w:t xml:space="preserve">as part of </w:t>
      </w:r>
      <w:r w:rsidR="00B022FC" w:rsidRPr="008B68A9">
        <w:t xml:space="preserve">the </w:t>
      </w:r>
      <w:r w:rsidR="004F64E7" w:rsidRPr="008B68A9">
        <w:t xml:space="preserve">participants’ </w:t>
      </w:r>
      <w:r w:rsidR="0003062C" w:rsidRPr="008B68A9">
        <w:t>identity</w:t>
      </w:r>
      <w:r w:rsidR="004F64E7" w:rsidRPr="008B68A9">
        <w:t>-talk.</w:t>
      </w:r>
      <w:r w:rsidR="00415741" w:rsidRPr="008B68A9">
        <w:t xml:space="preserve"> </w:t>
      </w:r>
      <w:r w:rsidR="006176FF" w:rsidRPr="008B68A9">
        <w:t>Bury’s earlier work (1982)</w:t>
      </w:r>
      <w:r w:rsidR="003C4396" w:rsidRPr="008B68A9">
        <w:t xml:space="preserve"> also</w:t>
      </w:r>
      <w:r w:rsidR="006176FF" w:rsidRPr="008B68A9">
        <w:t xml:space="preserve"> </w:t>
      </w:r>
      <w:r w:rsidR="004F64E7" w:rsidRPr="008B68A9">
        <w:t>provides</w:t>
      </w:r>
      <w:r w:rsidR="006176FF" w:rsidRPr="008B68A9">
        <w:t xml:space="preserve"> a frame of understanding</w:t>
      </w:r>
      <w:r w:rsidR="005D21E1" w:rsidRPr="008B68A9">
        <w:t xml:space="preserve"> for</w:t>
      </w:r>
      <w:r w:rsidR="006176FF" w:rsidRPr="008B68A9">
        <w:t xml:space="preserve"> </w:t>
      </w:r>
      <w:r w:rsidR="004F64E7" w:rsidRPr="008B68A9">
        <w:t xml:space="preserve">individual </w:t>
      </w:r>
      <w:r w:rsidR="006176FF" w:rsidRPr="008B68A9">
        <w:t xml:space="preserve">identity work undertaken </w:t>
      </w:r>
      <w:r w:rsidR="004F64E7" w:rsidRPr="008B68A9">
        <w:t xml:space="preserve">through </w:t>
      </w:r>
      <w:r w:rsidR="006176FF" w:rsidRPr="008B68A9">
        <w:t>the negotiating</w:t>
      </w:r>
      <w:r w:rsidR="004F64E7" w:rsidRPr="008B68A9">
        <w:t xml:space="preserve"> of</w:t>
      </w:r>
      <w:r w:rsidR="006176FF" w:rsidRPr="008B68A9">
        <w:t xml:space="preserve"> ‘bi</w:t>
      </w:r>
      <w:r w:rsidR="004F64E7" w:rsidRPr="008B68A9">
        <w:t>ographic interruption’ (p</w:t>
      </w:r>
      <w:r w:rsidR="005D21E1" w:rsidRPr="008B68A9">
        <w:t xml:space="preserve">. </w:t>
      </w:r>
      <w:r w:rsidR="004F64E7" w:rsidRPr="008B68A9">
        <w:t xml:space="preserve">169). </w:t>
      </w:r>
    </w:p>
    <w:p w14:paraId="10B7C974" w14:textId="4517C6D6" w:rsidR="006176FF" w:rsidRPr="008B68A9" w:rsidRDefault="004F64E7" w:rsidP="002F0FD7">
      <w:pPr>
        <w:pStyle w:val="5arangedleft"/>
      </w:pPr>
      <w:r w:rsidRPr="008B68A9">
        <w:t>C</w:t>
      </w:r>
      <w:r w:rsidR="006176FF" w:rsidRPr="008B68A9">
        <w:t xml:space="preserve">hapter </w:t>
      </w:r>
      <w:r w:rsidR="00BF14EA" w:rsidRPr="008B68A9">
        <w:t>5</w:t>
      </w:r>
      <w:r w:rsidR="006176FF" w:rsidRPr="008B68A9">
        <w:t xml:space="preserve"> </w:t>
      </w:r>
      <w:r w:rsidR="00E763D5" w:rsidRPr="008B68A9">
        <w:t xml:space="preserve">presents </w:t>
      </w:r>
      <w:r w:rsidR="006176FF" w:rsidRPr="008B68A9">
        <w:t>a synopsis of the Nort</w:t>
      </w:r>
      <w:r w:rsidR="007557C1" w:rsidRPr="008B68A9">
        <w:t>h West p</w:t>
      </w:r>
      <w:r w:rsidR="006176FF" w:rsidRPr="008B68A9">
        <w:t>ersonalisation studies</w:t>
      </w:r>
      <w:r w:rsidR="000E04EB" w:rsidRPr="008B68A9">
        <w:t xml:space="preserve"> </w:t>
      </w:r>
      <w:r w:rsidR="00E763D5" w:rsidRPr="008B68A9">
        <w:t>with t</w:t>
      </w:r>
      <w:r w:rsidR="000E04EB" w:rsidRPr="008B68A9">
        <w:t xml:space="preserve">he purpose </w:t>
      </w:r>
      <w:r w:rsidR="005D21E1" w:rsidRPr="008B68A9">
        <w:t xml:space="preserve">of </w:t>
      </w:r>
      <w:r w:rsidR="007557C1" w:rsidRPr="008B68A9">
        <w:t>establish</w:t>
      </w:r>
      <w:r w:rsidR="005D21E1" w:rsidRPr="008B68A9">
        <w:t>ing</w:t>
      </w:r>
      <w:r w:rsidR="000E04EB" w:rsidRPr="008B68A9">
        <w:t xml:space="preserve"> the basis o</w:t>
      </w:r>
      <w:r w:rsidR="003C4396" w:rsidRPr="008B68A9">
        <w:t>f my journey in personalisation.</w:t>
      </w:r>
      <w:r w:rsidR="000E04EB" w:rsidRPr="008B68A9">
        <w:t xml:space="preserve"> </w:t>
      </w:r>
      <w:r w:rsidR="003C4396" w:rsidRPr="008B68A9">
        <w:t xml:space="preserve">The chapter also serves </w:t>
      </w:r>
      <w:r w:rsidR="000E04EB" w:rsidRPr="008B68A9">
        <w:t xml:space="preserve">as to </w:t>
      </w:r>
      <w:r w:rsidR="005D21E1" w:rsidRPr="008B68A9">
        <w:t xml:space="preserve">consider </w:t>
      </w:r>
      <w:r w:rsidR="007557C1" w:rsidRPr="008B68A9">
        <w:t xml:space="preserve">this study’s use </w:t>
      </w:r>
      <w:r w:rsidR="000E04EB" w:rsidRPr="008B68A9">
        <w:t xml:space="preserve">of collective case study </w:t>
      </w:r>
      <w:r w:rsidR="007557C1" w:rsidRPr="008B68A9">
        <w:t xml:space="preserve">analysis </w:t>
      </w:r>
      <w:r w:rsidR="00E763D5" w:rsidRPr="008B68A9">
        <w:t xml:space="preserve">from </w:t>
      </w:r>
      <w:r w:rsidR="005D21E1" w:rsidRPr="008B68A9">
        <w:t xml:space="preserve">its </w:t>
      </w:r>
      <w:r w:rsidR="00E763D5" w:rsidRPr="008B68A9">
        <w:t>original source</w:t>
      </w:r>
      <w:r w:rsidR="005D21E1" w:rsidRPr="008B68A9">
        <w:t>s</w:t>
      </w:r>
      <w:r w:rsidR="000E04EB" w:rsidRPr="008B68A9">
        <w:t>.</w:t>
      </w:r>
      <w:r w:rsidR="00415741" w:rsidRPr="008B68A9">
        <w:t xml:space="preserve"> </w:t>
      </w:r>
      <w:r w:rsidR="000E04EB" w:rsidRPr="008B68A9">
        <w:t>The studies can stand alone</w:t>
      </w:r>
      <w:r w:rsidR="005D21E1" w:rsidRPr="008B68A9">
        <w:t xml:space="preserve">; indeed, </w:t>
      </w:r>
      <w:r w:rsidR="000E04EB" w:rsidRPr="008B68A9">
        <w:t xml:space="preserve">two </w:t>
      </w:r>
      <w:r w:rsidR="005D21E1" w:rsidRPr="008B68A9">
        <w:t>(</w:t>
      </w:r>
      <w:r w:rsidR="000E04EB" w:rsidRPr="008B68A9">
        <w:t>Eost-Telling 2010</w:t>
      </w:r>
      <w:r w:rsidR="005D21E1" w:rsidRPr="008B68A9">
        <w:t>,</w:t>
      </w:r>
      <w:r w:rsidR="000E04EB" w:rsidRPr="008B68A9">
        <w:t xml:space="preserve"> </w:t>
      </w:r>
      <w:r w:rsidR="00F34F9F" w:rsidRPr="008B68A9">
        <w:t>Coyle</w:t>
      </w:r>
      <w:r w:rsidR="000E04EB" w:rsidRPr="008B68A9">
        <w:t xml:space="preserve"> 2011</w:t>
      </w:r>
      <w:r w:rsidR="005D21E1" w:rsidRPr="008B68A9">
        <w:t>) are reported elsewhere</w:t>
      </w:r>
      <w:r w:rsidR="00EE014E" w:rsidRPr="008B68A9">
        <w:t>, though t</w:t>
      </w:r>
      <w:r w:rsidR="00864C09" w:rsidRPr="008B68A9">
        <w:t>he studies</w:t>
      </w:r>
      <w:r w:rsidR="000E04EB" w:rsidRPr="008B68A9">
        <w:t xml:space="preserve"> can also be </w:t>
      </w:r>
      <w:r w:rsidR="00BF66A6" w:rsidRPr="008B68A9">
        <w:t>read</w:t>
      </w:r>
      <w:r w:rsidR="000E04EB" w:rsidRPr="008B68A9">
        <w:t xml:space="preserve"> as a part of a personalisation narrative </w:t>
      </w:r>
      <w:r w:rsidR="00EE014E" w:rsidRPr="008B68A9">
        <w:t>that represents</w:t>
      </w:r>
      <w:r w:rsidR="000E04EB" w:rsidRPr="008B68A9">
        <w:t xml:space="preserve"> a body of </w:t>
      </w:r>
      <w:r w:rsidR="00EE014E" w:rsidRPr="008B68A9">
        <w:t>work</w:t>
      </w:r>
      <w:r w:rsidR="00121EA8" w:rsidRPr="008B68A9">
        <w:t xml:space="preserve"> </w:t>
      </w:r>
      <w:r w:rsidR="00864C09" w:rsidRPr="008B68A9">
        <w:t xml:space="preserve">that </w:t>
      </w:r>
      <w:r w:rsidR="00817399" w:rsidRPr="008B68A9">
        <w:t xml:space="preserve">has </w:t>
      </w:r>
      <w:r w:rsidR="003C4396" w:rsidRPr="008B68A9">
        <w:t>had a significant influence on</w:t>
      </w:r>
      <w:r w:rsidR="00864C09" w:rsidRPr="008B68A9">
        <w:t xml:space="preserve"> my thinking</w:t>
      </w:r>
      <w:r w:rsidR="00817399" w:rsidRPr="008B68A9">
        <w:t xml:space="preserve"> as a researcher</w:t>
      </w:r>
      <w:r w:rsidR="00121EA8" w:rsidRPr="008B68A9">
        <w:t>.</w:t>
      </w:r>
    </w:p>
    <w:p w14:paraId="75B8301E" w14:textId="3A1E3EA1" w:rsidR="00552373" w:rsidRPr="008B68A9" w:rsidRDefault="00EE014E" w:rsidP="002F0FD7">
      <w:pPr>
        <w:pStyle w:val="5arangedleft"/>
      </w:pPr>
      <w:r w:rsidRPr="008B68A9">
        <w:t xml:space="preserve">In Chapter 6, </w:t>
      </w:r>
      <w:r w:rsidR="005265CC" w:rsidRPr="008B68A9">
        <w:t>a</w:t>
      </w:r>
      <w:r w:rsidRPr="008B68A9">
        <w:t>n analysis of a</w:t>
      </w:r>
      <w:r w:rsidR="005265CC" w:rsidRPr="008B68A9">
        <w:t xml:space="preserve"> </w:t>
      </w:r>
      <w:r w:rsidR="00864C09" w:rsidRPr="008B68A9">
        <w:t xml:space="preserve">representative sample involved in </w:t>
      </w:r>
      <w:r w:rsidR="00F66F48" w:rsidRPr="008B68A9">
        <w:t xml:space="preserve">the </w:t>
      </w:r>
      <w:r w:rsidR="00864C09" w:rsidRPr="008B68A9">
        <w:t xml:space="preserve">personalisation </w:t>
      </w:r>
      <w:r w:rsidR="005265CC" w:rsidRPr="008B68A9">
        <w:t xml:space="preserve">pilot studies </w:t>
      </w:r>
      <w:r w:rsidR="00552373" w:rsidRPr="008B68A9">
        <w:t>is presented.</w:t>
      </w:r>
      <w:r w:rsidR="00415741" w:rsidRPr="008B68A9">
        <w:t xml:space="preserve"> </w:t>
      </w:r>
      <w:r w:rsidR="0067127B" w:rsidRPr="008B68A9">
        <w:t>The coding formati</w:t>
      </w:r>
      <w:r w:rsidR="00BF66A6" w:rsidRPr="008B68A9">
        <w:t>on and strategy are discussed</w:t>
      </w:r>
      <w:r w:rsidRPr="008B68A9">
        <w:t xml:space="preserve"> </w:t>
      </w:r>
      <w:r w:rsidR="00F66F48" w:rsidRPr="008B68A9">
        <w:t>as are</w:t>
      </w:r>
      <w:r w:rsidRPr="008B68A9">
        <w:t xml:space="preserve"> their</w:t>
      </w:r>
      <w:r w:rsidR="00415741" w:rsidRPr="008B68A9">
        <w:t xml:space="preserve"> </w:t>
      </w:r>
      <w:r w:rsidR="00552373" w:rsidRPr="008B68A9">
        <w:t>narrative trajectories</w:t>
      </w:r>
      <w:r w:rsidR="00F34F9F" w:rsidRPr="008B68A9">
        <w:t>, positioning</w:t>
      </w:r>
      <w:r w:rsidR="00552373" w:rsidRPr="008B68A9">
        <w:t xml:space="preserve"> and s</w:t>
      </w:r>
      <w:r w:rsidR="00F34F9F" w:rsidRPr="008B68A9">
        <w:t>tory-lines</w:t>
      </w:r>
      <w:r w:rsidRPr="008B68A9">
        <w:t>.  The culmination</w:t>
      </w:r>
      <w:r w:rsidR="00F34F9F" w:rsidRPr="008B68A9">
        <w:t xml:space="preserve"> </w:t>
      </w:r>
      <w:r w:rsidRPr="008B68A9">
        <w:t>of</w:t>
      </w:r>
      <w:r w:rsidR="00F34F9F" w:rsidRPr="008B68A9">
        <w:t xml:space="preserve"> those</w:t>
      </w:r>
      <w:r w:rsidR="00552373" w:rsidRPr="008B68A9">
        <w:t xml:space="preserve"> actor</w:t>
      </w:r>
      <w:r w:rsidR="005265CC" w:rsidRPr="008B68A9">
        <w:t>s</w:t>
      </w:r>
      <w:r w:rsidR="00552373" w:rsidRPr="008B68A9">
        <w:t>’ trope</w:t>
      </w:r>
      <w:r w:rsidR="00F34F9F" w:rsidRPr="008B68A9">
        <w:t xml:space="preserve"> </w:t>
      </w:r>
      <w:r w:rsidR="00864C09" w:rsidRPr="008B68A9">
        <w:t xml:space="preserve">formation </w:t>
      </w:r>
      <w:r w:rsidR="00552373" w:rsidRPr="008B68A9">
        <w:t>and orientation</w:t>
      </w:r>
      <w:r w:rsidR="0067127B" w:rsidRPr="008B68A9">
        <w:t xml:space="preserve"> to personalisation</w:t>
      </w:r>
      <w:r w:rsidR="00AC4B35" w:rsidRPr="008B68A9">
        <w:t xml:space="preserve"> </w:t>
      </w:r>
      <w:r w:rsidR="00F66F48" w:rsidRPr="008B68A9">
        <w:t>is</w:t>
      </w:r>
      <w:r w:rsidR="00AC4B35" w:rsidRPr="008B68A9">
        <w:t xml:space="preserve"> </w:t>
      </w:r>
      <w:r w:rsidRPr="008B68A9">
        <w:t xml:space="preserve">demonstrated through </w:t>
      </w:r>
      <w:r w:rsidR="00552373" w:rsidRPr="008B68A9">
        <w:t>the</w:t>
      </w:r>
      <w:r w:rsidRPr="008B68A9">
        <w:t>ir</w:t>
      </w:r>
      <w:r w:rsidR="00552373" w:rsidRPr="008B68A9">
        <w:t xml:space="preserve"> connections between</w:t>
      </w:r>
      <w:r w:rsidR="00AC4B35" w:rsidRPr="008B68A9">
        <w:t xml:space="preserve"> </w:t>
      </w:r>
      <w:r w:rsidR="00552373" w:rsidRPr="008B68A9">
        <w:t>identity work and the r</w:t>
      </w:r>
      <w:r w:rsidR="0067127B" w:rsidRPr="008B68A9">
        <w:t xml:space="preserve">ole </w:t>
      </w:r>
      <w:r w:rsidRPr="008B68A9">
        <w:t xml:space="preserve">their </w:t>
      </w:r>
      <w:r w:rsidR="00F66F48" w:rsidRPr="008B68A9">
        <w:t>narratives</w:t>
      </w:r>
      <w:r w:rsidR="0067127B" w:rsidRPr="008B68A9">
        <w:t xml:space="preserve"> had </w:t>
      </w:r>
      <w:r w:rsidR="00AC4B35" w:rsidRPr="008B68A9">
        <w:t>in</w:t>
      </w:r>
      <w:r w:rsidR="0067127B" w:rsidRPr="008B68A9">
        <w:t xml:space="preserve"> constructing their</w:t>
      </w:r>
      <w:r w:rsidRPr="008B68A9">
        <w:t xml:space="preserve"> orientation to personalisation</w:t>
      </w:r>
      <w:r w:rsidR="0067127B" w:rsidRPr="008B68A9">
        <w:t>.</w:t>
      </w:r>
    </w:p>
    <w:p w14:paraId="361AEBF4" w14:textId="4891EB9C" w:rsidR="006176FF" w:rsidRPr="008B68A9" w:rsidRDefault="006176FF" w:rsidP="002F0FD7">
      <w:pPr>
        <w:pStyle w:val="5arangedleft"/>
      </w:pPr>
      <w:r w:rsidRPr="008B68A9">
        <w:t>In chapter</w:t>
      </w:r>
      <w:r w:rsidR="00FB2B98" w:rsidRPr="008B68A9">
        <w:t xml:space="preserve"> </w:t>
      </w:r>
      <w:r w:rsidR="0086211D" w:rsidRPr="008B68A9">
        <w:t xml:space="preserve">7 </w:t>
      </w:r>
      <w:r w:rsidR="00AF3459" w:rsidRPr="008B68A9">
        <w:t>a</w:t>
      </w:r>
      <w:r w:rsidR="00AC4B35" w:rsidRPr="008B68A9">
        <w:t xml:space="preserve"> synthesis </w:t>
      </w:r>
      <w:r w:rsidR="00F66F48" w:rsidRPr="008B68A9">
        <w:t xml:space="preserve">and discussion </w:t>
      </w:r>
      <w:r w:rsidR="002718A4" w:rsidRPr="008B68A9">
        <w:t xml:space="preserve">of my work is </w:t>
      </w:r>
      <w:r w:rsidR="00924000" w:rsidRPr="008B68A9">
        <w:t>presented</w:t>
      </w:r>
      <w:r w:rsidR="002718A4" w:rsidRPr="008B68A9">
        <w:t xml:space="preserve"> which details</w:t>
      </w:r>
      <w:r w:rsidR="00AC4B35" w:rsidRPr="008B68A9">
        <w:t xml:space="preserve"> </w:t>
      </w:r>
      <w:r w:rsidR="00AF3459" w:rsidRPr="008B68A9">
        <w:t xml:space="preserve">the framework </w:t>
      </w:r>
      <w:r w:rsidR="00AC4B35" w:rsidRPr="008B68A9">
        <w:t>show</w:t>
      </w:r>
      <w:r w:rsidR="002718A4" w:rsidRPr="008B68A9">
        <w:t>ing</w:t>
      </w:r>
      <w:r w:rsidR="00BF66A6" w:rsidRPr="008B68A9">
        <w:t xml:space="preserve"> </w:t>
      </w:r>
      <w:r w:rsidR="00AF3459" w:rsidRPr="008B68A9">
        <w:t>how participants</w:t>
      </w:r>
      <w:r w:rsidR="00924000" w:rsidRPr="008B68A9">
        <w:t xml:space="preserve"> </w:t>
      </w:r>
      <w:r w:rsidR="00AF3459" w:rsidRPr="008B68A9">
        <w:t>developed</w:t>
      </w:r>
      <w:r w:rsidR="00924000" w:rsidRPr="008B68A9">
        <w:t xml:space="preserve"> </w:t>
      </w:r>
      <w:r w:rsidR="00AF3459" w:rsidRPr="008B68A9">
        <w:t>their</w:t>
      </w:r>
      <w:r w:rsidR="00924000" w:rsidRPr="008B68A9">
        <w:t xml:space="preserve"> orientation towards per</w:t>
      </w:r>
      <w:r w:rsidR="00BF66A6" w:rsidRPr="008B68A9">
        <w:t>sonalisation.</w:t>
      </w:r>
      <w:r w:rsidR="00415741" w:rsidRPr="008B68A9">
        <w:t xml:space="preserve"> </w:t>
      </w:r>
      <w:r w:rsidR="00BF66A6" w:rsidRPr="008B68A9">
        <w:t>The</w:t>
      </w:r>
      <w:r w:rsidR="00AC4B35" w:rsidRPr="008B68A9">
        <w:t>ir</w:t>
      </w:r>
      <w:r w:rsidR="00924000" w:rsidRPr="008B68A9">
        <w:t xml:space="preserve"> </w:t>
      </w:r>
      <w:r w:rsidR="00AF3459" w:rsidRPr="008B68A9">
        <w:t>interactions</w:t>
      </w:r>
      <w:r w:rsidR="00FB2B98" w:rsidRPr="008B68A9">
        <w:t>,</w:t>
      </w:r>
      <w:r w:rsidR="00AF3459" w:rsidRPr="008B68A9">
        <w:t xml:space="preserve"> determined </w:t>
      </w:r>
      <w:r w:rsidR="0066141B" w:rsidRPr="008B68A9">
        <w:t>by</w:t>
      </w:r>
      <w:r w:rsidR="00AF3459" w:rsidRPr="008B68A9">
        <w:t xml:space="preserve"> socially constructed</w:t>
      </w:r>
      <w:r w:rsidR="0066141B" w:rsidRPr="008B68A9">
        <w:t xml:space="preserve"> positioning </w:t>
      </w:r>
      <w:r w:rsidR="0066141B" w:rsidRPr="008B68A9">
        <w:lastRenderedPageBreak/>
        <w:t>and</w:t>
      </w:r>
      <w:r w:rsidR="00AF3459" w:rsidRPr="008B68A9">
        <w:t xml:space="preserve"> identity work</w:t>
      </w:r>
      <w:r w:rsidR="00FB2B98" w:rsidRPr="008B68A9">
        <w:t>,</w:t>
      </w:r>
      <w:r w:rsidR="00AF3459" w:rsidRPr="008B68A9">
        <w:t xml:space="preserve"> </w:t>
      </w:r>
      <w:r w:rsidR="0066141B" w:rsidRPr="008B68A9">
        <w:t>are discussed</w:t>
      </w:r>
      <w:r w:rsidR="00FB2B98" w:rsidRPr="008B68A9">
        <w:t>;</w:t>
      </w:r>
      <w:r w:rsidR="0066141B" w:rsidRPr="008B68A9">
        <w:t xml:space="preserve"> </w:t>
      </w:r>
      <w:r w:rsidR="00FB2B98" w:rsidRPr="008B68A9">
        <w:t xml:space="preserve">as is the </w:t>
      </w:r>
      <w:r w:rsidR="0066141B" w:rsidRPr="008B68A9">
        <w:t>resultant receptive or oppositional orientation to personalisation.</w:t>
      </w:r>
      <w:r w:rsidR="00415741" w:rsidRPr="008B68A9">
        <w:t xml:space="preserve"> </w:t>
      </w:r>
      <w:r w:rsidR="00516D73" w:rsidRPr="008B68A9">
        <w:t xml:space="preserve">The discourse of power </w:t>
      </w:r>
      <w:r w:rsidR="005A0AA5" w:rsidRPr="008B68A9">
        <w:t>and conventions of warrant in mental health services are discussed in light of the demands of personalisation and co-production</w:t>
      </w:r>
      <w:r w:rsidR="00924000" w:rsidRPr="008B68A9">
        <w:t>.</w:t>
      </w:r>
      <w:r w:rsidR="00415741" w:rsidRPr="008B68A9">
        <w:t xml:space="preserve"> </w:t>
      </w:r>
      <w:r w:rsidR="002718A4" w:rsidRPr="008B68A9">
        <w:t xml:space="preserve">The role brokerage plays in successful personalisation is discussed and the argument for independent brokers is made. </w:t>
      </w:r>
      <w:r w:rsidR="005A0AA5" w:rsidRPr="008B68A9">
        <w:t>The model of orientation to personalisation is set into the context of education in self-direction</w:t>
      </w:r>
      <w:r w:rsidR="00FB2B98" w:rsidRPr="008B68A9">
        <w:t>,</w:t>
      </w:r>
      <w:r w:rsidR="005A0AA5" w:rsidRPr="008B68A9">
        <w:t xml:space="preserve"> and the potential of its use </w:t>
      </w:r>
      <w:r w:rsidR="00FB2B98" w:rsidRPr="008B68A9">
        <w:t xml:space="preserve">is </w:t>
      </w:r>
      <w:r w:rsidR="005A0AA5" w:rsidRPr="008B68A9">
        <w:t>highlighted.</w:t>
      </w:r>
    </w:p>
    <w:p w14:paraId="41DACFA0" w14:textId="0292C384" w:rsidR="006176FF" w:rsidRPr="008B68A9" w:rsidRDefault="00BF66A6" w:rsidP="002F0FD7">
      <w:pPr>
        <w:pStyle w:val="5arangedleft"/>
      </w:pPr>
      <w:r w:rsidRPr="008B68A9">
        <w:t>Chapter</w:t>
      </w:r>
      <w:r w:rsidR="006176FF" w:rsidRPr="008B68A9">
        <w:t xml:space="preserve"> </w:t>
      </w:r>
      <w:r w:rsidR="0086211D" w:rsidRPr="008B68A9">
        <w:t>8</w:t>
      </w:r>
      <w:r w:rsidR="006176FF" w:rsidRPr="008B68A9">
        <w:t xml:space="preserve"> offer</w:t>
      </w:r>
      <w:r w:rsidR="00FB2B98" w:rsidRPr="008B68A9">
        <w:t>s</w:t>
      </w:r>
      <w:r w:rsidR="006176FF" w:rsidRPr="008B68A9">
        <w:t xml:space="preserve"> conclusions drawn and the contribution </w:t>
      </w:r>
      <w:r w:rsidR="00AC4B35" w:rsidRPr="008B68A9">
        <w:t xml:space="preserve">this work may </w:t>
      </w:r>
      <w:r w:rsidR="002718A4" w:rsidRPr="008B68A9">
        <w:t>offer</w:t>
      </w:r>
      <w:r w:rsidR="006176FF" w:rsidRPr="008B68A9">
        <w:t xml:space="preserve"> to practice</w:t>
      </w:r>
      <w:r w:rsidR="002718A4" w:rsidRPr="008B68A9">
        <w:t xml:space="preserve"> and</w:t>
      </w:r>
      <w:r w:rsidR="00AF3459" w:rsidRPr="008B68A9">
        <w:t xml:space="preserve"> policy</w:t>
      </w:r>
      <w:r w:rsidR="00AC4B35" w:rsidRPr="008B68A9">
        <w:t>.</w:t>
      </w:r>
      <w:r w:rsidR="00415741" w:rsidRPr="008B68A9">
        <w:t xml:space="preserve"> </w:t>
      </w:r>
      <w:r w:rsidR="00FB2B98" w:rsidRPr="008B68A9">
        <w:t>Through a reflexive account of the study</w:t>
      </w:r>
      <w:r w:rsidR="00B220DF" w:rsidRPr="008B68A9">
        <w:t>,</w:t>
      </w:r>
      <w:r w:rsidR="00FB2B98" w:rsidRPr="008B68A9">
        <w:t xml:space="preserve"> </w:t>
      </w:r>
      <w:r w:rsidR="00AC4B35" w:rsidRPr="008B68A9">
        <w:t>I also suggest some</w:t>
      </w:r>
      <w:r w:rsidR="006176FF" w:rsidRPr="008B68A9">
        <w:t xml:space="preserve"> limitations</w:t>
      </w:r>
      <w:r w:rsidR="00AC4B35" w:rsidRPr="008B68A9">
        <w:t xml:space="preserve"> of this</w:t>
      </w:r>
      <w:r w:rsidR="006176FF" w:rsidRPr="008B68A9">
        <w:t xml:space="preserve"> work </w:t>
      </w:r>
      <w:r w:rsidR="00AC4B35" w:rsidRPr="008B68A9">
        <w:t xml:space="preserve">in terms of design, </w:t>
      </w:r>
      <w:r w:rsidR="006176FF" w:rsidRPr="008B68A9">
        <w:t xml:space="preserve">suggesting opportunities for </w:t>
      </w:r>
      <w:r w:rsidR="00AF3459" w:rsidRPr="008B68A9">
        <w:t>further research and enquiry</w:t>
      </w:r>
      <w:r w:rsidR="006176FF" w:rsidRPr="008B68A9">
        <w:t xml:space="preserve">. </w:t>
      </w:r>
    </w:p>
    <w:p w14:paraId="025BFAC1" w14:textId="77777777" w:rsidR="00431971" w:rsidRPr="008B68A9" w:rsidRDefault="00431971" w:rsidP="0066141B">
      <w:pPr>
        <w:spacing w:line="276" w:lineRule="auto"/>
        <w:rPr>
          <w:bCs/>
          <w:color w:val="000000"/>
          <w:szCs w:val="24"/>
        </w:rPr>
        <w:sectPr w:rsidR="00431971" w:rsidRPr="008B68A9" w:rsidSect="00DA190C">
          <w:pgSz w:w="11906" w:h="16838"/>
          <w:pgMar w:top="1440" w:right="1558" w:bottom="1440" w:left="2268" w:header="709" w:footer="709" w:gutter="0"/>
          <w:cols w:space="708"/>
          <w:docGrid w:linePitch="360"/>
        </w:sectPr>
      </w:pPr>
    </w:p>
    <w:p w14:paraId="1DAF787C" w14:textId="4DE4CC62" w:rsidR="00826591" w:rsidRPr="008B68A9" w:rsidRDefault="00826591" w:rsidP="00431971">
      <w:pPr>
        <w:pStyle w:val="1L1header"/>
      </w:pPr>
      <w:bookmarkStart w:id="18" w:name="_Toc466800276"/>
      <w:r w:rsidRPr="008B68A9">
        <w:lastRenderedPageBreak/>
        <w:t>Chapter 2</w:t>
      </w:r>
      <w:r w:rsidR="00234D02" w:rsidRPr="008B68A9">
        <w:t>:</w:t>
      </w:r>
      <w:r w:rsidR="00A30485" w:rsidRPr="008B68A9">
        <w:t xml:space="preserve"> </w:t>
      </w:r>
      <w:r w:rsidR="00234D02" w:rsidRPr="008B68A9">
        <w:t>Context</w:t>
      </w:r>
      <w:r w:rsidR="008C4B73" w:rsidRPr="008B68A9">
        <w:t>ualising</w:t>
      </w:r>
      <w:r w:rsidR="00234D02" w:rsidRPr="008B68A9">
        <w:t xml:space="preserve"> personalisation</w:t>
      </w:r>
      <w:bookmarkEnd w:id="18"/>
    </w:p>
    <w:p w14:paraId="6FADF3A1" w14:textId="00753E3E" w:rsidR="00455703" w:rsidRPr="008B68A9" w:rsidRDefault="00455703" w:rsidP="00DA13FA">
      <w:pPr>
        <w:pStyle w:val="2L2header"/>
      </w:pPr>
      <w:bookmarkStart w:id="19" w:name="_Toc466800277"/>
      <w:r w:rsidRPr="008B68A9">
        <w:t>2.1 Introduction</w:t>
      </w:r>
      <w:bookmarkEnd w:id="19"/>
    </w:p>
    <w:p w14:paraId="7F685C5F" w14:textId="42C7D1DF" w:rsidR="00455703" w:rsidRPr="008B68A9" w:rsidRDefault="00F45D16" w:rsidP="002F0FD7">
      <w:pPr>
        <w:pStyle w:val="5arangedleft"/>
      </w:pPr>
      <w:r w:rsidRPr="008B68A9">
        <w:t>T</w:t>
      </w:r>
      <w:r w:rsidR="00450670" w:rsidRPr="008B68A9">
        <w:t>his chapter present</w:t>
      </w:r>
      <w:r w:rsidRPr="008B68A9">
        <w:t>s</w:t>
      </w:r>
      <w:r w:rsidR="00450670" w:rsidRPr="008B68A9">
        <w:t xml:space="preserve"> </w:t>
      </w:r>
      <w:r w:rsidR="00455703" w:rsidRPr="008B68A9">
        <w:t>the origin</w:t>
      </w:r>
      <w:r w:rsidR="003F5510" w:rsidRPr="008B68A9">
        <w:t>s and development of personalisatio</w:t>
      </w:r>
      <w:r w:rsidR="00455703" w:rsidRPr="008B68A9">
        <w:t>n in the UK</w:t>
      </w:r>
      <w:r w:rsidR="00920A23" w:rsidRPr="008B68A9">
        <w:t>,</w:t>
      </w:r>
      <w:r w:rsidR="00455703" w:rsidRPr="008B68A9">
        <w:t xml:space="preserve"> with a particular focus </w:t>
      </w:r>
      <w:r w:rsidR="00CD374E" w:rsidRPr="008B68A9">
        <w:t>on</w:t>
      </w:r>
      <w:r w:rsidR="00920A23" w:rsidRPr="008B68A9">
        <w:t xml:space="preserve"> the </w:t>
      </w:r>
      <w:r w:rsidR="00455703" w:rsidRPr="008B68A9">
        <w:t>impact the policy has</w:t>
      </w:r>
      <w:r w:rsidR="00450670" w:rsidRPr="008B68A9">
        <w:t xml:space="preserve"> had</w:t>
      </w:r>
      <w:r w:rsidR="00455703" w:rsidRPr="008B68A9">
        <w:t xml:space="preserve"> on the relationship</w:t>
      </w:r>
      <w:r w:rsidR="00CD374E" w:rsidRPr="008B68A9">
        <w:t>s</w:t>
      </w:r>
      <w:r w:rsidR="00455703" w:rsidRPr="008B68A9">
        <w:t xml:space="preserve"> between professional</w:t>
      </w:r>
      <w:r w:rsidR="00920A23" w:rsidRPr="008B68A9">
        <w:t>s</w:t>
      </w:r>
      <w:r w:rsidR="00455703" w:rsidRPr="008B68A9">
        <w:t xml:space="preserve"> and service users.</w:t>
      </w:r>
      <w:r w:rsidR="00415741" w:rsidRPr="008B68A9">
        <w:t xml:space="preserve"> </w:t>
      </w:r>
      <w:r w:rsidR="00EF7426" w:rsidRPr="008B68A9">
        <w:t xml:space="preserve">This chapter begins by </w:t>
      </w:r>
      <w:r w:rsidR="00B6136F" w:rsidRPr="008B68A9">
        <w:t>contextualising</w:t>
      </w:r>
      <w:r w:rsidR="00EF7426" w:rsidRPr="008B68A9">
        <w:t xml:space="preserve"> </w:t>
      </w:r>
      <w:r w:rsidR="00920A23" w:rsidRPr="008B68A9">
        <w:t xml:space="preserve">the </w:t>
      </w:r>
      <w:r w:rsidR="004352D7" w:rsidRPr="008B68A9">
        <w:t>definition</w:t>
      </w:r>
      <w:r w:rsidR="00405F67" w:rsidRPr="008B68A9">
        <w:t>s</w:t>
      </w:r>
      <w:r w:rsidR="004352D7" w:rsidRPr="008B68A9">
        <w:t xml:space="preserve"> and </w:t>
      </w:r>
      <w:r w:rsidR="00EF7426" w:rsidRPr="008B68A9">
        <w:t>origins of self-determination</w:t>
      </w:r>
      <w:r w:rsidR="00920A23" w:rsidRPr="008B68A9">
        <w:t>,</w:t>
      </w:r>
      <w:r w:rsidR="00EF7426" w:rsidRPr="008B68A9">
        <w:t xml:space="preserve"> before discussing the</w:t>
      </w:r>
      <w:r w:rsidR="00405F67" w:rsidRPr="008B68A9">
        <w:t xml:space="preserve"> role of personalisation </w:t>
      </w:r>
      <w:r w:rsidR="00AE7B25" w:rsidRPr="008B68A9">
        <w:t xml:space="preserve">in the context of </w:t>
      </w:r>
      <w:r w:rsidR="0029190E" w:rsidRPr="008B68A9">
        <w:t xml:space="preserve">multiple interpretations of </w:t>
      </w:r>
      <w:r w:rsidR="00AE7B25" w:rsidRPr="008B68A9">
        <w:t xml:space="preserve">choice, austerity and </w:t>
      </w:r>
      <w:r w:rsidR="00EF7426" w:rsidRPr="008B68A9">
        <w:t>professional asymmetry</w:t>
      </w:r>
      <w:r w:rsidR="00AE7B25" w:rsidRPr="008B68A9">
        <w:t>.</w:t>
      </w:r>
      <w:r w:rsidR="00E67361" w:rsidRPr="008B68A9">
        <w:t xml:space="preserve"> T</w:t>
      </w:r>
      <w:r w:rsidR="00EF7426" w:rsidRPr="008B68A9">
        <w:t xml:space="preserve">he </w:t>
      </w:r>
      <w:r w:rsidR="0029190E" w:rsidRPr="008B68A9">
        <w:t xml:space="preserve">chapter </w:t>
      </w:r>
      <w:r w:rsidR="00494B32" w:rsidRPr="008B68A9">
        <w:t>discusses</w:t>
      </w:r>
      <w:r w:rsidR="00EF7426" w:rsidRPr="008B68A9">
        <w:t xml:space="preserve"> </w:t>
      </w:r>
      <w:r w:rsidR="00D25E66" w:rsidRPr="008B68A9">
        <w:t xml:space="preserve">the </w:t>
      </w:r>
      <w:r w:rsidR="00E67361" w:rsidRPr="008B68A9">
        <w:t xml:space="preserve">context of </w:t>
      </w:r>
      <w:r w:rsidR="00EF7426" w:rsidRPr="008B68A9">
        <w:t>personal</w:t>
      </w:r>
      <w:r w:rsidR="00B6136F" w:rsidRPr="008B68A9">
        <w:t>isati</w:t>
      </w:r>
      <w:r w:rsidR="00EF7426" w:rsidRPr="008B68A9">
        <w:t>on</w:t>
      </w:r>
      <w:r w:rsidR="0029190E" w:rsidRPr="008B68A9">
        <w:t xml:space="preserve"> in mental health</w:t>
      </w:r>
      <w:r w:rsidR="00494B32" w:rsidRPr="008B68A9">
        <w:t>,</w:t>
      </w:r>
      <w:r w:rsidR="0029190E" w:rsidRPr="008B68A9">
        <w:t xml:space="preserve"> highlighting the contested nature of disorder</w:t>
      </w:r>
      <w:r w:rsidR="00920A23" w:rsidRPr="008B68A9">
        <w:t>,</w:t>
      </w:r>
      <w:r w:rsidR="0029190E" w:rsidRPr="008B68A9">
        <w:t xml:space="preserve"> </w:t>
      </w:r>
      <w:r w:rsidR="00494B32" w:rsidRPr="008B68A9">
        <w:t>and considers how</w:t>
      </w:r>
      <w:r w:rsidR="00EF7426" w:rsidRPr="008B68A9">
        <w:t xml:space="preserve"> </w:t>
      </w:r>
      <w:r w:rsidR="00B6136F" w:rsidRPr="008B68A9">
        <w:t xml:space="preserve">recovery approaches </w:t>
      </w:r>
      <w:r w:rsidR="003D24C4" w:rsidRPr="008B68A9">
        <w:t>contribute to personalisation</w:t>
      </w:r>
      <w:r w:rsidR="00E67361" w:rsidRPr="008B68A9">
        <w:t xml:space="preserve"> and the challenges</w:t>
      </w:r>
      <w:r w:rsidR="00D25E66" w:rsidRPr="008B68A9">
        <w:t xml:space="preserve"> this creates</w:t>
      </w:r>
      <w:r w:rsidR="00E67361" w:rsidRPr="008B68A9">
        <w:t xml:space="preserve"> for professionals as they </w:t>
      </w:r>
      <w:r w:rsidR="00D25E66" w:rsidRPr="008B68A9">
        <w:t xml:space="preserve">attempt to </w:t>
      </w:r>
      <w:r w:rsidR="00E67361" w:rsidRPr="008B68A9">
        <w:t>c</w:t>
      </w:r>
      <w:r w:rsidR="00D25E66" w:rsidRPr="008B68A9">
        <w:t xml:space="preserve">hange their working practices. </w:t>
      </w:r>
      <w:r w:rsidR="00E67361" w:rsidRPr="008B68A9">
        <w:t xml:space="preserve">Central to this thesis is the role brokerage </w:t>
      </w:r>
      <w:r w:rsidR="00D25E66" w:rsidRPr="008B68A9">
        <w:t>has in</w:t>
      </w:r>
      <w:r w:rsidR="00E67361" w:rsidRPr="008B68A9">
        <w:t xml:space="preserve"> supporting </w:t>
      </w:r>
      <w:r w:rsidR="00371B44" w:rsidRPr="008B68A9">
        <w:t>co-production</w:t>
      </w:r>
      <w:r w:rsidR="00E67361" w:rsidRPr="008B68A9">
        <w:t xml:space="preserve"> in </w:t>
      </w:r>
      <w:r w:rsidR="00D25E66" w:rsidRPr="008B68A9">
        <w:t xml:space="preserve">mental health </w:t>
      </w:r>
      <w:r w:rsidR="00E67361" w:rsidRPr="008B68A9">
        <w:t>personalisation</w:t>
      </w:r>
      <w:r w:rsidR="00B6136F" w:rsidRPr="008B68A9">
        <w:t>.</w:t>
      </w:r>
      <w:r w:rsidR="00415741" w:rsidRPr="008B68A9">
        <w:t xml:space="preserve"> </w:t>
      </w:r>
      <w:r w:rsidR="00E67361" w:rsidRPr="008B68A9">
        <w:t>An analysis of brokerage roles and forms the concept has taken will highlight the dichotomy facing professionals in their statutory roles and function.</w:t>
      </w:r>
      <w:r w:rsidRPr="008B68A9">
        <w:t xml:space="preserve"> Finally a consideration of the policy implications arising from personalisation is presented.</w:t>
      </w:r>
      <w:r w:rsidR="00E67361" w:rsidRPr="008B68A9">
        <w:t xml:space="preserve"> </w:t>
      </w:r>
      <w:r w:rsidR="004D6F74" w:rsidRPr="008B68A9">
        <w:t xml:space="preserve">The chapter does not intend to provide a comprehensive account of personalisation in the UK, nor </w:t>
      </w:r>
      <w:r w:rsidRPr="008B68A9">
        <w:t xml:space="preserve">provide </w:t>
      </w:r>
      <w:r w:rsidR="004D6F74" w:rsidRPr="008B68A9">
        <w:t>a description of the specific mechanisms</w:t>
      </w:r>
      <w:r w:rsidRPr="008B68A9">
        <w:t xml:space="preserve"> of providing personalised care.</w:t>
      </w:r>
      <w:r w:rsidR="004D6F74" w:rsidRPr="008B68A9">
        <w:t xml:space="preserve"> </w:t>
      </w:r>
      <w:r w:rsidRPr="008B68A9">
        <w:t>T</w:t>
      </w:r>
      <w:r w:rsidR="004D6F74" w:rsidRPr="008B68A9">
        <w:t xml:space="preserve">here are many </w:t>
      </w:r>
      <w:r w:rsidRPr="008B68A9">
        <w:t xml:space="preserve">accounts </w:t>
      </w:r>
      <w:r w:rsidR="004D6F74" w:rsidRPr="008B68A9">
        <w:t>ava</w:t>
      </w:r>
      <w:r w:rsidRPr="008B68A9">
        <w:t xml:space="preserve">ilable in the wider literature, (for example </w:t>
      </w:r>
      <w:r w:rsidR="004D6F74" w:rsidRPr="008B68A9">
        <w:t xml:space="preserve">Doty </w:t>
      </w:r>
      <w:r w:rsidR="00AC06A3" w:rsidRPr="008B68A9">
        <w:rPr>
          <w:i/>
        </w:rPr>
        <w:t>et al.</w:t>
      </w:r>
      <w:r w:rsidR="004D6F74" w:rsidRPr="008B68A9">
        <w:t xml:space="preserve"> 2007, Glasby and </w:t>
      </w:r>
      <w:r w:rsidR="00BB68C4" w:rsidRPr="008B68A9">
        <w:t xml:space="preserve">Littlechild </w:t>
      </w:r>
      <w:r w:rsidR="004D6F74" w:rsidRPr="008B68A9">
        <w:t>2009, Needham 2011b, Gadsby 2013)</w:t>
      </w:r>
      <w:r w:rsidR="00E206EF" w:rsidRPr="008B68A9">
        <w:t>.</w:t>
      </w:r>
    </w:p>
    <w:p w14:paraId="61ACB680" w14:textId="7E18A360" w:rsidR="004352D7" w:rsidRPr="008B68A9" w:rsidRDefault="004352D7" w:rsidP="00DA13FA">
      <w:pPr>
        <w:pStyle w:val="2L2header"/>
      </w:pPr>
      <w:bookmarkStart w:id="20" w:name="_Toc413827342"/>
      <w:bookmarkStart w:id="21" w:name="_Toc466800278"/>
      <w:r w:rsidRPr="008B68A9">
        <w:t>2.2 Defining personalisation</w:t>
      </w:r>
      <w:bookmarkEnd w:id="20"/>
      <w:bookmarkEnd w:id="21"/>
      <w:r w:rsidRPr="008B68A9">
        <w:t xml:space="preserve"> </w:t>
      </w:r>
    </w:p>
    <w:p w14:paraId="39E22E6F" w14:textId="3223C8F5" w:rsidR="004352D7" w:rsidRPr="008B68A9" w:rsidRDefault="007A5090" w:rsidP="002F0FD7">
      <w:pPr>
        <w:pStyle w:val="5arangedleft"/>
      </w:pPr>
      <w:r w:rsidRPr="008B68A9">
        <w:t>The announcement of the cross</w:t>
      </w:r>
      <w:r w:rsidR="00920A23" w:rsidRPr="008B68A9">
        <w:t>-</w:t>
      </w:r>
      <w:r w:rsidRPr="008B68A9">
        <w:t xml:space="preserve">governmental concordat </w:t>
      </w:r>
      <w:r w:rsidR="004352D7" w:rsidRPr="008B68A9">
        <w:rPr>
          <w:i/>
        </w:rPr>
        <w:t>Putting People First</w:t>
      </w:r>
      <w:r w:rsidR="004352D7" w:rsidRPr="008B68A9">
        <w:t xml:space="preserve"> (HM Government 2007) </w:t>
      </w:r>
      <w:r w:rsidR="00E206EF" w:rsidRPr="008B68A9">
        <w:t>signalled</w:t>
      </w:r>
      <w:r w:rsidR="00E24337" w:rsidRPr="008B68A9">
        <w:t xml:space="preserve"> personalisation</w:t>
      </w:r>
      <w:r w:rsidR="00E206EF" w:rsidRPr="008B68A9">
        <w:t xml:space="preserve"> as mainstream policy</w:t>
      </w:r>
      <w:r w:rsidR="00E24337" w:rsidRPr="008B68A9">
        <w:t xml:space="preserve"> </w:t>
      </w:r>
      <w:r w:rsidR="00E206EF" w:rsidRPr="008B68A9">
        <w:t>in the same way</w:t>
      </w:r>
      <w:r w:rsidR="001611A8" w:rsidRPr="008B68A9">
        <w:t xml:space="preserve"> </w:t>
      </w:r>
      <w:r w:rsidR="00E206EF" w:rsidRPr="008B68A9">
        <w:t>that</w:t>
      </w:r>
      <w:r w:rsidR="004352D7" w:rsidRPr="008B68A9">
        <w:t xml:space="preserve"> </w:t>
      </w:r>
      <w:r w:rsidR="00E206EF" w:rsidRPr="008B68A9">
        <w:t xml:space="preserve">the commencement of </w:t>
      </w:r>
      <w:r w:rsidR="004352D7" w:rsidRPr="008B68A9">
        <w:t>direct payments</w:t>
      </w:r>
      <w:r w:rsidR="00E206EF" w:rsidRPr="008B68A9">
        <w:t xml:space="preserve"> did 11 years earlier</w:t>
      </w:r>
      <w:r w:rsidR="004352D7" w:rsidRPr="008B68A9">
        <w:t>.</w:t>
      </w:r>
      <w:r w:rsidR="00415741" w:rsidRPr="008B68A9">
        <w:t xml:space="preserve"> </w:t>
      </w:r>
      <w:r w:rsidR="003D24C4" w:rsidRPr="008B68A9">
        <w:t>Like other policy initiatives during the second and third Labour</w:t>
      </w:r>
      <w:r w:rsidR="00920A23" w:rsidRPr="008B68A9">
        <w:t xml:space="preserve"> governments</w:t>
      </w:r>
      <w:r w:rsidR="003D24C4" w:rsidRPr="008B68A9">
        <w:t xml:space="preserve">, </w:t>
      </w:r>
      <w:r w:rsidR="00C8146B" w:rsidRPr="008B68A9">
        <w:t xml:space="preserve">the announcement extended </w:t>
      </w:r>
      <w:r w:rsidR="00E206EF" w:rsidRPr="008B68A9">
        <w:t>a</w:t>
      </w:r>
      <w:r w:rsidR="00C8146B" w:rsidRPr="008B68A9">
        <w:t xml:space="preserve"> discourse of </w:t>
      </w:r>
      <w:r w:rsidR="003D24C4" w:rsidRPr="008B68A9">
        <w:t>choice and competition</w:t>
      </w:r>
      <w:r w:rsidR="00C8146B" w:rsidRPr="008B68A9">
        <w:t xml:space="preserve"> </w:t>
      </w:r>
      <w:r w:rsidR="00E206EF" w:rsidRPr="008B68A9">
        <w:t>attempting</w:t>
      </w:r>
      <w:r w:rsidR="00A51797" w:rsidRPr="008B68A9">
        <w:t xml:space="preserve"> to harness </w:t>
      </w:r>
      <w:r w:rsidR="00E206EF" w:rsidRPr="008B68A9">
        <w:t xml:space="preserve">citizens in an active </w:t>
      </w:r>
      <w:r w:rsidR="00A51797" w:rsidRPr="008B68A9">
        <w:t xml:space="preserve">engagement </w:t>
      </w:r>
      <w:r w:rsidR="00E206EF" w:rsidRPr="008B68A9">
        <w:t xml:space="preserve">with public sector services </w:t>
      </w:r>
      <w:r w:rsidR="00E9231D" w:rsidRPr="008B68A9">
        <w:t>(Needham 2011b)</w:t>
      </w:r>
      <w:r w:rsidR="00A51797" w:rsidRPr="008B68A9">
        <w:t>.</w:t>
      </w:r>
      <w:r w:rsidR="00415741" w:rsidRPr="008B68A9">
        <w:t xml:space="preserve"> </w:t>
      </w:r>
      <w:r w:rsidR="00C8146B" w:rsidRPr="008B68A9">
        <w:t xml:space="preserve">The document did not </w:t>
      </w:r>
      <w:r w:rsidR="00F053DF" w:rsidRPr="008B68A9">
        <w:t xml:space="preserve">in itself </w:t>
      </w:r>
      <w:r w:rsidR="00C8146B" w:rsidRPr="008B68A9">
        <w:t>define personalisation</w:t>
      </w:r>
      <w:r w:rsidR="00920A23" w:rsidRPr="008B68A9">
        <w:t>,</w:t>
      </w:r>
      <w:r w:rsidR="00E9231D" w:rsidRPr="008B68A9">
        <w:t xml:space="preserve"> though</w:t>
      </w:r>
      <w:r w:rsidR="00C8146B" w:rsidRPr="008B68A9">
        <w:t xml:space="preserve"> </w:t>
      </w:r>
      <w:r w:rsidR="00F053DF" w:rsidRPr="008B68A9">
        <w:t xml:space="preserve">it </w:t>
      </w:r>
      <w:r w:rsidR="00C8146B" w:rsidRPr="008B68A9">
        <w:t>clear</w:t>
      </w:r>
      <w:r w:rsidR="00F053DF" w:rsidRPr="008B68A9">
        <w:t>ly</w:t>
      </w:r>
      <w:r w:rsidR="00C8146B" w:rsidRPr="008B68A9">
        <w:t xml:space="preserve"> </w:t>
      </w:r>
      <w:r w:rsidR="00F053DF" w:rsidRPr="008B68A9">
        <w:t>stated</w:t>
      </w:r>
      <w:r w:rsidR="00C8146B" w:rsidRPr="008B68A9">
        <w:t xml:space="preserve"> the </w:t>
      </w:r>
      <w:r w:rsidR="00E9231D" w:rsidRPr="008B68A9">
        <w:t xml:space="preserve">government’s </w:t>
      </w:r>
      <w:r w:rsidR="00C8146B" w:rsidRPr="008B68A9">
        <w:lastRenderedPageBreak/>
        <w:t>ambition for people who use</w:t>
      </w:r>
      <w:r w:rsidR="00E9231D" w:rsidRPr="008B68A9">
        <w:t>d social care, suggesting</w:t>
      </w:r>
      <w:r w:rsidR="00F053DF" w:rsidRPr="008B68A9">
        <w:t xml:space="preserve"> that</w:t>
      </w:r>
      <w:r w:rsidR="00A51797" w:rsidRPr="008B68A9">
        <w:t xml:space="preserve"> the aim of </w:t>
      </w:r>
      <w:r w:rsidR="00E9231D" w:rsidRPr="008B68A9">
        <w:t xml:space="preserve">public </w:t>
      </w:r>
      <w:r w:rsidR="00A51797" w:rsidRPr="008B68A9">
        <w:t>services should enable users to:</w:t>
      </w:r>
    </w:p>
    <w:p w14:paraId="351C1B50" w14:textId="5E0E0280" w:rsidR="004352D7" w:rsidRPr="008B68A9" w:rsidRDefault="004352D7" w:rsidP="002F0FD7">
      <w:pPr>
        <w:pStyle w:val="6ablockquoteroman"/>
      </w:pPr>
      <w:r w:rsidRPr="008B68A9">
        <w:t xml:space="preserve">Live independently; stay healthy and recover quickly from illness; exercise maximum control over their own life and where appropriate the lives of </w:t>
      </w:r>
      <w:r w:rsidR="00633E65" w:rsidRPr="008B68A9">
        <w:t xml:space="preserve">  </w:t>
      </w:r>
      <w:r w:rsidRPr="008B68A9">
        <w:t>required to take on inappropriate caring roles; participate as active and equal citizens, both economically and socially; have the best possible quality of life, irrespective of illness or disability; retain maximum dignity and respect.</w:t>
      </w:r>
      <w:r w:rsidR="004C6EA9" w:rsidRPr="008B68A9">
        <w:t xml:space="preserve"> </w:t>
      </w:r>
      <w:r w:rsidRPr="008B68A9">
        <w:t>(</w:t>
      </w:r>
      <w:r w:rsidR="00DF5F48" w:rsidRPr="008B68A9">
        <w:t xml:space="preserve">H M Government 2007 </w:t>
      </w:r>
      <w:r w:rsidRPr="008B68A9">
        <w:t>p.</w:t>
      </w:r>
      <w:r w:rsidR="004C6EA9" w:rsidRPr="008B68A9">
        <w:t xml:space="preserve"> </w:t>
      </w:r>
      <w:r w:rsidRPr="008B68A9">
        <w:t>2-3)</w:t>
      </w:r>
    </w:p>
    <w:p w14:paraId="12508E61" w14:textId="758AA1FE" w:rsidR="004352D7" w:rsidRPr="008B68A9" w:rsidRDefault="004352D7" w:rsidP="002F0FD7">
      <w:pPr>
        <w:pStyle w:val="5arangedleft"/>
      </w:pPr>
      <w:r w:rsidRPr="008B68A9">
        <w:t xml:space="preserve">The implication </w:t>
      </w:r>
      <w:r w:rsidR="00F053DF" w:rsidRPr="008B68A9">
        <w:t>was</w:t>
      </w:r>
      <w:r w:rsidRPr="008B68A9">
        <w:t xml:space="preserve"> that people will do better in their lives when they are able to participate and engage with the services they rely on</w:t>
      </w:r>
      <w:r w:rsidR="004C6EA9" w:rsidRPr="008B68A9">
        <w:t>,</w:t>
      </w:r>
      <w:r w:rsidRPr="008B68A9">
        <w:t xml:space="preserve"> and more so that such engagement </w:t>
      </w:r>
      <w:r w:rsidR="00F053DF" w:rsidRPr="008B68A9">
        <w:t>should be</w:t>
      </w:r>
      <w:r w:rsidR="0060411D" w:rsidRPr="008B68A9">
        <w:t xml:space="preserve"> </w:t>
      </w:r>
      <w:r w:rsidRPr="008B68A9">
        <w:t>as equal</w:t>
      </w:r>
      <w:r w:rsidR="00E9231D" w:rsidRPr="008B68A9">
        <w:t xml:space="preserve"> partners</w:t>
      </w:r>
      <w:r w:rsidRPr="008B68A9">
        <w:t>.</w:t>
      </w:r>
      <w:r w:rsidR="00415741" w:rsidRPr="008B68A9">
        <w:t xml:space="preserve"> </w:t>
      </w:r>
      <w:r w:rsidRPr="008B68A9">
        <w:t xml:space="preserve">Glasby and Littlechild (2009) cite the </w:t>
      </w:r>
      <w:r w:rsidR="00B546BE" w:rsidRPr="008B68A9">
        <w:t>D</w:t>
      </w:r>
      <w:r w:rsidR="00D31130" w:rsidRPr="008B68A9">
        <w:t xml:space="preserve">epartment of </w:t>
      </w:r>
      <w:r w:rsidR="00B546BE" w:rsidRPr="008B68A9">
        <w:t>H</w:t>
      </w:r>
      <w:r w:rsidR="00D31130" w:rsidRPr="008B68A9">
        <w:t>ealth</w:t>
      </w:r>
      <w:r w:rsidRPr="008B68A9">
        <w:t>’s</w:t>
      </w:r>
      <w:r w:rsidR="00B546BE" w:rsidRPr="008B68A9">
        <w:t xml:space="preserve"> (DH)</w:t>
      </w:r>
      <w:r w:rsidRPr="008B68A9">
        <w:t xml:space="preserve"> (</w:t>
      </w:r>
      <w:r w:rsidR="007E1B97" w:rsidRPr="008B68A9">
        <w:t xml:space="preserve">2008c </w:t>
      </w:r>
      <w:r w:rsidRPr="008B68A9">
        <w:t>p.</w:t>
      </w:r>
      <w:r w:rsidR="004C6EA9" w:rsidRPr="008B68A9">
        <w:t xml:space="preserve"> </w:t>
      </w:r>
      <w:r w:rsidRPr="008B68A9">
        <w:t xml:space="preserve">2) circular </w:t>
      </w:r>
      <w:r w:rsidRPr="008B68A9">
        <w:rPr>
          <w:i/>
        </w:rPr>
        <w:t>Transforming Social Care</w:t>
      </w:r>
      <w:r w:rsidRPr="008B68A9">
        <w:t>, where personalisation as an agenda meant: “…every person across the spectrum of need [has] choice and control over the shape of his or her support, in the most appropriate setting”</w:t>
      </w:r>
      <w:r w:rsidR="004C6EA9" w:rsidRPr="008B68A9">
        <w:t>.</w:t>
      </w:r>
      <w:r w:rsidR="00415741" w:rsidRPr="008B68A9">
        <w:t xml:space="preserve"> </w:t>
      </w:r>
      <w:r w:rsidRPr="008B68A9">
        <w:t>This directive</w:t>
      </w:r>
      <w:r w:rsidR="004C6EA9" w:rsidRPr="008B68A9">
        <w:t>,</w:t>
      </w:r>
      <w:r w:rsidRPr="008B68A9">
        <w:t xml:space="preserve"> a year after the </w:t>
      </w:r>
      <w:r w:rsidRPr="008B68A9">
        <w:rPr>
          <w:i/>
        </w:rPr>
        <w:t>Putting People First</w:t>
      </w:r>
      <w:r w:rsidRPr="008B68A9">
        <w:t xml:space="preserve"> concordat</w:t>
      </w:r>
      <w:r w:rsidR="004C6EA9" w:rsidRPr="008B68A9">
        <w:t>,</w:t>
      </w:r>
      <w:r w:rsidRPr="008B68A9">
        <w:t xml:space="preserve"> indicates the scale and range of how personalisation could challenge traditional services, setting out how professionals </w:t>
      </w:r>
      <w:r w:rsidR="00F053DF" w:rsidRPr="008B68A9">
        <w:t>were</w:t>
      </w:r>
      <w:r w:rsidRPr="008B68A9">
        <w:t xml:space="preserve"> required to work in greater partnership.</w:t>
      </w:r>
      <w:r w:rsidR="00E9231D" w:rsidRPr="008B68A9">
        <w:t xml:space="preserve"> The tone and direction of policy </w:t>
      </w:r>
      <w:r w:rsidR="001F125A" w:rsidRPr="008B68A9">
        <w:t>was clear</w:t>
      </w:r>
      <w:r w:rsidR="003B0DB3" w:rsidRPr="008B68A9">
        <w:t>,</w:t>
      </w:r>
      <w:r w:rsidR="001F125A" w:rsidRPr="008B68A9">
        <w:t xml:space="preserve"> though subtle</w:t>
      </w:r>
      <w:r w:rsidR="004C6EA9" w:rsidRPr="008B68A9">
        <w:t>.</w:t>
      </w:r>
      <w:r w:rsidR="001F125A" w:rsidRPr="008B68A9">
        <w:t xml:space="preserve"> </w:t>
      </w:r>
      <w:r w:rsidR="004C6EA9" w:rsidRPr="008B68A9">
        <w:t>T</w:t>
      </w:r>
      <w:r w:rsidR="001F125A" w:rsidRPr="008B68A9">
        <w:t>o some practitioners</w:t>
      </w:r>
      <w:r w:rsidR="00CE29B3" w:rsidRPr="008B68A9">
        <w:t>,</w:t>
      </w:r>
      <w:r w:rsidR="001F125A" w:rsidRPr="008B68A9">
        <w:t xml:space="preserve"> personalisation signalled the opportunity to work </w:t>
      </w:r>
      <w:r w:rsidR="004C6EA9" w:rsidRPr="008B68A9">
        <w:t xml:space="preserve">for </w:t>
      </w:r>
      <w:r w:rsidR="001F125A" w:rsidRPr="008B68A9">
        <w:t xml:space="preserve">emancipatory </w:t>
      </w:r>
      <w:r w:rsidR="00226219" w:rsidRPr="008B68A9">
        <w:t>and social justice goals (Beresford 2008).</w:t>
      </w:r>
      <w:r w:rsidR="00415741" w:rsidRPr="008B68A9">
        <w:t xml:space="preserve"> </w:t>
      </w:r>
      <w:r w:rsidR="00226219" w:rsidRPr="008B68A9">
        <w:t xml:space="preserve">To others the emphasis on choice and competition represented something more sinister, a disruptive and essentially anti-professional policy (Spandler 2007, Speed </w:t>
      </w:r>
      <w:r w:rsidR="006F749D" w:rsidRPr="008B68A9">
        <w:t>2007</w:t>
      </w:r>
      <w:r w:rsidR="00226219" w:rsidRPr="008B68A9">
        <w:t>).</w:t>
      </w:r>
      <w:r w:rsidR="00415741" w:rsidRPr="008B68A9">
        <w:t xml:space="preserve"> </w:t>
      </w:r>
      <w:r w:rsidR="00226219" w:rsidRPr="008B68A9">
        <w:t xml:space="preserve">The very opaqueness of personalisation and </w:t>
      </w:r>
      <w:r w:rsidR="00F053DF" w:rsidRPr="008B68A9">
        <w:t>its</w:t>
      </w:r>
      <w:r w:rsidR="00226219" w:rsidRPr="008B68A9">
        <w:t xml:space="preserve"> multiple interpretations ha</w:t>
      </w:r>
      <w:r w:rsidR="004C6EA9" w:rsidRPr="008B68A9">
        <w:t>ve</w:t>
      </w:r>
      <w:r w:rsidR="00226219" w:rsidRPr="008B68A9">
        <w:t xml:space="preserve"> been regarded as both its strength and weakness, permitting </w:t>
      </w:r>
      <w:r w:rsidR="001D2253" w:rsidRPr="008B68A9">
        <w:t xml:space="preserve">a broad coalition of supporters to support its aims (Needham 2011b), and it is the multiplicity of </w:t>
      </w:r>
      <w:r w:rsidR="00F053DF" w:rsidRPr="008B68A9">
        <w:t xml:space="preserve">those </w:t>
      </w:r>
      <w:r w:rsidR="001D2253" w:rsidRPr="008B68A9">
        <w:t>interpretation</w:t>
      </w:r>
      <w:r w:rsidR="003B0DB3" w:rsidRPr="008B68A9">
        <w:t>s</w:t>
      </w:r>
      <w:r w:rsidR="001D2253" w:rsidRPr="008B68A9">
        <w:t xml:space="preserve"> that make </w:t>
      </w:r>
      <w:r w:rsidR="00F053DF" w:rsidRPr="008B68A9">
        <w:t xml:space="preserve">a </w:t>
      </w:r>
      <w:r w:rsidR="001D2253" w:rsidRPr="008B68A9">
        <w:t>single definition difficult.</w:t>
      </w:r>
    </w:p>
    <w:p w14:paraId="3772C933" w14:textId="7121A2CE" w:rsidR="004352D7" w:rsidRPr="008B68A9" w:rsidRDefault="00034CEA" w:rsidP="002F0FD7">
      <w:pPr>
        <w:pStyle w:val="5arangedleft"/>
      </w:pPr>
      <w:r w:rsidRPr="008B68A9">
        <w:t>The term</w:t>
      </w:r>
      <w:r w:rsidR="00CE29B3" w:rsidRPr="008B68A9">
        <w:t xml:space="preserve"> p</w:t>
      </w:r>
      <w:r w:rsidR="004352D7" w:rsidRPr="008B68A9">
        <w:t>ersonalisation</w:t>
      </w:r>
      <w:r w:rsidRPr="008B68A9">
        <w:t xml:space="preserve"> encompasses</w:t>
      </w:r>
      <w:r w:rsidR="004352D7" w:rsidRPr="008B68A9">
        <w:t xml:space="preserve"> personal budgets, individual budgets, self-directed care, </w:t>
      </w:r>
      <w:r w:rsidR="00CE29B3" w:rsidRPr="008B68A9">
        <w:t xml:space="preserve">and </w:t>
      </w:r>
      <w:r w:rsidR="004352D7" w:rsidRPr="008B68A9">
        <w:t>self-directed support</w:t>
      </w:r>
      <w:r w:rsidR="0087118B" w:rsidRPr="008B68A9">
        <w:t xml:space="preserve"> </w:t>
      </w:r>
      <w:r w:rsidRPr="008B68A9">
        <w:t xml:space="preserve">which </w:t>
      </w:r>
      <w:r w:rsidR="0087118B" w:rsidRPr="008B68A9">
        <w:t>have been</w:t>
      </w:r>
      <w:r w:rsidR="004352D7" w:rsidRPr="008B68A9">
        <w:t xml:space="preserve"> used almost interchangeably</w:t>
      </w:r>
      <w:r w:rsidRPr="008B68A9">
        <w:t xml:space="preserve"> by different stakeholders</w:t>
      </w:r>
      <w:r w:rsidR="004352D7" w:rsidRPr="008B68A9">
        <w:t>.</w:t>
      </w:r>
      <w:r w:rsidR="00415741" w:rsidRPr="008B68A9">
        <w:t xml:space="preserve"> </w:t>
      </w:r>
      <w:r w:rsidR="004352D7" w:rsidRPr="008B68A9">
        <w:t>According to Alakeson (2013</w:t>
      </w:r>
      <w:r w:rsidR="006F749D" w:rsidRPr="008B68A9">
        <w:t>a</w:t>
      </w:r>
      <w:r w:rsidR="004352D7" w:rsidRPr="008B68A9">
        <w:t xml:space="preserve"> p.</w:t>
      </w:r>
      <w:r w:rsidR="00CE29B3" w:rsidRPr="008B68A9">
        <w:t xml:space="preserve"> </w:t>
      </w:r>
      <w:r w:rsidR="004352D7" w:rsidRPr="008B68A9">
        <w:t>9</w:t>
      </w:r>
      <w:r w:rsidR="008D2ACB" w:rsidRPr="008B68A9">
        <w:t>),</w:t>
      </w:r>
      <w:r w:rsidR="004352D7" w:rsidRPr="008B68A9">
        <w:t xml:space="preserve"> “</w:t>
      </w:r>
      <w:r w:rsidR="004352D7" w:rsidRPr="008B68A9">
        <w:rPr>
          <w:iCs/>
        </w:rPr>
        <w:t>Personalisation</w:t>
      </w:r>
      <w:r w:rsidR="004352D7" w:rsidRPr="008B68A9">
        <w:t xml:space="preserve"> is used in a UK context to describe the concept of giving choice and control to individuals across public services. When referring to the same concept internationally, the term </w:t>
      </w:r>
      <w:r w:rsidR="004352D7" w:rsidRPr="008B68A9">
        <w:rPr>
          <w:iCs/>
        </w:rPr>
        <w:t>self-direction</w:t>
      </w:r>
      <w:r w:rsidR="004352D7" w:rsidRPr="008B68A9">
        <w:t xml:space="preserve"> is used.”</w:t>
      </w:r>
      <w:r w:rsidR="00415741" w:rsidRPr="008B68A9">
        <w:t xml:space="preserve"> </w:t>
      </w:r>
      <w:r w:rsidR="004352D7" w:rsidRPr="008B68A9">
        <w:t xml:space="preserve">Alakeson calls for </w:t>
      </w:r>
      <w:r w:rsidR="00CE29B3" w:rsidRPr="008B68A9">
        <w:t xml:space="preserve">providing </w:t>
      </w:r>
      <w:r w:rsidR="004352D7" w:rsidRPr="008B68A9">
        <w:t xml:space="preserve">choice, </w:t>
      </w:r>
      <w:r w:rsidR="004352D7" w:rsidRPr="008B68A9">
        <w:lastRenderedPageBreak/>
        <w:t>control and a voice for those accessing public services</w:t>
      </w:r>
      <w:r w:rsidR="00F053DF" w:rsidRPr="008B68A9">
        <w:t>.</w:t>
      </w:r>
      <w:r w:rsidR="004352D7" w:rsidRPr="008B68A9">
        <w:t xml:space="preserve"> </w:t>
      </w:r>
      <w:r w:rsidR="00F053DF" w:rsidRPr="008B68A9">
        <w:t>This is straightforward and simple, yet its implications involve</w:t>
      </w:r>
      <w:r w:rsidR="004352D7" w:rsidRPr="008B68A9">
        <w:t xml:space="preserve"> changing the ground upon which relationships between users and providers </w:t>
      </w:r>
      <w:r w:rsidR="00CE29B3" w:rsidRPr="008B68A9">
        <w:t xml:space="preserve">in the </w:t>
      </w:r>
      <w:r w:rsidR="004352D7" w:rsidRPr="008B68A9">
        <w:t>public sector have been based.</w:t>
      </w:r>
      <w:r w:rsidR="00415741" w:rsidRPr="008B68A9">
        <w:t xml:space="preserve"> </w:t>
      </w:r>
      <w:r w:rsidR="004352D7" w:rsidRPr="008B68A9">
        <w:t>When considering the term personalisation, Carr (2010), suggests practitioners should be:</w:t>
      </w:r>
    </w:p>
    <w:p w14:paraId="499D7894" w14:textId="617753C7" w:rsidR="004352D7" w:rsidRPr="008B68A9" w:rsidRDefault="004352D7" w:rsidP="002F0FD7">
      <w:pPr>
        <w:pStyle w:val="6ablockquoteroman"/>
      </w:pPr>
      <w:r w:rsidRPr="008B68A9">
        <w:t>“…thinking about care and support services in an entirely different way. This means starting with the person as an individual with strengths, preferences and aspirations and putting them at the centre of the process of identifying their needs and making choices about how and when they are supported to live their lives.” (p</w:t>
      </w:r>
      <w:r w:rsidR="00CE29B3" w:rsidRPr="008B68A9">
        <w:t>p</w:t>
      </w:r>
      <w:r w:rsidRPr="008B68A9">
        <w:t>. 4-5)</w:t>
      </w:r>
    </w:p>
    <w:p w14:paraId="39279172" w14:textId="16E793CC" w:rsidR="004352D7" w:rsidRPr="008B68A9" w:rsidRDefault="004352D7" w:rsidP="002F0FD7">
      <w:pPr>
        <w:pStyle w:val="5arangedleft"/>
      </w:pPr>
      <w:r w:rsidRPr="008B68A9">
        <w:t>Here the emphasis shifts expertise from traditional to more radical conceptions of support</w:t>
      </w:r>
      <w:r w:rsidR="00CE29B3" w:rsidRPr="008B68A9">
        <w:t>,</w:t>
      </w:r>
      <w:r w:rsidRPr="008B68A9">
        <w:t xml:space="preserve"> requiring </w:t>
      </w:r>
      <w:r w:rsidR="00DE0722" w:rsidRPr="008B68A9">
        <w:t>the</w:t>
      </w:r>
      <w:r w:rsidRPr="008B68A9">
        <w:t xml:space="preserve"> adoption of a strengths-based approach, </w:t>
      </w:r>
      <w:r w:rsidR="00CE29B3" w:rsidRPr="008B68A9">
        <w:t xml:space="preserve">and </w:t>
      </w:r>
      <w:r w:rsidRPr="008B68A9">
        <w:t>focusing on the person’s abilities, capabilities and assets as opposed to a traditional discourse of need and deficit (Oliver 1996).</w:t>
      </w:r>
      <w:r w:rsidR="00415741" w:rsidRPr="008B68A9">
        <w:t xml:space="preserve"> </w:t>
      </w:r>
      <w:r w:rsidRPr="008B68A9">
        <w:t>The principle is that individuals are more than their clinical diagnoses or needs label (Alakeson 2013</w:t>
      </w:r>
      <w:r w:rsidR="006F749D" w:rsidRPr="008B68A9">
        <w:t>a</w:t>
      </w:r>
      <w:r w:rsidRPr="008B68A9">
        <w:t xml:space="preserve">), </w:t>
      </w:r>
      <w:r w:rsidR="00DE0722" w:rsidRPr="008B68A9">
        <w:t xml:space="preserve">and whilst choice is a recurring theme in defining personalisation, the wider </w:t>
      </w:r>
      <w:r w:rsidR="009B3F4A" w:rsidRPr="008B68A9">
        <w:t>consequences for stakeholders represent points of separation.</w:t>
      </w:r>
      <w:r w:rsidR="00415741" w:rsidRPr="008B68A9">
        <w:t xml:space="preserve"> </w:t>
      </w:r>
      <w:r w:rsidR="009B3F4A" w:rsidRPr="008B68A9">
        <w:t xml:space="preserve">Personalisation is more than increased choice for users, </w:t>
      </w:r>
      <w:r w:rsidR="0042269C" w:rsidRPr="008B68A9">
        <w:t xml:space="preserve">reflecting wider consumerist trends, </w:t>
      </w:r>
      <w:r w:rsidR="009B3F4A" w:rsidRPr="008B68A9">
        <w:t>or a requirement for professionals to work in partnerships with users</w:t>
      </w:r>
      <w:r w:rsidR="00DC2A52" w:rsidRPr="008B68A9">
        <w:t>.</w:t>
      </w:r>
      <w:r w:rsidR="00415741" w:rsidRPr="008B68A9">
        <w:t xml:space="preserve"> </w:t>
      </w:r>
      <w:r w:rsidR="00DC2A52" w:rsidRPr="008B68A9">
        <w:t>It represents more than governments</w:t>
      </w:r>
      <w:r w:rsidR="00CB7B74" w:rsidRPr="008B68A9">
        <w:t>’</w:t>
      </w:r>
      <w:r w:rsidR="00DC2A52" w:rsidRPr="008B68A9">
        <w:t xml:space="preserve"> attempts to </w:t>
      </w:r>
      <w:r w:rsidR="00C10735" w:rsidRPr="008B68A9">
        <w:t>control</w:t>
      </w:r>
      <w:r w:rsidR="00DC2A52" w:rsidRPr="008B68A9">
        <w:t xml:space="preserve"> public spending through increased citizen engagement</w:t>
      </w:r>
      <w:r w:rsidR="0042269C" w:rsidRPr="008B68A9">
        <w:t>, challenge</w:t>
      </w:r>
      <w:r w:rsidR="00CB7B74" w:rsidRPr="008B68A9">
        <w:t>s</w:t>
      </w:r>
      <w:r w:rsidR="0042269C" w:rsidRPr="008B68A9">
        <w:t xml:space="preserve"> and disrupt</w:t>
      </w:r>
      <w:r w:rsidR="00CB7B74" w:rsidRPr="008B68A9">
        <w:t>ion of</w:t>
      </w:r>
      <w:r w:rsidR="0042269C" w:rsidRPr="008B68A9">
        <w:t xml:space="preserve"> professional dominance, </w:t>
      </w:r>
      <w:r w:rsidR="00DC2A52" w:rsidRPr="008B68A9">
        <w:t>or polic</w:t>
      </w:r>
      <w:r w:rsidR="00CB7B74" w:rsidRPr="008B68A9">
        <w:t>ies</w:t>
      </w:r>
      <w:r w:rsidR="00DC2A52" w:rsidRPr="008B68A9">
        <w:t xml:space="preserve"> rooted in social justice an</w:t>
      </w:r>
      <w:r w:rsidR="00C10735" w:rsidRPr="008B68A9">
        <w:t>d the rights of disabled people.</w:t>
      </w:r>
      <w:r w:rsidR="00415741" w:rsidRPr="008B68A9">
        <w:t xml:space="preserve"> </w:t>
      </w:r>
      <w:r w:rsidR="009B466F" w:rsidRPr="008B68A9">
        <w:t>Personalisation</w:t>
      </w:r>
      <w:r w:rsidR="00DC2A52" w:rsidRPr="008B68A9">
        <w:t xml:space="preserve"> is all of these</w:t>
      </w:r>
      <w:r w:rsidR="00CB7B74" w:rsidRPr="008B68A9">
        <w:t>,</w:t>
      </w:r>
      <w:r w:rsidR="00DC2A52" w:rsidRPr="008B68A9">
        <w:t xml:space="preserve"> and this represents the strength and weakness of </w:t>
      </w:r>
      <w:r w:rsidR="009B466F" w:rsidRPr="008B68A9">
        <w:t>the concept</w:t>
      </w:r>
      <w:r w:rsidR="00DC2A52" w:rsidRPr="008B68A9">
        <w:t xml:space="preserve"> as a highly constructed </w:t>
      </w:r>
      <w:r w:rsidR="00C10735" w:rsidRPr="008B68A9">
        <w:t>notion with multiple interpretation and therefore response.</w:t>
      </w:r>
      <w:r w:rsidR="0042269C" w:rsidRPr="008B68A9">
        <w:t xml:space="preserve"> </w:t>
      </w:r>
      <w:r w:rsidR="009B466F" w:rsidRPr="008B68A9">
        <w:t>Throughout this thesis I use the term personalisation in the way Alakeson</w:t>
      </w:r>
      <w:r w:rsidR="00D207C7" w:rsidRPr="008B68A9">
        <w:t xml:space="preserve"> (2013a)</w:t>
      </w:r>
      <w:r w:rsidR="009B466F" w:rsidRPr="008B68A9">
        <w:t xml:space="preserve"> describes, focussing on </w:t>
      </w:r>
      <w:r w:rsidR="006424AB" w:rsidRPr="008B68A9">
        <w:t>increased</w:t>
      </w:r>
      <w:r w:rsidR="00034CEA" w:rsidRPr="008B68A9">
        <w:t xml:space="preserve"> </w:t>
      </w:r>
      <w:r w:rsidR="009B466F" w:rsidRPr="008B68A9">
        <w:t>choice</w:t>
      </w:r>
      <w:r w:rsidR="00034CEA" w:rsidRPr="008B68A9">
        <w:t xml:space="preserve"> and control </w:t>
      </w:r>
      <w:r w:rsidR="006424AB" w:rsidRPr="008B68A9">
        <w:t>for</w:t>
      </w:r>
      <w:r w:rsidR="00034CEA" w:rsidRPr="008B68A9">
        <w:t xml:space="preserve"> </w:t>
      </w:r>
      <w:r w:rsidR="006424AB" w:rsidRPr="008B68A9">
        <w:t>public service users.</w:t>
      </w:r>
      <w:r w:rsidR="00034CEA" w:rsidRPr="008B68A9">
        <w:t xml:space="preserve"> I will use self-directed support and self-directed care also when analysing schemes where those terms are used.  Irrespective of the specific term utilised by the policies described later, the issues of increased choice and control with the resultant shift in power and decision making of the actors involved</w:t>
      </w:r>
      <w:r w:rsidR="006424AB" w:rsidRPr="008B68A9">
        <w:t xml:space="preserve"> are the focus and </w:t>
      </w:r>
      <w:r w:rsidR="0045518A" w:rsidRPr="008B68A9">
        <w:t>the way I use the term personalisation.</w:t>
      </w:r>
    </w:p>
    <w:p w14:paraId="3E03876C" w14:textId="1C60CC30" w:rsidR="00447EE0" w:rsidRPr="008B68A9" w:rsidRDefault="00455703" w:rsidP="00DA13FA">
      <w:pPr>
        <w:pStyle w:val="2L2header"/>
      </w:pPr>
      <w:bookmarkStart w:id="22" w:name="_Toc466800279"/>
      <w:r w:rsidRPr="008B68A9">
        <w:lastRenderedPageBreak/>
        <w:t>2.</w:t>
      </w:r>
      <w:r w:rsidR="00BD48CD" w:rsidRPr="008B68A9">
        <w:t>3</w:t>
      </w:r>
      <w:r w:rsidR="00826591" w:rsidRPr="008B68A9">
        <w:t xml:space="preserve"> </w:t>
      </w:r>
      <w:r w:rsidR="00915DC6" w:rsidRPr="008B68A9">
        <w:t>O</w:t>
      </w:r>
      <w:r w:rsidR="00202C89" w:rsidRPr="008B68A9">
        <w:t xml:space="preserve">rigin and </w:t>
      </w:r>
      <w:r w:rsidR="001A5B84" w:rsidRPr="008B68A9">
        <w:t>development of personalisation</w:t>
      </w:r>
      <w:bookmarkEnd w:id="22"/>
    </w:p>
    <w:p w14:paraId="286F1F3D" w14:textId="4FACD27E" w:rsidR="00202C89" w:rsidRPr="008B68A9" w:rsidRDefault="00DD077B" w:rsidP="002F0FD7">
      <w:pPr>
        <w:pStyle w:val="5arangedleft"/>
      </w:pPr>
      <w:r w:rsidRPr="008B68A9">
        <w:t>P</w:t>
      </w:r>
      <w:r w:rsidR="008B2D04" w:rsidRPr="008B68A9">
        <w:t xml:space="preserve">ersonalisation has no clearly defined or single </w:t>
      </w:r>
      <w:r w:rsidR="00594E4F" w:rsidRPr="008B68A9">
        <w:t>origin</w:t>
      </w:r>
      <w:r w:rsidR="008B2D04" w:rsidRPr="008B68A9">
        <w:t xml:space="preserve"> but emerged</w:t>
      </w:r>
      <w:r w:rsidR="00082146" w:rsidRPr="008B68A9">
        <w:t xml:space="preserve"> through </w:t>
      </w:r>
      <w:r w:rsidRPr="008B68A9">
        <w:t xml:space="preserve">the </w:t>
      </w:r>
      <w:r w:rsidR="00082146" w:rsidRPr="008B68A9">
        <w:t xml:space="preserve">activism of </w:t>
      </w:r>
      <w:r w:rsidR="008B2D04" w:rsidRPr="008B68A9">
        <w:t xml:space="preserve">the user movement, </w:t>
      </w:r>
      <w:r w:rsidR="00082146" w:rsidRPr="008B68A9">
        <w:t>policy directive</w:t>
      </w:r>
      <w:r w:rsidRPr="008B68A9">
        <w:t>s</w:t>
      </w:r>
      <w:r w:rsidR="00082146" w:rsidRPr="008B68A9">
        <w:t xml:space="preserve">, a deeper sense of government’s concern of the </w:t>
      </w:r>
      <w:r w:rsidR="00594E4F" w:rsidRPr="008B68A9">
        <w:t xml:space="preserve">rising </w:t>
      </w:r>
      <w:r w:rsidR="00082146" w:rsidRPr="008B68A9">
        <w:t>cost of long-term care</w:t>
      </w:r>
      <w:r w:rsidRPr="008B68A9">
        <w:t>,</w:t>
      </w:r>
      <w:r w:rsidR="00082146" w:rsidRPr="008B68A9">
        <w:t xml:space="preserve"> and more contentiously as a neo-liberal idea of choice and markets.</w:t>
      </w:r>
      <w:r w:rsidR="00415741" w:rsidRPr="008B68A9">
        <w:t xml:space="preserve"> </w:t>
      </w:r>
      <w:r w:rsidR="00082146" w:rsidRPr="008B68A9">
        <w:t>R</w:t>
      </w:r>
      <w:r w:rsidR="00202C89" w:rsidRPr="008B68A9">
        <w:t>ecognising</w:t>
      </w:r>
      <w:r w:rsidR="00082146" w:rsidRPr="008B68A9">
        <w:t xml:space="preserve"> </w:t>
      </w:r>
      <w:r w:rsidRPr="008B68A9">
        <w:t xml:space="preserve">people’s </w:t>
      </w:r>
      <w:r w:rsidR="00082146" w:rsidRPr="008B68A9">
        <w:t>rights to</w:t>
      </w:r>
      <w:r w:rsidR="00202C89" w:rsidRPr="008B68A9">
        <w:t xml:space="preserve"> equality</w:t>
      </w:r>
      <w:r w:rsidR="00E649FF" w:rsidRPr="008B68A9">
        <w:t>, social justice</w:t>
      </w:r>
      <w:r w:rsidR="00202C89" w:rsidRPr="008B68A9">
        <w:t xml:space="preserve"> and access to ordinary living </w:t>
      </w:r>
      <w:r w:rsidR="00082146" w:rsidRPr="008B68A9">
        <w:t xml:space="preserve">can </w:t>
      </w:r>
      <w:r w:rsidR="00594E4F" w:rsidRPr="008B68A9">
        <w:t>be traced to</w:t>
      </w:r>
      <w:r w:rsidR="00082146" w:rsidRPr="008B68A9">
        <w:t xml:space="preserve"> </w:t>
      </w:r>
      <w:r w:rsidR="00202C89" w:rsidRPr="008B68A9">
        <w:t>Berkeley, California</w:t>
      </w:r>
      <w:r w:rsidR="00594E4F" w:rsidRPr="008B68A9">
        <w:t xml:space="preserve"> where</w:t>
      </w:r>
      <w:r w:rsidR="00E649FF" w:rsidRPr="008B68A9">
        <w:t xml:space="preserve"> in the 1960s</w:t>
      </w:r>
      <w:r w:rsidR="008B2D04" w:rsidRPr="008B68A9">
        <w:t xml:space="preserve"> </w:t>
      </w:r>
      <w:r w:rsidR="00202C89" w:rsidRPr="008B68A9">
        <w:t>the Cowell residence progra</w:t>
      </w:r>
      <w:r w:rsidR="008B2D04" w:rsidRPr="008B68A9">
        <w:t>mme became the Centre for Independent Living (CIL) (Zukas 1975)</w:t>
      </w:r>
      <w:r w:rsidR="00E649FF" w:rsidRPr="008B68A9">
        <w:t>. The centre</w:t>
      </w:r>
      <w:r w:rsidR="008B2D04" w:rsidRPr="008B68A9">
        <w:t xml:space="preserve"> </w:t>
      </w:r>
      <w:r w:rsidR="00082146" w:rsidRPr="008B68A9">
        <w:t>created opportunities for people with physical impair</w:t>
      </w:r>
      <w:r w:rsidR="00E649FF" w:rsidRPr="008B68A9">
        <w:t>ments to access ordinary living</w:t>
      </w:r>
      <w:r w:rsidRPr="008B68A9">
        <w:t>,</w:t>
      </w:r>
      <w:r w:rsidR="00082146" w:rsidRPr="008B68A9">
        <w:t xml:space="preserve"> </w:t>
      </w:r>
      <w:r w:rsidR="00E649FF" w:rsidRPr="008B68A9">
        <w:t>focusing</w:t>
      </w:r>
      <w:r w:rsidR="00202C89" w:rsidRPr="008B68A9">
        <w:t xml:space="preserve"> on five areas</w:t>
      </w:r>
      <w:r w:rsidRPr="008B68A9">
        <w:t>:</w:t>
      </w:r>
      <w:r w:rsidR="00202C89" w:rsidRPr="008B68A9">
        <w:t xml:space="preserve"> “housing, personal assistance, accessible transport, an accessible environment and peer support” (Glasby and Littlechild 2009</w:t>
      </w:r>
      <w:r w:rsidR="0017041B" w:rsidRPr="008B68A9">
        <w:t>,</w:t>
      </w:r>
      <w:r w:rsidR="00202C89" w:rsidRPr="008B68A9">
        <w:t xml:space="preserve"> p.</w:t>
      </w:r>
      <w:r w:rsidRPr="008B68A9">
        <w:t xml:space="preserve"> </w:t>
      </w:r>
      <w:r w:rsidR="00202C89" w:rsidRPr="008B68A9">
        <w:t>12)</w:t>
      </w:r>
      <w:r w:rsidR="009E249F" w:rsidRPr="008B68A9">
        <w:t xml:space="preserve">, </w:t>
      </w:r>
      <w:r w:rsidR="00594E4F" w:rsidRPr="008B68A9">
        <w:t>(</w:t>
      </w:r>
      <w:r w:rsidR="009E249F" w:rsidRPr="008B68A9">
        <w:t>which</w:t>
      </w:r>
      <w:r w:rsidR="00594E4F" w:rsidRPr="008B68A9">
        <w:t xml:space="preserve"> as central tenets of service delivery</w:t>
      </w:r>
      <w:r w:rsidR="009E249F" w:rsidRPr="008B68A9">
        <w:t xml:space="preserve"> remains contemporary </w:t>
      </w:r>
      <w:r w:rsidR="00E649FF" w:rsidRPr="008B68A9">
        <w:t xml:space="preserve">some </w:t>
      </w:r>
      <w:r w:rsidR="009E249F" w:rsidRPr="008B68A9">
        <w:t>forty years later</w:t>
      </w:r>
      <w:r w:rsidR="00594E4F" w:rsidRPr="008B68A9">
        <w:t>)</w:t>
      </w:r>
      <w:r w:rsidR="00202C89" w:rsidRPr="008B68A9">
        <w:t xml:space="preserve">. </w:t>
      </w:r>
      <w:r w:rsidR="009E249F" w:rsidRPr="008B68A9">
        <w:t>I</w:t>
      </w:r>
      <w:r w:rsidR="00082146" w:rsidRPr="008B68A9">
        <w:t xml:space="preserve">n the UK </w:t>
      </w:r>
      <w:r w:rsidR="00E649FF" w:rsidRPr="008B68A9">
        <w:t xml:space="preserve">the </w:t>
      </w:r>
      <w:r w:rsidR="00082146" w:rsidRPr="008B68A9">
        <w:t>activism of people with physical impairment</w:t>
      </w:r>
      <w:r w:rsidR="00C311DA" w:rsidRPr="008B68A9">
        <w:t>s</w:t>
      </w:r>
      <w:r w:rsidR="00594E4F" w:rsidRPr="008B68A9">
        <w:t xml:space="preserve"> and their supporters</w:t>
      </w:r>
      <w:r w:rsidR="00E649FF" w:rsidRPr="008B68A9">
        <w:t xml:space="preserve"> spread</w:t>
      </w:r>
      <w:r w:rsidR="00C311DA" w:rsidRPr="008B68A9">
        <w:t xml:space="preserve">, </w:t>
      </w:r>
      <w:r w:rsidR="00082146" w:rsidRPr="008B68A9">
        <w:t>demand</w:t>
      </w:r>
      <w:r w:rsidR="00C311DA" w:rsidRPr="008B68A9">
        <w:t>ing</w:t>
      </w:r>
      <w:r w:rsidR="00082146" w:rsidRPr="008B68A9">
        <w:t xml:space="preserve"> a</w:t>
      </w:r>
      <w:r w:rsidR="009E249F" w:rsidRPr="008B68A9">
        <w:t xml:space="preserve"> different offer from services </w:t>
      </w:r>
      <w:r w:rsidR="00C311DA" w:rsidRPr="008B68A9">
        <w:t>leading</w:t>
      </w:r>
      <w:r w:rsidR="009E249F" w:rsidRPr="008B68A9">
        <w:t xml:space="preserve"> to i</w:t>
      </w:r>
      <w:r w:rsidR="00082146" w:rsidRPr="008B68A9">
        <w:t>nitiatives s</w:t>
      </w:r>
      <w:r w:rsidR="009E249F" w:rsidRPr="008B68A9">
        <w:t>u</w:t>
      </w:r>
      <w:r w:rsidR="00C311DA" w:rsidRPr="008B68A9">
        <w:t>ch as Project 81 (Evans 2003)</w:t>
      </w:r>
      <w:r w:rsidR="009E249F" w:rsidRPr="008B68A9">
        <w:t>.</w:t>
      </w:r>
      <w:r w:rsidR="00415741" w:rsidRPr="008B68A9">
        <w:t xml:space="preserve"> </w:t>
      </w:r>
      <w:r w:rsidR="009E249F" w:rsidRPr="008B68A9">
        <w:t>The independent living fund</w:t>
      </w:r>
      <w:r w:rsidR="00C61030" w:rsidRPr="008B68A9">
        <w:t xml:space="preserve"> (ILF)</w:t>
      </w:r>
      <w:r w:rsidRPr="008B68A9">
        <w:t xml:space="preserve"> </w:t>
      </w:r>
      <w:r w:rsidR="00FE61F4" w:rsidRPr="008B68A9">
        <w:t>founded in 1988</w:t>
      </w:r>
      <w:r w:rsidR="009E249F" w:rsidRPr="008B68A9">
        <w:t xml:space="preserve"> and direct payments</w:t>
      </w:r>
      <w:r w:rsidR="00FE61F4" w:rsidRPr="008B68A9">
        <w:t xml:space="preserve"> </w:t>
      </w:r>
      <w:r w:rsidR="00944D0C" w:rsidRPr="008B68A9">
        <w:t>eight</w:t>
      </w:r>
      <w:r w:rsidR="00FE61F4" w:rsidRPr="008B68A9">
        <w:t xml:space="preserve"> years later</w:t>
      </w:r>
      <w:r w:rsidR="009E249F" w:rsidRPr="008B68A9">
        <w:t xml:space="preserve"> enabled people with impairments to exert choice and self-direction</w:t>
      </w:r>
      <w:r w:rsidR="00BE34DF" w:rsidRPr="008B68A9">
        <w:t>,</w:t>
      </w:r>
      <w:r w:rsidR="009E249F" w:rsidRPr="008B68A9">
        <w:t xml:space="preserve"> </w:t>
      </w:r>
      <w:r w:rsidR="0017041B" w:rsidRPr="008B68A9">
        <w:t xml:space="preserve">have been </w:t>
      </w:r>
      <w:r w:rsidR="009E249F" w:rsidRPr="008B68A9">
        <w:t xml:space="preserve">attributed to the pioneering work undertaken during the 1980s </w:t>
      </w:r>
      <w:r w:rsidR="00FE61F4" w:rsidRPr="008B68A9">
        <w:t xml:space="preserve">of </w:t>
      </w:r>
      <w:r w:rsidR="00C311DA" w:rsidRPr="008B68A9">
        <w:t xml:space="preserve">activists such </w:t>
      </w:r>
      <w:r w:rsidR="00FE61F4" w:rsidRPr="008B68A9">
        <w:t xml:space="preserve">the </w:t>
      </w:r>
      <w:r w:rsidR="00FE61F4" w:rsidRPr="008B68A9">
        <w:rPr>
          <w:shd w:val="clear" w:color="auto" w:fill="FFFFFF"/>
        </w:rPr>
        <w:t>Union of the Physically Impaired Against Segregation (Evans 2003).</w:t>
      </w:r>
    </w:p>
    <w:p w14:paraId="4A0E3B4E" w14:textId="29495D0A" w:rsidR="00082146" w:rsidRPr="008B68A9" w:rsidRDefault="000966EC" w:rsidP="002F0FD7">
      <w:pPr>
        <w:pStyle w:val="5arangedleft"/>
      </w:pPr>
      <w:r w:rsidRPr="008B68A9">
        <w:t>D</w:t>
      </w:r>
      <w:r w:rsidR="00082146" w:rsidRPr="008B68A9">
        <w:t>irect payment</w:t>
      </w:r>
      <w:r w:rsidRPr="008B68A9">
        <w:t>s were permitted</w:t>
      </w:r>
      <w:r w:rsidR="00082146" w:rsidRPr="008B68A9">
        <w:t xml:space="preserve"> following the Community Care (Direct Payments) Act (</w:t>
      </w:r>
      <w:r w:rsidR="00B546BE" w:rsidRPr="008B68A9">
        <w:t>DH</w:t>
      </w:r>
      <w:r w:rsidR="00D83805" w:rsidRPr="008B68A9">
        <w:t xml:space="preserve"> </w:t>
      </w:r>
      <w:r w:rsidR="00082146" w:rsidRPr="008B68A9">
        <w:t xml:space="preserve">1996), intended for working age adults who were usually physically impaired and received </w:t>
      </w:r>
      <w:r w:rsidR="0017041B" w:rsidRPr="008B68A9">
        <w:t xml:space="preserve">funding </w:t>
      </w:r>
      <w:r w:rsidR="00082146" w:rsidRPr="008B68A9">
        <w:t>for all or part of their</w:t>
      </w:r>
      <w:r w:rsidR="0017041B" w:rsidRPr="008B68A9">
        <w:t xml:space="preserve"> social care</w:t>
      </w:r>
      <w:r w:rsidR="00082146" w:rsidRPr="008B68A9">
        <w:t>.</w:t>
      </w:r>
      <w:r w:rsidR="00415741" w:rsidRPr="008B68A9">
        <w:t xml:space="preserve"> </w:t>
      </w:r>
      <w:r w:rsidR="00082146" w:rsidRPr="008B68A9">
        <w:t xml:space="preserve">Successive legislation extended the principle of direct payments to include those under 18, </w:t>
      </w:r>
      <w:r w:rsidR="0017041B" w:rsidRPr="008B68A9">
        <w:t xml:space="preserve">and </w:t>
      </w:r>
      <w:r w:rsidR="00082146" w:rsidRPr="008B68A9">
        <w:t>people with learning disabilities and mental health problems</w:t>
      </w:r>
      <w:r w:rsidRPr="008B68A9">
        <w:t xml:space="preserve"> (</w:t>
      </w:r>
      <w:r w:rsidR="00B546BE" w:rsidRPr="008B68A9">
        <w:t>DH</w:t>
      </w:r>
      <w:r w:rsidRPr="008B68A9">
        <w:t xml:space="preserve"> 2002</w:t>
      </w:r>
      <w:r w:rsidR="001D3D43" w:rsidRPr="008B68A9">
        <w:t>).</w:t>
      </w:r>
      <w:r w:rsidR="00415741" w:rsidRPr="008B68A9">
        <w:t xml:space="preserve"> </w:t>
      </w:r>
      <w:r w:rsidR="00082146" w:rsidRPr="008B68A9">
        <w:t xml:space="preserve">Direct </w:t>
      </w:r>
      <w:r w:rsidR="0017041B" w:rsidRPr="008B68A9">
        <w:t>p</w:t>
      </w:r>
      <w:r w:rsidR="00082146" w:rsidRPr="008B68A9">
        <w:t>ayments were meant to provide an alternative to local authority funded community care, and therefore excluded payment in lieu of health and housing (Glasby and Littlechild 2009).</w:t>
      </w:r>
      <w:r w:rsidR="00415741" w:rsidRPr="008B68A9">
        <w:t xml:space="preserve"> </w:t>
      </w:r>
      <w:r w:rsidR="0017041B" w:rsidRPr="008B68A9">
        <w:t>By 2003 d</w:t>
      </w:r>
      <w:r w:rsidR="00082146" w:rsidRPr="008B68A9">
        <w:t>irect payments</w:t>
      </w:r>
      <w:r w:rsidR="00FE61F4" w:rsidRPr="008B68A9">
        <w:t xml:space="preserve"> </w:t>
      </w:r>
      <w:r w:rsidR="00594E4F" w:rsidRPr="008B68A9">
        <w:t>had</w:t>
      </w:r>
      <w:r w:rsidR="00FE61F4" w:rsidRPr="008B68A9">
        <w:t xml:space="preserve"> </w:t>
      </w:r>
      <w:r w:rsidR="00114CED" w:rsidRPr="008B68A9">
        <w:t>a low uptake</w:t>
      </w:r>
      <w:r w:rsidR="0017041B" w:rsidRPr="008B68A9">
        <w:t>:</w:t>
      </w:r>
      <w:r w:rsidR="00114CED" w:rsidRPr="008B68A9">
        <w:t xml:space="preserve"> </w:t>
      </w:r>
      <w:r w:rsidR="00082146" w:rsidRPr="008B68A9">
        <w:t>approximately 1</w:t>
      </w:r>
      <w:r w:rsidR="00594E4F" w:rsidRPr="008B68A9">
        <w:t>2,600 people in England accessing such</w:t>
      </w:r>
      <w:r w:rsidR="00082146" w:rsidRPr="008B68A9">
        <w:t xml:space="preserve"> payments, with less than a tenth of those being over 65 years old</w:t>
      </w:r>
      <w:r w:rsidR="00114CED" w:rsidRPr="008B68A9">
        <w:t xml:space="preserve"> </w:t>
      </w:r>
      <w:r w:rsidR="00C311DA" w:rsidRPr="008B68A9">
        <w:t>(</w:t>
      </w:r>
      <w:r w:rsidR="00114CED" w:rsidRPr="008B68A9">
        <w:t>Commission for Social Care Inspection</w:t>
      </w:r>
      <w:r w:rsidR="00F22268" w:rsidRPr="008B68A9">
        <w:t xml:space="preserve"> (CSCI)</w:t>
      </w:r>
      <w:r w:rsidR="00114CED" w:rsidRPr="008B68A9">
        <w:t xml:space="preserve"> 2004</w:t>
      </w:r>
      <w:r w:rsidR="0017041B" w:rsidRPr="008B68A9">
        <w:t>,</w:t>
      </w:r>
      <w:r w:rsidR="00114CED" w:rsidRPr="008B68A9">
        <w:t xml:space="preserve"> cited </w:t>
      </w:r>
      <w:r w:rsidR="0017041B" w:rsidRPr="008B68A9">
        <w:t xml:space="preserve">in </w:t>
      </w:r>
      <w:r w:rsidR="00114CED" w:rsidRPr="008B68A9">
        <w:t xml:space="preserve">Weiner </w:t>
      </w:r>
      <w:r w:rsidR="00D9577F" w:rsidRPr="008B68A9">
        <w:t>2007)</w:t>
      </w:r>
      <w:r w:rsidR="00082146" w:rsidRPr="008B68A9">
        <w:t>.</w:t>
      </w:r>
      <w:r w:rsidR="00415741" w:rsidRPr="008B68A9">
        <w:t xml:space="preserve"> </w:t>
      </w:r>
      <w:r w:rsidR="00082146" w:rsidRPr="008B68A9">
        <w:t>The figure increased to around 42,000 four years later</w:t>
      </w:r>
      <w:r w:rsidR="00C311DA" w:rsidRPr="008B68A9">
        <w:t xml:space="preserve"> (Alakeson 2007),</w:t>
      </w:r>
      <w:r w:rsidR="00082146" w:rsidRPr="008B68A9">
        <w:t xml:space="preserve"> </w:t>
      </w:r>
      <w:r w:rsidR="00C311DA" w:rsidRPr="008B68A9">
        <w:t>and by</w:t>
      </w:r>
      <w:r w:rsidR="0094214B" w:rsidRPr="008B68A9">
        <w:t xml:space="preserve"> the end of 2008, 66,800 people were </w:t>
      </w:r>
      <w:r w:rsidR="00CE00C8" w:rsidRPr="008B68A9">
        <w:t>using them</w:t>
      </w:r>
      <w:r w:rsidR="0094214B" w:rsidRPr="008B68A9">
        <w:t xml:space="preserve"> (</w:t>
      </w:r>
      <w:r w:rsidR="002E1265" w:rsidRPr="008B68A9">
        <w:t xml:space="preserve">Commission for Social Care Inspection </w:t>
      </w:r>
      <w:r w:rsidR="00CE00C8" w:rsidRPr="008B68A9">
        <w:t>2008, Hay and Waters 2009).</w:t>
      </w:r>
      <w:r w:rsidR="00415741" w:rsidRPr="008B68A9">
        <w:t xml:space="preserve"> </w:t>
      </w:r>
      <w:r w:rsidR="0087118B" w:rsidRPr="008B68A9">
        <w:t>G</w:t>
      </w:r>
      <w:r w:rsidR="00082146" w:rsidRPr="008B68A9">
        <w:t xml:space="preserve">iven the </w:t>
      </w:r>
      <w:r w:rsidR="00082146" w:rsidRPr="008B68A9">
        <w:lastRenderedPageBreak/>
        <w:t>pressure from consumer</w:t>
      </w:r>
      <w:r w:rsidR="00AB0F10" w:rsidRPr="008B68A9">
        <w:t>-</w:t>
      </w:r>
      <w:r w:rsidR="00082146" w:rsidRPr="008B68A9">
        <w:t>led groups and considerable support via advocacy</w:t>
      </w:r>
      <w:r w:rsidR="00CA0A87" w:rsidRPr="008B68A9">
        <w:t xml:space="preserve"> groups</w:t>
      </w:r>
      <w:r w:rsidR="00082146" w:rsidRPr="008B68A9">
        <w:t xml:space="preserve">, the take up of direct payments </w:t>
      </w:r>
      <w:r w:rsidR="00CA0A87" w:rsidRPr="008B68A9">
        <w:t>remained</w:t>
      </w:r>
      <w:r w:rsidR="00082146" w:rsidRPr="008B68A9">
        <w:t xml:space="preserve"> </w:t>
      </w:r>
      <w:r w:rsidR="00594E4F" w:rsidRPr="008B68A9">
        <w:t xml:space="preserve">stubbornly </w:t>
      </w:r>
      <w:r w:rsidR="00082146" w:rsidRPr="008B68A9">
        <w:t>low</w:t>
      </w:r>
      <w:r w:rsidR="00A72C67" w:rsidRPr="008B68A9">
        <w:t xml:space="preserve"> (</w:t>
      </w:r>
      <w:r w:rsidR="002E1265" w:rsidRPr="008B68A9">
        <w:t>CSCI</w:t>
      </w:r>
      <w:r w:rsidR="00FF5034" w:rsidRPr="008B68A9">
        <w:t xml:space="preserve"> 2009)</w:t>
      </w:r>
      <w:r w:rsidR="00082146" w:rsidRPr="008B68A9">
        <w:t>.</w:t>
      </w:r>
      <w:r w:rsidR="00415741" w:rsidRPr="008B68A9">
        <w:t xml:space="preserve"> </w:t>
      </w:r>
      <w:r w:rsidR="00082146" w:rsidRPr="008B68A9">
        <w:t xml:space="preserve">Reasons </w:t>
      </w:r>
      <w:r w:rsidR="00E41E96" w:rsidRPr="008B68A9">
        <w:t xml:space="preserve">for the low uptake </w:t>
      </w:r>
      <w:r w:rsidR="00082146" w:rsidRPr="008B68A9">
        <w:t>suggest</w:t>
      </w:r>
      <w:r w:rsidR="00E41E96" w:rsidRPr="008B68A9">
        <w:t>ed</w:t>
      </w:r>
      <w:r w:rsidR="00082146" w:rsidRPr="008B68A9">
        <w:t xml:space="preserve"> that payment processes were bureaucratic</w:t>
      </w:r>
      <w:r w:rsidR="00F22268" w:rsidRPr="008B68A9">
        <w:t xml:space="preserve">, </w:t>
      </w:r>
      <w:r w:rsidR="00082146" w:rsidRPr="008B68A9">
        <w:t>inflexible and</w:t>
      </w:r>
      <w:r w:rsidR="00E41E96" w:rsidRPr="008B68A9">
        <w:t xml:space="preserve"> generally</w:t>
      </w:r>
      <w:r w:rsidR="00082146" w:rsidRPr="008B68A9">
        <w:t xml:space="preserve"> insensitive to users' needs (Duffy 2005, 2007).</w:t>
      </w:r>
      <w:r w:rsidR="00415741" w:rsidRPr="008B68A9">
        <w:t xml:space="preserve"> </w:t>
      </w:r>
      <w:r w:rsidR="00082146" w:rsidRPr="008B68A9">
        <w:t xml:space="preserve">Additionally, the scheme </w:t>
      </w:r>
      <w:r w:rsidR="009F7E29" w:rsidRPr="008B68A9">
        <w:t>was</w:t>
      </w:r>
      <w:r w:rsidR="00082146" w:rsidRPr="008B68A9">
        <w:t xml:space="preserve"> perceived as an all</w:t>
      </w:r>
      <w:r w:rsidR="00F22268" w:rsidRPr="008B68A9">
        <w:t>-</w:t>
      </w:r>
      <w:r w:rsidR="00082146" w:rsidRPr="008B68A9">
        <w:t>or</w:t>
      </w:r>
      <w:r w:rsidR="00F22268" w:rsidRPr="008B68A9">
        <w:t>-</w:t>
      </w:r>
      <w:r w:rsidR="00082146" w:rsidRPr="008B68A9">
        <w:t xml:space="preserve">nothing approach, </w:t>
      </w:r>
      <w:r w:rsidR="00F22268" w:rsidRPr="008B68A9">
        <w:t xml:space="preserve">offering </w:t>
      </w:r>
      <w:r w:rsidR="00082146" w:rsidRPr="008B68A9">
        <w:t>either a direct payment or authority</w:t>
      </w:r>
      <w:r w:rsidR="00AB0F10" w:rsidRPr="008B68A9">
        <w:t>-</w:t>
      </w:r>
      <w:r w:rsidR="00082146" w:rsidRPr="008B68A9">
        <w:t>led community care</w:t>
      </w:r>
      <w:r w:rsidR="0094214B" w:rsidRPr="008B68A9">
        <w:t xml:space="preserve"> (Glasby and Littlechild 2009), suggesting</w:t>
      </w:r>
      <w:r w:rsidR="00082146" w:rsidRPr="008B68A9">
        <w:t xml:space="preserve"> </w:t>
      </w:r>
      <w:r w:rsidR="0094214B" w:rsidRPr="008B68A9">
        <w:t xml:space="preserve">that </w:t>
      </w:r>
      <w:r w:rsidR="00082146" w:rsidRPr="008B68A9">
        <w:t>direct payment</w:t>
      </w:r>
      <w:r w:rsidR="00E41E96" w:rsidRPr="008B68A9">
        <w:t>s</w:t>
      </w:r>
      <w:r w:rsidR="00082146" w:rsidRPr="008B68A9">
        <w:t xml:space="preserve"> reflect</w:t>
      </w:r>
      <w:r w:rsidR="0094214B" w:rsidRPr="008B68A9">
        <w:t>ed</w:t>
      </w:r>
      <w:r w:rsidR="00082146" w:rsidRPr="008B68A9">
        <w:t xml:space="preserve"> </w:t>
      </w:r>
      <w:r w:rsidR="00800693" w:rsidRPr="008B68A9">
        <w:t>a</w:t>
      </w:r>
      <w:r w:rsidR="009F7E29" w:rsidRPr="008B68A9">
        <w:t xml:space="preserve"> </w:t>
      </w:r>
      <w:r w:rsidR="0094214B" w:rsidRPr="008B68A9">
        <w:t>professionally</w:t>
      </w:r>
      <w:r w:rsidR="00AB0F10" w:rsidRPr="008B68A9">
        <w:t>-</w:t>
      </w:r>
      <w:r w:rsidR="0094214B" w:rsidRPr="008B68A9">
        <w:t>led</w:t>
      </w:r>
      <w:r w:rsidR="00082146" w:rsidRPr="008B68A9">
        <w:t xml:space="preserve"> </w:t>
      </w:r>
      <w:r w:rsidR="0094214B" w:rsidRPr="008B68A9">
        <w:t>approach</w:t>
      </w:r>
      <w:r w:rsidR="00082146" w:rsidRPr="008B68A9">
        <w:t xml:space="preserve"> </w:t>
      </w:r>
      <w:r w:rsidR="00984877" w:rsidRPr="008B68A9">
        <w:t>rather than the</w:t>
      </w:r>
      <w:r w:rsidR="00082146" w:rsidRPr="008B68A9">
        <w:t xml:space="preserve"> consumer</w:t>
      </w:r>
      <w:r w:rsidR="00AB0F10" w:rsidRPr="008B68A9">
        <w:t>-</w:t>
      </w:r>
      <w:r w:rsidR="00082146" w:rsidRPr="008B68A9">
        <w:t>led service</w:t>
      </w:r>
      <w:r w:rsidR="00984877" w:rsidRPr="008B68A9">
        <w:t xml:space="preserve"> they might have been</w:t>
      </w:r>
      <w:r w:rsidR="00082146" w:rsidRPr="008B68A9">
        <w:t>.</w:t>
      </w:r>
    </w:p>
    <w:p w14:paraId="1F05F881" w14:textId="45015BAE" w:rsidR="00082146" w:rsidRPr="008B68A9" w:rsidRDefault="008F4D53" w:rsidP="002F0FD7">
      <w:pPr>
        <w:pStyle w:val="5arangedleft"/>
      </w:pPr>
      <w:r w:rsidRPr="008B68A9">
        <w:t>T</w:t>
      </w:r>
      <w:r w:rsidR="00CE00C8" w:rsidRPr="008B68A9">
        <w:t xml:space="preserve">he number of people with mental health problems eligible </w:t>
      </w:r>
      <w:r w:rsidRPr="008B68A9">
        <w:t>for</w:t>
      </w:r>
      <w:r w:rsidR="0094214B" w:rsidRPr="008B68A9">
        <w:t xml:space="preserve"> </w:t>
      </w:r>
      <w:r w:rsidR="00B6136F" w:rsidRPr="008B68A9">
        <w:t xml:space="preserve">direct payments </w:t>
      </w:r>
      <w:r w:rsidR="00CE00C8" w:rsidRPr="008B68A9">
        <w:t>has always been small</w:t>
      </w:r>
      <w:r w:rsidR="0094214B" w:rsidRPr="008B68A9">
        <w:t xml:space="preserve"> (Commission for Healthcare Audit and Inspection 2008, Mind 2009)</w:t>
      </w:r>
      <w:r w:rsidR="00CE00C8" w:rsidRPr="008B68A9">
        <w:t>.</w:t>
      </w:r>
      <w:r w:rsidR="00415741" w:rsidRPr="008B68A9">
        <w:t xml:space="preserve"> </w:t>
      </w:r>
      <w:r w:rsidR="00984877" w:rsidRPr="008B68A9">
        <w:t>With e</w:t>
      </w:r>
      <w:r w:rsidR="0094214B" w:rsidRPr="008B68A9">
        <w:t>arly research</w:t>
      </w:r>
      <w:r w:rsidR="00984877" w:rsidRPr="008B68A9">
        <w:t xml:space="preserve"> that</w:t>
      </w:r>
      <w:r w:rsidR="0094214B" w:rsidRPr="008B68A9">
        <w:t xml:space="preserve"> showed poor information </w:t>
      </w:r>
      <w:r w:rsidR="00CE00C8" w:rsidRPr="008B68A9">
        <w:t xml:space="preserve">for users </w:t>
      </w:r>
      <w:r w:rsidR="0094214B" w:rsidRPr="008B68A9">
        <w:t xml:space="preserve">and staff uncertainty </w:t>
      </w:r>
      <w:r w:rsidR="00984877" w:rsidRPr="008B68A9">
        <w:t xml:space="preserve">(Ridley and Jones 2003) being responsible. Further, </w:t>
      </w:r>
      <w:r w:rsidR="00CE00C8" w:rsidRPr="008B68A9">
        <w:t>professionals</w:t>
      </w:r>
      <w:r w:rsidRPr="008B68A9">
        <w:t>’</w:t>
      </w:r>
      <w:r w:rsidR="00CE00C8" w:rsidRPr="008B68A9">
        <w:t xml:space="preserve"> constructions</w:t>
      </w:r>
      <w:r w:rsidR="002A3638" w:rsidRPr="008B68A9">
        <w:t xml:space="preserve"> of risk and</w:t>
      </w:r>
      <w:r w:rsidR="003D34B6" w:rsidRPr="008B68A9">
        <w:t xml:space="preserve"> of duty of care (Spandler and Vick 2005</w:t>
      </w:r>
      <w:r w:rsidR="002A3638" w:rsidRPr="008B68A9">
        <w:t xml:space="preserve">) </w:t>
      </w:r>
      <w:r w:rsidR="00CE00C8" w:rsidRPr="008B68A9">
        <w:t>created</w:t>
      </w:r>
      <w:r w:rsidR="0094214B" w:rsidRPr="008B68A9">
        <w:t xml:space="preserve"> barriers </w:t>
      </w:r>
      <w:r w:rsidR="00984877" w:rsidRPr="008B68A9">
        <w:t>for</w:t>
      </w:r>
      <w:r w:rsidR="00C47045" w:rsidRPr="008B68A9">
        <w:t xml:space="preserve"> </w:t>
      </w:r>
      <w:r w:rsidR="0094214B" w:rsidRPr="008B68A9">
        <w:t>uptake</w:t>
      </w:r>
      <w:r w:rsidR="00CE00C8" w:rsidRPr="008B68A9">
        <w:t xml:space="preserve"> in mental health</w:t>
      </w:r>
      <w:r w:rsidR="00C47045" w:rsidRPr="008B68A9">
        <w:t xml:space="preserve"> settings</w:t>
      </w:r>
      <w:r w:rsidR="00715FA1" w:rsidRPr="008B68A9">
        <w:t>.</w:t>
      </w:r>
      <w:r w:rsidR="00415741" w:rsidRPr="008B68A9">
        <w:t xml:space="preserve"> </w:t>
      </w:r>
      <w:r w:rsidR="00715FA1" w:rsidRPr="008B68A9">
        <w:t>The demand of the then Labour administration to make all local authorities offer direct payments</w:t>
      </w:r>
      <w:r w:rsidR="00D9577F" w:rsidRPr="008B68A9">
        <w:t xml:space="preserve"> (</w:t>
      </w:r>
      <w:r w:rsidR="00B546BE" w:rsidRPr="008B68A9">
        <w:t>DH</w:t>
      </w:r>
      <w:r w:rsidR="00D9577F" w:rsidRPr="008B68A9">
        <w:t xml:space="preserve"> 2003</w:t>
      </w:r>
      <w:r w:rsidR="00C36A6C" w:rsidRPr="008B68A9">
        <w:t>a</w:t>
      </w:r>
      <w:r w:rsidR="00D9577F" w:rsidRPr="008B68A9">
        <w:t>)</w:t>
      </w:r>
      <w:r w:rsidR="00C36A6C" w:rsidRPr="008B68A9">
        <w:t xml:space="preserve"> led to </w:t>
      </w:r>
      <w:r w:rsidR="00984877" w:rsidRPr="008B68A9">
        <w:t xml:space="preserve">an </w:t>
      </w:r>
      <w:r w:rsidR="00C36A6C" w:rsidRPr="008B68A9">
        <w:t xml:space="preserve">increased </w:t>
      </w:r>
      <w:r w:rsidR="00287AB2" w:rsidRPr="008B68A9">
        <w:t>interest</w:t>
      </w:r>
      <w:r w:rsidR="00C47045" w:rsidRPr="008B68A9">
        <w:t>,</w:t>
      </w:r>
      <w:r w:rsidR="00715FA1" w:rsidRPr="008B68A9">
        <w:t xml:space="preserve"> though debates </w:t>
      </w:r>
      <w:r w:rsidR="00404154" w:rsidRPr="008B68A9">
        <w:t>of</w:t>
      </w:r>
      <w:r w:rsidR="00715FA1" w:rsidRPr="008B68A9">
        <w:t xml:space="preserve"> neo-liberalism, marketi</w:t>
      </w:r>
      <w:r w:rsidR="00C47045" w:rsidRPr="008B68A9">
        <w:t>s</w:t>
      </w:r>
      <w:r w:rsidR="00715FA1" w:rsidRPr="008B68A9">
        <w:t xml:space="preserve">ation and ‘de-centring’ </w:t>
      </w:r>
      <w:r w:rsidR="00EE014E" w:rsidRPr="008B68A9">
        <w:t>professionals’</w:t>
      </w:r>
      <w:r w:rsidR="00404154" w:rsidRPr="008B68A9">
        <w:t xml:space="preserve"> </w:t>
      </w:r>
      <w:r w:rsidR="00715FA1" w:rsidRPr="008B68A9">
        <w:t>role became louder (Taylor 2008)</w:t>
      </w:r>
      <w:r w:rsidR="00984877" w:rsidRPr="008B68A9">
        <w:t xml:space="preserve"> at that time</w:t>
      </w:r>
      <w:r w:rsidR="00715FA1" w:rsidRPr="008B68A9">
        <w:t>.</w:t>
      </w:r>
      <w:r w:rsidR="00415741" w:rsidRPr="008B68A9">
        <w:t xml:space="preserve"> </w:t>
      </w:r>
      <w:r w:rsidR="00C47045" w:rsidRPr="008B68A9">
        <w:t>D</w:t>
      </w:r>
      <w:r w:rsidR="002A7958" w:rsidRPr="008B68A9">
        <w:t>irect payments was promoted as the standard form of care delivery in mental health (</w:t>
      </w:r>
      <w:r w:rsidR="00B546BE" w:rsidRPr="008B68A9">
        <w:t>DH</w:t>
      </w:r>
      <w:r w:rsidR="002A7958" w:rsidRPr="008B68A9">
        <w:t xml:space="preserve"> 2006a),</w:t>
      </w:r>
      <w:r w:rsidR="00FF5034" w:rsidRPr="008B68A9">
        <w:t xml:space="preserve"> and later </w:t>
      </w:r>
      <w:r w:rsidR="00534CA1" w:rsidRPr="008B68A9">
        <w:t>promoted</w:t>
      </w:r>
      <w:r w:rsidR="00800693" w:rsidRPr="008B68A9">
        <w:t xml:space="preserve"> in other government strategies</w:t>
      </w:r>
      <w:r w:rsidR="00FF5034" w:rsidRPr="008B68A9">
        <w:t xml:space="preserve"> (DH 2008a, DH 2008b),</w:t>
      </w:r>
      <w:r w:rsidR="002A7958" w:rsidRPr="008B68A9">
        <w:t xml:space="preserve"> </w:t>
      </w:r>
      <w:r w:rsidR="00287AB2" w:rsidRPr="008B68A9">
        <w:t>forming</w:t>
      </w:r>
      <w:r w:rsidR="002A7958" w:rsidRPr="008B68A9">
        <w:t xml:space="preserve"> part of </w:t>
      </w:r>
      <w:r w:rsidR="00287AB2" w:rsidRPr="008B68A9">
        <w:t xml:space="preserve">a </w:t>
      </w:r>
      <w:r w:rsidR="002A7958" w:rsidRPr="008B68A9">
        <w:t xml:space="preserve">wider policy to </w:t>
      </w:r>
      <w:r w:rsidR="00ED785D" w:rsidRPr="008B68A9">
        <w:t>force</w:t>
      </w:r>
      <w:r w:rsidR="002A7958" w:rsidRPr="008B68A9">
        <w:t xml:space="preserve"> choice in health and social care (</w:t>
      </w:r>
      <w:r w:rsidR="00B546BE" w:rsidRPr="008B68A9">
        <w:t>DH</w:t>
      </w:r>
      <w:r w:rsidR="002A7958" w:rsidRPr="008B68A9">
        <w:t xml:space="preserve"> 2006b</w:t>
      </w:r>
      <w:r w:rsidR="00FF5034" w:rsidRPr="008B68A9">
        <w:t>, DH 2009</w:t>
      </w:r>
      <w:r w:rsidR="0099489B" w:rsidRPr="008B68A9">
        <w:t>a</w:t>
      </w:r>
      <w:r w:rsidR="002A7958" w:rsidRPr="008B68A9">
        <w:t>).</w:t>
      </w:r>
      <w:r w:rsidR="00415741" w:rsidRPr="008B68A9">
        <w:t xml:space="preserve"> </w:t>
      </w:r>
      <w:r w:rsidR="00C47045" w:rsidRPr="008B68A9">
        <w:t>B</w:t>
      </w:r>
      <w:r w:rsidR="00715FA1" w:rsidRPr="008B68A9">
        <w:t xml:space="preserve">enefits for both users and professionals were </w:t>
      </w:r>
      <w:r w:rsidR="00C47045" w:rsidRPr="008B68A9">
        <w:t xml:space="preserve">expected </w:t>
      </w:r>
      <w:r w:rsidR="00715FA1" w:rsidRPr="008B68A9">
        <w:t xml:space="preserve">from a wider uptake </w:t>
      </w:r>
      <w:r w:rsidR="00C47045" w:rsidRPr="008B68A9">
        <w:t xml:space="preserve">of </w:t>
      </w:r>
      <w:r w:rsidR="00715FA1" w:rsidRPr="008B68A9">
        <w:t>direct payments (Spandler and Vick 2005)</w:t>
      </w:r>
      <w:r w:rsidR="00C47045" w:rsidRPr="008B68A9">
        <w:t>;</w:t>
      </w:r>
      <w:r w:rsidR="00ED785D" w:rsidRPr="008B68A9">
        <w:t xml:space="preserve"> though</w:t>
      </w:r>
      <w:r w:rsidR="00287AB2" w:rsidRPr="008B68A9">
        <w:t xml:space="preserve"> a</w:t>
      </w:r>
      <w:r w:rsidR="008C6B05" w:rsidRPr="008B68A9">
        <w:t xml:space="preserve"> discourse of choice, whether hard (as in neo-liberal consumerism), or soft (user</w:t>
      </w:r>
      <w:r w:rsidR="00AB0F10" w:rsidRPr="008B68A9">
        <w:t>-</w:t>
      </w:r>
      <w:r w:rsidR="008C6B05" w:rsidRPr="008B68A9">
        <w:t xml:space="preserve">led through engaged choices and participation) had </w:t>
      </w:r>
      <w:r w:rsidR="00ED785D" w:rsidRPr="008B68A9">
        <w:t xml:space="preserve">instead </w:t>
      </w:r>
      <w:r w:rsidR="008C6B05" w:rsidRPr="008B68A9">
        <w:t>taken a firm hold on policy (Needham 2009</w:t>
      </w:r>
      <w:r w:rsidR="00BC7136" w:rsidRPr="008B68A9">
        <w:t>b</w:t>
      </w:r>
      <w:r w:rsidR="00114CED" w:rsidRPr="008B68A9">
        <w:t>)</w:t>
      </w:r>
      <w:r w:rsidR="00715FA1" w:rsidRPr="008B68A9">
        <w:t>.</w:t>
      </w:r>
      <w:r w:rsidR="00415741" w:rsidRPr="008B68A9">
        <w:t xml:space="preserve"> </w:t>
      </w:r>
      <w:r w:rsidR="008C6B05" w:rsidRPr="008B68A9">
        <w:t>The</w:t>
      </w:r>
      <w:r w:rsidR="001732D4" w:rsidRPr="008B68A9">
        <w:t xml:space="preserve"> rise </w:t>
      </w:r>
      <w:r w:rsidR="00715FA1" w:rsidRPr="008B68A9">
        <w:t>in direct payments</w:t>
      </w:r>
      <w:r w:rsidR="00082146" w:rsidRPr="008B68A9">
        <w:t>, fr</w:t>
      </w:r>
      <w:r w:rsidR="001732D4" w:rsidRPr="008B68A9">
        <w:t>om 50 in 2007 to 3,373 in 2008</w:t>
      </w:r>
      <w:r w:rsidR="00715FA1" w:rsidRPr="008B68A9">
        <w:t xml:space="preserve"> (</w:t>
      </w:r>
      <w:r w:rsidR="00A10A34" w:rsidRPr="008B68A9">
        <w:t xml:space="preserve">Care Services Improvement Partnership (CSIP), </w:t>
      </w:r>
      <w:r w:rsidR="00287AB2" w:rsidRPr="008B68A9">
        <w:t xml:space="preserve">2008), is </w:t>
      </w:r>
      <w:r w:rsidR="00715FA1" w:rsidRPr="008B68A9">
        <w:t xml:space="preserve">explained </w:t>
      </w:r>
      <w:r w:rsidR="001732D4" w:rsidRPr="008B68A9">
        <w:t>in part</w:t>
      </w:r>
      <w:r w:rsidR="00082146" w:rsidRPr="008B68A9">
        <w:t xml:space="preserve"> through the statutory measurement of compliance</w:t>
      </w:r>
      <w:r w:rsidR="001732D4" w:rsidRPr="008B68A9">
        <w:t xml:space="preserve"> to </w:t>
      </w:r>
      <w:r w:rsidR="001C50C4" w:rsidRPr="008B68A9">
        <w:t xml:space="preserve">the </w:t>
      </w:r>
      <w:r w:rsidR="001732D4" w:rsidRPr="008B68A9">
        <w:rPr>
          <w:i/>
        </w:rPr>
        <w:t>Putting People First</w:t>
      </w:r>
      <w:r w:rsidR="001732D4" w:rsidRPr="008B68A9">
        <w:t xml:space="preserve"> </w:t>
      </w:r>
      <w:r w:rsidR="00082146" w:rsidRPr="008B68A9">
        <w:t>N116 indicators</w:t>
      </w:r>
      <w:r w:rsidR="001732D4" w:rsidRPr="008B68A9">
        <w:t>,</w:t>
      </w:r>
      <w:r w:rsidR="00441152" w:rsidRPr="008B68A9">
        <w:t xml:space="preserve"> (HM Government 2007)</w:t>
      </w:r>
      <w:r w:rsidR="00ED785D" w:rsidRPr="008B68A9">
        <w:t>, which suggests that policy compulsion drove the increased uptake</w:t>
      </w:r>
      <w:r w:rsidR="00441152" w:rsidRPr="008B68A9">
        <w:t>.</w:t>
      </w:r>
    </w:p>
    <w:p w14:paraId="431B262F" w14:textId="10B39872" w:rsidR="00B6136F" w:rsidRPr="008B68A9" w:rsidRDefault="009F7E29" w:rsidP="002F0FD7">
      <w:pPr>
        <w:pStyle w:val="5arangedleft"/>
      </w:pPr>
      <w:r w:rsidRPr="008B68A9">
        <w:t>The</w:t>
      </w:r>
      <w:r w:rsidR="00B6136F" w:rsidRPr="008B68A9">
        <w:t xml:space="preserve"> partnership between the </w:t>
      </w:r>
      <w:r w:rsidR="00B546BE" w:rsidRPr="008B68A9">
        <w:t>D</w:t>
      </w:r>
      <w:r w:rsidR="0099489B" w:rsidRPr="008B68A9">
        <w:t xml:space="preserve">epartment of </w:t>
      </w:r>
      <w:r w:rsidR="00B546BE" w:rsidRPr="008B68A9">
        <w:t>H</w:t>
      </w:r>
      <w:r w:rsidR="0099489B" w:rsidRPr="008B68A9">
        <w:t>ealth</w:t>
      </w:r>
      <w:r w:rsidR="00B6136F" w:rsidRPr="008B68A9">
        <w:t>, Mencap and In Control developed the concept of user</w:t>
      </w:r>
      <w:r w:rsidR="00AB0F10" w:rsidRPr="008B68A9">
        <w:t>-</w:t>
      </w:r>
      <w:r w:rsidR="00B6136F" w:rsidRPr="008B68A9">
        <w:t>led services for people with intellectual impairment</w:t>
      </w:r>
      <w:r w:rsidR="00C61030" w:rsidRPr="008B68A9">
        <w:t>,</w:t>
      </w:r>
      <w:r w:rsidR="00B6136F" w:rsidRPr="008B68A9">
        <w:t xml:space="preserve"> arguably </w:t>
      </w:r>
      <w:r w:rsidR="00441152" w:rsidRPr="008B68A9">
        <w:t xml:space="preserve">the forerunner </w:t>
      </w:r>
      <w:r w:rsidR="00B6136F" w:rsidRPr="008B68A9">
        <w:t xml:space="preserve">of modern personalisation. </w:t>
      </w:r>
      <w:r w:rsidR="004E2849" w:rsidRPr="008B68A9">
        <w:t xml:space="preserve">The early and ground-breaking </w:t>
      </w:r>
      <w:r w:rsidR="004E2849" w:rsidRPr="008B68A9">
        <w:lastRenderedPageBreak/>
        <w:t>work was co-ordinated through In Control, a social enterprise established in 2003 by Simon Duffy and others as a way to provide improved local services for families.</w:t>
      </w:r>
      <w:r w:rsidR="00415741" w:rsidRPr="008B68A9">
        <w:t xml:space="preserve"> </w:t>
      </w:r>
      <w:r w:rsidR="004E2849" w:rsidRPr="008B68A9">
        <w:t>Their work built on approaches pioneered by Inclusion Glasgow and Individual Servi</w:t>
      </w:r>
      <w:r w:rsidR="00FF2E07" w:rsidRPr="008B68A9">
        <w:t>ce Funds (Duffy 2014a), centred</w:t>
      </w:r>
      <w:r w:rsidR="004E2849" w:rsidRPr="008B68A9">
        <w:t xml:space="preserve"> on creating flexible support for people with intellectual impairment, </w:t>
      </w:r>
      <w:r w:rsidR="00C61030" w:rsidRPr="008B68A9">
        <w:t xml:space="preserve">and </w:t>
      </w:r>
      <w:r w:rsidR="004E2849" w:rsidRPr="008B68A9">
        <w:t>extending the principles of direct payments and ILF.</w:t>
      </w:r>
      <w:r w:rsidR="00415741" w:rsidRPr="008B68A9">
        <w:t xml:space="preserve"> </w:t>
      </w:r>
      <w:r w:rsidR="00C61030" w:rsidRPr="008B68A9">
        <w:t>U</w:t>
      </w:r>
      <w:r w:rsidR="00B6136F" w:rsidRPr="008B68A9">
        <w:t xml:space="preserve">nderpinning </w:t>
      </w:r>
      <w:r w:rsidR="00C61030" w:rsidRPr="008B68A9">
        <w:t xml:space="preserve">the work of </w:t>
      </w:r>
      <w:r w:rsidR="00B6136F" w:rsidRPr="008B68A9">
        <w:t>In Control was the development of a seven stage process of support planning (In Control</w:t>
      </w:r>
      <w:r w:rsidR="00437A5C" w:rsidRPr="008B68A9">
        <w:t xml:space="preserve"> 2012</w:t>
      </w:r>
      <w:r w:rsidR="00B6136F" w:rsidRPr="008B68A9">
        <w:t>)</w:t>
      </w:r>
      <w:r w:rsidR="00C61030" w:rsidRPr="008B68A9">
        <w:t>;</w:t>
      </w:r>
      <w:r w:rsidR="00B6136F" w:rsidRPr="008B68A9">
        <w:t xml:space="preserve"> though modified by many (</w:t>
      </w:r>
      <w:r w:rsidR="00FF2E07" w:rsidRPr="008B68A9">
        <w:t xml:space="preserve">Harvey and Skellhorn 2010), it still </w:t>
      </w:r>
      <w:r w:rsidR="00B6136F" w:rsidRPr="008B68A9">
        <w:t xml:space="preserve">forms the </w:t>
      </w:r>
      <w:r w:rsidR="00C61030" w:rsidRPr="008B68A9">
        <w:t xml:space="preserve">central </w:t>
      </w:r>
      <w:r w:rsidR="00B6136F" w:rsidRPr="008B68A9">
        <w:t>tenets of support planning</w:t>
      </w:r>
      <w:r w:rsidR="00FF2E07" w:rsidRPr="008B68A9">
        <w:t xml:space="preserve"> today</w:t>
      </w:r>
      <w:r w:rsidR="00B6136F" w:rsidRPr="008B68A9">
        <w:t>.</w:t>
      </w:r>
      <w:r w:rsidR="00415741" w:rsidRPr="008B68A9">
        <w:t xml:space="preserve"> </w:t>
      </w:r>
      <w:r w:rsidR="00C61030" w:rsidRPr="008B68A9">
        <w:t xml:space="preserve">The </w:t>
      </w:r>
      <w:r w:rsidR="00B6136F" w:rsidRPr="008B68A9">
        <w:t xml:space="preserve">seven stages </w:t>
      </w:r>
      <w:r w:rsidR="00441152" w:rsidRPr="008B68A9">
        <w:t>support planning utilises</w:t>
      </w:r>
      <w:r w:rsidR="00B6136F" w:rsidRPr="008B68A9">
        <w:t xml:space="preserve"> person-centred thinking tools (Sanderson 200</w:t>
      </w:r>
      <w:r w:rsidR="00C753A6" w:rsidRPr="008B68A9">
        <w:t>0</w:t>
      </w:r>
      <w:r w:rsidR="000C6E12" w:rsidRPr="008B68A9">
        <w:t>)</w:t>
      </w:r>
      <w:r w:rsidR="00B6136F" w:rsidRPr="008B68A9">
        <w:t xml:space="preserve"> and keys to cit</w:t>
      </w:r>
      <w:r w:rsidR="00CA0A87" w:rsidRPr="008B68A9">
        <w:t>izenship principles (Duffy 2006a</w:t>
      </w:r>
      <w:r w:rsidR="00B6136F" w:rsidRPr="008B68A9">
        <w:t xml:space="preserve">) </w:t>
      </w:r>
      <w:r w:rsidR="00FF2E07" w:rsidRPr="008B68A9">
        <w:t>to</w:t>
      </w:r>
      <w:r w:rsidR="00B6136F" w:rsidRPr="008B68A9">
        <w:t xml:space="preserve"> </w:t>
      </w:r>
      <w:r w:rsidR="00441152" w:rsidRPr="008B68A9">
        <w:t xml:space="preserve">co-produce </w:t>
      </w:r>
      <w:r w:rsidR="00824B77" w:rsidRPr="008B68A9">
        <w:t>o</w:t>
      </w:r>
      <w:r w:rsidR="00B6136F" w:rsidRPr="008B68A9">
        <w:t>utcomes</w:t>
      </w:r>
      <w:r w:rsidR="004E2849" w:rsidRPr="008B68A9">
        <w:t xml:space="preserve"> </w:t>
      </w:r>
      <w:r w:rsidR="00FF2E07" w:rsidRPr="008B68A9">
        <w:t>with</w:t>
      </w:r>
      <w:r w:rsidR="004E2849" w:rsidRPr="008B68A9">
        <w:t xml:space="preserve"> the user</w:t>
      </w:r>
      <w:r w:rsidR="00B6136F" w:rsidRPr="008B68A9">
        <w:t>.</w:t>
      </w:r>
      <w:r w:rsidR="00824B77" w:rsidRPr="008B68A9">
        <w:t xml:space="preserve"> In Control has produced data supporting personalisation (see chapter 3), le</w:t>
      </w:r>
      <w:r w:rsidR="004E2849" w:rsidRPr="008B68A9">
        <w:t>a</w:t>
      </w:r>
      <w:r w:rsidR="00824B77" w:rsidRPr="008B68A9">
        <w:t>d</w:t>
      </w:r>
      <w:r w:rsidR="004E2849" w:rsidRPr="008B68A9">
        <w:t>ing</w:t>
      </w:r>
      <w:r w:rsidR="00824B77" w:rsidRPr="008B68A9">
        <w:t xml:space="preserve"> to the </w:t>
      </w:r>
      <w:r w:rsidR="00CC745F" w:rsidRPr="008B68A9">
        <w:t xml:space="preserve">development of the </w:t>
      </w:r>
      <w:r w:rsidR="00824B77" w:rsidRPr="008B68A9">
        <w:t xml:space="preserve">Individual Budget Network Evaluation (Glendinning </w:t>
      </w:r>
      <w:r w:rsidR="00AC06A3" w:rsidRPr="008B68A9">
        <w:rPr>
          <w:i/>
        </w:rPr>
        <w:t>et al.</w:t>
      </w:r>
      <w:r w:rsidR="00824B77" w:rsidRPr="008B68A9">
        <w:t xml:space="preserve"> 2008), which established personalisation at the heart of </w:t>
      </w:r>
      <w:r w:rsidR="00FF2E07" w:rsidRPr="008B68A9">
        <w:t xml:space="preserve">social </w:t>
      </w:r>
      <w:r w:rsidR="00824B77" w:rsidRPr="008B68A9">
        <w:t>policy</w:t>
      </w:r>
      <w:r w:rsidR="00FF2E07" w:rsidRPr="008B68A9">
        <w:t xml:space="preserve"> delivery</w:t>
      </w:r>
      <w:r w:rsidR="00824B77" w:rsidRPr="008B68A9">
        <w:t>.</w:t>
      </w:r>
      <w:r w:rsidR="00415741" w:rsidRPr="008B68A9">
        <w:t xml:space="preserve"> </w:t>
      </w:r>
      <w:r w:rsidR="00824B77" w:rsidRPr="008B68A9">
        <w:t xml:space="preserve">Further, the In Control pilots and evaluations influenced leading policy advisors such as Leadbeater to </w:t>
      </w:r>
      <w:r w:rsidR="00FF2E07" w:rsidRPr="008B68A9">
        <w:t>champion</w:t>
      </w:r>
      <w:r w:rsidR="00824B77" w:rsidRPr="008B68A9">
        <w:t xml:space="preserve"> personalisation as the platform for greater citizen involvement in public services (Carr 2011</w:t>
      </w:r>
      <w:r w:rsidR="00095039" w:rsidRPr="008B68A9">
        <w:t>b</w:t>
      </w:r>
      <w:r w:rsidR="00824B77" w:rsidRPr="008B68A9">
        <w:t xml:space="preserve">), </w:t>
      </w:r>
      <w:r w:rsidR="00FF2E07" w:rsidRPr="008B68A9">
        <w:t>clearly influencing</w:t>
      </w:r>
      <w:r w:rsidR="00824B77" w:rsidRPr="008B68A9">
        <w:t xml:space="preserve"> national policy </w:t>
      </w:r>
      <w:r w:rsidR="00FF2E07" w:rsidRPr="008B68A9">
        <w:t>leading to the</w:t>
      </w:r>
      <w:r w:rsidR="00824B77" w:rsidRPr="008B68A9">
        <w:t xml:space="preserve"> </w:t>
      </w:r>
      <w:r w:rsidR="00824B77" w:rsidRPr="008B68A9">
        <w:rPr>
          <w:i/>
        </w:rPr>
        <w:t>Putting People First</w:t>
      </w:r>
      <w:r w:rsidR="00824B77" w:rsidRPr="008B68A9">
        <w:t xml:space="preserve"> (HM Government 2007) initiative.</w:t>
      </w:r>
    </w:p>
    <w:p w14:paraId="0394B132" w14:textId="75FD3A81" w:rsidR="0060088B" w:rsidRPr="008B68A9" w:rsidRDefault="0060088B" w:rsidP="002F0FD7">
      <w:pPr>
        <w:pStyle w:val="5arangedleft"/>
      </w:pPr>
      <w:r w:rsidRPr="008B68A9">
        <w:t>A pioneering aspect of the work of In Control was that with direct payments, resources were based upon the overall cost of traditional service provision.</w:t>
      </w:r>
      <w:r w:rsidR="00415741" w:rsidRPr="008B68A9">
        <w:t xml:space="preserve"> </w:t>
      </w:r>
      <w:r w:rsidRPr="008B68A9">
        <w:t>This</w:t>
      </w:r>
      <w:r w:rsidR="009B466F" w:rsidRPr="008B68A9">
        <w:t>,</w:t>
      </w:r>
      <w:r w:rsidRPr="008B68A9">
        <w:t xml:space="preserve"> in effect</w:t>
      </w:r>
      <w:r w:rsidR="009B466F" w:rsidRPr="008B68A9">
        <w:t>,</w:t>
      </w:r>
      <w:r w:rsidRPr="008B68A9">
        <w:t xml:space="preserve"> meant that where service costs differed between authorities, the amount received by individuals with</w:t>
      </w:r>
      <w:r w:rsidR="00A8699F" w:rsidRPr="008B68A9">
        <w:t xml:space="preserve"> a</w:t>
      </w:r>
      <w:r w:rsidRPr="008B68A9">
        <w:t xml:space="preserve"> similar need </w:t>
      </w:r>
      <w:r w:rsidR="00BC043C" w:rsidRPr="008B68A9">
        <w:t xml:space="preserve">also </w:t>
      </w:r>
      <w:r w:rsidRPr="008B68A9">
        <w:t>differed.</w:t>
      </w:r>
      <w:r w:rsidR="00415741" w:rsidRPr="008B68A9">
        <w:t xml:space="preserve"> </w:t>
      </w:r>
      <w:r w:rsidRPr="008B68A9">
        <w:t>In Control’s model of Resource Allocation System (RAS) was radically different from previous funding formula</w:t>
      </w:r>
      <w:r w:rsidR="00080C7B" w:rsidRPr="008B68A9">
        <w:t>e,</w:t>
      </w:r>
      <w:r w:rsidRPr="008B68A9">
        <w:t xml:space="preserve"> insofar as </w:t>
      </w:r>
      <w:r w:rsidR="00BC043C" w:rsidRPr="008B68A9">
        <w:t xml:space="preserve">resource </w:t>
      </w:r>
      <w:r w:rsidRPr="008B68A9">
        <w:t xml:space="preserve">allocation </w:t>
      </w:r>
      <w:r w:rsidR="008E536B" w:rsidRPr="008B68A9">
        <w:t>would</w:t>
      </w:r>
      <w:r w:rsidR="0060411D" w:rsidRPr="008B68A9">
        <w:t xml:space="preserve"> </w:t>
      </w:r>
      <w:r w:rsidRPr="008B68A9">
        <w:t>be based on need, rather than on existing service funding.</w:t>
      </w:r>
      <w:r w:rsidR="00415741" w:rsidRPr="008B68A9">
        <w:t xml:space="preserve"> </w:t>
      </w:r>
      <w:r w:rsidRPr="008B68A9">
        <w:t>Therefore an individual</w:t>
      </w:r>
      <w:r w:rsidR="00284A8B" w:rsidRPr="008B68A9">
        <w:t xml:space="preserve"> will</w:t>
      </w:r>
      <w:r w:rsidRPr="008B68A9">
        <w:t xml:space="preserve"> receive an allocation that more closely</w:t>
      </w:r>
      <w:r w:rsidR="00080C7B" w:rsidRPr="008B68A9">
        <w:t>,</w:t>
      </w:r>
      <w:r w:rsidRPr="008B68A9">
        <w:t xml:space="preserve"> </w:t>
      </w:r>
      <w:r w:rsidR="00284A8B" w:rsidRPr="008B68A9">
        <w:t>reflects</w:t>
      </w:r>
      <w:r w:rsidR="00800693" w:rsidRPr="008B68A9">
        <w:t xml:space="preserve"> need </w:t>
      </w:r>
      <w:r w:rsidRPr="008B68A9">
        <w:t>rather than</w:t>
      </w:r>
      <w:r w:rsidR="00284A8B" w:rsidRPr="008B68A9">
        <w:t xml:space="preserve"> previous</w:t>
      </w:r>
      <w:r w:rsidRPr="008B68A9">
        <w:t xml:space="preserve"> </w:t>
      </w:r>
      <w:r w:rsidR="00284A8B" w:rsidRPr="008B68A9">
        <w:t>funding</w:t>
      </w:r>
      <w:r w:rsidR="00800693" w:rsidRPr="008B68A9">
        <w:t xml:space="preserve"> </w:t>
      </w:r>
      <w:r w:rsidRPr="008B68A9">
        <w:t>(</w:t>
      </w:r>
      <w:r w:rsidR="00C753A6" w:rsidRPr="008B68A9">
        <w:t xml:space="preserve">Hatton </w:t>
      </w:r>
      <w:r w:rsidR="00C753A6" w:rsidRPr="008B68A9">
        <w:rPr>
          <w:i/>
        </w:rPr>
        <w:t>et</w:t>
      </w:r>
      <w:r w:rsidR="00C753A6" w:rsidRPr="008B68A9">
        <w:t xml:space="preserve"> </w:t>
      </w:r>
      <w:r w:rsidR="00C753A6" w:rsidRPr="008B68A9">
        <w:rPr>
          <w:i/>
        </w:rPr>
        <w:t>al</w:t>
      </w:r>
      <w:r w:rsidR="000C6E12" w:rsidRPr="008B68A9">
        <w:rPr>
          <w:i/>
        </w:rPr>
        <w:t xml:space="preserve">. </w:t>
      </w:r>
      <w:r w:rsidRPr="008B68A9">
        <w:t>2007).</w:t>
      </w:r>
      <w:r w:rsidR="00415741" w:rsidRPr="008B68A9">
        <w:t xml:space="preserve"> </w:t>
      </w:r>
      <w:r w:rsidR="00A8699F" w:rsidRPr="008B68A9">
        <w:t xml:space="preserve">In the context of personalisation </w:t>
      </w:r>
      <w:r w:rsidR="001177E9" w:rsidRPr="008B68A9">
        <w:t xml:space="preserve">policy the appeal of In Control </w:t>
      </w:r>
      <w:r w:rsidR="00A8699F" w:rsidRPr="008B68A9">
        <w:t>to the government</w:t>
      </w:r>
      <w:r w:rsidR="00080C7B" w:rsidRPr="008B68A9">
        <w:t xml:space="preserve"> –</w:t>
      </w:r>
      <w:r w:rsidR="00284A8B" w:rsidRPr="008B68A9">
        <w:t xml:space="preserve">functioning to </w:t>
      </w:r>
      <w:r w:rsidR="00A8699F" w:rsidRPr="008B68A9">
        <w:t>disrupt established ways of working</w:t>
      </w:r>
      <w:r w:rsidR="00F96D91" w:rsidRPr="008B68A9">
        <w:t xml:space="preserve"> through competition and new markets</w:t>
      </w:r>
      <w:r w:rsidR="00A8699F" w:rsidRPr="008B68A9">
        <w:t xml:space="preserve"> </w:t>
      </w:r>
      <w:r w:rsidR="00080C7B" w:rsidRPr="008B68A9">
        <w:t xml:space="preserve">– </w:t>
      </w:r>
      <w:r w:rsidR="00A8699F" w:rsidRPr="008B68A9">
        <w:t>was strong</w:t>
      </w:r>
      <w:r w:rsidR="001177E9" w:rsidRPr="008B68A9">
        <w:t xml:space="preserve"> (Power 2013)</w:t>
      </w:r>
      <w:r w:rsidR="00080C7B" w:rsidRPr="008B68A9">
        <w:t>;</w:t>
      </w:r>
      <w:r w:rsidR="001177E9" w:rsidRPr="008B68A9">
        <w:t xml:space="preserve"> as well as </w:t>
      </w:r>
      <w:r w:rsidR="00284A8B" w:rsidRPr="008B68A9">
        <w:t>serving to respond</w:t>
      </w:r>
      <w:r w:rsidR="001177E9" w:rsidRPr="008B68A9">
        <w:t xml:space="preserve"> to user-led calls for greater power repre</w:t>
      </w:r>
      <w:r w:rsidR="00F96D91" w:rsidRPr="008B68A9">
        <w:t>se</w:t>
      </w:r>
      <w:r w:rsidR="001177E9" w:rsidRPr="008B68A9">
        <w:t>nted a</w:t>
      </w:r>
      <w:r w:rsidR="00F96D91" w:rsidRPr="008B68A9">
        <w:t xml:space="preserve"> powerful narrative (Needham 2011b).</w:t>
      </w:r>
    </w:p>
    <w:p w14:paraId="633F842B" w14:textId="77777777" w:rsidR="00E53180" w:rsidRPr="008B68A9" w:rsidRDefault="00E53180" w:rsidP="002F0FD7">
      <w:pPr>
        <w:pStyle w:val="5arangedleft"/>
      </w:pPr>
    </w:p>
    <w:p w14:paraId="7A5E6FA7" w14:textId="3BAA9E43" w:rsidR="0060088B" w:rsidRPr="008B68A9" w:rsidRDefault="0060088B" w:rsidP="002F0FD7">
      <w:pPr>
        <w:pStyle w:val="5arangedleft"/>
      </w:pPr>
      <w:r w:rsidRPr="008B68A9">
        <w:lastRenderedPageBreak/>
        <w:t xml:space="preserve">Using person-centred thinking tools (Sanderson </w:t>
      </w:r>
      <w:r w:rsidR="00C753A6" w:rsidRPr="008B68A9">
        <w:t>2000</w:t>
      </w:r>
      <w:r w:rsidRPr="008B68A9">
        <w:t xml:space="preserve">) and </w:t>
      </w:r>
      <w:r w:rsidR="004974DA" w:rsidRPr="008B68A9">
        <w:t xml:space="preserve">principles of </w:t>
      </w:r>
      <w:r w:rsidRPr="008B68A9">
        <w:t>keys to citizenship (Duffy 20</w:t>
      </w:r>
      <w:r w:rsidR="00CA0A87" w:rsidRPr="008B68A9">
        <w:t>06a</w:t>
      </w:r>
      <w:r w:rsidRPr="008B68A9">
        <w:t xml:space="preserve">), </w:t>
      </w:r>
      <w:r w:rsidR="004974DA" w:rsidRPr="008B68A9">
        <w:t xml:space="preserve">support </w:t>
      </w:r>
      <w:r w:rsidRPr="008B68A9">
        <w:t>planning process places the individual at the centre.</w:t>
      </w:r>
      <w:r w:rsidR="00415741" w:rsidRPr="008B68A9">
        <w:t xml:space="preserve"> </w:t>
      </w:r>
      <w:r w:rsidRPr="008B68A9">
        <w:t>Planning involves identifying outcomes to be achieved which might differ greatly from traditional services aims.</w:t>
      </w:r>
      <w:r w:rsidR="00415741" w:rsidRPr="008B68A9">
        <w:t xml:space="preserve"> </w:t>
      </w:r>
      <w:r w:rsidRPr="008B68A9">
        <w:t>Outcomes written by and for the person often bypass service boundaries</w:t>
      </w:r>
      <w:r w:rsidR="004974DA" w:rsidRPr="008B68A9">
        <w:t>,</w:t>
      </w:r>
      <w:r w:rsidRPr="008B68A9">
        <w:t xml:space="preserve"> instead harnessing what is available in the person’s community</w:t>
      </w:r>
      <w:r w:rsidR="00284A8B" w:rsidRPr="008B68A9">
        <w:t>,</w:t>
      </w:r>
      <w:r w:rsidR="004974DA" w:rsidRPr="008B68A9">
        <w:t xml:space="preserve"> </w:t>
      </w:r>
      <w:r w:rsidRPr="008B68A9">
        <w:t>m</w:t>
      </w:r>
      <w:r w:rsidR="00284A8B" w:rsidRPr="008B68A9">
        <w:t>anaged through a direct payment</w:t>
      </w:r>
      <w:r w:rsidRPr="008B68A9">
        <w:t xml:space="preserve"> third party or the existing service.</w:t>
      </w:r>
      <w:r w:rsidR="00415741" w:rsidRPr="008B68A9">
        <w:t xml:space="preserve"> </w:t>
      </w:r>
      <w:r w:rsidR="005968B2" w:rsidRPr="008B68A9">
        <w:t xml:space="preserve">Duffy (2005) suggests traditional approaches to resource </w:t>
      </w:r>
      <w:r w:rsidRPr="008B68A9">
        <w:t>allocation were inherently unfair</w:t>
      </w:r>
      <w:r w:rsidR="004974DA" w:rsidRPr="008B68A9">
        <w:t>,</w:t>
      </w:r>
      <w:r w:rsidRPr="008B68A9">
        <w:t xml:space="preserve"> and</w:t>
      </w:r>
      <w:r w:rsidR="005968B2" w:rsidRPr="008B68A9">
        <w:t xml:space="preserve"> instead</w:t>
      </w:r>
      <w:r w:rsidRPr="008B68A9">
        <w:t xml:space="preserve"> should be </w:t>
      </w:r>
      <w:r w:rsidR="005968B2" w:rsidRPr="008B68A9">
        <w:t>distributed</w:t>
      </w:r>
      <w:r w:rsidRPr="008B68A9">
        <w:t xml:space="preserve"> in a spirit of equ</w:t>
      </w:r>
      <w:r w:rsidR="00EB78CA" w:rsidRPr="008B68A9">
        <w:t>ality and fairness</w:t>
      </w:r>
      <w:r w:rsidRPr="008B68A9">
        <w:t xml:space="preserve">, although </w:t>
      </w:r>
      <w:r w:rsidR="005968B2" w:rsidRPr="008B68A9">
        <w:t>his</w:t>
      </w:r>
      <w:r w:rsidRPr="008B68A9">
        <w:t xml:space="preserve"> RAS has been subject to multiple iterations and to some </w:t>
      </w:r>
      <w:r w:rsidR="005968B2" w:rsidRPr="008B68A9">
        <w:t xml:space="preserve">results in </w:t>
      </w:r>
      <w:r w:rsidRPr="008B68A9">
        <w:t>undue complexity and bureaucratisation (Series 2014)</w:t>
      </w:r>
      <w:r w:rsidR="00284A8B" w:rsidRPr="008B68A9">
        <w:t xml:space="preserve"> and he has subsequently apologised for some of the iterations of RAS</w:t>
      </w:r>
      <w:r w:rsidR="00EC7416" w:rsidRPr="008B68A9">
        <w:t xml:space="preserve"> (Duffy 2012)</w:t>
      </w:r>
      <w:r w:rsidRPr="008B68A9">
        <w:t>.</w:t>
      </w:r>
    </w:p>
    <w:p w14:paraId="13EE451E" w14:textId="20CDC397" w:rsidR="00520401" w:rsidRPr="008B68A9" w:rsidRDefault="00036C8C" w:rsidP="002F0FD7">
      <w:pPr>
        <w:pStyle w:val="5arangedleft"/>
      </w:pPr>
      <w:r w:rsidRPr="008B68A9">
        <w:t xml:space="preserve">Up until now this chapter has focused on the develop of personalisation in social care public services, however personalisation in </w:t>
      </w:r>
      <w:r w:rsidR="00F84749" w:rsidRPr="008B68A9">
        <w:t xml:space="preserve">through individual </w:t>
      </w:r>
      <w:r w:rsidRPr="008B68A9">
        <w:t xml:space="preserve">health </w:t>
      </w:r>
      <w:r w:rsidR="00F84749" w:rsidRPr="008B68A9">
        <w:t xml:space="preserve">budgets </w:t>
      </w:r>
      <w:r w:rsidRPr="008B68A9">
        <w:t xml:space="preserve">for the National Health Service </w:t>
      </w:r>
      <w:r w:rsidR="00F84749" w:rsidRPr="008B68A9">
        <w:t>has been advocated f</w:t>
      </w:r>
      <w:r w:rsidRPr="008B68A9">
        <w:t>or many years (Alakeson 2008</w:t>
      </w:r>
      <w:r w:rsidR="003C3871" w:rsidRPr="008B68A9">
        <w:t>).</w:t>
      </w:r>
      <w:r w:rsidR="00F84749" w:rsidRPr="008B68A9">
        <w:t xml:space="preserve"> </w:t>
      </w:r>
      <w:r w:rsidR="003C3871" w:rsidRPr="008B68A9">
        <w:t>A</w:t>
      </w:r>
      <w:r w:rsidR="00F84749" w:rsidRPr="008B68A9">
        <w:t xml:space="preserve"> number of initiatives </w:t>
      </w:r>
      <w:r w:rsidR="00653BE8" w:rsidRPr="008B68A9">
        <w:t xml:space="preserve">increasing the </w:t>
      </w:r>
      <w:r w:rsidR="003C3871" w:rsidRPr="008B68A9">
        <w:t xml:space="preserve">choice and control and </w:t>
      </w:r>
      <w:r w:rsidR="00653BE8" w:rsidRPr="008B68A9">
        <w:t>influence</w:t>
      </w:r>
      <w:r w:rsidR="00F84749" w:rsidRPr="008B68A9">
        <w:t xml:space="preserve"> </w:t>
      </w:r>
      <w:r w:rsidR="00B4473A" w:rsidRPr="008B68A9">
        <w:t xml:space="preserve">of </w:t>
      </w:r>
      <w:r w:rsidR="00D07F42" w:rsidRPr="008B68A9">
        <w:t>patient</w:t>
      </w:r>
      <w:r w:rsidR="00653BE8" w:rsidRPr="008B68A9">
        <w:t>s</w:t>
      </w:r>
      <w:r w:rsidR="00F84749" w:rsidRPr="008B68A9">
        <w:t xml:space="preserve"> </w:t>
      </w:r>
      <w:r w:rsidR="009F04A5" w:rsidRPr="008B68A9">
        <w:t xml:space="preserve">in the NHS </w:t>
      </w:r>
      <w:r w:rsidR="003C3871" w:rsidRPr="008B68A9">
        <w:t xml:space="preserve">have been trialled, such as </w:t>
      </w:r>
      <w:r w:rsidR="00F84749" w:rsidRPr="008B68A9">
        <w:t>The Expert Patient Scheme</w:t>
      </w:r>
      <w:r w:rsidR="009F04A5" w:rsidRPr="008B68A9">
        <w:t xml:space="preserve"> </w:t>
      </w:r>
      <w:r w:rsidR="00F84749" w:rsidRPr="008B68A9">
        <w:t xml:space="preserve">(2003), the year of </w:t>
      </w:r>
      <w:r w:rsidR="00EB1F47" w:rsidRPr="008B68A9">
        <w:t>h</w:t>
      </w:r>
      <w:r w:rsidR="00F84749" w:rsidRPr="008B68A9">
        <w:t xml:space="preserve">ealth </w:t>
      </w:r>
      <w:r w:rsidR="00B4473A" w:rsidRPr="008B68A9">
        <w:t xml:space="preserve">for people with diabetes </w:t>
      </w:r>
      <w:r w:rsidR="00F84749" w:rsidRPr="008B68A9">
        <w:t xml:space="preserve">(2007), </w:t>
      </w:r>
      <w:r w:rsidR="00EB1F47" w:rsidRPr="008B68A9">
        <w:t>the c</w:t>
      </w:r>
      <w:r w:rsidR="00F84749" w:rsidRPr="008B68A9">
        <w:t xml:space="preserve">o-creating health </w:t>
      </w:r>
      <w:r w:rsidR="00D07F42" w:rsidRPr="008B68A9">
        <w:t>demonstration</w:t>
      </w:r>
      <w:r w:rsidR="00415741" w:rsidRPr="008B68A9">
        <w:t xml:space="preserve"> </w:t>
      </w:r>
      <w:r w:rsidR="00F84749" w:rsidRPr="008B68A9">
        <w:t xml:space="preserve">programme (2007-12) and </w:t>
      </w:r>
      <w:r w:rsidR="00EB1F47" w:rsidRPr="008B68A9">
        <w:t>p</w:t>
      </w:r>
      <w:r w:rsidR="00F84749" w:rsidRPr="008B68A9">
        <w:t xml:space="preserve">eople-powered </w:t>
      </w:r>
      <w:r w:rsidR="00EB1F47" w:rsidRPr="008B68A9">
        <w:t>h</w:t>
      </w:r>
      <w:r w:rsidR="00F84749" w:rsidRPr="008B68A9">
        <w:t>ealth programme</w:t>
      </w:r>
      <w:r w:rsidR="00EB1F47" w:rsidRPr="008B68A9">
        <w:t xml:space="preserve"> </w:t>
      </w:r>
      <w:r w:rsidR="00F84749" w:rsidRPr="008B68A9">
        <w:t>(2011-12)</w:t>
      </w:r>
      <w:r w:rsidR="003C3871" w:rsidRPr="008B68A9">
        <w:t>.</w:t>
      </w:r>
      <w:r w:rsidR="00F84749" w:rsidRPr="008B68A9">
        <w:t xml:space="preserve"> </w:t>
      </w:r>
      <w:r w:rsidR="003C3871" w:rsidRPr="008B68A9">
        <w:t xml:space="preserve">All </w:t>
      </w:r>
      <w:r w:rsidR="00F84749" w:rsidRPr="008B68A9">
        <w:t>have been cited by Alakeson (2013</w:t>
      </w:r>
      <w:r w:rsidR="00C753A6" w:rsidRPr="008B68A9">
        <w:t>a</w:t>
      </w:r>
      <w:r w:rsidR="00F84749" w:rsidRPr="008B68A9">
        <w:t>) as ways the voice of patients within English health services could be enhanced.</w:t>
      </w:r>
      <w:r w:rsidR="00415741" w:rsidRPr="008B68A9">
        <w:t xml:space="preserve"> </w:t>
      </w:r>
      <w:r w:rsidR="00653BE8" w:rsidRPr="008B68A9">
        <w:t>It was perhaps inevitable that personalisation</w:t>
      </w:r>
      <w:r w:rsidR="003C3871" w:rsidRPr="008B68A9">
        <w:t xml:space="preserve"> would</w:t>
      </w:r>
      <w:r w:rsidR="00653BE8" w:rsidRPr="008B68A9">
        <w:t xml:space="preserve"> extend into health services given the enthusiastic support for greater competition and citizen involvement from the Labour government (Needham 2009). </w:t>
      </w:r>
      <w:r w:rsidR="003C3871" w:rsidRPr="008B68A9">
        <w:t>The trend arguably began with</w:t>
      </w:r>
      <w:r w:rsidR="005F6BC1" w:rsidRPr="008B68A9">
        <w:t xml:space="preserve"> </w:t>
      </w:r>
      <w:r w:rsidR="00F84749" w:rsidRPr="008B68A9">
        <w:t xml:space="preserve">Lord </w:t>
      </w:r>
      <w:r w:rsidR="005F6BC1" w:rsidRPr="008B68A9">
        <w:t>Da</w:t>
      </w:r>
      <w:r w:rsidR="007E7C29" w:rsidRPr="008B68A9">
        <w:t>r</w:t>
      </w:r>
      <w:r w:rsidR="005F6BC1" w:rsidRPr="008B68A9">
        <w:t>zi</w:t>
      </w:r>
      <w:r w:rsidR="003C3871" w:rsidRPr="008B68A9">
        <w:t>’s</w:t>
      </w:r>
      <w:r w:rsidR="005F6BC1" w:rsidRPr="008B68A9">
        <w:t xml:space="preserve"> (200</w:t>
      </w:r>
      <w:r w:rsidR="007E7C29" w:rsidRPr="008B68A9">
        <w:t>8</w:t>
      </w:r>
      <w:r w:rsidR="005F6BC1" w:rsidRPr="008B68A9">
        <w:t xml:space="preserve">) </w:t>
      </w:r>
      <w:r w:rsidR="003C3871" w:rsidRPr="008B68A9">
        <w:t xml:space="preserve">pronouncement of the hand of competition </w:t>
      </w:r>
      <w:r w:rsidR="005F6BC1" w:rsidRPr="008B68A9">
        <w:t xml:space="preserve">and the </w:t>
      </w:r>
      <w:r w:rsidR="003C3871" w:rsidRPr="008B68A9">
        <w:t xml:space="preserve">subsequent </w:t>
      </w:r>
      <w:r w:rsidR="00B546BE" w:rsidRPr="008B68A9">
        <w:t>DH</w:t>
      </w:r>
      <w:r w:rsidR="005F6BC1" w:rsidRPr="008B68A9">
        <w:t xml:space="preserve"> </w:t>
      </w:r>
      <w:r w:rsidR="003C3871" w:rsidRPr="008B68A9">
        <w:t xml:space="preserve">personal health budgets </w:t>
      </w:r>
      <w:r w:rsidR="005F6BC1" w:rsidRPr="008B68A9">
        <w:t xml:space="preserve">study (Forder </w:t>
      </w:r>
      <w:r w:rsidR="00AC06A3" w:rsidRPr="008B68A9">
        <w:rPr>
          <w:i/>
        </w:rPr>
        <w:t>et al.</w:t>
      </w:r>
      <w:r w:rsidR="003C3871" w:rsidRPr="008B68A9">
        <w:t xml:space="preserve"> 2012)</w:t>
      </w:r>
      <w:r w:rsidR="005F6BC1" w:rsidRPr="008B68A9">
        <w:t xml:space="preserve"> the issue of widening personalisation into health care has been a part </w:t>
      </w:r>
      <w:r w:rsidR="00EB1F47" w:rsidRPr="008B68A9">
        <w:t xml:space="preserve">of </w:t>
      </w:r>
      <w:r w:rsidR="005F6BC1" w:rsidRPr="008B68A9">
        <w:t>government policy.</w:t>
      </w:r>
      <w:r w:rsidR="00F84749" w:rsidRPr="008B68A9">
        <w:t xml:space="preserve"> </w:t>
      </w:r>
      <w:r w:rsidR="005F6BC1" w:rsidRPr="008B68A9">
        <w:t xml:space="preserve">For many people </w:t>
      </w:r>
      <w:r w:rsidR="00F84749" w:rsidRPr="008B68A9">
        <w:t>with</w:t>
      </w:r>
      <w:r w:rsidR="005F6BC1" w:rsidRPr="008B68A9">
        <w:t xml:space="preserve"> long term </w:t>
      </w:r>
      <w:r w:rsidR="00F84749" w:rsidRPr="008B68A9">
        <w:t>care need</w:t>
      </w:r>
      <w:r w:rsidR="00EB1F47" w:rsidRPr="008B68A9">
        <w:t>s</w:t>
      </w:r>
      <w:r w:rsidR="00F84749" w:rsidRPr="008B68A9">
        <w:t xml:space="preserve"> which</w:t>
      </w:r>
      <w:r w:rsidR="005F6BC1" w:rsidRPr="008B68A9">
        <w:t xml:space="preserve"> intersect traditional care boundaries, individual health budgets offer</w:t>
      </w:r>
      <w:r w:rsidR="003C3871" w:rsidRPr="008B68A9">
        <w:t>ed</w:t>
      </w:r>
      <w:r w:rsidR="005F6BC1" w:rsidRPr="008B68A9">
        <w:t xml:space="preserve"> a strategy </w:t>
      </w:r>
      <w:r w:rsidR="003C3871" w:rsidRPr="008B68A9">
        <w:t>of</w:t>
      </w:r>
      <w:r w:rsidR="00B4473A" w:rsidRPr="008B68A9">
        <w:t xml:space="preserve"> </w:t>
      </w:r>
      <w:r w:rsidR="005F6BC1" w:rsidRPr="008B68A9">
        <w:t>providing cost</w:t>
      </w:r>
      <w:r w:rsidR="00EB1F47" w:rsidRPr="008B68A9">
        <w:t>-</w:t>
      </w:r>
      <w:r w:rsidR="005F6BC1" w:rsidRPr="008B68A9">
        <w:t>effective, individually tailored care (Forder 2012)</w:t>
      </w:r>
      <w:r w:rsidR="003C3871" w:rsidRPr="008B68A9">
        <w:t xml:space="preserve"> where the user’s voice was central</w:t>
      </w:r>
      <w:r w:rsidR="005F6BC1" w:rsidRPr="008B68A9">
        <w:t>.</w:t>
      </w:r>
      <w:r w:rsidR="00415741" w:rsidRPr="008B68A9">
        <w:t xml:space="preserve"> </w:t>
      </w:r>
    </w:p>
    <w:p w14:paraId="36DE55A8" w14:textId="25DC3258" w:rsidR="005F6BC1" w:rsidRPr="008B68A9" w:rsidRDefault="005F6BC1" w:rsidP="002F0FD7">
      <w:pPr>
        <w:pStyle w:val="5arangedleft"/>
      </w:pPr>
      <w:r w:rsidRPr="008B68A9">
        <w:t>A personal health budget is in many ways the same as a</w:t>
      </w:r>
      <w:r w:rsidR="003F0D61" w:rsidRPr="008B68A9">
        <w:t xml:space="preserve"> social care </w:t>
      </w:r>
      <w:r w:rsidRPr="008B68A9">
        <w:t>pers</w:t>
      </w:r>
      <w:r w:rsidR="00F84749" w:rsidRPr="008B68A9">
        <w:t>onal budget</w:t>
      </w:r>
      <w:r w:rsidR="00B4473A" w:rsidRPr="008B68A9">
        <w:t>;</w:t>
      </w:r>
      <w:r w:rsidR="00F84749" w:rsidRPr="008B68A9">
        <w:t xml:space="preserve"> h</w:t>
      </w:r>
      <w:r w:rsidRPr="008B68A9">
        <w:t>owever</w:t>
      </w:r>
      <w:r w:rsidR="00B4473A" w:rsidRPr="008B68A9">
        <w:t>,</w:t>
      </w:r>
      <w:r w:rsidRPr="008B68A9">
        <w:t xml:space="preserve"> its definition and meaning </w:t>
      </w:r>
      <w:r w:rsidR="00B4473A" w:rsidRPr="008B68A9">
        <w:t xml:space="preserve">are </w:t>
      </w:r>
      <w:r w:rsidRPr="008B68A9">
        <w:t>specific</w:t>
      </w:r>
      <w:r w:rsidR="00B4473A" w:rsidRPr="008B68A9">
        <w:t>,</w:t>
      </w:r>
      <w:r w:rsidRPr="008B68A9">
        <w:t xml:space="preserve"> and </w:t>
      </w:r>
      <w:r w:rsidR="009B466F" w:rsidRPr="008B68A9">
        <w:t>defined</w:t>
      </w:r>
      <w:r w:rsidRPr="008B68A9">
        <w:t xml:space="preserve"> by Alakeson (2013) as: </w:t>
      </w:r>
      <w:r w:rsidR="00520C33" w:rsidRPr="008B68A9">
        <w:t>“</w:t>
      </w:r>
      <w:r w:rsidRPr="008B68A9">
        <w:t xml:space="preserve">The term personal health budget is only used in the context of the NHS, and </w:t>
      </w:r>
      <w:r w:rsidRPr="008B68A9">
        <w:lastRenderedPageBreak/>
        <w:t>personal budget is used in the context of UK social care as that is the commo</w:t>
      </w:r>
      <w:r w:rsidR="0099489B" w:rsidRPr="008B68A9">
        <w:t>nly used term in that field</w:t>
      </w:r>
      <w:r w:rsidR="00520C33" w:rsidRPr="008B68A9">
        <w:t>”</w:t>
      </w:r>
      <w:r w:rsidR="00315460" w:rsidRPr="008B68A9">
        <w:t xml:space="preserve"> (</w:t>
      </w:r>
      <w:r w:rsidRPr="008B68A9">
        <w:t>p</w:t>
      </w:r>
      <w:r w:rsidR="00B4473A" w:rsidRPr="008B68A9">
        <w:t>p</w:t>
      </w:r>
      <w:r w:rsidRPr="008B68A9">
        <w:t>.</w:t>
      </w:r>
      <w:r w:rsidR="00315460" w:rsidRPr="008B68A9">
        <w:t xml:space="preserve"> </w:t>
      </w:r>
      <w:r w:rsidRPr="008B68A9">
        <w:t>9-10).</w:t>
      </w:r>
      <w:r w:rsidR="00415741" w:rsidRPr="008B68A9">
        <w:t xml:space="preserve"> </w:t>
      </w:r>
      <w:r w:rsidR="00B1326A" w:rsidRPr="008B68A9">
        <w:t xml:space="preserve">The possibilities offered by personal budgets to health service users were identified </w:t>
      </w:r>
      <w:r w:rsidR="00E7221D" w:rsidRPr="008B68A9">
        <w:t>by Alakeson and Duffy (2011), who suggested that in addition</w:t>
      </w:r>
      <w:r w:rsidR="00520C33" w:rsidRPr="008B68A9">
        <w:t xml:space="preserve"> to</w:t>
      </w:r>
      <w:r w:rsidR="00E7221D" w:rsidRPr="008B68A9">
        <w:t xml:space="preserve"> more choice and integrated services for a range of health service users, personal health budgets in mental health might save some of the £22b spent through cheaper alternatives.</w:t>
      </w:r>
      <w:r w:rsidR="00B1326A" w:rsidRPr="008B68A9">
        <w:t xml:space="preserve"> </w:t>
      </w:r>
      <w:r w:rsidR="00AD3DD7" w:rsidRPr="008B68A9">
        <w:t xml:space="preserve">The drive to incorporate personalisation into health services was </w:t>
      </w:r>
      <w:r w:rsidR="00800693" w:rsidRPr="008B68A9">
        <w:t>reinforced</w:t>
      </w:r>
      <w:r w:rsidR="00AD3DD7" w:rsidRPr="008B68A9">
        <w:t xml:space="preserve"> by the announcement that personal health budgets form</w:t>
      </w:r>
      <w:r w:rsidR="0060411D" w:rsidRPr="008B68A9">
        <w:t>ed</w:t>
      </w:r>
      <w:r w:rsidR="00AD3DD7" w:rsidRPr="008B68A9">
        <w:t xml:space="preserve"> part of the policy framework before the final results of the </w:t>
      </w:r>
      <w:r w:rsidR="00CE6D4D" w:rsidRPr="008B68A9">
        <w:t>personal health budget report</w:t>
      </w:r>
      <w:r w:rsidR="00520C33" w:rsidRPr="008B68A9">
        <w:t xml:space="preserve"> were announced</w:t>
      </w:r>
      <w:r w:rsidR="00CE6D4D" w:rsidRPr="008B68A9">
        <w:t xml:space="preserve"> (Forder </w:t>
      </w:r>
      <w:r w:rsidR="00AC06A3" w:rsidRPr="008B68A9">
        <w:rPr>
          <w:i/>
        </w:rPr>
        <w:t>et al.</w:t>
      </w:r>
      <w:r w:rsidR="00CE6D4D" w:rsidRPr="008B68A9">
        <w:t xml:space="preserve"> 2012).</w:t>
      </w:r>
      <w:r w:rsidR="00415741" w:rsidRPr="008B68A9">
        <w:t xml:space="preserve"> </w:t>
      </w:r>
      <w:r w:rsidR="00CE6D4D" w:rsidRPr="008B68A9">
        <w:t>Personal budgets in the NHS are becoming more common</w:t>
      </w:r>
      <w:r w:rsidR="00CA3E65" w:rsidRPr="008B68A9">
        <w:t>,</w:t>
      </w:r>
      <w:r w:rsidR="00CE6D4D" w:rsidRPr="008B68A9">
        <w:t xml:space="preserve"> addressing areas </w:t>
      </w:r>
      <w:r w:rsidR="00520C33" w:rsidRPr="008B68A9">
        <w:t xml:space="preserve">including </w:t>
      </w:r>
      <w:r w:rsidR="00CE6D4D" w:rsidRPr="008B68A9">
        <w:t>individual personal commissioning (Bennet</w:t>
      </w:r>
      <w:r w:rsidR="00A12186" w:rsidRPr="008B68A9">
        <w:t>t</w:t>
      </w:r>
      <w:r w:rsidR="00CE6D4D" w:rsidRPr="008B68A9">
        <w:t xml:space="preserve"> 2014)</w:t>
      </w:r>
      <w:r w:rsidR="00FB172C" w:rsidRPr="008B68A9">
        <w:t xml:space="preserve"> and even maternity services</w:t>
      </w:r>
      <w:r w:rsidR="00CE6D4D" w:rsidRPr="008B68A9">
        <w:t>.</w:t>
      </w:r>
      <w:r w:rsidR="00AD3DD7" w:rsidRPr="008B68A9">
        <w:t xml:space="preserve"> </w:t>
      </w:r>
    </w:p>
    <w:p w14:paraId="41D24092" w14:textId="016A61A0" w:rsidR="00B6136F" w:rsidRPr="008B68A9" w:rsidRDefault="005F6BC1" w:rsidP="002F0FD7">
      <w:pPr>
        <w:pStyle w:val="5arangedleft"/>
      </w:pPr>
      <w:r w:rsidRPr="008B68A9">
        <w:t xml:space="preserve">Alakeson (2008) called for the purse strings to be </w:t>
      </w:r>
      <w:r w:rsidR="00315460" w:rsidRPr="008B68A9">
        <w:t>held</w:t>
      </w:r>
      <w:r w:rsidRPr="008B68A9">
        <w:t xml:space="preserve"> by health service</w:t>
      </w:r>
      <w:r w:rsidR="00315460" w:rsidRPr="008B68A9">
        <w:t xml:space="preserve"> user</w:t>
      </w:r>
      <w:r w:rsidRPr="008B68A9">
        <w:t>s,</w:t>
      </w:r>
      <w:r w:rsidR="00315460" w:rsidRPr="008B68A9">
        <w:t xml:space="preserve"> and to </w:t>
      </w:r>
      <w:r w:rsidR="00F669B2" w:rsidRPr="008B68A9">
        <w:t xml:space="preserve">further </w:t>
      </w:r>
      <w:r w:rsidR="00315460" w:rsidRPr="008B68A9">
        <w:t>challenge</w:t>
      </w:r>
      <w:r w:rsidRPr="008B68A9">
        <w:t xml:space="preserve"> traditional service silos </w:t>
      </w:r>
      <w:r w:rsidR="00F669B2" w:rsidRPr="008B68A9">
        <w:t>where</w:t>
      </w:r>
      <w:r w:rsidRPr="008B68A9">
        <w:t xml:space="preserve"> </w:t>
      </w:r>
      <w:r w:rsidR="00315460" w:rsidRPr="008B68A9">
        <w:t>budget users</w:t>
      </w:r>
      <w:r w:rsidRPr="008B68A9">
        <w:t xml:space="preserve"> </w:t>
      </w:r>
      <w:r w:rsidR="00F669B2" w:rsidRPr="008B68A9">
        <w:t>act in a role</w:t>
      </w:r>
      <w:r w:rsidR="00315460" w:rsidRPr="008B68A9">
        <w:t xml:space="preserve"> </w:t>
      </w:r>
      <w:r w:rsidR="00F669B2" w:rsidRPr="008B68A9">
        <w:t>of</w:t>
      </w:r>
      <w:r w:rsidR="00315460" w:rsidRPr="008B68A9">
        <w:t xml:space="preserve"> service integrators (Alakeson 2013</w:t>
      </w:r>
      <w:r w:rsidR="00A12186" w:rsidRPr="008B68A9">
        <w:t>b</w:t>
      </w:r>
      <w:r w:rsidR="00FB172C" w:rsidRPr="008B68A9">
        <w:t>)</w:t>
      </w:r>
      <w:r w:rsidRPr="008B68A9">
        <w:t>.</w:t>
      </w:r>
      <w:r w:rsidR="00415741" w:rsidRPr="008B68A9">
        <w:t xml:space="preserve"> </w:t>
      </w:r>
      <w:r w:rsidRPr="008B68A9">
        <w:t xml:space="preserve">The </w:t>
      </w:r>
      <w:r w:rsidR="00B546BE" w:rsidRPr="008B68A9">
        <w:t>DH</w:t>
      </w:r>
      <w:r w:rsidRPr="008B68A9">
        <w:t xml:space="preserve"> estimated that 70 percent of the NHS budget goes towards treatment of individuals with long term conditions (DH 2010a).</w:t>
      </w:r>
      <w:r w:rsidR="00415741" w:rsidRPr="008B68A9">
        <w:t xml:space="preserve"> </w:t>
      </w:r>
      <w:r w:rsidRPr="008B68A9">
        <w:t xml:space="preserve">By their nature, chronic </w:t>
      </w:r>
      <w:r w:rsidR="00CA7E9A" w:rsidRPr="008B68A9">
        <w:t>and</w:t>
      </w:r>
      <w:r w:rsidRPr="008B68A9">
        <w:t xml:space="preserve"> enduring conditions require day</w:t>
      </w:r>
      <w:r w:rsidR="00520C33" w:rsidRPr="008B68A9">
        <w:t>-</w:t>
      </w:r>
      <w:r w:rsidRPr="008B68A9">
        <w:t>to</w:t>
      </w:r>
      <w:r w:rsidR="00520C33" w:rsidRPr="008B68A9">
        <w:t>-</w:t>
      </w:r>
      <w:r w:rsidRPr="008B68A9">
        <w:t>day management and trea</w:t>
      </w:r>
      <w:r w:rsidR="00F669B2" w:rsidRPr="008B68A9">
        <w:t>tment (Alakeson and Rosen 2011) and much of this</w:t>
      </w:r>
      <w:r w:rsidRPr="008B68A9">
        <w:t xml:space="preserve"> care and support is managed, or at least undertaken</w:t>
      </w:r>
      <w:r w:rsidR="00520C33" w:rsidRPr="008B68A9">
        <w:t>,</w:t>
      </w:r>
      <w:r w:rsidR="00CA7E9A" w:rsidRPr="008B68A9">
        <w:t xml:space="preserve"> on a daily basis by families</w:t>
      </w:r>
      <w:r w:rsidR="00F669B2" w:rsidRPr="008B68A9">
        <w:t>.</w:t>
      </w:r>
      <w:r w:rsidR="00CA7E9A" w:rsidRPr="008B68A9">
        <w:t xml:space="preserve"> A</w:t>
      </w:r>
      <w:r w:rsidRPr="008B68A9">
        <w:t>lakeson and Coyle (</w:t>
      </w:r>
      <w:r w:rsidR="00A12186" w:rsidRPr="008B68A9">
        <w:t>2011a</w:t>
      </w:r>
      <w:r w:rsidRPr="008B68A9">
        <w:t xml:space="preserve">) make the point that because </w:t>
      </w:r>
      <w:r w:rsidR="00520C33" w:rsidRPr="008B68A9">
        <w:t>much</w:t>
      </w:r>
      <w:r w:rsidRPr="008B68A9">
        <w:t xml:space="preserve"> care</w:t>
      </w:r>
      <w:r w:rsidR="00520C33" w:rsidRPr="008B68A9">
        <w:t xml:space="preserve"> </w:t>
      </w:r>
      <w:r w:rsidRPr="008B68A9">
        <w:t xml:space="preserve">delivery </w:t>
      </w:r>
      <w:r w:rsidR="00520C33" w:rsidRPr="008B68A9">
        <w:t xml:space="preserve">falls </w:t>
      </w:r>
      <w:r w:rsidRPr="008B68A9">
        <w:t>on informal, unpaid care and support, there is greater pressure to ensure a coherent and coordinated approach between the services offered.</w:t>
      </w:r>
      <w:r w:rsidR="00415741" w:rsidRPr="008B68A9">
        <w:t xml:space="preserve"> </w:t>
      </w:r>
      <w:r w:rsidRPr="008B68A9">
        <w:t xml:space="preserve">Austerity and real cuts in budgets to health services in England </w:t>
      </w:r>
      <w:r w:rsidR="00C32360" w:rsidRPr="008B68A9">
        <w:t xml:space="preserve">may </w:t>
      </w:r>
      <w:r w:rsidRPr="008B68A9">
        <w:t>ha</w:t>
      </w:r>
      <w:r w:rsidR="00520C33" w:rsidRPr="008B68A9">
        <w:t>ve</w:t>
      </w:r>
      <w:r w:rsidRPr="008B68A9">
        <w:t xml:space="preserve"> </w:t>
      </w:r>
      <w:r w:rsidR="00F669B2" w:rsidRPr="008B68A9">
        <w:t>resulted in</w:t>
      </w:r>
      <w:r w:rsidRPr="008B68A9">
        <w:t xml:space="preserve"> the roles traditionally undertaken by professionals </w:t>
      </w:r>
      <w:r w:rsidR="00F669B2" w:rsidRPr="008B68A9">
        <w:t>be replace with user</w:t>
      </w:r>
      <w:r w:rsidRPr="008B68A9">
        <w:t xml:space="preserve"> self-reliance and carer</w:t>
      </w:r>
      <w:r w:rsidR="00AB0F10" w:rsidRPr="008B68A9">
        <w:t>-</w:t>
      </w:r>
      <w:r w:rsidRPr="008B68A9">
        <w:t>led se</w:t>
      </w:r>
      <w:r w:rsidR="00012E8E" w:rsidRPr="008B68A9">
        <w:t>rvices</w:t>
      </w:r>
      <w:r w:rsidR="00C32360" w:rsidRPr="008B68A9">
        <w:t xml:space="preserve">, and </w:t>
      </w:r>
      <w:r w:rsidR="00F669B2" w:rsidRPr="008B68A9">
        <w:t>whilst there is</w:t>
      </w:r>
      <w:r w:rsidR="00C32360" w:rsidRPr="008B68A9">
        <w:t xml:space="preserve"> no </w:t>
      </w:r>
      <w:r w:rsidR="00F669B2" w:rsidRPr="008B68A9">
        <w:t xml:space="preserve">empirical evidence to show this, </w:t>
      </w:r>
      <w:r w:rsidR="00C32360" w:rsidRPr="008B68A9">
        <w:t>the absence of services does not mean need for support diminishes</w:t>
      </w:r>
      <w:r w:rsidR="00012E8E" w:rsidRPr="008B68A9">
        <w:t>.</w:t>
      </w:r>
      <w:r w:rsidR="00415741" w:rsidRPr="008B68A9">
        <w:t xml:space="preserve"> </w:t>
      </w:r>
      <w:r w:rsidR="00012E8E" w:rsidRPr="008B68A9">
        <w:t xml:space="preserve">The potential </w:t>
      </w:r>
      <w:r w:rsidR="00F669B2" w:rsidRPr="008B68A9">
        <w:t xml:space="preserve">therefore </w:t>
      </w:r>
      <w:r w:rsidR="00012E8E" w:rsidRPr="008B68A9">
        <w:t>for the commodification of previously unpaid carer</w:t>
      </w:r>
      <w:r w:rsidR="00AB0F10" w:rsidRPr="008B68A9">
        <w:t>-</w:t>
      </w:r>
      <w:r w:rsidR="00012E8E" w:rsidRPr="008B68A9">
        <w:t>led work resulting from personalisation is discussed later in this chapter</w:t>
      </w:r>
      <w:r w:rsidR="00267A21" w:rsidRPr="008B68A9">
        <w:t>;</w:t>
      </w:r>
      <w:r w:rsidR="00012E8E" w:rsidRPr="008B68A9">
        <w:t xml:space="preserve"> but </w:t>
      </w:r>
      <w:r w:rsidR="00267A21" w:rsidRPr="008B68A9">
        <w:t>in the context of austerity,</w:t>
      </w:r>
      <w:r w:rsidR="00267A21" w:rsidRPr="008B68A9" w:rsidDel="00520C33">
        <w:t xml:space="preserve"> </w:t>
      </w:r>
      <w:r w:rsidR="00012E8E" w:rsidRPr="008B68A9">
        <w:t xml:space="preserve">the </w:t>
      </w:r>
      <w:r w:rsidR="009A3623" w:rsidRPr="008B68A9">
        <w:t>boundaries</w:t>
      </w:r>
      <w:r w:rsidR="00012E8E" w:rsidRPr="008B68A9">
        <w:t xml:space="preserve"> between paid and</w:t>
      </w:r>
      <w:r w:rsidR="009A3623" w:rsidRPr="008B68A9">
        <w:t xml:space="preserve"> unpaid carer-</w:t>
      </w:r>
      <w:r w:rsidR="00012E8E" w:rsidRPr="008B68A9">
        <w:t xml:space="preserve">led work </w:t>
      </w:r>
      <w:r w:rsidR="009A3623" w:rsidRPr="008B68A9">
        <w:t>resulting from personalisation is important.</w:t>
      </w:r>
    </w:p>
    <w:p w14:paraId="3A03FDF3" w14:textId="6024AE5B" w:rsidR="00202C89" w:rsidRPr="008B68A9" w:rsidRDefault="00E86AAF" w:rsidP="002F0FD7">
      <w:pPr>
        <w:pStyle w:val="5arangedleft"/>
      </w:pPr>
      <w:r w:rsidRPr="008B68A9">
        <w:t xml:space="preserve">Personalisation and the individualisation of health and social care have come to signify the drivers of a new rhetoric, seeking to change the relationship between the public and the services they access (Alakeson 2007, Bartlett </w:t>
      </w:r>
      <w:r w:rsidR="00AC06A3" w:rsidRPr="008B68A9">
        <w:rPr>
          <w:i/>
        </w:rPr>
        <w:t>et al.</w:t>
      </w:r>
      <w:r w:rsidRPr="008B68A9">
        <w:t xml:space="preserve"> 2009).</w:t>
      </w:r>
      <w:r w:rsidR="00415741" w:rsidRPr="008B68A9">
        <w:t xml:space="preserve"> </w:t>
      </w:r>
      <w:r w:rsidRPr="008B68A9">
        <w:t xml:space="preserve">Users </w:t>
      </w:r>
      <w:r w:rsidRPr="008B68A9">
        <w:lastRenderedPageBreak/>
        <w:t xml:space="preserve">are urged to become partners in their care, not just passive recipients but co-investors in their support, challenging </w:t>
      </w:r>
      <w:r w:rsidR="00FB257F" w:rsidRPr="008B68A9">
        <w:t xml:space="preserve">the </w:t>
      </w:r>
      <w:r w:rsidRPr="008B68A9">
        <w:t>traditional dominance of professional experts and users’ passiv</w:t>
      </w:r>
      <w:r w:rsidR="00FB257F" w:rsidRPr="008B68A9">
        <w:t>e</w:t>
      </w:r>
      <w:r w:rsidRPr="008B68A9">
        <w:t xml:space="preserve"> acceptance of services (Leadbeater and Lownsbrough 2005).</w:t>
      </w:r>
      <w:r w:rsidR="00415741" w:rsidRPr="008B68A9">
        <w:t xml:space="preserve"> </w:t>
      </w:r>
      <w:r w:rsidR="00D67841" w:rsidRPr="008B68A9">
        <w:t xml:space="preserve">Needham (2011b) identifies </w:t>
      </w:r>
      <w:r w:rsidR="00FB257F" w:rsidRPr="008B68A9">
        <w:t xml:space="preserve">that </w:t>
      </w:r>
      <w:r w:rsidR="00D67841" w:rsidRPr="008B68A9">
        <w:t>personalisation extends beyond social care and health</w:t>
      </w:r>
      <w:r w:rsidR="00FB257F" w:rsidRPr="008B68A9">
        <w:t>,</w:t>
      </w:r>
      <w:r w:rsidR="00D67841" w:rsidRPr="008B68A9">
        <w:t xml:space="preserve"> influencing education, housing, day service and probation service policy.</w:t>
      </w:r>
      <w:r w:rsidR="00415741" w:rsidRPr="008B68A9">
        <w:t xml:space="preserve"> </w:t>
      </w:r>
      <w:r w:rsidR="00FB257F" w:rsidRPr="008B68A9">
        <w:t xml:space="preserve">Its </w:t>
      </w:r>
      <w:r w:rsidR="00B226B8" w:rsidRPr="008B68A9">
        <w:t>ability to produce positive change, reduced cost and more involved citizenship has proved a compelling narrative</w:t>
      </w:r>
      <w:r w:rsidR="00FB257F" w:rsidRPr="008B68A9">
        <w:t>,</w:t>
      </w:r>
      <w:r w:rsidR="00B226B8" w:rsidRPr="008B68A9">
        <w:t xml:space="preserve"> and led to the belie</w:t>
      </w:r>
      <w:r w:rsidR="00FB257F" w:rsidRPr="008B68A9">
        <w:t>f</w:t>
      </w:r>
      <w:r w:rsidR="00B226B8" w:rsidRPr="008B68A9">
        <w:t xml:space="preserve"> in personalisation’s potential for universal application.</w:t>
      </w:r>
      <w:r w:rsidR="00415741" w:rsidRPr="008B68A9">
        <w:t xml:space="preserve"> </w:t>
      </w:r>
      <w:r w:rsidR="00B226B8" w:rsidRPr="008B68A9">
        <w:t xml:space="preserve">Only recently has an expectation that all social care for older people be provided through individual budgets </w:t>
      </w:r>
      <w:r w:rsidR="00FB257F" w:rsidRPr="008B68A9">
        <w:t xml:space="preserve">been </w:t>
      </w:r>
      <w:r w:rsidR="00B226B8" w:rsidRPr="008B68A9">
        <w:t>withdrawn (Norman Lamb 2014). The decision was taken</w:t>
      </w:r>
      <w:r w:rsidR="00FB257F" w:rsidRPr="008B68A9">
        <w:t xml:space="preserve"> in</w:t>
      </w:r>
      <w:r w:rsidR="00B226B8" w:rsidRPr="008B68A9">
        <w:t xml:space="preserve"> the light of growing concern and evidence </w:t>
      </w:r>
      <w:r w:rsidR="00FB257F" w:rsidRPr="008B68A9">
        <w:t xml:space="preserve">that </w:t>
      </w:r>
      <w:r w:rsidR="00B226B8" w:rsidRPr="008B68A9">
        <w:t xml:space="preserve">personal budgets for this group were unpopular (Glendinning </w:t>
      </w:r>
      <w:r w:rsidR="00AC06A3" w:rsidRPr="008B68A9">
        <w:rPr>
          <w:i/>
        </w:rPr>
        <w:t>et al.</w:t>
      </w:r>
      <w:r w:rsidR="00B226B8" w:rsidRPr="008B68A9">
        <w:t xml:space="preserve"> 2008, </w:t>
      </w:r>
      <w:r w:rsidR="00087846" w:rsidRPr="008B68A9">
        <w:t xml:space="preserve">Slasberg 2010, </w:t>
      </w:r>
      <w:r w:rsidR="00B226B8" w:rsidRPr="008B68A9">
        <w:t>Manthorpe and Moriarty 2011, Needham</w:t>
      </w:r>
      <w:r w:rsidR="00413B99" w:rsidRPr="008B68A9">
        <w:t xml:space="preserve"> and Glasby</w:t>
      </w:r>
      <w:r w:rsidR="00B226B8" w:rsidRPr="008B68A9">
        <w:t xml:space="preserve"> 2014).</w:t>
      </w:r>
      <w:r w:rsidR="00415741" w:rsidRPr="008B68A9">
        <w:t xml:space="preserve"> </w:t>
      </w:r>
      <w:r w:rsidR="00B226B8" w:rsidRPr="008B68A9">
        <w:t xml:space="preserve">Whilst questions and limited evidence (Glendinning </w:t>
      </w:r>
      <w:r w:rsidR="00AC06A3" w:rsidRPr="008B68A9">
        <w:rPr>
          <w:i/>
        </w:rPr>
        <w:t>et al.</w:t>
      </w:r>
      <w:r w:rsidR="00B226B8" w:rsidRPr="008B68A9">
        <w:t xml:space="preserve"> 2007) caution personalisation in this group, it </w:t>
      </w:r>
      <w:r w:rsidR="00F45FF4" w:rsidRPr="008B68A9">
        <w:t>appears</w:t>
      </w:r>
      <w:r w:rsidR="00B226B8" w:rsidRPr="008B68A9">
        <w:t xml:space="preserve"> less </w:t>
      </w:r>
      <w:r w:rsidR="00F45FF4" w:rsidRPr="008B68A9">
        <w:t xml:space="preserve">that </w:t>
      </w:r>
      <w:r w:rsidR="00B226B8" w:rsidRPr="008B68A9">
        <w:t xml:space="preserve">the principle </w:t>
      </w:r>
      <w:r w:rsidR="00F45FF4" w:rsidRPr="008B68A9">
        <w:t xml:space="preserve">is </w:t>
      </w:r>
      <w:r w:rsidR="00B226B8" w:rsidRPr="008B68A9">
        <w:t>being questioned, rather than the means of operationalising</w:t>
      </w:r>
      <w:r w:rsidR="00B004AC" w:rsidRPr="008B68A9">
        <w:t xml:space="preserve"> it</w:t>
      </w:r>
      <w:r w:rsidR="00B226B8" w:rsidRPr="008B68A9">
        <w:t>.</w:t>
      </w:r>
      <w:bookmarkStart w:id="23" w:name="_Toc413607879"/>
      <w:bookmarkStart w:id="24" w:name="_Toc413827513"/>
      <w:r w:rsidR="00415741" w:rsidRPr="008B68A9">
        <w:t xml:space="preserve"> </w:t>
      </w:r>
      <w:r w:rsidR="00CE6D4D" w:rsidRPr="008B68A9">
        <w:t xml:space="preserve">The wider question of the ability of those in need of support and services to successfully engage and navigate personalised service platforms is a concern (Carr </w:t>
      </w:r>
      <w:r w:rsidR="003605CE" w:rsidRPr="008B68A9">
        <w:t>2011a</w:t>
      </w:r>
      <w:r w:rsidR="00CE6D4D" w:rsidRPr="008B68A9">
        <w:t>) and one that remains unresolved.</w:t>
      </w:r>
    </w:p>
    <w:p w14:paraId="16BE5D82" w14:textId="58DFF300" w:rsidR="00E53180" w:rsidRPr="008B68A9" w:rsidRDefault="00520401" w:rsidP="002F0FD7">
      <w:pPr>
        <w:pStyle w:val="5arangedleft"/>
      </w:pPr>
      <w:r w:rsidRPr="008B68A9">
        <w:t xml:space="preserve">Whilst the rhetoric of personalisation </w:t>
      </w:r>
      <w:r w:rsidR="00F45FF4" w:rsidRPr="008B68A9">
        <w:t>remains</w:t>
      </w:r>
      <w:r w:rsidRPr="008B68A9">
        <w:t xml:space="preserve"> positive, its message </w:t>
      </w:r>
      <w:r w:rsidR="00F45FF4" w:rsidRPr="008B68A9">
        <w:t>is</w:t>
      </w:r>
      <w:r w:rsidRPr="008B68A9">
        <w:t xml:space="preserve"> not without detractors and critics who cite issues of consent, stability, risk, abuse and fraud (Beresford 2008, 2009, Unison 2011).</w:t>
      </w:r>
      <w:r w:rsidR="00415741" w:rsidRPr="008B68A9">
        <w:t xml:space="preserve"> </w:t>
      </w:r>
      <w:r w:rsidRPr="008B68A9">
        <w:t xml:space="preserve">More pointedly Slasberg </w:t>
      </w:r>
      <w:r w:rsidR="00AC06A3" w:rsidRPr="008B68A9">
        <w:rPr>
          <w:i/>
        </w:rPr>
        <w:t>et al.</w:t>
      </w:r>
      <w:r w:rsidRPr="008B68A9">
        <w:t xml:space="preserve"> (2012) challenge</w:t>
      </w:r>
      <w:r w:rsidR="00F45FF4" w:rsidRPr="008B68A9">
        <w:t>s</w:t>
      </w:r>
      <w:r w:rsidRPr="008B68A9">
        <w:t xml:space="preserve"> the entire project of </w:t>
      </w:r>
      <w:r w:rsidR="00F45FF4" w:rsidRPr="008B68A9">
        <w:t>personalisation, claiming it has</w:t>
      </w:r>
      <w:r w:rsidR="00EE014E" w:rsidRPr="008B68A9">
        <w:t xml:space="preserve"> been rushed and </w:t>
      </w:r>
      <w:r w:rsidR="00F45FF4" w:rsidRPr="008B68A9">
        <w:t>does</w:t>
      </w:r>
      <w:r w:rsidRPr="008B68A9">
        <w:t xml:space="preserve"> not safeguard vulnerable lives</w:t>
      </w:r>
      <w:r w:rsidR="00EE014E" w:rsidRPr="008B68A9">
        <w:t>;</w:t>
      </w:r>
      <w:r w:rsidRPr="008B68A9">
        <w:t xml:space="preserve"> </w:t>
      </w:r>
      <w:r w:rsidR="00EE014E" w:rsidRPr="008B68A9">
        <w:t xml:space="preserve">further, </w:t>
      </w:r>
      <w:r w:rsidR="00F45FF4" w:rsidRPr="008B68A9">
        <w:t xml:space="preserve">the evidential basis </w:t>
      </w:r>
      <w:r w:rsidR="00EE014E" w:rsidRPr="008B68A9">
        <w:t xml:space="preserve">it </w:t>
      </w:r>
      <w:r w:rsidR="00F45FF4" w:rsidRPr="008B68A9">
        <w:t>is</w:t>
      </w:r>
      <w:r w:rsidR="00EE014E" w:rsidRPr="008B68A9">
        <w:t xml:space="preserve"> </w:t>
      </w:r>
      <w:r w:rsidRPr="008B68A9">
        <w:t>bui</w:t>
      </w:r>
      <w:r w:rsidR="00BF14EA" w:rsidRPr="008B68A9">
        <w:t xml:space="preserve">lt upon </w:t>
      </w:r>
      <w:r w:rsidR="00F45FF4" w:rsidRPr="008B68A9">
        <w:t xml:space="preserve">remains </w:t>
      </w:r>
      <w:r w:rsidR="00BF14EA" w:rsidRPr="008B68A9">
        <w:t>poor.</w:t>
      </w:r>
      <w:r w:rsidR="007F14AE" w:rsidRPr="008B68A9">
        <w:t xml:space="preserve"> Slasberg </w:t>
      </w:r>
      <w:r w:rsidR="00AC06A3" w:rsidRPr="008B68A9">
        <w:rPr>
          <w:i/>
        </w:rPr>
        <w:t>et al.</w:t>
      </w:r>
      <w:r w:rsidR="007F14AE" w:rsidRPr="008B68A9">
        <w:t xml:space="preserve"> </w:t>
      </w:r>
      <w:r w:rsidR="00AB6B86" w:rsidRPr="008B68A9">
        <w:t>(2</w:t>
      </w:r>
      <w:r w:rsidR="007F14AE" w:rsidRPr="008B68A9">
        <w:t>013) revisited their data and updated their earlier analysis</w:t>
      </w:r>
      <w:r w:rsidR="005E6911" w:rsidRPr="008B68A9">
        <w:t>,</w:t>
      </w:r>
      <w:r w:rsidR="007F14AE" w:rsidRPr="008B68A9">
        <w:t xml:space="preserve"> maintaining their scepticism, not of personalisation but of the policy enactment and the evidential basis used to promote it.</w:t>
      </w:r>
    </w:p>
    <w:p w14:paraId="0F529A0E" w14:textId="31B49B42" w:rsidR="007614D4" w:rsidRPr="008B68A9" w:rsidRDefault="00BD48CD" w:rsidP="00DA13FA">
      <w:pPr>
        <w:pStyle w:val="2L2header"/>
      </w:pPr>
      <w:bookmarkStart w:id="25" w:name="_Toc466800280"/>
      <w:r w:rsidRPr="008B68A9">
        <w:t>2.4</w:t>
      </w:r>
      <w:r w:rsidR="007614D4" w:rsidRPr="008B68A9">
        <w:t xml:space="preserve"> Personalisation as consumerist discourse</w:t>
      </w:r>
      <w:bookmarkEnd w:id="23"/>
      <w:bookmarkEnd w:id="24"/>
      <w:bookmarkEnd w:id="25"/>
    </w:p>
    <w:p w14:paraId="6EECC24E" w14:textId="3CE3FE5F" w:rsidR="007614D4" w:rsidRPr="008B68A9" w:rsidRDefault="007614D4" w:rsidP="002F0FD7">
      <w:pPr>
        <w:pStyle w:val="5arangedleft"/>
      </w:pPr>
      <w:r w:rsidRPr="008B68A9">
        <w:t>For over a decade, there has been a debate in public policy around greater choice and involvement</w:t>
      </w:r>
      <w:r w:rsidR="00CA4B25" w:rsidRPr="008B68A9">
        <w:t xml:space="preserve"> </w:t>
      </w:r>
      <w:r w:rsidR="005E6911" w:rsidRPr="008B68A9">
        <w:t xml:space="preserve">of users </w:t>
      </w:r>
      <w:r w:rsidR="00CA4B25" w:rsidRPr="008B68A9">
        <w:t>in the design and focus of public services</w:t>
      </w:r>
      <w:r w:rsidRPr="008B68A9">
        <w:t>.</w:t>
      </w:r>
      <w:r w:rsidR="00415741" w:rsidRPr="008B68A9">
        <w:t xml:space="preserve"> </w:t>
      </w:r>
      <w:r w:rsidRPr="008B68A9">
        <w:t xml:space="preserve">Needham (2009b) </w:t>
      </w:r>
      <w:r w:rsidR="00345C03" w:rsidRPr="008B68A9">
        <w:t xml:space="preserve">has </w:t>
      </w:r>
      <w:r w:rsidRPr="008B68A9">
        <w:t xml:space="preserve">claimed that public policy will need a “radical reappraisal of service, </w:t>
      </w:r>
      <w:r w:rsidRPr="008B68A9">
        <w:lastRenderedPageBreak/>
        <w:t>design, commissioning, delivery, moni</w:t>
      </w:r>
      <w:r w:rsidR="00CA4B25" w:rsidRPr="008B68A9">
        <w:t>toring and evaluation” (p.</w:t>
      </w:r>
      <w:r w:rsidR="00893767" w:rsidRPr="008B68A9">
        <w:t xml:space="preserve"> </w:t>
      </w:r>
      <w:r w:rsidR="00CA4B25" w:rsidRPr="008B68A9">
        <w:t>79) to respond to the demands of personalisation.</w:t>
      </w:r>
      <w:r w:rsidR="00415741" w:rsidRPr="008B68A9">
        <w:t xml:space="preserve"> </w:t>
      </w:r>
      <w:r w:rsidRPr="008B68A9">
        <w:t>However</w:t>
      </w:r>
      <w:r w:rsidR="00893767" w:rsidRPr="008B68A9">
        <w:t>,</w:t>
      </w:r>
      <w:r w:rsidRPr="008B68A9">
        <w:t xml:space="preserve"> almost ten years on from Le Grand’s </w:t>
      </w:r>
      <w:r w:rsidR="00C32360" w:rsidRPr="008B68A9">
        <w:t>call for</w:t>
      </w:r>
      <w:r w:rsidRPr="008B68A9">
        <w:t xml:space="preserve"> the hand of choice and competition</w:t>
      </w:r>
      <w:r w:rsidR="00C32360" w:rsidRPr="008B68A9">
        <w:t xml:space="preserve"> in public services</w:t>
      </w:r>
      <w:r w:rsidRPr="008B68A9">
        <w:t xml:space="preserve">, it is </w:t>
      </w:r>
      <w:r w:rsidR="00C32360" w:rsidRPr="008B68A9">
        <w:t xml:space="preserve">still </w:t>
      </w:r>
      <w:r w:rsidRPr="008B68A9">
        <w:t xml:space="preserve">not clear </w:t>
      </w:r>
      <w:r w:rsidR="00C32360" w:rsidRPr="008B68A9">
        <w:t>as to</w:t>
      </w:r>
      <w:r w:rsidRPr="008B68A9">
        <w:t xml:space="preserve"> </w:t>
      </w:r>
      <w:r w:rsidR="00345C03" w:rsidRPr="008B68A9">
        <w:t xml:space="preserve">what </w:t>
      </w:r>
      <w:r w:rsidRPr="008B68A9">
        <w:t xml:space="preserve">the best form of </w:t>
      </w:r>
      <w:r w:rsidR="00FB1801" w:rsidRPr="008B68A9">
        <w:t xml:space="preserve">increased in user involvement </w:t>
      </w:r>
      <w:r w:rsidRPr="008B68A9">
        <w:t>in meaningful decision making</w:t>
      </w:r>
      <w:r w:rsidR="00FB1801" w:rsidRPr="008B68A9">
        <w:t xml:space="preserve"> in those services</w:t>
      </w:r>
      <w:r w:rsidR="00345C03" w:rsidRPr="008B68A9">
        <w:t xml:space="preserve"> might be</w:t>
      </w:r>
      <w:r w:rsidRPr="008B68A9">
        <w:t>.</w:t>
      </w:r>
      <w:r w:rsidR="00415741" w:rsidRPr="008B68A9">
        <w:t xml:space="preserve"> </w:t>
      </w:r>
      <w:r w:rsidRPr="008B68A9">
        <w:t xml:space="preserve">Martin and Webb (2009) </w:t>
      </w:r>
      <w:r w:rsidR="00345C03" w:rsidRPr="008B68A9">
        <w:t xml:space="preserve">have </w:t>
      </w:r>
      <w:r w:rsidRPr="008B68A9">
        <w:t>called for more ‘citizen-centred’ public services</w:t>
      </w:r>
      <w:r w:rsidR="00893767" w:rsidRPr="008B68A9">
        <w:t>,</w:t>
      </w:r>
      <w:r w:rsidRPr="008B68A9">
        <w:t xml:space="preserve"> though recognised there were “too few drivers of collaboration” (p.</w:t>
      </w:r>
      <w:r w:rsidR="002C0BE8" w:rsidRPr="008B68A9">
        <w:t xml:space="preserve"> </w:t>
      </w:r>
      <w:r w:rsidR="00FB1801" w:rsidRPr="008B68A9">
        <w:t xml:space="preserve">129), though </w:t>
      </w:r>
      <w:r w:rsidR="00345C03" w:rsidRPr="008B68A9">
        <w:t xml:space="preserve">since his publication </w:t>
      </w:r>
      <w:r w:rsidR="00FB1801" w:rsidRPr="008B68A9">
        <w:t>recent government legislation such as the Care Act (2014) may have create</w:t>
      </w:r>
      <w:r w:rsidR="00EE014E" w:rsidRPr="008B68A9">
        <w:t>d</w:t>
      </w:r>
      <w:r w:rsidR="00FB1801" w:rsidRPr="008B68A9">
        <w:t xml:space="preserve"> such a climate</w:t>
      </w:r>
      <w:r w:rsidRPr="008B68A9">
        <w:t>.</w:t>
      </w:r>
      <w:r w:rsidR="00415741" w:rsidRPr="008B68A9">
        <w:t xml:space="preserve"> </w:t>
      </w:r>
      <w:r w:rsidR="00FB1801" w:rsidRPr="008B68A9">
        <w:t>The</w:t>
      </w:r>
      <w:r w:rsidRPr="008B68A9">
        <w:t xml:space="preserve"> debates</w:t>
      </w:r>
      <w:r w:rsidR="00FB1801" w:rsidRPr="008B68A9">
        <w:t xml:space="preserve"> of whose </w:t>
      </w:r>
      <w:r w:rsidR="00B6488F" w:rsidRPr="008B68A9">
        <w:t>voice</w:t>
      </w:r>
      <w:r w:rsidR="00FB1801" w:rsidRPr="008B68A9">
        <w:t xml:space="preserve"> </w:t>
      </w:r>
      <w:r w:rsidR="00B6488F" w:rsidRPr="008B68A9">
        <w:t>influence</w:t>
      </w:r>
      <w:r w:rsidR="00345C03" w:rsidRPr="008B68A9">
        <w:t>s</w:t>
      </w:r>
      <w:r w:rsidR="00FB1801" w:rsidRPr="008B68A9">
        <w:t xml:space="preserve"> public services</w:t>
      </w:r>
      <w:r w:rsidRPr="008B68A9">
        <w:t xml:space="preserve"> </w:t>
      </w:r>
      <w:r w:rsidR="00EE014E" w:rsidRPr="008B68A9">
        <w:t>remain</w:t>
      </w:r>
      <w:r w:rsidR="00893767" w:rsidRPr="008B68A9">
        <w:t xml:space="preserve"> unresolved</w:t>
      </w:r>
      <w:r w:rsidR="00B6488F" w:rsidRPr="008B68A9">
        <w:t>,</w:t>
      </w:r>
      <w:r w:rsidR="00893767" w:rsidRPr="008B68A9">
        <w:t xml:space="preserve"> </w:t>
      </w:r>
      <w:r w:rsidR="00B6488F" w:rsidRPr="008B68A9">
        <w:t>though</w:t>
      </w:r>
      <w:r w:rsidR="0096216B" w:rsidRPr="008B68A9">
        <w:t xml:space="preserve"> the primacy of individual and self-determination</w:t>
      </w:r>
      <w:r w:rsidR="00893767" w:rsidRPr="008B68A9">
        <w:t>,</w:t>
      </w:r>
      <w:r w:rsidR="0096216B" w:rsidRPr="008B68A9">
        <w:t xml:space="preserve"> taken up by Giddens (1991), </w:t>
      </w:r>
      <w:r w:rsidR="00B6488F" w:rsidRPr="008B68A9">
        <w:t>has been and remains</w:t>
      </w:r>
      <w:r w:rsidR="0096216B" w:rsidRPr="008B68A9">
        <w:t xml:space="preserve"> part of all our lives.</w:t>
      </w:r>
      <w:r w:rsidR="00415741" w:rsidRPr="008B68A9">
        <w:t xml:space="preserve"> </w:t>
      </w:r>
      <w:r w:rsidR="000A293E" w:rsidRPr="008B68A9">
        <w:t>For</w:t>
      </w:r>
      <w:r w:rsidR="0096216B" w:rsidRPr="008B68A9">
        <w:t xml:space="preserve"> individual</w:t>
      </w:r>
      <w:r w:rsidR="000A293E" w:rsidRPr="008B68A9">
        <w:t xml:space="preserve">s </w:t>
      </w:r>
      <w:r w:rsidR="0096216B" w:rsidRPr="008B68A9">
        <w:t>attempting to create a better future</w:t>
      </w:r>
      <w:r w:rsidR="00893767" w:rsidRPr="008B68A9">
        <w:t>,</w:t>
      </w:r>
      <w:r w:rsidR="0096216B" w:rsidRPr="008B68A9">
        <w:t xml:space="preserve"> whether through self-improvement or therapy</w:t>
      </w:r>
      <w:r w:rsidR="00893767" w:rsidRPr="008B68A9">
        <w:t>,</w:t>
      </w:r>
      <w:r w:rsidR="0096216B" w:rsidRPr="008B68A9">
        <w:t xml:space="preserve"> </w:t>
      </w:r>
      <w:r w:rsidR="000A293E" w:rsidRPr="008B68A9">
        <w:t>their goal has become</w:t>
      </w:r>
      <w:r w:rsidR="0096216B" w:rsidRPr="008B68A9">
        <w:t xml:space="preserve"> part of personalisation </w:t>
      </w:r>
      <w:r w:rsidR="000A293E" w:rsidRPr="008B68A9">
        <w:t>and the aims it embodies</w:t>
      </w:r>
      <w:r w:rsidR="0096216B" w:rsidRPr="008B68A9">
        <w:t xml:space="preserve">. </w:t>
      </w:r>
    </w:p>
    <w:p w14:paraId="0BE72586" w14:textId="4023CD69" w:rsidR="00CA4B25" w:rsidRPr="008B68A9" w:rsidRDefault="00077F75" w:rsidP="002F0FD7">
      <w:pPr>
        <w:pStyle w:val="5arangedleft"/>
      </w:pPr>
      <w:r w:rsidRPr="008B68A9">
        <w:t xml:space="preserve">Increased choice and therefore personal power lie at the heart of personalisation and </w:t>
      </w:r>
      <w:r w:rsidR="00CA4B25" w:rsidRPr="008B68A9">
        <w:t>evaluations of p</w:t>
      </w:r>
      <w:r w:rsidR="008D2ACB" w:rsidRPr="008B68A9">
        <w:t xml:space="preserve">ersonalised approaches to care </w:t>
      </w:r>
      <w:r w:rsidR="00CA4B25" w:rsidRPr="008B68A9">
        <w:t xml:space="preserve">have consistently demonstrated high levels of agreement </w:t>
      </w:r>
      <w:r w:rsidR="00D207C7" w:rsidRPr="008B68A9">
        <w:t xml:space="preserve">in terms of </w:t>
      </w:r>
      <w:r w:rsidRPr="008B68A9">
        <w:t xml:space="preserve">perceived improvement in user </w:t>
      </w:r>
      <w:r w:rsidR="00D207C7" w:rsidRPr="008B68A9">
        <w:t>satisfaction</w:t>
      </w:r>
      <w:r w:rsidRPr="008B68A9">
        <w:t>, for example</w:t>
      </w:r>
      <w:r w:rsidR="00D207C7" w:rsidRPr="008B68A9">
        <w:t xml:space="preserve"> </w:t>
      </w:r>
      <w:r w:rsidR="00CA4B25" w:rsidRPr="008B68A9">
        <w:t xml:space="preserve">Alakeson </w:t>
      </w:r>
      <w:r w:rsidRPr="008B68A9">
        <w:t>(</w:t>
      </w:r>
      <w:r w:rsidR="00CA4B25" w:rsidRPr="008B68A9">
        <w:t>2007</w:t>
      </w:r>
      <w:r w:rsidRPr="008B68A9">
        <w:t>)</w:t>
      </w:r>
      <w:r w:rsidR="00CA4B25" w:rsidRPr="008B68A9">
        <w:t xml:space="preserve">, Hatton </w:t>
      </w:r>
      <w:r w:rsidR="002C0BE8" w:rsidRPr="008B68A9">
        <w:t xml:space="preserve">and </w:t>
      </w:r>
      <w:r w:rsidR="00CA4B25" w:rsidRPr="008B68A9">
        <w:t xml:space="preserve">Waters </w:t>
      </w:r>
      <w:r w:rsidRPr="008B68A9">
        <w:t>(</w:t>
      </w:r>
      <w:r w:rsidR="00CA4B25" w:rsidRPr="008B68A9">
        <w:t>2011</w:t>
      </w:r>
      <w:r w:rsidRPr="008B68A9">
        <w:t xml:space="preserve"> and </w:t>
      </w:r>
      <w:r w:rsidR="00CA4B25" w:rsidRPr="008B68A9">
        <w:t>2013</w:t>
      </w:r>
      <w:r w:rsidRPr="008B68A9">
        <w:t>)</w:t>
      </w:r>
      <w:r w:rsidR="00CA4B25" w:rsidRPr="008B68A9">
        <w:t xml:space="preserve">, Waters and Hatton </w:t>
      </w:r>
      <w:r w:rsidRPr="008B68A9">
        <w:t>(</w:t>
      </w:r>
      <w:r w:rsidR="00CA4B25" w:rsidRPr="008B68A9">
        <w:t xml:space="preserve">2014). </w:t>
      </w:r>
      <w:r w:rsidRPr="008B68A9">
        <w:t>These studies are discussed in the following chapter though here it is worth noting that i</w:t>
      </w:r>
      <w:r w:rsidR="00E73A7F" w:rsidRPr="008B68A9">
        <w:t xml:space="preserve">t is </w:t>
      </w:r>
      <w:r w:rsidR="00345C03" w:rsidRPr="008B68A9">
        <w:t>personalisation’s</w:t>
      </w:r>
      <w:r w:rsidR="00CA4B25" w:rsidRPr="008B68A9">
        <w:t xml:space="preserve"> popularity </w:t>
      </w:r>
      <w:r w:rsidR="00E73A7F" w:rsidRPr="008B68A9">
        <w:t>hinge</w:t>
      </w:r>
      <w:r w:rsidR="00345C03" w:rsidRPr="008B68A9">
        <w:t>s</w:t>
      </w:r>
      <w:r w:rsidR="00CA4B25" w:rsidRPr="008B68A9">
        <w:t xml:space="preserve"> on</w:t>
      </w:r>
      <w:r w:rsidR="00E73A7F" w:rsidRPr="008B68A9">
        <w:t xml:space="preserve"> users’</w:t>
      </w:r>
      <w:r w:rsidR="00345C03" w:rsidRPr="008B68A9">
        <w:t xml:space="preserve"> perception of increased</w:t>
      </w:r>
      <w:r w:rsidR="00CA4B25" w:rsidRPr="008B68A9">
        <w:t xml:space="preserve"> choice, consultation and involvement</w:t>
      </w:r>
      <w:r w:rsidRPr="008B68A9">
        <w:t xml:space="preserve"> in </w:t>
      </w:r>
      <w:r w:rsidR="00E73A7F" w:rsidRPr="008B68A9">
        <w:t xml:space="preserve">the </w:t>
      </w:r>
      <w:r w:rsidRPr="008B68A9">
        <w:t>services</w:t>
      </w:r>
      <w:r w:rsidR="00E73A7F" w:rsidRPr="008B68A9">
        <w:t xml:space="preserve"> they receive</w:t>
      </w:r>
      <w:r w:rsidR="00CA4B25" w:rsidRPr="008B68A9">
        <w:t>.</w:t>
      </w:r>
      <w:r w:rsidR="00415741" w:rsidRPr="008B68A9">
        <w:t xml:space="preserve"> </w:t>
      </w:r>
      <w:r w:rsidR="00B6488F" w:rsidRPr="008B68A9">
        <w:t xml:space="preserve">Being a part of </w:t>
      </w:r>
      <w:r w:rsidR="00E73A7F" w:rsidRPr="008B68A9">
        <w:t xml:space="preserve">decisions about services </w:t>
      </w:r>
      <w:r w:rsidR="00022AC3" w:rsidRPr="008B68A9">
        <w:t>provision</w:t>
      </w:r>
      <w:r w:rsidR="00B6488F" w:rsidRPr="008B68A9">
        <w:t xml:space="preserve"> and how </w:t>
      </w:r>
      <w:r w:rsidR="00022AC3" w:rsidRPr="008B68A9">
        <w:t xml:space="preserve">such involvement </w:t>
      </w:r>
      <w:r w:rsidR="00E73A7F" w:rsidRPr="008B68A9">
        <w:t>r</w:t>
      </w:r>
      <w:r w:rsidR="00CA4B25" w:rsidRPr="008B68A9">
        <w:t xml:space="preserve">epresent </w:t>
      </w:r>
      <w:r w:rsidR="00022AC3" w:rsidRPr="008B68A9">
        <w:t>the</w:t>
      </w:r>
      <w:r w:rsidR="008D2ACB" w:rsidRPr="008B68A9">
        <w:t xml:space="preserve"> </w:t>
      </w:r>
      <w:r w:rsidR="00B6488F" w:rsidRPr="008B68A9">
        <w:t>changed</w:t>
      </w:r>
      <w:r w:rsidR="008D2ACB" w:rsidRPr="008B68A9">
        <w:t xml:space="preserve"> narrative</w:t>
      </w:r>
      <w:r w:rsidR="00E73A7F" w:rsidRPr="008B68A9">
        <w:t xml:space="preserve"> of</w:t>
      </w:r>
      <w:r w:rsidR="00022AC3" w:rsidRPr="008B68A9">
        <w:t xml:space="preserve"> public</w:t>
      </w:r>
      <w:r w:rsidR="00CA4B25" w:rsidRPr="008B68A9">
        <w:t xml:space="preserve"> </w:t>
      </w:r>
      <w:r w:rsidR="00E73A7F" w:rsidRPr="008B68A9">
        <w:t>service</w:t>
      </w:r>
      <w:r w:rsidR="00022AC3" w:rsidRPr="008B68A9">
        <w:t>s which</w:t>
      </w:r>
      <w:r w:rsidR="00E73A7F" w:rsidRPr="008B68A9">
        <w:t xml:space="preserve"> </w:t>
      </w:r>
      <w:r w:rsidR="00CA4B25" w:rsidRPr="008B68A9">
        <w:t>Alakeson (2013</w:t>
      </w:r>
      <w:r w:rsidR="003605CE" w:rsidRPr="008B68A9">
        <w:t>a</w:t>
      </w:r>
      <w:r w:rsidR="00CA4B25" w:rsidRPr="008B68A9">
        <w:t xml:space="preserve"> p.</w:t>
      </w:r>
      <w:r w:rsidR="002C0BE8" w:rsidRPr="008B68A9">
        <w:t xml:space="preserve"> </w:t>
      </w:r>
      <w:r w:rsidR="00CA4B25" w:rsidRPr="008B68A9">
        <w:t xml:space="preserve">6) </w:t>
      </w:r>
      <w:r w:rsidR="00022AC3" w:rsidRPr="008B68A9">
        <w:t>recognised in</w:t>
      </w:r>
      <w:r w:rsidR="00B6488F" w:rsidRPr="008B68A9">
        <w:t xml:space="preserve"> </w:t>
      </w:r>
      <w:r w:rsidR="00CA4B25" w:rsidRPr="008B68A9">
        <w:t>Sen</w:t>
      </w:r>
      <w:r w:rsidR="00022AC3" w:rsidRPr="008B68A9">
        <w:t>’s polemic</w:t>
      </w:r>
      <w:r w:rsidR="00CA4B25" w:rsidRPr="008B68A9">
        <w:t>, stating “…the way public service achieve their outcomes matters as well as the outcomes themselves”</w:t>
      </w:r>
      <w:r w:rsidR="002C0BE8" w:rsidRPr="008B68A9">
        <w:t>.</w:t>
      </w:r>
      <w:r w:rsidR="00CA4B25" w:rsidRPr="008B68A9">
        <w:t xml:space="preserve"> Choice</w:t>
      </w:r>
      <w:r w:rsidR="00022AC3" w:rsidRPr="008B68A9">
        <w:t xml:space="preserve"> therefore</w:t>
      </w:r>
      <w:r w:rsidR="00CA4B25" w:rsidRPr="008B68A9">
        <w:t xml:space="preserve"> is generally regarded to be good</w:t>
      </w:r>
      <w:r w:rsidR="002C0BE8" w:rsidRPr="008B68A9">
        <w:t>,</w:t>
      </w:r>
      <w:r w:rsidR="00CA4B25" w:rsidRPr="008B68A9">
        <w:t xml:space="preserve"> contributing to self-determination or control (Larkin and Mitchell 2016)</w:t>
      </w:r>
      <w:r w:rsidR="002C0BE8" w:rsidRPr="008B68A9">
        <w:t>;</w:t>
      </w:r>
      <w:r w:rsidR="00CA4B25" w:rsidRPr="008B68A9">
        <w:t xml:space="preserve"> although for some, choice </w:t>
      </w:r>
      <w:r w:rsidR="00E73A7F" w:rsidRPr="008B68A9">
        <w:t>may represent</w:t>
      </w:r>
      <w:r w:rsidR="00CA4B25" w:rsidRPr="008B68A9">
        <w:t xml:space="preserve"> ambiguity</w:t>
      </w:r>
      <w:r w:rsidR="00E73A7F" w:rsidRPr="008B68A9">
        <w:t>, uncertainty</w:t>
      </w:r>
      <w:r w:rsidR="00CA4B25" w:rsidRPr="008B68A9">
        <w:t xml:space="preserve"> and a source of stress and anxiety</w:t>
      </w:r>
      <w:r w:rsidR="006874CE" w:rsidRPr="008B68A9">
        <w:t xml:space="preserve"> (Arksey and Glendinning 2007).</w:t>
      </w:r>
      <w:r w:rsidR="00415741" w:rsidRPr="008B68A9">
        <w:t xml:space="preserve"> </w:t>
      </w:r>
      <w:r w:rsidR="006874CE" w:rsidRPr="008B68A9">
        <w:t>C</w:t>
      </w:r>
      <w:r w:rsidR="00CA4B25" w:rsidRPr="008B68A9">
        <w:t>hoice processes in public services have been</w:t>
      </w:r>
      <w:r w:rsidR="00022AC3" w:rsidRPr="008B68A9">
        <w:t xml:space="preserve"> and remain</w:t>
      </w:r>
      <w:r w:rsidR="00CA4B25" w:rsidRPr="008B68A9">
        <w:t xml:space="preserve"> </w:t>
      </w:r>
      <w:r w:rsidR="00022AC3" w:rsidRPr="008B68A9">
        <w:t>a</w:t>
      </w:r>
      <w:r w:rsidR="00CA4B25" w:rsidRPr="008B68A9">
        <w:t xml:space="preserve"> central </w:t>
      </w:r>
      <w:r w:rsidR="006874CE" w:rsidRPr="008B68A9">
        <w:t>narrative</w:t>
      </w:r>
      <w:r w:rsidR="00CA4B25" w:rsidRPr="008B68A9">
        <w:t xml:space="preserve"> (</w:t>
      </w:r>
      <w:r w:rsidR="00B546BE" w:rsidRPr="008B68A9">
        <w:t>DH</w:t>
      </w:r>
      <w:r w:rsidR="00CA4B25" w:rsidRPr="008B68A9">
        <w:t xml:space="preserve"> 2006b, 2006c, Needham 2009</w:t>
      </w:r>
      <w:r w:rsidR="003605CE" w:rsidRPr="008B68A9">
        <w:t>a</w:t>
      </w:r>
      <w:r w:rsidR="009D69A3" w:rsidRPr="008B68A9">
        <w:t>, DH 2010b, DH 2010c</w:t>
      </w:r>
      <w:r w:rsidR="000354E1" w:rsidRPr="008B68A9">
        <w:t>, DH 2010d</w:t>
      </w:r>
      <w:r w:rsidR="00CA4B25" w:rsidRPr="008B68A9">
        <w:t xml:space="preserve">) </w:t>
      </w:r>
      <w:r w:rsidR="00E73A7F" w:rsidRPr="008B68A9">
        <w:t>that has shaped</w:t>
      </w:r>
      <w:r w:rsidR="00CA4B25" w:rsidRPr="008B68A9">
        <w:t xml:space="preserve"> the direction </w:t>
      </w:r>
      <w:r w:rsidR="006874CE" w:rsidRPr="008B68A9">
        <w:t>of</w:t>
      </w:r>
      <w:r w:rsidR="00CA4B25" w:rsidRPr="008B68A9">
        <w:t xml:space="preserve"> policy </w:t>
      </w:r>
      <w:r w:rsidR="006874CE" w:rsidRPr="008B68A9">
        <w:t xml:space="preserve">in successive administrations, </w:t>
      </w:r>
      <w:r w:rsidR="00022AC3" w:rsidRPr="008B68A9">
        <w:t xml:space="preserve">therefore </w:t>
      </w:r>
      <w:r w:rsidR="006874CE" w:rsidRPr="008B68A9">
        <w:t xml:space="preserve">creating </w:t>
      </w:r>
      <w:r w:rsidR="00022AC3" w:rsidRPr="008B68A9">
        <w:t>the opportunity</w:t>
      </w:r>
      <w:r w:rsidR="006874CE" w:rsidRPr="008B68A9">
        <w:t xml:space="preserve"> for multiple int</w:t>
      </w:r>
      <w:r w:rsidR="00B6488F" w:rsidRPr="008B68A9">
        <w:t xml:space="preserve">erpretations of personalisation.  Choice on its own </w:t>
      </w:r>
      <w:r w:rsidR="00022AC3" w:rsidRPr="008B68A9">
        <w:t>is not</w:t>
      </w:r>
      <w:r w:rsidR="00B6488F" w:rsidRPr="008B68A9">
        <w:t xml:space="preserve"> personalisation, but is a </w:t>
      </w:r>
      <w:r w:rsidR="00E73A7F" w:rsidRPr="008B68A9">
        <w:lastRenderedPageBreak/>
        <w:t>significant part</w:t>
      </w:r>
      <w:r w:rsidR="00B6488F" w:rsidRPr="008B68A9">
        <w:t xml:space="preserve"> of it.  There are many debates aro</w:t>
      </w:r>
      <w:r w:rsidR="00E73A7F" w:rsidRPr="008B68A9">
        <w:t>und the nature of choice itself.  T</w:t>
      </w:r>
      <w:r w:rsidR="00B6488F" w:rsidRPr="008B68A9">
        <w:t>h</w:t>
      </w:r>
      <w:r w:rsidR="00022AC3" w:rsidRPr="008B68A9">
        <w:t>r</w:t>
      </w:r>
      <w:r w:rsidR="00B6488F" w:rsidRPr="008B68A9">
        <w:t>ough this thesis</w:t>
      </w:r>
      <w:r w:rsidR="00E73A7F" w:rsidRPr="008B68A9">
        <w:t xml:space="preserve">, </w:t>
      </w:r>
      <w:r w:rsidR="00B6488F" w:rsidRPr="008B68A9">
        <w:t>choice is used widely to denote a p</w:t>
      </w:r>
      <w:r w:rsidR="00E73A7F" w:rsidRPr="008B68A9">
        <w:t xml:space="preserve">art of co-production </w:t>
      </w:r>
      <w:r w:rsidR="00B6488F" w:rsidRPr="008B68A9">
        <w:t>through incre</w:t>
      </w:r>
      <w:r w:rsidR="00F47AA7" w:rsidRPr="008B68A9">
        <w:t xml:space="preserve">ased user-professional dialogue. </w:t>
      </w:r>
      <w:r w:rsidR="00E73A7F" w:rsidRPr="008B68A9">
        <w:t>I also use</w:t>
      </w:r>
      <w:r w:rsidR="00F47AA7" w:rsidRPr="008B68A9">
        <w:t xml:space="preserve"> choice in a consumerist context and </w:t>
      </w:r>
      <w:r w:rsidR="00400D8D" w:rsidRPr="008B68A9">
        <w:t>as part of the</w:t>
      </w:r>
      <w:r w:rsidR="00F47AA7" w:rsidRPr="008B68A9">
        <w:t xml:space="preserve"> discussion of increased choice in public service </w:t>
      </w:r>
      <w:r w:rsidR="00400D8D" w:rsidRPr="008B68A9">
        <w:t>reflecting</w:t>
      </w:r>
      <w:r w:rsidR="00F47AA7" w:rsidRPr="008B68A9">
        <w:t xml:space="preserve"> the wider context of markets and neo-liberalism</w:t>
      </w:r>
      <w:r w:rsidR="00400D8D" w:rsidRPr="008B68A9">
        <w:t xml:space="preserve"> </w:t>
      </w:r>
      <w:r w:rsidR="00E73A7F" w:rsidRPr="008B68A9">
        <w:t>and their effect on provision</w:t>
      </w:r>
      <w:r w:rsidR="00F47AA7" w:rsidRPr="008B68A9">
        <w:t>.</w:t>
      </w:r>
    </w:p>
    <w:p w14:paraId="3D972A78" w14:textId="5DBF15D7" w:rsidR="0057060D" w:rsidRPr="008B68A9" w:rsidRDefault="007614D4" w:rsidP="002F0FD7">
      <w:pPr>
        <w:pStyle w:val="5arangedleft"/>
      </w:pPr>
      <w:r w:rsidRPr="008B68A9">
        <w:t xml:space="preserve">Critics of personalisation </w:t>
      </w:r>
      <w:r w:rsidR="00073B48" w:rsidRPr="008B68A9">
        <w:t xml:space="preserve">have </w:t>
      </w:r>
      <w:r w:rsidRPr="008B68A9">
        <w:t>question</w:t>
      </w:r>
      <w:r w:rsidR="00073B48" w:rsidRPr="008B68A9">
        <w:t>ed</w:t>
      </w:r>
      <w:r w:rsidRPr="008B68A9">
        <w:t xml:space="preserve"> whether </w:t>
      </w:r>
      <w:r w:rsidR="00E73A7F" w:rsidRPr="008B68A9">
        <w:t>such</w:t>
      </w:r>
      <w:r w:rsidR="006874CE" w:rsidRPr="008B68A9">
        <w:t xml:space="preserve"> </w:t>
      </w:r>
      <w:r w:rsidRPr="008B68A9">
        <w:t>marketi</w:t>
      </w:r>
      <w:r w:rsidR="0095269E" w:rsidRPr="008B68A9">
        <w:t>s</w:t>
      </w:r>
      <w:r w:rsidRPr="008B68A9">
        <w:t xml:space="preserve">ation </w:t>
      </w:r>
      <w:r w:rsidR="006874CE" w:rsidRPr="008B68A9">
        <w:t xml:space="preserve">of </w:t>
      </w:r>
      <w:r w:rsidRPr="008B68A9">
        <w:t xml:space="preserve">public services </w:t>
      </w:r>
      <w:r w:rsidR="00E73A7F" w:rsidRPr="008B68A9">
        <w:t xml:space="preserve">and user choice </w:t>
      </w:r>
      <w:r w:rsidR="006874CE" w:rsidRPr="008B68A9">
        <w:t>improv</w:t>
      </w:r>
      <w:r w:rsidR="0095269E" w:rsidRPr="008B68A9">
        <w:t xml:space="preserve">es </w:t>
      </w:r>
      <w:r w:rsidR="006874CE" w:rsidRPr="008B68A9">
        <w:t xml:space="preserve">care </w:t>
      </w:r>
      <w:r w:rsidR="00481DE9" w:rsidRPr="008B68A9">
        <w:t>experience</w:t>
      </w:r>
      <w:r w:rsidR="0095269E" w:rsidRPr="008B68A9">
        <w:t>s</w:t>
      </w:r>
      <w:r w:rsidRPr="008B68A9">
        <w:t xml:space="preserve"> (Daly 2012), or </w:t>
      </w:r>
      <w:r w:rsidR="00E73A7F" w:rsidRPr="008B68A9">
        <w:t xml:space="preserve">whether choice </w:t>
      </w:r>
      <w:r w:rsidRPr="008B68A9">
        <w:t>simply reflect</w:t>
      </w:r>
      <w:r w:rsidR="006874CE" w:rsidRPr="008B68A9">
        <w:t>s</w:t>
      </w:r>
      <w:r w:rsidRPr="008B68A9">
        <w:t xml:space="preserve"> a </w:t>
      </w:r>
      <w:r w:rsidR="00481DE9" w:rsidRPr="008B68A9">
        <w:t>commodification of citizen engagement.</w:t>
      </w:r>
      <w:r w:rsidR="00415741" w:rsidRPr="008B68A9">
        <w:t xml:space="preserve"> </w:t>
      </w:r>
      <w:r w:rsidR="00481DE9" w:rsidRPr="008B68A9">
        <w:t xml:space="preserve">Others </w:t>
      </w:r>
      <w:r w:rsidR="00E73A7F" w:rsidRPr="008B68A9">
        <w:t xml:space="preserve">such as Fine (2001) </w:t>
      </w:r>
      <w:r w:rsidR="00481DE9" w:rsidRPr="008B68A9">
        <w:t>question</w:t>
      </w:r>
      <w:r w:rsidRPr="008B68A9">
        <w:t xml:space="preserve"> whether markets are themselves</w:t>
      </w:r>
      <w:r w:rsidR="00E73A7F" w:rsidRPr="008B68A9">
        <w:t xml:space="preserve"> </w:t>
      </w:r>
      <w:r w:rsidR="0096216B" w:rsidRPr="008B68A9">
        <w:t>inherently flawed</w:t>
      </w:r>
      <w:r w:rsidR="004E2064" w:rsidRPr="008B68A9">
        <w:t xml:space="preserve">, and </w:t>
      </w:r>
      <w:r w:rsidR="00073B48" w:rsidRPr="008B68A9">
        <w:t>further that</w:t>
      </w:r>
      <w:r w:rsidR="0095269E" w:rsidRPr="008B68A9">
        <w:t xml:space="preserve"> </w:t>
      </w:r>
      <w:r w:rsidR="004E2064" w:rsidRPr="008B68A9">
        <w:t>competition in the public sector</w:t>
      </w:r>
      <w:r w:rsidR="00073B48" w:rsidRPr="008B68A9">
        <w:t xml:space="preserve"> is less about increased consumer choice but</w:t>
      </w:r>
      <w:r w:rsidR="004E2064" w:rsidRPr="008B68A9">
        <w:t xml:space="preserve"> intended as a disruptive</w:t>
      </w:r>
      <w:r w:rsidR="00373286" w:rsidRPr="008B68A9">
        <w:t xml:space="preserve"> process to trad</w:t>
      </w:r>
      <w:r w:rsidR="00B91C34" w:rsidRPr="008B68A9">
        <w:t>itional services (Needham 2011b</w:t>
      </w:r>
      <w:r w:rsidR="00373286" w:rsidRPr="008B68A9">
        <w:t>)</w:t>
      </w:r>
      <w:r w:rsidR="0096216B" w:rsidRPr="008B68A9">
        <w:t>.</w:t>
      </w:r>
      <w:r w:rsidR="00415741" w:rsidRPr="008B68A9">
        <w:t xml:space="preserve"> </w:t>
      </w:r>
      <w:r w:rsidR="0057060D" w:rsidRPr="008B68A9">
        <w:t xml:space="preserve">Doubt remains as to of whether </w:t>
      </w:r>
      <w:r w:rsidR="00400D8D" w:rsidRPr="008B68A9">
        <w:t xml:space="preserve">the </w:t>
      </w:r>
      <w:r w:rsidR="0057060D" w:rsidRPr="008B68A9">
        <w:t xml:space="preserve">wholesale adoption of personalisation </w:t>
      </w:r>
      <w:r w:rsidR="00073B48" w:rsidRPr="008B68A9">
        <w:t>will be</w:t>
      </w:r>
      <w:r w:rsidR="0057060D" w:rsidRPr="008B68A9">
        <w:t xml:space="preserve"> positive in social care and social work (Beresford 2014</w:t>
      </w:r>
      <w:r w:rsidR="003A6437" w:rsidRPr="008B68A9">
        <w:t>a</w:t>
      </w:r>
      <w:r w:rsidR="0057060D" w:rsidRPr="008B68A9">
        <w:t>)</w:t>
      </w:r>
      <w:r w:rsidR="00A43F77" w:rsidRPr="008B68A9">
        <w:t>,</w:t>
      </w:r>
      <w:r w:rsidR="00073B48" w:rsidRPr="008B68A9">
        <w:t xml:space="preserve"> or </w:t>
      </w:r>
      <w:r w:rsidR="0057060D" w:rsidRPr="008B68A9">
        <w:t xml:space="preserve">to health services </w:t>
      </w:r>
      <w:r w:rsidR="00073B48" w:rsidRPr="008B68A9">
        <w:t>through</w:t>
      </w:r>
      <w:r w:rsidR="0057060D" w:rsidRPr="008B68A9">
        <w:t xml:space="preserve"> personal health budgets (Slasberg 2014).</w:t>
      </w:r>
      <w:r w:rsidR="00415741" w:rsidRPr="008B68A9">
        <w:t xml:space="preserve"> </w:t>
      </w:r>
      <w:r w:rsidR="0057060D" w:rsidRPr="008B68A9">
        <w:t xml:space="preserve">Further questions have been raised </w:t>
      </w:r>
      <w:r w:rsidR="00073B48" w:rsidRPr="008B68A9">
        <w:t xml:space="preserve">by Daly (2012) </w:t>
      </w:r>
      <w:r w:rsidR="00400D8D" w:rsidRPr="008B68A9">
        <w:t>challenging if</w:t>
      </w:r>
      <w:r w:rsidR="0057060D" w:rsidRPr="008B68A9">
        <w:t xml:space="preserve"> </w:t>
      </w:r>
      <w:r w:rsidR="00073B48" w:rsidRPr="008B68A9">
        <w:t xml:space="preserve">public sector </w:t>
      </w:r>
      <w:r w:rsidR="0057060D" w:rsidRPr="008B68A9">
        <w:t>care sh</w:t>
      </w:r>
      <w:r w:rsidR="00073B48" w:rsidRPr="008B68A9">
        <w:t>ould be subject to commercial</w:t>
      </w:r>
      <w:r w:rsidR="0057060D" w:rsidRPr="008B68A9">
        <w:t xml:space="preserve"> a</w:t>
      </w:r>
      <w:r w:rsidR="00B91C34" w:rsidRPr="008B68A9">
        <w:t xml:space="preserve">nd </w:t>
      </w:r>
      <w:r w:rsidR="00073B48" w:rsidRPr="008B68A9">
        <w:t>consumerist market pressures</w:t>
      </w:r>
      <w:r w:rsidR="00B91C34" w:rsidRPr="008B68A9">
        <w:t xml:space="preserve">, arguing that care and support for the most vulnerable in society should not be left to their entrepreneurial activity but </w:t>
      </w:r>
      <w:r w:rsidR="00073B48" w:rsidRPr="008B68A9">
        <w:t>remain</w:t>
      </w:r>
      <w:r w:rsidR="00B91C34" w:rsidRPr="008B68A9">
        <w:t xml:space="preserve"> a function of </w:t>
      </w:r>
      <w:r w:rsidR="006025DC" w:rsidRPr="008B68A9">
        <w:t>public service</w:t>
      </w:r>
      <w:r w:rsidR="00073B48" w:rsidRPr="008B68A9">
        <w:t>.</w:t>
      </w:r>
      <w:r w:rsidR="006025DC" w:rsidRPr="008B68A9">
        <w:t xml:space="preserve"> </w:t>
      </w:r>
    </w:p>
    <w:p w14:paraId="12E763D0" w14:textId="77777777" w:rsidR="00E73A7F" w:rsidRPr="008B68A9" w:rsidRDefault="0096216B" w:rsidP="002F0FD7">
      <w:pPr>
        <w:pStyle w:val="5arangedleft"/>
      </w:pPr>
      <w:r w:rsidRPr="008B68A9">
        <w:t>T</w:t>
      </w:r>
      <w:r w:rsidR="007614D4" w:rsidRPr="008B68A9">
        <w:t xml:space="preserve">he government has sought through the Care Act (2014) to place a responsibility on recipients and carers </w:t>
      </w:r>
      <w:r w:rsidR="000030BE" w:rsidRPr="008B68A9">
        <w:t>for</w:t>
      </w:r>
      <w:r w:rsidR="007614D4" w:rsidRPr="008B68A9">
        <w:t xml:space="preserve"> </w:t>
      </w:r>
      <w:r w:rsidR="00162FFE" w:rsidRPr="008B68A9">
        <w:t xml:space="preserve">the </w:t>
      </w:r>
      <w:r w:rsidR="007614D4" w:rsidRPr="008B68A9">
        <w:t>commissioning</w:t>
      </w:r>
      <w:r w:rsidRPr="008B68A9">
        <w:t xml:space="preserve"> of their </w:t>
      </w:r>
      <w:r w:rsidR="00073B48" w:rsidRPr="008B68A9">
        <w:t>service</w:t>
      </w:r>
      <w:r w:rsidR="00162FFE" w:rsidRPr="008B68A9">
        <w:t>,</w:t>
      </w:r>
      <w:r w:rsidR="007614D4" w:rsidRPr="008B68A9">
        <w:t xml:space="preserve"> with their need</w:t>
      </w:r>
      <w:r w:rsidR="00162FFE" w:rsidRPr="008B68A9">
        <w:t>s</w:t>
      </w:r>
      <w:r w:rsidR="007614D4" w:rsidRPr="008B68A9">
        <w:t xml:space="preserve"> and voice</w:t>
      </w:r>
      <w:r w:rsidR="00162FFE" w:rsidRPr="008B68A9">
        <w:t xml:space="preserve">s </w:t>
      </w:r>
      <w:r w:rsidR="007614D4" w:rsidRPr="008B68A9">
        <w:t>central</w:t>
      </w:r>
      <w:r w:rsidR="00E73A7F" w:rsidRPr="008B68A9">
        <w:t xml:space="preserve"> in planning and delivery of care</w:t>
      </w:r>
      <w:r w:rsidRPr="008B68A9">
        <w:t>.</w:t>
      </w:r>
      <w:r w:rsidR="007614D4" w:rsidRPr="008B68A9">
        <w:t xml:space="preserve"> </w:t>
      </w:r>
      <w:r w:rsidR="00073B48" w:rsidRPr="008B68A9">
        <w:t>I</w:t>
      </w:r>
      <w:r w:rsidRPr="008B68A9">
        <w:t>n the context of personalisation the Ca</w:t>
      </w:r>
      <w:r w:rsidR="00073B48" w:rsidRPr="008B68A9">
        <w:t>re Act may be seen as positive step</w:t>
      </w:r>
      <w:r w:rsidR="00E73A7F" w:rsidRPr="008B68A9">
        <w:t xml:space="preserve"> placing the users’ choice so prominently. The Care Act</w:t>
      </w:r>
      <w:r w:rsidR="00073B48" w:rsidRPr="008B68A9">
        <w:t xml:space="preserve"> </w:t>
      </w:r>
      <w:r w:rsidR="007614D4" w:rsidRPr="008B68A9">
        <w:t>also demands that local authorities play a role in market shaping; in other words</w:t>
      </w:r>
      <w:r w:rsidR="00162FFE" w:rsidRPr="008B68A9">
        <w:t>,</w:t>
      </w:r>
      <w:r w:rsidR="007614D4" w:rsidRPr="008B68A9">
        <w:t xml:space="preserve"> developing markets through commissioning and partnership.</w:t>
      </w:r>
      <w:r w:rsidR="00415741" w:rsidRPr="008B68A9">
        <w:t xml:space="preserve"> </w:t>
      </w:r>
      <w:r w:rsidR="00A40414" w:rsidRPr="008B68A9">
        <w:t>Local authorities’ ability to meet this duty</w:t>
      </w:r>
      <w:r w:rsidR="007614D4" w:rsidRPr="008B68A9">
        <w:t xml:space="preserve"> raises </w:t>
      </w:r>
      <w:r w:rsidR="00A40414" w:rsidRPr="008B68A9">
        <w:t>an</w:t>
      </w:r>
      <w:r w:rsidR="007614D4" w:rsidRPr="008B68A9">
        <w:t xml:space="preserve"> important question </w:t>
      </w:r>
      <w:r w:rsidR="00A40414" w:rsidRPr="008B68A9">
        <w:t>of their ability to do so. The authorities’ resources to create and shape new service provision through commission is questionable. W</w:t>
      </w:r>
      <w:r w:rsidR="007614D4" w:rsidRPr="008B68A9">
        <w:t xml:space="preserve">hether a </w:t>
      </w:r>
      <w:r w:rsidRPr="008B68A9">
        <w:t>modified</w:t>
      </w:r>
      <w:r w:rsidR="007614D4" w:rsidRPr="008B68A9">
        <w:t xml:space="preserve"> form of </w:t>
      </w:r>
      <w:r w:rsidR="00E73A7F" w:rsidRPr="008B68A9">
        <w:t xml:space="preserve">what currently exists </w:t>
      </w:r>
      <w:r w:rsidR="00162FFE" w:rsidRPr="008B68A9">
        <w:t xml:space="preserve">then </w:t>
      </w:r>
      <w:r w:rsidR="007614D4" w:rsidRPr="008B68A9">
        <w:t>emerge</w:t>
      </w:r>
      <w:r w:rsidRPr="008B68A9">
        <w:t>s</w:t>
      </w:r>
      <w:r w:rsidR="007614D4" w:rsidRPr="008B68A9">
        <w:t xml:space="preserve"> </w:t>
      </w:r>
      <w:r w:rsidRPr="008B68A9">
        <w:t>in</w:t>
      </w:r>
      <w:r w:rsidR="007614D4" w:rsidRPr="008B68A9">
        <w:t xml:space="preserve"> the </w:t>
      </w:r>
      <w:r w:rsidRPr="008B68A9">
        <w:t xml:space="preserve">guise of </w:t>
      </w:r>
      <w:r w:rsidR="007614D4" w:rsidRPr="008B68A9">
        <w:t xml:space="preserve">new </w:t>
      </w:r>
      <w:r w:rsidR="00E73A7F" w:rsidRPr="008B68A9">
        <w:t>personalised</w:t>
      </w:r>
      <w:r w:rsidR="00A40414" w:rsidRPr="008B68A9">
        <w:t xml:space="preserve"> </w:t>
      </w:r>
      <w:r w:rsidR="007614D4" w:rsidRPr="008B68A9">
        <w:t>commissioning</w:t>
      </w:r>
      <w:r w:rsidR="00E73A7F" w:rsidRPr="008B68A9">
        <w:t xml:space="preserve"> and services </w:t>
      </w:r>
      <w:r w:rsidR="00162FFE" w:rsidRPr="008B68A9">
        <w:t>–</w:t>
      </w:r>
      <w:r w:rsidR="007614D4" w:rsidRPr="008B68A9">
        <w:t xml:space="preserve"> in reality</w:t>
      </w:r>
      <w:r w:rsidR="00162FFE" w:rsidRPr="008B68A9">
        <w:t>,</w:t>
      </w:r>
      <w:r w:rsidR="007614D4" w:rsidRPr="008B68A9">
        <w:t xml:space="preserve"> </w:t>
      </w:r>
      <w:r w:rsidR="00A40414" w:rsidRPr="008B68A9">
        <w:t xml:space="preserve">using current providers under a different name, </w:t>
      </w:r>
      <w:r w:rsidR="00E73A7F" w:rsidRPr="008B68A9">
        <w:t xml:space="preserve">delivering the same services </w:t>
      </w:r>
      <w:r w:rsidR="00A40414" w:rsidRPr="008B68A9">
        <w:t xml:space="preserve">which equates </w:t>
      </w:r>
      <w:r w:rsidR="00E73A7F" w:rsidRPr="008B68A9">
        <w:t>to</w:t>
      </w:r>
      <w:r w:rsidRPr="008B68A9">
        <w:t xml:space="preserve"> badge re-engineering.</w:t>
      </w:r>
    </w:p>
    <w:p w14:paraId="6B451E8C" w14:textId="04803EF5" w:rsidR="00AF6AFE" w:rsidRPr="008B68A9" w:rsidRDefault="0096216B" w:rsidP="002F0FD7">
      <w:pPr>
        <w:pStyle w:val="5arangedleft"/>
      </w:pPr>
      <w:r w:rsidRPr="008B68A9">
        <w:lastRenderedPageBreak/>
        <w:t>Speed and Ga</w:t>
      </w:r>
      <w:r w:rsidR="00AC16BD" w:rsidRPr="008B68A9">
        <w:t xml:space="preserve">be </w:t>
      </w:r>
      <w:r w:rsidRPr="008B68A9">
        <w:t>(</w:t>
      </w:r>
      <w:r w:rsidR="00AC16BD" w:rsidRPr="008B68A9">
        <w:t>2013 p</w:t>
      </w:r>
      <w:r w:rsidR="00162FFE" w:rsidRPr="008B68A9">
        <w:t xml:space="preserve">. </w:t>
      </w:r>
      <w:r w:rsidR="00AC16BD" w:rsidRPr="008B68A9">
        <w:t>564</w:t>
      </w:r>
      <w:r w:rsidRPr="008B68A9">
        <w:t xml:space="preserve">) </w:t>
      </w:r>
      <w:r w:rsidR="007C0C5C" w:rsidRPr="008B68A9">
        <w:t>criticise the direction of government policy of increased user choice in their services</w:t>
      </w:r>
      <w:r w:rsidR="00162FFE" w:rsidRPr="008B68A9">
        <w:t>;</w:t>
      </w:r>
      <w:r w:rsidR="007C0C5C" w:rsidRPr="008B68A9">
        <w:t xml:space="preserve"> howeve</w:t>
      </w:r>
      <w:r w:rsidR="002A345A" w:rsidRPr="008B68A9">
        <w:t>r</w:t>
      </w:r>
      <w:r w:rsidR="00162FFE" w:rsidRPr="008B68A9">
        <w:t>,</w:t>
      </w:r>
      <w:r w:rsidR="002A345A" w:rsidRPr="008B68A9">
        <w:t xml:space="preserve"> they suggest that rather than policy undermining principles of access to care, personalisation extends neo-liberal reform begun under Labour.</w:t>
      </w:r>
      <w:r w:rsidR="00415741" w:rsidRPr="008B68A9">
        <w:t xml:space="preserve"> </w:t>
      </w:r>
      <w:r w:rsidR="002A345A" w:rsidRPr="008B68A9">
        <w:t xml:space="preserve">They cite </w:t>
      </w:r>
      <w:r w:rsidR="00162FFE" w:rsidRPr="008B68A9">
        <w:t xml:space="preserve">the </w:t>
      </w:r>
      <w:r w:rsidR="002A345A" w:rsidRPr="008B68A9">
        <w:t>‘new professionalism’ created through successive polic</w:t>
      </w:r>
      <w:r w:rsidR="00162FFE" w:rsidRPr="008B68A9">
        <w:t>ies</w:t>
      </w:r>
      <w:r w:rsidR="002A345A" w:rsidRPr="008B68A9">
        <w:t xml:space="preserve"> as a means to both undermine professional dominance and encourage new providers into the markets at the expense of traditional services.</w:t>
      </w:r>
    </w:p>
    <w:p w14:paraId="55B1E2B6" w14:textId="32179C8C" w:rsidR="00A97755" w:rsidRPr="008B68A9" w:rsidRDefault="00BD48CD" w:rsidP="00DA13FA">
      <w:pPr>
        <w:pStyle w:val="2L2header"/>
      </w:pPr>
      <w:bookmarkStart w:id="26" w:name="_Toc466800281"/>
      <w:r w:rsidRPr="008B68A9">
        <w:t>2.5</w:t>
      </w:r>
      <w:r w:rsidR="00A97755" w:rsidRPr="008B68A9">
        <w:t xml:space="preserve"> Creating markets o</w:t>
      </w:r>
      <w:r w:rsidR="002C0B40" w:rsidRPr="008B68A9">
        <w:t>r responding to individual need</w:t>
      </w:r>
      <w:bookmarkEnd w:id="26"/>
    </w:p>
    <w:p w14:paraId="245331B7" w14:textId="68F90868" w:rsidR="00D86F08" w:rsidRPr="008B68A9" w:rsidRDefault="00A40414" w:rsidP="002F0FD7">
      <w:pPr>
        <w:pStyle w:val="5arangedleft"/>
      </w:pPr>
      <w:r w:rsidRPr="008B68A9">
        <w:t>Just as Local Authorities are challenged by personalisation from the Care Act (2014) so too are t</w:t>
      </w:r>
      <w:r w:rsidR="00A97755" w:rsidRPr="008B68A9">
        <w:t>he professional</w:t>
      </w:r>
      <w:r w:rsidRPr="008B68A9">
        <w:t>s. M</w:t>
      </w:r>
      <w:r w:rsidR="00A97755" w:rsidRPr="008B68A9">
        <w:t>ental health nu</w:t>
      </w:r>
      <w:r w:rsidR="007C0C5C" w:rsidRPr="008B68A9">
        <w:t>rses and social workers</w:t>
      </w:r>
      <w:r w:rsidRPr="008B68A9">
        <w:t xml:space="preserve"> initial training and preparation</w:t>
      </w:r>
      <w:r w:rsidR="007C0C5C" w:rsidRPr="008B68A9">
        <w:t xml:space="preserve"> </w:t>
      </w:r>
      <w:r w:rsidR="000030BE" w:rsidRPr="008B68A9">
        <w:t xml:space="preserve">does </w:t>
      </w:r>
      <w:r w:rsidR="00A97755" w:rsidRPr="008B68A9">
        <w:t xml:space="preserve">not prepare them for the additional roles and responsibilities personalisation </w:t>
      </w:r>
      <w:r w:rsidR="00E5579F" w:rsidRPr="008B68A9">
        <w:t>creates</w:t>
      </w:r>
      <w:r w:rsidR="00A97755" w:rsidRPr="008B68A9">
        <w:t xml:space="preserve"> (Lymbery 2012, Larson</w:t>
      </w:r>
      <w:r w:rsidR="00BC7876" w:rsidRPr="008B68A9">
        <w:t xml:space="preserve"> </w:t>
      </w:r>
      <w:r w:rsidR="00BC7876" w:rsidRPr="008B68A9">
        <w:rPr>
          <w:i/>
        </w:rPr>
        <w:t>et al</w:t>
      </w:r>
      <w:r w:rsidR="00AB283A" w:rsidRPr="008B68A9">
        <w:rPr>
          <w:i/>
        </w:rPr>
        <w:t>.</w:t>
      </w:r>
      <w:r w:rsidR="00A97755" w:rsidRPr="008B68A9">
        <w:t xml:space="preserve"> 2013).</w:t>
      </w:r>
      <w:r w:rsidR="00415741" w:rsidRPr="008B68A9">
        <w:t xml:space="preserve"> </w:t>
      </w:r>
      <w:r w:rsidR="00A97755" w:rsidRPr="008B68A9">
        <w:t>Where budget holders cho</w:t>
      </w:r>
      <w:r w:rsidR="00E5579F" w:rsidRPr="008B68A9">
        <w:t>o</w:t>
      </w:r>
      <w:r w:rsidR="00A97755" w:rsidRPr="008B68A9">
        <w:t>se to spend their allocation in novel ways</w:t>
      </w:r>
      <w:r w:rsidR="00E5579F" w:rsidRPr="008B68A9">
        <w:t>,</w:t>
      </w:r>
      <w:r w:rsidR="00A97755" w:rsidRPr="008B68A9">
        <w:t xml:space="preserve"> often outside traditionally contracted </w:t>
      </w:r>
      <w:r w:rsidR="00DF3E7F" w:rsidRPr="008B68A9">
        <w:t>service responses</w:t>
      </w:r>
      <w:r w:rsidR="00A97755" w:rsidRPr="008B68A9">
        <w:t>, the task of identifying suitable providers to meet</w:t>
      </w:r>
      <w:r w:rsidR="007C0C5C" w:rsidRPr="008B68A9">
        <w:t xml:space="preserve"> </w:t>
      </w:r>
      <w:r w:rsidR="00DF3E7F" w:rsidRPr="008B68A9">
        <w:t>user need represent</w:t>
      </w:r>
      <w:r w:rsidR="007C0C5C" w:rsidRPr="008B68A9">
        <w:t xml:space="preserve"> </w:t>
      </w:r>
      <w:r w:rsidR="00A97755" w:rsidRPr="008B68A9">
        <w:t xml:space="preserve">additional </w:t>
      </w:r>
      <w:r w:rsidR="00E5579F" w:rsidRPr="008B68A9">
        <w:t>challenge</w:t>
      </w:r>
      <w:r w:rsidR="00DF3E7F" w:rsidRPr="008B68A9">
        <w:t>s</w:t>
      </w:r>
      <w:r w:rsidR="007C0C5C" w:rsidRPr="008B68A9">
        <w:t xml:space="preserve"> for professionals.</w:t>
      </w:r>
      <w:r w:rsidR="00415741" w:rsidRPr="008B68A9">
        <w:t xml:space="preserve"> </w:t>
      </w:r>
      <w:r w:rsidR="007C0C5C" w:rsidRPr="008B68A9">
        <w:t>B</w:t>
      </w:r>
      <w:r w:rsidR="00A97755" w:rsidRPr="008B68A9">
        <w:t>usiness models and a market approach</w:t>
      </w:r>
      <w:r w:rsidR="00DF3E7F" w:rsidRPr="008B68A9">
        <w:t>es</w:t>
      </w:r>
      <w:r w:rsidR="00A97755" w:rsidRPr="008B68A9">
        <w:t xml:space="preserve"> </w:t>
      </w:r>
      <w:r w:rsidR="007C0C5C" w:rsidRPr="008B68A9">
        <w:t xml:space="preserve">are problematic </w:t>
      </w:r>
      <w:r w:rsidR="00DF3E7F" w:rsidRPr="008B68A9">
        <w:t>for</w:t>
      </w:r>
      <w:r w:rsidR="007C0C5C" w:rsidRPr="008B68A9">
        <w:t xml:space="preserve"> </w:t>
      </w:r>
      <w:r w:rsidR="00A97755" w:rsidRPr="008B68A9">
        <w:t xml:space="preserve">nurses and social workers </w:t>
      </w:r>
      <w:r w:rsidR="00DF3E7F" w:rsidRPr="008B68A9">
        <w:t xml:space="preserve">as they are arguably </w:t>
      </w:r>
      <w:r w:rsidR="00A97755" w:rsidRPr="008B68A9">
        <w:t>ill-</w:t>
      </w:r>
      <w:r w:rsidR="00DF3E7F" w:rsidRPr="008B68A9">
        <w:t>prepared</w:t>
      </w:r>
      <w:r w:rsidR="00A97755" w:rsidRPr="008B68A9">
        <w:t xml:space="preserve"> to navigate care market</w:t>
      </w:r>
      <w:r w:rsidR="00DF3E7F" w:rsidRPr="008B68A9">
        <w:t>s</w:t>
      </w:r>
      <w:r w:rsidR="00450C96" w:rsidRPr="008B68A9">
        <w:t>.</w:t>
      </w:r>
      <w:r w:rsidR="00415741" w:rsidRPr="008B68A9">
        <w:t xml:space="preserve"> </w:t>
      </w:r>
      <w:r w:rsidR="00EE5B72" w:rsidRPr="008B68A9">
        <w:t>Daly (2008) has suggested that t</w:t>
      </w:r>
      <w:r w:rsidR="00450C96" w:rsidRPr="008B68A9">
        <w:t>here are central questions whether some issues are too important</w:t>
      </w:r>
      <w:r w:rsidR="00EE5B72" w:rsidRPr="008B68A9">
        <w:t xml:space="preserve"> for personalisation to shape and</w:t>
      </w:r>
      <w:r w:rsidR="00450C96" w:rsidRPr="008B68A9">
        <w:t xml:space="preserve"> </w:t>
      </w:r>
      <w:r w:rsidR="00EE5B72" w:rsidRPr="008B68A9">
        <w:t>Spicker (2012)</w:t>
      </w:r>
      <w:r w:rsidR="00951C6D" w:rsidRPr="008B68A9">
        <w:t xml:space="preserve"> cautions against </w:t>
      </w:r>
      <w:r w:rsidR="00450C96" w:rsidRPr="008B68A9">
        <w:t>free-markets</w:t>
      </w:r>
      <w:r w:rsidR="00D50EC0" w:rsidRPr="008B68A9">
        <w:t xml:space="preserve"> solely</w:t>
      </w:r>
      <w:r w:rsidR="00450C96" w:rsidRPr="008B68A9">
        <w:t xml:space="preserve"> </w:t>
      </w:r>
      <w:r w:rsidR="00951C6D" w:rsidRPr="008B68A9">
        <w:t>determining care. O</w:t>
      </w:r>
      <w:r w:rsidR="00E5579F" w:rsidRPr="008B68A9">
        <w:t>ften</w:t>
      </w:r>
      <w:r w:rsidR="0083586C" w:rsidRPr="008B68A9">
        <w:t xml:space="preserve"> </w:t>
      </w:r>
      <w:r w:rsidR="00951C6D" w:rsidRPr="008B68A9">
        <w:t>too</w:t>
      </w:r>
      <w:r w:rsidR="00D50EC0" w:rsidRPr="008B68A9">
        <w:t>,</w:t>
      </w:r>
      <w:r w:rsidR="00951C6D" w:rsidRPr="008B68A9">
        <w:t xml:space="preserve"> </w:t>
      </w:r>
      <w:r w:rsidR="0083586C" w:rsidRPr="008B68A9">
        <w:t>professionals involved in health and social care do not readily adopt neo-liberal ideas as</w:t>
      </w:r>
      <w:r w:rsidR="00E5579F" w:rsidRPr="008B68A9">
        <w:t xml:space="preserve"> their training locates their ethical compass in social justice and equality (Duffy 2010</w:t>
      </w:r>
      <w:r w:rsidR="00C4285C" w:rsidRPr="008B68A9">
        <w:t>a</w:t>
      </w:r>
      <w:r w:rsidR="00E5579F" w:rsidRPr="008B68A9">
        <w:t>)</w:t>
      </w:r>
      <w:r w:rsidR="00A97755" w:rsidRPr="008B68A9">
        <w:t>.</w:t>
      </w:r>
      <w:r w:rsidR="00415741" w:rsidRPr="008B68A9">
        <w:t xml:space="preserve"> </w:t>
      </w:r>
      <w:r w:rsidR="00E5579F" w:rsidRPr="008B68A9">
        <w:t>Professional</w:t>
      </w:r>
      <w:r w:rsidR="000030BE" w:rsidRPr="008B68A9">
        <w:t>s</w:t>
      </w:r>
      <w:r w:rsidR="00A97755" w:rsidRPr="008B68A9">
        <w:t xml:space="preserve"> ci</w:t>
      </w:r>
      <w:r w:rsidR="00D50EC0" w:rsidRPr="008B68A9">
        <w:t>te</w:t>
      </w:r>
      <w:r w:rsidR="00A97755" w:rsidRPr="008B68A9">
        <w:t xml:space="preserve"> </w:t>
      </w:r>
      <w:r w:rsidR="00F8697A" w:rsidRPr="008B68A9">
        <w:t xml:space="preserve">a </w:t>
      </w:r>
      <w:r w:rsidR="00A97755" w:rsidRPr="008B68A9">
        <w:t>lack of time</w:t>
      </w:r>
      <w:r w:rsidR="00D50EC0" w:rsidRPr="008B68A9">
        <w:t xml:space="preserve"> in their work</w:t>
      </w:r>
      <w:r w:rsidR="00A97755" w:rsidRPr="008B68A9">
        <w:t xml:space="preserve"> to identify and negotiate with potential providers on behalf of budget holder</w:t>
      </w:r>
      <w:r w:rsidR="0092448C" w:rsidRPr="008B68A9">
        <w:t>s</w:t>
      </w:r>
      <w:r w:rsidR="00A97755" w:rsidRPr="008B68A9">
        <w:t xml:space="preserve"> </w:t>
      </w:r>
      <w:r w:rsidR="0092448C" w:rsidRPr="008B68A9">
        <w:t>(</w:t>
      </w:r>
      <w:r w:rsidR="004B3179" w:rsidRPr="008B68A9">
        <w:t>Brookes</w:t>
      </w:r>
      <w:r w:rsidR="0092448C" w:rsidRPr="008B68A9">
        <w:t xml:space="preserve"> </w:t>
      </w:r>
      <w:r w:rsidR="00AC06A3" w:rsidRPr="008B68A9">
        <w:rPr>
          <w:i/>
        </w:rPr>
        <w:t>et al.</w:t>
      </w:r>
      <w:r w:rsidR="00F13432" w:rsidRPr="008B68A9">
        <w:t xml:space="preserve"> 2013</w:t>
      </w:r>
      <w:r w:rsidR="0092448C" w:rsidRPr="008B68A9">
        <w:t>)</w:t>
      </w:r>
      <w:r w:rsidR="00426695" w:rsidRPr="008B68A9">
        <w:t>.</w:t>
      </w:r>
      <w:r w:rsidR="0092448C" w:rsidRPr="008B68A9">
        <w:t xml:space="preserve"> </w:t>
      </w:r>
      <w:r w:rsidR="00426695" w:rsidRPr="008B68A9">
        <w:t>C</w:t>
      </w:r>
      <w:r w:rsidR="00A97755" w:rsidRPr="008B68A9">
        <w:t>onversely,</w:t>
      </w:r>
      <w:r w:rsidR="0092448C" w:rsidRPr="008B68A9">
        <w:t xml:space="preserve"> where budget users source</w:t>
      </w:r>
      <w:r w:rsidR="00A97755" w:rsidRPr="008B68A9">
        <w:t xml:space="preserve"> their own care provider</w:t>
      </w:r>
      <w:r w:rsidR="00426695" w:rsidRPr="008B68A9">
        <w:t>s</w:t>
      </w:r>
      <w:r w:rsidR="00A97755" w:rsidRPr="008B68A9">
        <w:t xml:space="preserve"> </w:t>
      </w:r>
      <w:r w:rsidR="00F8697A" w:rsidRPr="008B68A9">
        <w:t xml:space="preserve">from </w:t>
      </w:r>
      <w:r w:rsidR="00A97755" w:rsidRPr="008B68A9">
        <w:t>outside traditional provision, such as friends or community connections</w:t>
      </w:r>
      <w:r w:rsidR="00F8697A" w:rsidRPr="008B68A9">
        <w:t>,</w:t>
      </w:r>
      <w:r w:rsidR="00A97755" w:rsidRPr="008B68A9">
        <w:t xml:space="preserve"> professiona</w:t>
      </w:r>
      <w:r w:rsidR="0092448C" w:rsidRPr="008B68A9">
        <w:t xml:space="preserve">ls </w:t>
      </w:r>
      <w:r w:rsidR="00B37F56" w:rsidRPr="008B68A9">
        <w:t xml:space="preserve">and their representatives </w:t>
      </w:r>
      <w:r w:rsidR="0092448C" w:rsidRPr="008B68A9">
        <w:t>express concern</w:t>
      </w:r>
      <w:r w:rsidR="00B37F56" w:rsidRPr="008B68A9">
        <w:t xml:space="preserve">s </w:t>
      </w:r>
      <w:r w:rsidR="00151F74" w:rsidRPr="008B68A9">
        <w:t xml:space="preserve">about </w:t>
      </w:r>
      <w:r w:rsidR="00B37F56" w:rsidRPr="008B68A9">
        <w:t>transferring risk to the person (Needham 2011b).</w:t>
      </w:r>
      <w:r w:rsidR="00415741" w:rsidRPr="008B68A9">
        <w:t xml:space="preserve"> </w:t>
      </w:r>
      <w:r w:rsidR="00F8697A" w:rsidRPr="008B68A9">
        <w:t>There are i</w:t>
      </w:r>
      <w:r w:rsidR="00B37F56" w:rsidRPr="008B68A9">
        <w:t xml:space="preserve">ssues of </w:t>
      </w:r>
      <w:r w:rsidR="00A97755" w:rsidRPr="008B68A9">
        <w:t>confidentiality and safeguarding</w:t>
      </w:r>
      <w:r w:rsidR="00F97CAF" w:rsidRPr="008B68A9">
        <w:t xml:space="preserve"> clearly, however</w:t>
      </w:r>
      <w:r w:rsidR="00B37F56" w:rsidRPr="008B68A9">
        <w:t xml:space="preserve"> where budget holders and not professionals lead in their care</w:t>
      </w:r>
      <w:r w:rsidR="00F97CAF" w:rsidRPr="008B68A9">
        <w:t xml:space="preserve"> </w:t>
      </w:r>
      <w:r w:rsidR="0092448C" w:rsidRPr="008B68A9">
        <w:t xml:space="preserve">Hamilton </w:t>
      </w:r>
      <w:r w:rsidR="00AC06A3" w:rsidRPr="008B68A9">
        <w:rPr>
          <w:i/>
        </w:rPr>
        <w:t>et al.</w:t>
      </w:r>
      <w:r w:rsidR="0092448C" w:rsidRPr="008B68A9">
        <w:t xml:space="preserve"> </w:t>
      </w:r>
      <w:r w:rsidR="00F97CAF" w:rsidRPr="008B68A9">
        <w:t>(</w:t>
      </w:r>
      <w:r w:rsidR="0092448C" w:rsidRPr="008B68A9">
        <w:t>2015)</w:t>
      </w:r>
      <w:r w:rsidR="00F97CAF" w:rsidRPr="008B68A9">
        <w:t xml:space="preserve"> show a defensive approach adopted by professionals beyond the potential risks identified</w:t>
      </w:r>
      <w:r w:rsidR="00A97755" w:rsidRPr="008B68A9">
        <w:t>.</w:t>
      </w:r>
      <w:r w:rsidR="00415741" w:rsidRPr="008B68A9">
        <w:t xml:space="preserve"> </w:t>
      </w:r>
    </w:p>
    <w:p w14:paraId="26A70BE7" w14:textId="0ED4FADD" w:rsidR="00A97755" w:rsidRPr="008B68A9" w:rsidRDefault="002F04A9" w:rsidP="002F0FD7">
      <w:pPr>
        <w:pStyle w:val="5arangedleft"/>
      </w:pPr>
      <w:r w:rsidRPr="008B68A9">
        <w:lastRenderedPageBreak/>
        <w:t>T</w:t>
      </w:r>
      <w:r w:rsidR="00A97755" w:rsidRPr="008B68A9">
        <w:t>he advent of increased consumer involvement from personalisation challenges traditional approaches to commi</w:t>
      </w:r>
      <w:r w:rsidRPr="008B68A9">
        <w:t>ssioning mental health services in the same way it does</w:t>
      </w:r>
      <w:r w:rsidR="00415741" w:rsidRPr="008B68A9">
        <w:t xml:space="preserve"> </w:t>
      </w:r>
      <w:r w:rsidRPr="008B68A9">
        <w:t xml:space="preserve">local authorities. Health services </w:t>
      </w:r>
      <w:r w:rsidR="00A97755" w:rsidRPr="008B68A9">
        <w:t xml:space="preserve">are expected to participate in shaping new markets to meet the anticipated rise in individual budgets </w:t>
      </w:r>
      <w:r w:rsidR="00F97CAF" w:rsidRPr="008B68A9">
        <w:t>demanded by the legislation</w:t>
      </w:r>
      <w:r w:rsidR="00413B99" w:rsidRPr="008B68A9">
        <w:t xml:space="preserve"> (Needham 2013a)</w:t>
      </w:r>
      <w:r w:rsidR="00A97755" w:rsidRPr="008B68A9">
        <w:t>.</w:t>
      </w:r>
      <w:r w:rsidR="00415741" w:rsidRPr="008B68A9">
        <w:t xml:space="preserve"> </w:t>
      </w:r>
      <w:r w:rsidR="00986AAE" w:rsidRPr="008B68A9">
        <w:t>Quite possibly</w:t>
      </w:r>
      <w:r w:rsidR="00151F74" w:rsidRPr="008B68A9">
        <w:t>,</w:t>
      </w:r>
      <w:r w:rsidR="00986AAE" w:rsidRPr="008B68A9">
        <w:t xml:space="preserve"> </w:t>
      </w:r>
      <w:r w:rsidRPr="008B68A9">
        <w:t xml:space="preserve">the </w:t>
      </w:r>
      <w:r w:rsidR="00986AAE" w:rsidRPr="008B68A9">
        <w:t xml:space="preserve">concerns </w:t>
      </w:r>
      <w:r w:rsidR="00151F74" w:rsidRPr="008B68A9">
        <w:t>ide</w:t>
      </w:r>
      <w:r w:rsidR="00E34C5E" w:rsidRPr="008B68A9">
        <w:t>ntified by Alakeson and Rumbold</w:t>
      </w:r>
      <w:r w:rsidR="00151F74" w:rsidRPr="008B68A9">
        <w:t xml:space="preserve"> (2013) </w:t>
      </w:r>
      <w:r w:rsidR="00F97CAF" w:rsidRPr="008B68A9">
        <w:t>of</w:t>
      </w:r>
      <w:r w:rsidR="00986AAE" w:rsidRPr="008B68A9">
        <w:t xml:space="preserve"> </w:t>
      </w:r>
      <w:r w:rsidR="00F97CAF" w:rsidRPr="008B68A9">
        <w:t>clinical commissioning groups</w:t>
      </w:r>
      <w:r w:rsidRPr="008B68A9">
        <w:t>’</w:t>
      </w:r>
      <w:r w:rsidR="00F97CAF" w:rsidRPr="008B68A9">
        <w:t xml:space="preserve"> </w:t>
      </w:r>
      <w:r w:rsidR="00986AAE" w:rsidRPr="008B68A9">
        <w:t xml:space="preserve">preparedness </w:t>
      </w:r>
      <w:r w:rsidR="00790770" w:rsidRPr="008B68A9">
        <w:t xml:space="preserve">of </w:t>
      </w:r>
      <w:r w:rsidRPr="008B68A9">
        <w:t>being</w:t>
      </w:r>
      <w:r w:rsidR="00986AAE" w:rsidRPr="008B68A9">
        <w:t xml:space="preserve"> fully cognisant of personalisation and health budgets </w:t>
      </w:r>
      <w:r w:rsidR="00E34C5E" w:rsidRPr="008B68A9">
        <w:t xml:space="preserve">(arising out the Health and Social Care Act (2012)) </w:t>
      </w:r>
      <w:r w:rsidRPr="008B68A9">
        <w:t>heralded</w:t>
      </w:r>
      <w:r w:rsidR="00986AAE" w:rsidRPr="008B68A9">
        <w:t xml:space="preserve"> more drastic approach</w:t>
      </w:r>
      <w:r w:rsidRPr="008B68A9">
        <w:t>es</w:t>
      </w:r>
      <w:r w:rsidR="00986AAE" w:rsidRPr="008B68A9">
        <w:t xml:space="preserve"> to promote personal health budgets</w:t>
      </w:r>
      <w:r w:rsidR="00790770" w:rsidRPr="008B68A9">
        <w:t xml:space="preserve"> through the Care Act (2014)</w:t>
      </w:r>
      <w:r w:rsidR="00986AAE" w:rsidRPr="008B68A9">
        <w:t>.</w:t>
      </w:r>
      <w:r w:rsidR="00415741" w:rsidRPr="008B68A9">
        <w:t xml:space="preserve"> </w:t>
      </w:r>
      <w:r w:rsidR="00986AAE" w:rsidRPr="008B68A9">
        <w:t>C</w:t>
      </w:r>
      <w:r w:rsidR="00A97755" w:rsidRPr="008B68A9">
        <w:t xml:space="preserve">hanges in commissioning services </w:t>
      </w:r>
      <w:r w:rsidR="00850EF7" w:rsidRPr="008B68A9">
        <w:t xml:space="preserve">to what are termed integrated personal commissioning </w:t>
      </w:r>
      <w:r w:rsidR="00A97755" w:rsidRPr="008B68A9">
        <w:t xml:space="preserve">were announced by the chief executive of the NHS, Simon Stevens (2014), </w:t>
      </w:r>
      <w:r w:rsidR="00850EF7" w:rsidRPr="008B68A9">
        <w:t>in</w:t>
      </w:r>
      <w:r w:rsidR="00A97755" w:rsidRPr="008B68A9">
        <w:t xml:space="preserve"> collaboration with </w:t>
      </w:r>
      <w:r w:rsidR="00864488" w:rsidRPr="008B68A9">
        <w:t>Think Local Act Personal (</w:t>
      </w:r>
      <w:r w:rsidR="00A97755" w:rsidRPr="008B68A9">
        <w:t>TLAP</w:t>
      </w:r>
      <w:r w:rsidR="00864488" w:rsidRPr="008B68A9">
        <w:t>)</w:t>
      </w:r>
      <w:r w:rsidR="00A97755" w:rsidRPr="008B68A9">
        <w:t>.</w:t>
      </w:r>
      <w:r w:rsidR="00415741" w:rsidRPr="008B68A9">
        <w:t xml:space="preserve"> </w:t>
      </w:r>
      <w:r w:rsidR="007270D2" w:rsidRPr="008B68A9">
        <w:t>Stevens</w:t>
      </w:r>
      <w:r w:rsidR="00A97755" w:rsidRPr="008B68A9">
        <w:t xml:space="preserve"> stated that health services should stop considering people as collections of health problems or interventions, but rather: “</w:t>
      </w:r>
      <w:r w:rsidR="001D528C" w:rsidRPr="008B68A9">
        <w:t xml:space="preserve">to </w:t>
      </w:r>
      <w:r w:rsidR="00A97755" w:rsidRPr="008B68A9">
        <w:t>treat them as individuals whose needs and preferences should be seen in the round and whose choices shape services, not the other way round”</w:t>
      </w:r>
      <w:r w:rsidR="00E34C5E" w:rsidRPr="008B68A9">
        <w:t>.</w:t>
      </w:r>
      <w:r w:rsidR="00415741" w:rsidRPr="008B68A9">
        <w:t xml:space="preserve"> </w:t>
      </w:r>
      <w:r w:rsidR="007270D2" w:rsidRPr="008B68A9">
        <w:t>Therefore the principle of commissioning taken to an individual level opens a way for personalisation to become more widespread and user</w:t>
      </w:r>
      <w:r w:rsidR="00E34C5E" w:rsidRPr="008B68A9">
        <w:t>-</w:t>
      </w:r>
      <w:r w:rsidR="007270D2" w:rsidRPr="008B68A9">
        <w:t>led.</w:t>
      </w:r>
    </w:p>
    <w:p w14:paraId="71806F43" w14:textId="4B517B40" w:rsidR="00A97755" w:rsidRPr="008B68A9" w:rsidRDefault="00A97755" w:rsidP="002F0FD7">
      <w:pPr>
        <w:pStyle w:val="5arangedleft"/>
      </w:pPr>
      <w:r w:rsidRPr="008B68A9">
        <w:t xml:space="preserve">Whether practitioners who report being overwhelmed by current </w:t>
      </w:r>
      <w:r w:rsidR="00850EF7" w:rsidRPr="008B68A9">
        <w:t>roles and responsibilities</w:t>
      </w:r>
      <w:r w:rsidRPr="008B68A9">
        <w:t xml:space="preserve"> will </w:t>
      </w:r>
      <w:r w:rsidR="00BE44C6" w:rsidRPr="008B68A9">
        <w:t>be able to respond</w:t>
      </w:r>
      <w:r w:rsidRPr="008B68A9">
        <w:t xml:space="preserve"> </w:t>
      </w:r>
      <w:r w:rsidR="00850EF7" w:rsidRPr="008B68A9">
        <w:t>with</w:t>
      </w:r>
      <w:r w:rsidRPr="008B68A9">
        <w:t xml:space="preserve"> personalised and flexible models of support remains to be seen</w:t>
      </w:r>
      <w:r w:rsidR="001A3CCF" w:rsidRPr="008B68A9">
        <w:t>;</w:t>
      </w:r>
      <w:r w:rsidRPr="008B68A9">
        <w:t xml:space="preserve"> however</w:t>
      </w:r>
      <w:r w:rsidR="001A3CCF" w:rsidRPr="008B68A9">
        <w:t>,</w:t>
      </w:r>
      <w:r w:rsidRPr="008B68A9">
        <w:t xml:space="preserve"> commissioning represents another part of the disruptive narrative</w:t>
      </w:r>
      <w:r w:rsidR="001A3CCF" w:rsidRPr="008B68A9">
        <w:t xml:space="preserve"> that</w:t>
      </w:r>
      <w:r w:rsidRPr="008B68A9">
        <w:t xml:space="preserve"> personalisation creates</w:t>
      </w:r>
      <w:r w:rsidR="00850EF7" w:rsidRPr="008B68A9">
        <w:t xml:space="preserve"> for the public service sector</w:t>
      </w:r>
      <w:r w:rsidRPr="008B68A9">
        <w:t>.</w:t>
      </w:r>
      <w:r w:rsidR="00415741" w:rsidRPr="008B68A9">
        <w:t xml:space="preserve"> </w:t>
      </w:r>
    </w:p>
    <w:p w14:paraId="67394F14" w14:textId="0F4CAD8C" w:rsidR="00BB6EF8" w:rsidRPr="008B68A9" w:rsidRDefault="00A97755" w:rsidP="002F0FD7">
      <w:pPr>
        <w:pStyle w:val="5arangedleft"/>
      </w:pPr>
      <w:r w:rsidRPr="008B68A9">
        <w:t xml:space="preserve">Creating care markets from personalisation within traditional consumer paradigms was cautioned against by Leadbeater (2004, p.25), as the task for personalisation </w:t>
      </w:r>
      <w:r w:rsidR="00850EF7" w:rsidRPr="008B68A9">
        <w:t>was</w:t>
      </w:r>
      <w:r w:rsidRPr="008B68A9">
        <w:t xml:space="preserve"> to change the public service user engagement</w:t>
      </w:r>
      <w:r w:rsidR="00850EF7" w:rsidRPr="008B68A9">
        <w:t xml:space="preserve"> script</w:t>
      </w:r>
      <w:r w:rsidR="00E364FB" w:rsidRPr="008B68A9">
        <w:t>,</w:t>
      </w:r>
      <w:r w:rsidRPr="008B68A9">
        <w:t xml:space="preserve"> creat</w:t>
      </w:r>
      <w:r w:rsidR="00E364FB" w:rsidRPr="008B68A9">
        <w:t xml:space="preserve">ing </w:t>
      </w:r>
      <w:r w:rsidRPr="008B68A9">
        <w:t>equal spaces not shopping malls.</w:t>
      </w:r>
      <w:r w:rsidR="00415741" w:rsidRPr="008B68A9">
        <w:t xml:space="preserve"> </w:t>
      </w:r>
      <w:r w:rsidR="00850EF7" w:rsidRPr="008B68A9">
        <w:t>He suggested</w:t>
      </w:r>
      <w:r w:rsidRPr="008B68A9">
        <w:t xml:space="preserve"> that once users of public services, “…get an appetite for it.</w:t>
      </w:r>
      <w:r w:rsidR="00415741" w:rsidRPr="008B68A9">
        <w:t xml:space="preserve"> </w:t>
      </w:r>
      <w:r w:rsidRPr="008B68A9">
        <w:t xml:space="preserve">They will want more.” However, in the context of Leadbeater’s hopes and the </w:t>
      </w:r>
      <w:r w:rsidR="00850EF7" w:rsidRPr="008B68A9">
        <w:t xml:space="preserve">subsequent </w:t>
      </w:r>
      <w:r w:rsidRPr="008B68A9">
        <w:t>advent of austerity and public service retraction (National Audit Office 2014</w:t>
      </w:r>
      <w:r w:rsidR="00CB42B3" w:rsidRPr="008B68A9">
        <w:t>, Local Government Association 2014</w:t>
      </w:r>
      <w:r w:rsidRPr="008B68A9">
        <w:t xml:space="preserve">), limits imposed by central government on </w:t>
      </w:r>
      <w:r w:rsidR="00850EF7" w:rsidRPr="008B68A9">
        <w:t xml:space="preserve">local authorities’ </w:t>
      </w:r>
      <w:r w:rsidRPr="008B68A9">
        <w:t>spending lessen the options for potential consumers.</w:t>
      </w:r>
      <w:r w:rsidR="00415741" w:rsidRPr="008B68A9">
        <w:t xml:space="preserve"> </w:t>
      </w:r>
      <w:r w:rsidRPr="008B68A9">
        <w:t xml:space="preserve">Daly (2012) is one of a growing number of critical voices analysing the challenges personalisation presents, warning of the potentially damaging effect individual </w:t>
      </w:r>
      <w:r w:rsidRPr="008B68A9">
        <w:lastRenderedPageBreak/>
        <w:t>budgets or self-directed support may have on civil society and the</w:t>
      </w:r>
      <w:r w:rsidR="00D86F08" w:rsidRPr="008B68A9">
        <w:t>refore the</w:t>
      </w:r>
      <w:r w:rsidRPr="008B68A9">
        <w:t xml:space="preserve"> wider economy.</w:t>
      </w:r>
      <w:r w:rsidR="00415741" w:rsidRPr="008B68A9">
        <w:t xml:space="preserve"> </w:t>
      </w:r>
    </w:p>
    <w:p w14:paraId="1C9BA848" w14:textId="121229A5" w:rsidR="00A97755" w:rsidRPr="008B68A9" w:rsidRDefault="006F1E22" w:rsidP="002F0FD7">
      <w:pPr>
        <w:pStyle w:val="5arangedleft"/>
      </w:pPr>
      <w:r w:rsidRPr="008B68A9">
        <w:t>Further concern</w:t>
      </w:r>
      <w:r w:rsidR="00077F75" w:rsidRPr="008B68A9">
        <w:t xml:space="preserve"> of market driven care</w:t>
      </w:r>
      <w:r w:rsidRPr="008B68A9">
        <w:t xml:space="preserve"> is expressed by </w:t>
      </w:r>
      <w:r w:rsidR="00A97755" w:rsidRPr="008B68A9">
        <w:t xml:space="preserve">Arntz and </w:t>
      </w:r>
      <w:r w:rsidR="00896D6F" w:rsidRPr="008B68A9">
        <w:t xml:space="preserve">Thomsen </w:t>
      </w:r>
      <w:r w:rsidR="00A97755" w:rsidRPr="008B68A9">
        <w:t xml:space="preserve">(2010), </w:t>
      </w:r>
      <w:r w:rsidRPr="008B68A9">
        <w:t xml:space="preserve">who </w:t>
      </w:r>
      <w:r w:rsidR="00A97755" w:rsidRPr="008B68A9">
        <w:t xml:space="preserve">warn of </w:t>
      </w:r>
      <w:r w:rsidR="00C04490" w:rsidRPr="008B68A9">
        <w:t>a</w:t>
      </w:r>
      <w:r w:rsidR="00A97755" w:rsidRPr="008B68A9">
        <w:t xml:space="preserve"> </w:t>
      </w:r>
      <w:r w:rsidR="00012E8E" w:rsidRPr="008B68A9">
        <w:t>commodification</w:t>
      </w:r>
      <w:r w:rsidR="00A97755" w:rsidRPr="008B68A9">
        <w:t xml:space="preserve"> of care</w:t>
      </w:r>
      <w:r w:rsidR="005072C9" w:rsidRPr="008B68A9">
        <w:t>:</w:t>
      </w:r>
      <w:r w:rsidR="00A97755" w:rsidRPr="008B68A9">
        <w:t xml:space="preserve"> where goodwill or kinship</w:t>
      </w:r>
      <w:r w:rsidR="00077F75" w:rsidRPr="008B68A9">
        <w:t xml:space="preserve"> that</w:t>
      </w:r>
      <w:r w:rsidR="00A97755" w:rsidRPr="008B68A9">
        <w:t xml:space="preserve"> </w:t>
      </w:r>
      <w:r w:rsidR="005072C9" w:rsidRPr="008B68A9">
        <w:t xml:space="preserve">once </w:t>
      </w:r>
      <w:r w:rsidR="00A97755" w:rsidRPr="008B68A9">
        <w:t xml:space="preserve">provided care and support, personal budgets creates conditions of financial exchange in place of altruism or acts of reciprocity. </w:t>
      </w:r>
      <w:r w:rsidR="00850EF7" w:rsidRPr="008B68A9">
        <w:t>However a potential benefit or</w:t>
      </w:r>
      <w:r w:rsidR="00A97755" w:rsidRPr="008B68A9">
        <w:t xml:space="preserve"> alternative perspective suggests that </w:t>
      </w:r>
      <w:r w:rsidR="00850EF7" w:rsidRPr="008B68A9">
        <w:t>acts of care</w:t>
      </w:r>
      <w:r w:rsidR="00A97755" w:rsidRPr="008B68A9">
        <w:t xml:space="preserve"> otherwise </w:t>
      </w:r>
      <w:r w:rsidRPr="008B68A9">
        <w:t xml:space="preserve">considered </w:t>
      </w:r>
      <w:r w:rsidR="00850EF7" w:rsidRPr="008B68A9">
        <w:t xml:space="preserve">a part of </w:t>
      </w:r>
      <w:r w:rsidRPr="008B68A9">
        <w:t>motherhood or</w:t>
      </w:r>
      <w:r w:rsidR="00A97755" w:rsidRPr="008B68A9">
        <w:t xml:space="preserve"> </w:t>
      </w:r>
      <w:r w:rsidR="00850EF7" w:rsidRPr="008B68A9">
        <w:t>support</w:t>
      </w:r>
      <w:r w:rsidR="00A97755" w:rsidRPr="008B68A9">
        <w:t xml:space="preserve"> for disabled family</w:t>
      </w:r>
      <w:r w:rsidR="00850EF7" w:rsidRPr="008B68A9">
        <w:t xml:space="preserve"> members</w:t>
      </w:r>
      <w:r w:rsidR="00A97755" w:rsidRPr="008B68A9">
        <w:t xml:space="preserve"> should more accurately </w:t>
      </w:r>
      <w:r w:rsidR="00850EF7" w:rsidRPr="008B68A9">
        <w:t xml:space="preserve">be </w:t>
      </w:r>
      <w:r w:rsidR="00A97755" w:rsidRPr="008B68A9">
        <w:t>ter</w:t>
      </w:r>
      <w:r w:rsidR="00850EF7" w:rsidRPr="008B68A9">
        <w:t>med unpaid care (Ungerson 2007).</w:t>
      </w:r>
      <w:r w:rsidR="00A97755" w:rsidRPr="008B68A9">
        <w:t xml:space="preserve"> </w:t>
      </w:r>
      <w:r w:rsidR="00850EF7" w:rsidRPr="008B68A9">
        <w:t>T</w:t>
      </w:r>
      <w:r w:rsidR="00A97755" w:rsidRPr="008B68A9">
        <w:t xml:space="preserve">herefore personal budgets provide an opportunity to </w:t>
      </w:r>
      <w:r w:rsidR="00850EF7" w:rsidRPr="008B68A9">
        <w:t>obtain</w:t>
      </w:r>
      <w:r w:rsidR="00A97755" w:rsidRPr="008B68A9">
        <w:t xml:space="preserve"> and provide financial reward for </w:t>
      </w:r>
      <w:r w:rsidR="005072C9" w:rsidRPr="008B68A9">
        <w:t>those care roles</w:t>
      </w:r>
      <w:r w:rsidR="00A97755" w:rsidRPr="008B68A9">
        <w:t>.</w:t>
      </w:r>
      <w:r w:rsidR="00415741" w:rsidRPr="008B68A9">
        <w:t xml:space="preserve"> </w:t>
      </w:r>
      <w:r w:rsidR="00A97755" w:rsidRPr="008B68A9">
        <w:t>The place of unpaid care and of families fulfilling care functions is complex</w:t>
      </w:r>
      <w:r w:rsidR="005072C9" w:rsidRPr="008B68A9">
        <w:t>;</w:t>
      </w:r>
      <w:r w:rsidR="00A97755" w:rsidRPr="008B68A9">
        <w:t xml:space="preserve"> and </w:t>
      </w:r>
      <w:r w:rsidR="005072C9" w:rsidRPr="008B68A9">
        <w:t xml:space="preserve">while </w:t>
      </w:r>
      <w:r w:rsidR="00A97755" w:rsidRPr="008B68A9">
        <w:t>some families or spouses utilised the flexibility and spending power of personalisation to enhance opportunities for their child/</w:t>
      </w:r>
      <w:r w:rsidR="00850EF7" w:rsidRPr="008B68A9">
        <w:t>spouse or partner</w:t>
      </w:r>
      <w:r w:rsidR="005072C9" w:rsidRPr="008B68A9">
        <w:t xml:space="preserve"> (as will be seen in study site two</w:t>
      </w:r>
      <w:r w:rsidR="00850EF7" w:rsidRPr="008B68A9">
        <w:t xml:space="preserve"> in chapter 5</w:t>
      </w:r>
      <w:r w:rsidR="005072C9" w:rsidRPr="008B68A9">
        <w:t>)</w:t>
      </w:r>
      <w:r w:rsidR="00A97755" w:rsidRPr="008B68A9">
        <w:t>, others, particularly older carers</w:t>
      </w:r>
      <w:r w:rsidR="005072C9" w:rsidRPr="008B68A9">
        <w:t>,</w:t>
      </w:r>
      <w:r w:rsidR="00850EF7" w:rsidRPr="008B68A9">
        <w:t xml:space="preserve"> do</w:t>
      </w:r>
      <w:r w:rsidR="00A97755" w:rsidRPr="008B68A9">
        <w:t xml:space="preserve"> not.</w:t>
      </w:r>
      <w:r w:rsidR="00415741" w:rsidRPr="008B68A9">
        <w:t xml:space="preserve"> </w:t>
      </w:r>
      <w:r w:rsidR="00A97755" w:rsidRPr="008B68A9">
        <w:t xml:space="preserve">Commodification of care and the consequence of liberalising the range of available providers </w:t>
      </w:r>
      <w:r w:rsidR="00077F75" w:rsidRPr="008B68A9">
        <w:t>may prove</w:t>
      </w:r>
      <w:r w:rsidR="00A97755" w:rsidRPr="008B68A9">
        <w:t xml:space="preserve"> problematic</w:t>
      </w:r>
      <w:r w:rsidR="00077F75" w:rsidRPr="008B68A9">
        <w:t xml:space="preserve"> and an unforeseen consequence of pursuing choice and control in a market based system</w:t>
      </w:r>
      <w:r w:rsidR="00A97755" w:rsidRPr="008B68A9">
        <w:t>, as Speed</w:t>
      </w:r>
      <w:r w:rsidR="00012E8E" w:rsidRPr="008B68A9">
        <w:t xml:space="preserve"> (2007)</w:t>
      </w:r>
      <w:r w:rsidR="00E6369D" w:rsidRPr="008B68A9">
        <w:t xml:space="preserve"> has suggested</w:t>
      </w:r>
      <w:r w:rsidR="00012E8E" w:rsidRPr="008B68A9">
        <w:t>:</w:t>
      </w:r>
    </w:p>
    <w:p w14:paraId="1A9388DB" w14:textId="561925B8" w:rsidR="00A97755" w:rsidRPr="008B68A9" w:rsidRDefault="00A97755" w:rsidP="002F0FD7">
      <w:pPr>
        <w:pStyle w:val="6ablockquoteroman"/>
      </w:pPr>
      <w:r w:rsidRPr="008B68A9">
        <w:t xml:space="preserve">…it would appear that the model of health consumer does not (necessarily) cede power </w:t>
      </w:r>
      <w:r w:rsidR="006E523C" w:rsidRPr="008B68A9">
        <w:t xml:space="preserve">from </w:t>
      </w:r>
      <w:r w:rsidRPr="008B68A9">
        <w:t>the professional to the consumer; rather the site of re-allocation is from the professional to the market. In extremis, it might be argued that this position functions to disempower both the consumer and the professional, and functions only to empower the state</w:t>
      </w:r>
      <w:r w:rsidR="006E523C" w:rsidRPr="008B68A9">
        <w:t>.</w:t>
      </w:r>
      <w:r w:rsidRPr="008B68A9">
        <w:t xml:space="preserve"> (p.</w:t>
      </w:r>
      <w:r w:rsidR="006E523C" w:rsidRPr="008B68A9">
        <w:t xml:space="preserve"> </w:t>
      </w:r>
      <w:r w:rsidRPr="008B68A9">
        <w:t>309)</w:t>
      </w:r>
    </w:p>
    <w:p w14:paraId="28F603F7" w14:textId="63CFAB18" w:rsidR="006C5C1D" w:rsidRPr="008B68A9" w:rsidRDefault="00A97755" w:rsidP="002F0FD7">
      <w:pPr>
        <w:pStyle w:val="5arangedleft"/>
      </w:pPr>
      <w:r w:rsidRPr="008B68A9">
        <w:t xml:space="preserve">Speed goes on propose the matter is complicated </w:t>
      </w:r>
      <w:r w:rsidR="00052DDB" w:rsidRPr="008B68A9">
        <w:t xml:space="preserve">further </w:t>
      </w:r>
      <w:r w:rsidRPr="008B68A9">
        <w:t>in mental he</w:t>
      </w:r>
      <w:r w:rsidR="006F1E22" w:rsidRPr="008B68A9">
        <w:t>alth</w:t>
      </w:r>
      <w:r w:rsidR="00A7054A" w:rsidRPr="008B68A9">
        <w:t>,</w:t>
      </w:r>
      <w:r w:rsidR="006F1E22" w:rsidRPr="008B68A9">
        <w:t xml:space="preserve"> as the individual</w:t>
      </w:r>
      <w:r w:rsidRPr="008B68A9">
        <w:t xml:space="preserve"> making decisions and </w:t>
      </w:r>
      <w:r w:rsidR="006F1E22" w:rsidRPr="008B68A9">
        <w:t>choosing</w:t>
      </w:r>
      <w:r w:rsidRPr="008B68A9">
        <w:t xml:space="preserve"> markets may </w:t>
      </w:r>
      <w:r w:rsidR="00152507" w:rsidRPr="008B68A9">
        <w:t>have their</w:t>
      </w:r>
      <w:r w:rsidRPr="008B68A9">
        <w:t xml:space="preserve"> </w:t>
      </w:r>
      <w:r w:rsidR="00152507" w:rsidRPr="008B68A9">
        <w:t>mental capacity and rationality questioned</w:t>
      </w:r>
      <w:r w:rsidRPr="008B68A9">
        <w:t>.</w:t>
      </w:r>
      <w:r w:rsidR="00415741" w:rsidRPr="008B68A9">
        <w:t xml:space="preserve"> </w:t>
      </w:r>
      <w:r w:rsidRPr="008B68A9">
        <w:t xml:space="preserve">An additional concern focuses on the role </w:t>
      </w:r>
      <w:r w:rsidR="00A7054A" w:rsidRPr="008B68A9">
        <w:t xml:space="preserve">of </w:t>
      </w:r>
      <w:r w:rsidRPr="008B68A9">
        <w:t xml:space="preserve">personalisation and markets </w:t>
      </w:r>
      <w:r w:rsidR="00BB6EF8" w:rsidRPr="008B68A9">
        <w:t>in creating</w:t>
      </w:r>
      <w:r w:rsidRPr="008B68A9">
        <w:t xml:space="preserve"> inequalities</w:t>
      </w:r>
      <w:r w:rsidR="00BB6EF8" w:rsidRPr="008B68A9">
        <w:t xml:space="preserve"> (Coburn 2000),</w:t>
      </w:r>
      <w:r w:rsidRPr="008B68A9">
        <w:t xml:space="preserve"> where some </w:t>
      </w:r>
      <w:r w:rsidR="00BB6EF8" w:rsidRPr="008B68A9">
        <w:t xml:space="preserve">individuals </w:t>
      </w:r>
      <w:r w:rsidR="00850EF7" w:rsidRPr="008B68A9">
        <w:t xml:space="preserve">acting </w:t>
      </w:r>
      <w:r w:rsidRPr="008B68A9">
        <w:t>entrepreneur</w:t>
      </w:r>
      <w:r w:rsidR="0075129A" w:rsidRPr="008B68A9">
        <w:t>ially as</w:t>
      </w:r>
      <w:r w:rsidRPr="008B68A9">
        <w:t xml:space="preserve"> engaged consumers (Leadbeater 2004) others may not be so able (Carr </w:t>
      </w:r>
      <w:r w:rsidR="00896D6F" w:rsidRPr="008B68A9">
        <w:t>2011a</w:t>
      </w:r>
      <w:r w:rsidRPr="008B68A9">
        <w:t>, Alakeson 2013</w:t>
      </w:r>
      <w:r w:rsidR="00896D6F" w:rsidRPr="008B68A9">
        <w:t>b</w:t>
      </w:r>
      <w:r w:rsidRPr="008B68A9">
        <w:t>)</w:t>
      </w:r>
      <w:r w:rsidR="00850EF7" w:rsidRPr="008B68A9">
        <w:t>. A consequence of</w:t>
      </w:r>
      <w:r w:rsidR="001701D8" w:rsidRPr="008B68A9">
        <w:t xml:space="preserve"> successful innovation in creating new services in one area</w:t>
      </w:r>
      <w:r w:rsidR="00A7054A" w:rsidRPr="008B68A9">
        <w:t xml:space="preserve"> </w:t>
      </w:r>
      <w:r w:rsidRPr="008B68A9">
        <w:t xml:space="preserve">may </w:t>
      </w:r>
      <w:r w:rsidR="00D54ED9" w:rsidRPr="008B68A9">
        <w:t>create</w:t>
      </w:r>
      <w:r w:rsidRPr="008B68A9">
        <w:t xml:space="preserve"> spaces of little or no provision in certain care settings (Needham 2015).</w:t>
      </w:r>
      <w:r w:rsidR="00415741" w:rsidRPr="008B68A9">
        <w:t xml:space="preserve"> </w:t>
      </w:r>
      <w:r w:rsidRPr="008B68A9">
        <w:t>Within any markets w</w:t>
      </w:r>
      <w:r w:rsidR="00A7054A" w:rsidRPr="008B68A9">
        <w:t>h</w:t>
      </w:r>
      <w:r w:rsidRPr="008B68A9">
        <w:t xml:space="preserve">ere the potential may develop for personalisation to occupy the space between commodified care and social capital models, a question of whether those markets </w:t>
      </w:r>
      <w:r w:rsidRPr="008B68A9">
        <w:lastRenderedPageBreak/>
        <w:t>could or even should create individualised responses to personalised care approaches remain</w:t>
      </w:r>
      <w:r w:rsidR="00EE5C3C" w:rsidRPr="008B68A9">
        <w:t>s.</w:t>
      </w:r>
      <w:r w:rsidR="00415741" w:rsidRPr="008B68A9">
        <w:t xml:space="preserve"> </w:t>
      </w:r>
      <w:r w:rsidR="00D54ED9" w:rsidRPr="008B68A9">
        <w:t xml:space="preserve">Social capital in the form </w:t>
      </w:r>
      <w:r w:rsidR="00EE5C3C" w:rsidRPr="008B68A9">
        <w:t xml:space="preserve">Putnam </w:t>
      </w:r>
      <w:r w:rsidR="00D54ED9" w:rsidRPr="008B68A9">
        <w:t>(</w:t>
      </w:r>
      <w:r w:rsidR="00EE5C3C" w:rsidRPr="008B68A9">
        <w:t>2000</w:t>
      </w:r>
      <w:r w:rsidR="00D54ED9" w:rsidRPr="008B68A9">
        <w:t xml:space="preserve">), </w:t>
      </w:r>
      <w:r w:rsidRPr="008B68A9">
        <w:t xml:space="preserve">Lin </w:t>
      </w:r>
      <w:r w:rsidR="00D54ED9" w:rsidRPr="008B68A9">
        <w:t>(</w:t>
      </w:r>
      <w:r w:rsidR="005A2F81" w:rsidRPr="008B68A9">
        <w:t>1999</w:t>
      </w:r>
      <w:r w:rsidR="00D54ED9" w:rsidRPr="008B68A9">
        <w:t xml:space="preserve">) and </w:t>
      </w:r>
      <w:r w:rsidR="003B70A1" w:rsidRPr="008B68A9">
        <w:t xml:space="preserve">Lin </w:t>
      </w:r>
      <w:r w:rsidR="00AC06A3" w:rsidRPr="008B68A9">
        <w:rPr>
          <w:i/>
        </w:rPr>
        <w:t>et al.</w:t>
      </w:r>
      <w:r w:rsidR="003B70A1" w:rsidRPr="008B68A9">
        <w:t xml:space="preserve"> </w:t>
      </w:r>
      <w:r w:rsidR="00D54ED9" w:rsidRPr="008B68A9">
        <w:t>(</w:t>
      </w:r>
      <w:r w:rsidR="003B70A1" w:rsidRPr="008B68A9">
        <w:t>2001</w:t>
      </w:r>
      <w:r w:rsidRPr="008B68A9">
        <w:t>)</w:t>
      </w:r>
      <w:r w:rsidR="00D54ED9" w:rsidRPr="008B68A9">
        <w:t xml:space="preserve"> describe of networks of association, reciprocity and trustworthiness and more recently</w:t>
      </w:r>
      <w:r w:rsidRPr="008B68A9">
        <w:t xml:space="preserve"> </w:t>
      </w:r>
      <w:r w:rsidR="00D54ED9" w:rsidRPr="008B68A9">
        <w:t>through</w:t>
      </w:r>
      <w:r w:rsidRPr="008B68A9">
        <w:t xml:space="preserve"> community connecting (Livesley </w:t>
      </w:r>
      <w:r w:rsidR="00AC06A3" w:rsidRPr="008B68A9">
        <w:rPr>
          <w:i/>
        </w:rPr>
        <w:t>et al.</w:t>
      </w:r>
      <w:r w:rsidRPr="008B68A9">
        <w:t xml:space="preserve"> 2008)</w:t>
      </w:r>
      <w:r w:rsidR="00D54ED9" w:rsidRPr="008B68A9">
        <w:t>,</w:t>
      </w:r>
      <w:r w:rsidRPr="008B68A9">
        <w:t xml:space="preserve"> may </w:t>
      </w:r>
      <w:r w:rsidR="00D54ED9" w:rsidRPr="008B68A9">
        <w:t>resemble</w:t>
      </w:r>
      <w:r w:rsidRPr="008B68A9">
        <w:t xml:space="preserve"> the ‘real wealth’ of families and individuals (Murray </w:t>
      </w:r>
      <w:r w:rsidR="00AC06A3" w:rsidRPr="008B68A9">
        <w:rPr>
          <w:i/>
        </w:rPr>
        <w:t>et al.</w:t>
      </w:r>
      <w:r w:rsidR="00D54ED9" w:rsidRPr="008B68A9">
        <w:t xml:space="preserve"> 2010).</w:t>
      </w:r>
      <w:r w:rsidRPr="008B68A9">
        <w:t xml:space="preserve"> </w:t>
      </w:r>
      <w:r w:rsidR="00D54ED9" w:rsidRPr="008B68A9">
        <w:t xml:space="preserve">Such networks might assist in </w:t>
      </w:r>
      <w:r w:rsidRPr="008B68A9">
        <w:t>promoting recovery for people with mental health pro</w:t>
      </w:r>
      <w:r w:rsidR="0043709F" w:rsidRPr="008B68A9">
        <w:t>blems (Alakeson and Repper 2012</w:t>
      </w:r>
      <w:r w:rsidR="00D54ED9" w:rsidRPr="008B68A9">
        <w:t>); h</w:t>
      </w:r>
      <w:r w:rsidRPr="008B68A9">
        <w:t>owever, the professional gaze of psychiatry and mental health services is likely to challenge market</w:t>
      </w:r>
      <w:r w:rsidR="00AB0F10" w:rsidRPr="008B68A9">
        <w:t>-</w:t>
      </w:r>
      <w:r w:rsidRPr="008B68A9">
        <w:t xml:space="preserve">led </w:t>
      </w:r>
      <w:r w:rsidR="00D54ED9" w:rsidRPr="008B68A9">
        <w:t>choice</w:t>
      </w:r>
      <w:r w:rsidR="008E31F3" w:rsidRPr="008B68A9">
        <w:t>,</w:t>
      </w:r>
      <w:r w:rsidR="00EF5EFE" w:rsidRPr="008B68A9">
        <w:t xml:space="preserve"> as the power of experts to challenge the capacity of mental health service users to self-determine will </w:t>
      </w:r>
      <w:r w:rsidR="000A293E" w:rsidRPr="008B68A9">
        <w:t>remain</w:t>
      </w:r>
      <w:r w:rsidR="00EF5EFE" w:rsidRPr="008B68A9">
        <w:t xml:space="preserve"> present</w:t>
      </w:r>
      <w:r w:rsidR="000A293E" w:rsidRPr="008B68A9">
        <w:t xml:space="preserve"> within a UK public policy context</w:t>
      </w:r>
      <w:r w:rsidR="00EF5EFE" w:rsidRPr="008B68A9">
        <w:t xml:space="preserve"> (Speed 2007)</w:t>
      </w:r>
      <w:r w:rsidR="00983782" w:rsidRPr="008B68A9">
        <w:t>.</w:t>
      </w:r>
      <w:r w:rsidR="00415741" w:rsidRPr="008B68A9">
        <w:t xml:space="preserve"> </w:t>
      </w:r>
    </w:p>
    <w:p w14:paraId="0102DC5F" w14:textId="479402FA" w:rsidR="00A321C8" w:rsidRPr="008B68A9" w:rsidRDefault="0075129A" w:rsidP="00DA13FA">
      <w:pPr>
        <w:pStyle w:val="2L2header"/>
      </w:pPr>
      <w:bookmarkStart w:id="27" w:name="_Toc466800282"/>
      <w:r w:rsidRPr="008B68A9">
        <w:t>2</w:t>
      </w:r>
      <w:r w:rsidR="00A321C8" w:rsidRPr="008B68A9">
        <w:t>.6 The persistent popularity of personalisation in a climate of</w:t>
      </w:r>
      <w:r w:rsidR="002C0B40" w:rsidRPr="008B68A9">
        <w:t xml:space="preserve"> austerity</w:t>
      </w:r>
      <w:bookmarkEnd w:id="27"/>
    </w:p>
    <w:p w14:paraId="7FCCC2D2" w14:textId="6F9EAE01" w:rsidR="005E08DB" w:rsidRPr="008B68A9" w:rsidRDefault="00BE44C6" w:rsidP="002F0FD7">
      <w:pPr>
        <w:pStyle w:val="5arangedleft"/>
      </w:pPr>
      <w:r w:rsidRPr="008B68A9">
        <w:t xml:space="preserve">Austerity policies have characterised the UK’s public sector narrative </w:t>
      </w:r>
      <w:r w:rsidR="000A293E" w:rsidRPr="008B68A9">
        <w:t>since the banking crisis in 2007</w:t>
      </w:r>
      <w:r w:rsidRPr="008B68A9">
        <w:t xml:space="preserve"> (Glasby </w:t>
      </w:r>
      <w:r w:rsidR="00AC06A3" w:rsidRPr="008B68A9">
        <w:rPr>
          <w:i/>
        </w:rPr>
        <w:t>et al.</w:t>
      </w:r>
      <w:r w:rsidRPr="008B68A9">
        <w:t xml:space="preserve"> 2011, Brookes </w:t>
      </w:r>
      <w:r w:rsidR="00AC06A3" w:rsidRPr="008B68A9">
        <w:rPr>
          <w:i/>
        </w:rPr>
        <w:t>et al.</w:t>
      </w:r>
      <w:r w:rsidR="00F13432" w:rsidRPr="008B68A9">
        <w:t xml:space="preserve"> 2013</w:t>
      </w:r>
      <w:r w:rsidRPr="008B68A9">
        <w:t xml:space="preserve">). </w:t>
      </w:r>
      <w:r w:rsidR="005E08DB" w:rsidRPr="008B68A9">
        <w:t>The effect</w:t>
      </w:r>
      <w:r w:rsidR="00CC4DEC" w:rsidRPr="008B68A9">
        <w:t xml:space="preserve"> of austerity</w:t>
      </w:r>
      <w:r w:rsidR="005E08DB" w:rsidRPr="008B68A9">
        <w:t xml:space="preserve"> has</w:t>
      </w:r>
      <w:r w:rsidR="00CC4DEC" w:rsidRPr="008B68A9">
        <w:t xml:space="preserve"> been profound, impacting services and </w:t>
      </w:r>
      <w:r w:rsidR="006F0D49" w:rsidRPr="008B68A9">
        <w:t xml:space="preserve">the most vulnerable in society whom </w:t>
      </w:r>
      <w:r w:rsidR="00CC4DEC" w:rsidRPr="008B68A9">
        <w:t xml:space="preserve">Duffy </w:t>
      </w:r>
      <w:r w:rsidR="006F0D49" w:rsidRPr="008B68A9">
        <w:t>(</w:t>
      </w:r>
      <w:r w:rsidR="00CC4DEC" w:rsidRPr="008B68A9">
        <w:t>2014</w:t>
      </w:r>
      <w:r w:rsidR="009C29F9" w:rsidRPr="008B68A9">
        <w:t>a</w:t>
      </w:r>
      <w:r w:rsidR="00CC4DEC" w:rsidRPr="008B68A9">
        <w:t>)</w:t>
      </w:r>
      <w:r w:rsidR="006F0D49" w:rsidRPr="008B68A9">
        <w:t xml:space="preserve"> has campaigned tirelessly for</w:t>
      </w:r>
      <w:r w:rsidR="00CC4DEC" w:rsidRPr="008B68A9">
        <w:t>.</w:t>
      </w:r>
      <w:r w:rsidR="00415741" w:rsidRPr="008B68A9">
        <w:t xml:space="preserve"> </w:t>
      </w:r>
      <w:r w:rsidR="00CC4DEC" w:rsidRPr="008B68A9">
        <w:t xml:space="preserve">The reductions in government settlement </w:t>
      </w:r>
      <w:r w:rsidR="00714332" w:rsidRPr="008B68A9">
        <w:t xml:space="preserve">have </w:t>
      </w:r>
      <w:r w:rsidR="005E08DB" w:rsidRPr="008B68A9">
        <w:t>led to overall reductions in council spending in social care of between 8</w:t>
      </w:r>
      <w:r w:rsidR="007B0A91" w:rsidRPr="008B68A9">
        <w:t xml:space="preserve"> and </w:t>
      </w:r>
      <w:r w:rsidR="005E08DB" w:rsidRPr="008B68A9">
        <w:t>12%</w:t>
      </w:r>
      <w:r w:rsidR="007B0A91" w:rsidRPr="008B68A9">
        <w:t>,</w:t>
      </w:r>
      <w:r w:rsidR="005E08DB" w:rsidRPr="008B68A9">
        <w:t xml:space="preserve"> </w:t>
      </w:r>
      <w:r w:rsidR="00CC4DEC" w:rsidRPr="008B68A9">
        <w:t>which</w:t>
      </w:r>
      <w:r w:rsidR="005E08DB" w:rsidRPr="008B68A9">
        <w:t xml:space="preserve"> translates in real terms </w:t>
      </w:r>
      <w:r w:rsidR="00CC4DEC" w:rsidRPr="008B68A9">
        <w:t>to</w:t>
      </w:r>
      <w:r w:rsidR="005E08DB" w:rsidRPr="008B68A9">
        <w:t xml:space="preserve"> less care provided by councils</w:t>
      </w:r>
      <w:r w:rsidR="007B0A91" w:rsidRPr="008B68A9">
        <w:t xml:space="preserve"> </w:t>
      </w:r>
      <w:r w:rsidR="005E08DB" w:rsidRPr="008B68A9">
        <w:t>(National Audit Office 2014).</w:t>
      </w:r>
      <w:r w:rsidR="00415741" w:rsidRPr="008B68A9">
        <w:t xml:space="preserve"> </w:t>
      </w:r>
      <w:r w:rsidR="00AC35E3" w:rsidRPr="008B68A9">
        <w:t xml:space="preserve">Councils are also expected to manage more with less as the devolved responsibility of Disability Living Allowance with through the Welfare Reform Act (DWP 2012) and implication of the Care Act (DH 2014). </w:t>
      </w:r>
      <w:r w:rsidR="006213D4" w:rsidRPr="008B68A9">
        <w:t>Duffy (2014b) claims t</w:t>
      </w:r>
      <w:r w:rsidR="005E08DB" w:rsidRPr="008B68A9">
        <w:t xml:space="preserve">he </w:t>
      </w:r>
      <w:r w:rsidR="006213D4" w:rsidRPr="008B68A9">
        <w:t>reduction</w:t>
      </w:r>
      <w:r w:rsidR="005E08DB" w:rsidRPr="008B68A9">
        <w:t xml:space="preserve"> in </w:t>
      </w:r>
      <w:r w:rsidR="006213D4" w:rsidRPr="008B68A9">
        <w:t>central grant to local authorities between 2010 and 2013</w:t>
      </w:r>
      <w:r w:rsidR="005E08DB" w:rsidRPr="008B68A9">
        <w:t xml:space="preserve"> </w:t>
      </w:r>
      <w:r w:rsidR="006213D4" w:rsidRPr="008B68A9">
        <w:t>for</w:t>
      </w:r>
      <w:r w:rsidR="005E08DB" w:rsidRPr="008B68A9">
        <w:t xml:space="preserve"> social care equate</w:t>
      </w:r>
      <w:r w:rsidR="007B0A91" w:rsidRPr="008B68A9">
        <w:t>s</w:t>
      </w:r>
      <w:r w:rsidR="005E08DB" w:rsidRPr="008B68A9">
        <w:t xml:space="preserve"> to 40%, and </w:t>
      </w:r>
      <w:r w:rsidR="006213D4" w:rsidRPr="008B68A9">
        <w:t>has forces councils to refocus their activities.</w:t>
      </w:r>
      <w:r w:rsidR="005E08DB" w:rsidRPr="008B68A9">
        <w:t xml:space="preserve"> </w:t>
      </w:r>
      <w:r w:rsidR="006213D4" w:rsidRPr="008B68A9">
        <w:t xml:space="preserve">Councils according to Priestley </w:t>
      </w:r>
      <w:r w:rsidR="006213D4" w:rsidRPr="008B68A9">
        <w:rPr>
          <w:i/>
        </w:rPr>
        <w:t>et al.</w:t>
      </w:r>
      <w:r w:rsidR="006213D4" w:rsidRPr="008B68A9">
        <w:t xml:space="preserve"> (2010) have prioritised</w:t>
      </w:r>
      <w:r w:rsidR="005E08DB" w:rsidRPr="008B68A9">
        <w:t xml:space="preserve"> care and support over othe</w:t>
      </w:r>
      <w:r w:rsidR="009C29F9" w:rsidRPr="008B68A9">
        <w:t>r activities</w:t>
      </w:r>
      <w:r w:rsidR="004F300F" w:rsidRPr="008B68A9">
        <w:t xml:space="preserve"> which directly affect front line </w:t>
      </w:r>
      <w:r w:rsidR="006213D4" w:rsidRPr="008B68A9">
        <w:t xml:space="preserve">welfare </w:t>
      </w:r>
      <w:r w:rsidR="004F300F" w:rsidRPr="008B68A9">
        <w:t xml:space="preserve">with </w:t>
      </w:r>
      <w:r w:rsidR="007B0A91" w:rsidRPr="008B68A9">
        <w:t xml:space="preserve">fewer </w:t>
      </w:r>
      <w:r w:rsidR="004F300F" w:rsidRPr="008B68A9">
        <w:t>resource</w:t>
      </w:r>
      <w:r w:rsidR="007B0A91" w:rsidRPr="008B68A9">
        <w:t>s</w:t>
      </w:r>
      <w:r w:rsidR="004F300F" w:rsidRPr="008B68A9">
        <w:t xml:space="preserve"> </w:t>
      </w:r>
      <w:r w:rsidR="00F97DB8" w:rsidRPr="008B68A9">
        <w:t>available for</w:t>
      </w:r>
      <w:r w:rsidR="004F300F" w:rsidRPr="008B68A9">
        <w:t xml:space="preserve"> people with disabilities</w:t>
      </w:r>
      <w:r w:rsidR="009C29F9" w:rsidRPr="008B68A9">
        <w:t>.</w:t>
      </w:r>
      <w:r w:rsidR="00415741" w:rsidRPr="008B68A9">
        <w:t xml:space="preserve"> </w:t>
      </w:r>
      <w:r w:rsidR="005E08DB" w:rsidRPr="008B68A9">
        <w:t xml:space="preserve">Responding to decreased </w:t>
      </w:r>
      <w:r w:rsidR="009C29F9" w:rsidRPr="008B68A9">
        <w:t>funding,</w:t>
      </w:r>
      <w:r w:rsidR="005E08DB" w:rsidRPr="008B68A9">
        <w:t xml:space="preserve"> councils in England and Wales attempted to maintain direct care</w:t>
      </w:r>
      <w:r w:rsidR="007B0A91" w:rsidRPr="008B68A9">
        <w:t xml:space="preserve"> by</w:t>
      </w:r>
      <w:r w:rsidR="005E08DB" w:rsidRPr="008B68A9">
        <w:t xml:space="preserve"> raising their threshold for access to support</w:t>
      </w:r>
      <w:r w:rsidR="007B0A91" w:rsidRPr="008B68A9">
        <w:t>,</w:t>
      </w:r>
      <w:r w:rsidR="005E08DB" w:rsidRPr="008B68A9">
        <w:t xml:space="preserve"> with 85% of councils responding only to critical need for older people (National Audit Office 2014).</w:t>
      </w:r>
      <w:r w:rsidR="00415741" w:rsidRPr="008B68A9">
        <w:t xml:space="preserve"> </w:t>
      </w:r>
      <w:r w:rsidR="005E08DB" w:rsidRPr="008B68A9">
        <w:t>This represents a shift from previous figures where the threshold for access to care services included those with substan</w:t>
      </w:r>
      <w:r w:rsidR="009C29F9" w:rsidRPr="008B68A9">
        <w:t>tial as well as critical need</w:t>
      </w:r>
      <w:r w:rsidR="007B0A91" w:rsidRPr="008B68A9">
        <w:t>s</w:t>
      </w:r>
      <w:r w:rsidR="009C29F9" w:rsidRPr="008B68A9">
        <w:t>.</w:t>
      </w:r>
      <w:r w:rsidR="00415741" w:rsidRPr="008B68A9">
        <w:t xml:space="preserve"> </w:t>
      </w:r>
    </w:p>
    <w:p w14:paraId="227A2ABB" w14:textId="77777777" w:rsidR="00E53180" w:rsidRPr="008B68A9" w:rsidRDefault="00E53180" w:rsidP="002F0FD7">
      <w:pPr>
        <w:pStyle w:val="5arangedleft"/>
      </w:pPr>
    </w:p>
    <w:p w14:paraId="6D5AEC6B" w14:textId="05CAEB09" w:rsidR="00A321C8" w:rsidRPr="008B68A9" w:rsidRDefault="00C675C9" w:rsidP="002F0FD7">
      <w:pPr>
        <w:pStyle w:val="5arangedleft"/>
      </w:pPr>
      <w:r w:rsidRPr="008B68A9">
        <w:t>R</w:t>
      </w:r>
      <w:r w:rsidR="005E08DB" w:rsidRPr="008B68A9">
        <w:t>eduction</w:t>
      </w:r>
      <w:r w:rsidR="00632432" w:rsidRPr="008B68A9">
        <w:t>s</w:t>
      </w:r>
      <w:r w:rsidR="005E08DB" w:rsidRPr="008B68A9">
        <w:t xml:space="preserve"> </w:t>
      </w:r>
      <w:r w:rsidR="00632432" w:rsidRPr="008B68A9">
        <w:t>in</w:t>
      </w:r>
      <w:r w:rsidR="005E08DB" w:rsidRPr="008B68A9">
        <w:t xml:space="preserve"> funding </w:t>
      </w:r>
      <w:r w:rsidR="00632432" w:rsidRPr="008B68A9">
        <w:t>of</w:t>
      </w:r>
      <w:r w:rsidR="005E08DB" w:rsidRPr="008B68A9">
        <w:t xml:space="preserve"> health and social care makes personalisation a more attractive offer</w:t>
      </w:r>
      <w:r w:rsidR="00EB1A7B" w:rsidRPr="008B68A9">
        <w:t>,</w:t>
      </w:r>
      <w:r w:rsidR="005E08DB" w:rsidRPr="008B68A9">
        <w:t xml:space="preserve"> as personalised, flexible small</w:t>
      </w:r>
      <w:r w:rsidR="00F723AA" w:rsidRPr="008B68A9">
        <w:t>-</w:t>
      </w:r>
      <w:r w:rsidR="005E08DB" w:rsidRPr="008B68A9">
        <w:t>scale responses equate to less burden on statutory services.</w:t>
      </w:r>
      <w:r w:rsidR="00415741" w:rsidRPr="008B68A9">
        <w:t xml:space="preserve"> </w:t>
      </w:r>
      <w:r w:rsidR="00F723AA" w:rsidRPr="008B68A9">
        <w:t>As West (2012</w:t>
      </w:r>
      <w:r w:rsidR="005A2F81" w:rsidRPr="008B68A9">
        <w:t xml:space="preserve"> p.638</w:t>
      </w:r>
      <w:r w:rsidR="00F723AA" w:rsidRPr="008B68A9">
        <w:t xml:space="preserve">) states, </w:t>
      </w:r>
      <w:r w:rsidR="005E08DB" w:rsidRPr="008B68A9">
        <w:t>personalisation still maintains an “ideological grip”</w:t>
      </w:r>
      <w:r w:rsidR="00F723AA" w:rsidRPr="008B68A9">
        <w:t>,</w:t>
      </w:r>
      <w:r w:rsidR="005E08DB" w:rsidRPr="008B68A9">
        <w:t xml:space="preserve"> maintaining hope over the landscape of austerity and denuded resources.</w:t>
      </w:r>
      <w:r w:rsidR="00415741" w:rsidRPr="008B68A9">
        <w:t xml:space="preserve"> </w:t>
      </w:r>
      <w:r w:rsidR="005E08DB" w:rsidRPr="008B68A9">
        <w:t xml:space="preserve">However surprising, </w:t>
      </w:r>
      <w:r w:rsidR="00F723AA" w:rsidRPr="008B68A9">
        <w:t>despite</w:t>
      </w:r>
      <w:r w:rsidR="005E08DB" w:rsidRPr="008B68A9">
        <w:t xml:space="preserve"> the reduction of available </w:t>
      </w:r>
      <w:r w:rsidR="00F723AA" w:rsidRPr="008B68A9">
        <w:t xml:space="preserve">resources </w:t>
      </w:r>
      <w:r w:rsidR="005E08DB" w:rsidRPr="008B68A9">
        <w:t>and greater demand placed upon health and social care services in England and Wales, personalisation as policy a</w:t>
      </w:r>
      <w:r w:rsidR="009C29F9" w:rsidRPr="008B68A9">
        <w:t>nd trope continues to flourish.</w:t>
      </w:r>
    </w:p>
    <w:p w14:paraId="542CC812" w14:textId="34D06323" w:rsidR="00A321C8" w:rsidRPr="008B68A9" w:rsidRDefault="00C675C9" w:rsidP="002F0FD7">
      <w:pPr>
        <w:pStyle w:val="5arangedleft"/>
      </w:pPr>
      <w:r w:rsidRPr="008B68A9">
        <w:t>C</w:t>
      </w:r>
      <w:r w:rsidR="00A321C8" w:rsidRPr="008B68A9">
        <w:t xml:space="preserve">hange </w:t>
      </w:r>
      <w:r w:rsidRPr="008B68A9">
        <w:t>in</w:t>
      </w:r>
      <w:r w:rsidR="00A321C8" w:rsidRPr="008B68A9">
        <w:t xml:space="preserve"> political administration</w:t>
      </w:r>
      <w:r w:rsidRPr="008B68A9">
        <w:t xml:space="preserve"> and the pursuit of austerity as policy from 2010</w:t>
      </w:r>
      <w:r w:rsidR="00A321C8" w:rsidRPr="008B68A9">
        <w:t xml:space="preserve"> ha</w:t>
      </w:r>
      <w:r w:rsidR="00EB1A7B" w:rsidRPr="008B68A9">
        <w:t>ve</w:t>
      </w:r>
      <w:r w:rsidR="00A321C8" w:rsidRPr="008B68A9">
        <w:t xml:space="preserve"> </w:t>
      </w:r>
      <w:r w:rsidR="00EB1A7B" w:rsidRPr="008B68A9">
        <w:t xml:space="preserve">led to </w:t>
      </w:r>
      <w:r w:rsidR="00A321C8" w:rsidRPr="008B68A9">
        <w:t>the social care public sector</w:t>
      </w:r>
      <w:r w:rsidR="00C23F70" w:rsidRPr="008B68A9">
        <w:t xml:space="preserve"> shrinking</w:t>
      </w:r>
      <w:r w:rsidR="00EB1A7B" w:rsidRPr="008B68A9">
        <w:t>, and when</w:t>
      </w:r>
      <w:r w:rsidR="00A321C8" w:rsidRPr="008B68A9">
        <w:t xml:space="preserve"> </w:t>
      </w:r>
      <w:r w:rsidR="00EB1A7B" w:rsidRPr="008B68A9">
        <w:t>combined with the demand that all eligible individuals be offered their care through a personal budget, have had a</w:t>
      </w:r>
      <w:r w:rsidR="00DA189A" w:rsidRPr="008B68A9">
        <w:t>n</w:t>
      </w:r>
      <w:r w:rsidR="00EB1A7B" w:rsidRPr="008B68A9">
        <w:t xml:space="preserve"> </w:t>
      </w:r>
      <w:r w:rsidR="00DA189A" w:rsidRPr="008B68A9">
        <w:t xml:space="preserve">impact </w:t>
      </w:r>
      <w:r w:rsidR="00A672F4" w:rsidRPr="008B68A9">
        <w:t>on</w:t>
      </w:r>
      <w:r w:rsidR="00DA189A" w:rsidRPr="008B68A9">
        <w:t xml:space="preserve"> personalisation that </w:t>
      </w:r>
      <w:r w:rsidR="00A321C8" w:rsidRPr="008B68A9">
        <w:t>cannot be underestimated</w:t>
      </w:r>
      <w:r w:rsidR="00DA189A" w:rsidRPr="008B68A9">
        <w:t>.</w:t>
      </w:r>
      <w:r w:rsidR="00A321C8" w:rsidRPr="008B68A9">
        <w:t xml:space="preserve"> Services are expected to achieve more with less</w:t>
      </w:r>
      <w:r w:rsidR="00DA189A" w:rsidRPr="008B68A9">
        <w:t>,</w:t>
      </w:r>
      <w:r w:rsidR="00A321C8" w:rsidRPr="008B68A9">
        <w:t xml:space="preserve"> with cuts </w:t>
      </w:r>
      <w:r w:rsidR="00DA189A" w:rsidRPr="008B68A9">
        <w:t xml:space="preserve">disproportionately </w:t>
      </w:r>
      <w:r w:rsidR="00A321C8" w:rsidRPr="008B68A9">
        <w:t>affecting those receiving entitlement (Duffy 2014</w:t>
      </w:r>
      <w:r w:rsidR="00C4285C" w:rsidRPr="008B68A9">
        <w:t>a</w:t>
      </w:r>
      <w:r w:rsidR="00A321C8" w:rsidRPr="008B68A9">
        <w:t xml:space="preserve">). The </w:t>
      </w:r>
      <w:r w:rsidR="009C29F9" w:rsidRPr="008B68A9">
        <w:t>effect</w:t>
      </w:r>
      <w:r w:rsidR="00A321C8" w:rsidRPr="008B68A9">
        <w:t xml:space="preserve"> of reduced budgets from less central government </w:t>
      </w:r>
      <w:r w:rsidR="009C29F9" w:rsidRPr="008B68A9">
        <w:t xml:space="preserve">funding </w:t>
      </w:r>
      <w:r w:rsidR="00A321C8" w:rsidRPr="008B68A9">
        <w:t xml:space="preserve">impacts </w:t>
      </w:r>
      <w:r w:rsidR="00DA189A" w:rsidRPr="008B68A9">
        <w:t xml:space="preserve">on </w:t>
      </w:r>
      <w:r w:rsidR="00A321C8" w:rsidRPr="008B68A9">
        <w:t xml:space="preserve">the work of social care professionals (Lymbery 2011, Scourfield </w:t>
      </w:r>
      <w:r w:rsidR="003F111E" w:rsidRPr="008B68A9">
        <w:t>2010</w:t>
      </w:r>
      <w:r w:rsidR="00A321C8" w:rsidRPr="008B68A9">
        <w:t>, Beresford 2014</w:t>
      </w:r>
      <w:r w:rsidR="003A6437" w:rsidRPr="008B68A9">
        <w:t>b</w:t>
      </w:r>
      <w:r w:rsidR="00A321C8" w:rsidRPr="008B68A9">
        <w:t xml:space="preserve">), as increasingly their role is engaged in gatekeeping and resource management (Brookes </w:t>
      </w:r>
      <w:r w:rsidR="00AC06A3" w:rsidRPr="008B68A9">
        <w:rPr>
          <w:i/>
        </w:rPr>
        <w:t>et al.</w:t>
      </w:r>
      <w:r w:rsidR="00F13432" w:rsidRPr="008B68A9">
        <w:t xml:space="preserve"> 2013</w:t>
      </w:r>
      <w:r w:rsidR="00A321C8" w:rsidRPr="008B68A9">
        <w:t>), rather than promoting individualised interventions.</w:t>
      </w:r>
    </w:p>
    <w:p w14:paraId="5504367A" w14:textId="4A72F4DE" w:rsidR="00700DA7" w:rsidRPr="008B68A9" w:rsidRDefault="00A321C8" w:rsidP="002F0FD7">
      <w:pPr>
        <w:pStyle w:val="5arangedleft"/>
      </w:pPr>
      <w:r w:rsidRPr="008B68A9">
        <w:t xml:space="preserve">Studies </w:t>
      </w:r>
      <w:r w:rsidR="002B42BB" w:rsidRPr="008B68A9">
        <w:t>examinin</w:t>
      </w:r>
      <w:r w:rsidR="00EB5DBC" w:rsidRPr="008B68A9">
        <w:t>g</w:t>
      </w:r>
      <w:r w:rsidR="002B42BB" w:rsidRPr="008B68A9">
        <w:t xml:space="preserve"> </w:t>
      </w:r>
      <w:r w:rsidRPr="008B68A9">
        <w:t>the promises made on behalf of personalisation</w:t>
      </w:r>
      <w:r w:rsidR="00C675C9" w:rsidRPr="008B68A9">
        <w:t>,</w:t>
      </w:r>
      <w:r w:rsidRPr="008B68A9">
        <w:t xml:space="preserve"> such as cost neutrality and lower demand on the public purse</w:t>
      </w:r>
      <w:r w:rsidR="00C675C9" w:rsidRPr="008B68A9">
        <w:t>,</w:t>
      </w:r>
      <w:r w:rsidRPr="008B68A9">
        <w:t xml:space="preserve"> </w:t>
      </w:r>
      <w:r w:rsidR="002B42BB" w:rsidRPr="008B68A9">
        <w:t xml:space="preserve">show these benefits </w:t>
      </w:r>
      <w:r w:rsidRPr="008B68A9">
        <w:t xml:space="preserve">are yet to materialise (Health Foundation </w:t>
      </w:r>
      <w:r w:rsidR="003F111E" w:rsidRPr="008B68A9">
        <w:t>2010</w:t>
      </w:r>
      <w:r w:rsidRPr="008B68A9">
        <w:t>, Hatton and Waters 2013, Bennett 2014, Waters and Hatton 2014).</w:t>
      </w:r>
      <w:r w:rsidR="00415741" w:rsidRPr="008B68A9">
        <w:t xml:space="preserve"> </w:t>
      </w:r>
      <w:r w:rsidRPr="008B68A9">
        <w:t>Critical voices doubt whether the potential of personalisation will be met (Beresford 2014</w:t>
      </w:r>
      <w:r w:rsidR="003A6437" w:rsidRPr="008B68A9">
        <w:t>a</w:t>
      </w:r>
      <w:r w:rsidRPr="008B68A9">
        <w:t xml:space="preserve">), </w:t>
      </w:r>
      <w:r w:rsidR="002B42BB" w:rsidRPr="008B68A9">
        <w:t xml:space="preserve">while </w:t>
      </w:r>
      <w:r w:rsidR="00E0296F" w:rsidRPr="008B68A9">
        <w:t>some, such as Duffy (2014b),</w:t>
      </w:r>
      <w:r w:rsidRPr="008B68A9">
        <w:t xml:space="preserve"> cite the polarisation of supporters and detractors </w:t>
      </w:r>
      <w:r w:rsidR="002B42BB" w:rsidRPr="008B68A9">
        <w:t xml:space="preserve">has </w:t>
      </w:r>
      <w:r w:rsidRPr="008B68A9">
        <w:t>created an all</w:t>
      </w:r>
      <w:r w:rsidR="002B42BB" w:rsidRPr="008B68A9">
        <w:t>-</w:t>
      </w:r>
      <w:r w:rsidRPr="008B68A9">
        <w:t>or</w:t>
      </w:r>
      <w:r w:rsidR="002B42BB" w:rsidRPr="008B68A9">
        <w:t>-</w:t>
      </w:r>
      <w:r w:rsidRPr="008B68A9">
        <w:t>nothing dichotomy.</w:t>
      </w:r>
      <w:r w:rsidR="00415741" w:rsidRPr="008B68A9">
        <w:t xml:space="preserve"> </w:t>
      </w:r>
      <w:r w:rsidR="002B42BB" w:rsidRPr="008B68A9">
        <w:t>B</w:t>
      </w:r>
      <w:r w:rsidR="00D13E0D" w:rsidRPr="008B68A9">
        <w:t xml:space="preserve">inary positioning </w:t>
      </w:r>
      <w:r w:rsidR="002B42BB" w:rsidRPr="008B68A9">
        <w:t xml:space="preserve">to the </w:t>
      </w:r>
      <w:r w:rsidR="00D13E0D" w:rsidRPr="008B68A9">
        <w:t>political left nor</w:t>
      </w:r>
      <w:r w:rsidR="009C29F9" w:rsidRPr="008B68A9">
        <w:t xml:space="preserve"> right</w:t>
      </w:r>
      <w:r w:rsidRPr="008B68A9">
        <w:t xml:space="preserve">, supportive or antithetical </w:t>
      </w:r>
      <w:r w:rsidR="002B42BB" w:rsidRPr="008B68A9">
        <w:t xml:space="preserve">to </w:t>
      </w:r>
      <w:r w:rsidRPr="008B68A9">
        <w:t>personalisation</w:t>
      </w:r>
      <w:r w:rsidR="002B42BB" w:rsidRPr="008B68A9">
        <w:t>,</w:t>
      </w:r>
      <w:r w:rsidRPr="008B68A9">
        <w:t xml:space="preserve"> </w:t>
      </w:r>
      <w:r w:rsidR="002B42BB" w:rsidRPr="008B68A9">
        <w:t>is not</w:t>
      </w:r>
      <w:r w:rsidR="00E0296F" w:rsidRPr="008B68A9">
        <w:t xml:space="preserve"> as</w:t>
      </w:r>
      <w:r w:rsidR="002B42BB" w:rsidRPr="008B68A9">
        <w:t xml:space="preserve"> </w:t>
      </w:r>
      <w:r w:rsidR="00E0296F" w:rsidRPr="008B68A9">
        <w:t xml:space="preserve">Needham (2011) has said, </w:t>
      </w:r>
      <w:r w:rsidRPr="008B68A9">
        <w:t>helpful</w:t>
      </w:r>
      <w:r w:rsidR="009C29F9" w:rsidRPr="008B68A9">
        <w:t>,</w:t>
      </w:r>
      <w:r w:rsidRPr="008B68A9">
        <w:t xml:space="preserve"> achieving little to progress or examine the merits or demerits of individual budgets or self-directed care.</w:t>
      </w:r>
      <w:r w:rsidR="00415741" w:rsidRPr="008B68A9">
        <w:t xml:space="preserve"> </w:t>
      </w:r>
      <w:r w:rsidRPr="008B68A9">
        <w:t xml:space="preserve">The strongly held discursive closures used by some </w:t>
      </w:r>
      <w:r w:rsidR="009C29F9" w:rsidRPr="008B68A9">
        <w:t>stakeholder</w:t>
      </w:r>
      <w:r w:rsidR="002B42BB" w:rsidRPr="008B68A9">
        <w:t>s</w:t>
      </w:r>
      <w:r w:rsidRPr="008B68A9">
        <w:t xml:space="preserve"> </w:t>
      </w:r>
      <w:r w:rsidR="009C29F9" w:rsidRPr="008B68A9">
        <w:t>may be</w:t>
      </w:r>
      <w:r w:rsidRPr="008B68A9">
        <w:t xml:space="preserve"> less likely to engage others who hold other constructions of personalisation. </w:t>
      </w:r>
      <w:r w:rsidR="00632122" w:rsidRPr="008B68A9">
        <w:t xml:space="preserve">However, self-direction through personalisation is argued by some such as </w:t>
      </w:r>
      <w:r w:rsidR="00632122" w:rsidRPr="008B68A9">
        <w:lastRenderedPageBreak/>
        <w:t>Needham (2014) as a necessary transition from professionally dominated health and social care services, to more individually orientated public services.</w:t>
      </w:r>
    </w:p>
    <w:p w14:paraId="1DAABB4B" w14:textId="59379555" w:rsidR="00D07D4E" w:rsidRPr="008B68A9" w:rsidRDefault="00BD48CD" w:rsidP="00DA13FA">
      <w:pPr>
        <w:pStyle w:val="2L2header"/>
      </w:pPr>
      <w:bookmarkStart w:id="28" w:name="_Toc413607896"/>
      <w:bookmarkStart w:id="29" w:name="_Toc413827530"/>
      <w:bookmarkStart w:id="30" w:name="_Toc466800283"/>
      <w:r w:rsidRPr="008B68A9">
        <w:t>2.7</w:t>
      </w:r>
      <w:r w:rsidR="00D07D4E" w:rsidRPr="008B68A9">
        <w:t xml:space="preserve"> Professional asymmetry</w:t>
      </w:r>
      <w:r w:rsidR="00E0296F" w:rsidRPr="008B68A9">
        <w:t>,</w:t>
      </w:r>
      <w:r w:rsidR="00D07D4E" w:rsidRPr="008B68A9">
        <w:t xml:space="preserve"> </w:t>
      </w:r>
      <w:r w:rsidR="00371B44" w:rsidRPr="008B68A9">
        <w:t>co-production</w:t>
      </w:r>
      <w:r w:rsidR="00D07D4E" w:rsidRPr="008B68A9">
        <w:t xml:space="preserve"> </w:t>
      </w:r>
      <w:r w:rsidR="00E00468" w:rsidRPr="008B68A9">
        <w:t>or</w:t>
      </w:r>
      <w:r w:rsidR="00D07D4E" w:rsidRPr="008B68A9">
        <w:t xml:space="preserve"> a new script</w:t>
      </w:r>
      <w:bookmarkEnd w:id="28"/>
      <w:bookmarkEnd w:id="29"/>
      <w:bookmarkEnd w:id="30"/>
    </w:p>
    <w:p w14:paraId="39DFDEF9" w14:textId="100492D9" w:rsidR="00D07D4E" w:rsidRPr="008B68A9" w:rsidRDefault="00D07D4E" w:rsidP="002F0FD7">
      <w:pPr>
        <w:pStyle w:val="5arangedleft"/>
      </w:pPr>
      <w:r w:rsidRPr="008B68A9">
        <w:t xml:space="preserve">Professional asymmetry </w:t>
      </w:r>
      <w:r w:rsidR="00132DFD" w:rsidRPr="008B68A9">
        <w:t>as a</w:t>
      </w:r>
      <w:r w:rsidRPr="008B68A9">
        <w:t xml:space="preserve"> defining </w:t>
      </w:r>
      <w:r w:rsidR="00132DFD" w:rsidRPr="008B68A9">
        <w:t>component of personalisation, originates</w:t>
      </w:r>
      <w:r w:rsidRPr="008B68A9">
        <w:t xml:space="preserve"> fro</w:t>
      </w:r>
      <w:r w:rsidR="00210C53" w:rsidRPr="008B68A9">
        <w:t>m the work of Leadbeater (2004</w:t>
      </w:r>
      <w:r w:rsidRPr="008B68A9">
        <w:t>) who called for a radical overhaul in the way public services are offered</w:t>
      </w:r>
      <w:r w:rsidR="004E0627" w:rsidRPr="008B68A9">
        <w:t>, and was</w:t>
      </w:r>
      <w:r w:rsidRPr="008B68A9">
        <w:t xml:space="preserve"> hopeful of modernisation that either made </w:t>
      </w:r>
      <w:r w:rsidR="004E0627" w:rsidRPr="008B68A9">
        <w:t xml:space="preserve">the users’ experience </w:t>
      </w:r>
      <w:r w:rsidRPr="008B68A9">
        <w:t xml:space="preserve">more personalised or </w:t>
      </w:r>
      <w:r w:rsidR="004E0627" w:rsidRPr="008B68A9">
        <w:t>was</w:t>
      </w:r>
      <w:r w:rsidRPr="008B68A9">
        <w:t xml:space="preserve"> “…a disruptive innovation designed to put the users in the driving seat as designers and paymasters of services”</w:t>
      </w:r>
      <w:r w:rsidR="004E0627" w:rsidRPr="008B68A9">
        <w:t xml:space="preserve"> (p. 20).</w:t>
      </w:r>
      <w:r w:rsidR="00415741" w:rsidRPr="008B68A9">
        <w:t xml:space="preserve"> </w:t>
      </w:r>
      <w:r w:rsidR="00371B44" w:rsidRPr="008B68A9">
        <w:t>Co-production</w:t>
      </w:r>
      <w:r w:rsidRPr="008B68A9">
        <w:t xml:space="preserve"> in personalisation is built upon equality in the relationship between budget user and professionals (Needham and Carr 2009), </w:t>
      </w:r>
      <w:r w:rsidR="004E0627" w:rsidRPr="008B68A9">
        <w:t>and has</w:t>
      </w:r>
      <w:r w:rsidRPr="008B68A9">
        <w:t xml:space="preserve"> its origins in the disabled user movement (Zukas </w:t>
      </w:r>
      <w:r w:rsidR="008052B1" w:rsidRPr="008B68A9">
        <w:t>1975</w:t>
      </w:r>
      <w:r w:rsidRPr="008B68A9">
        <w:t>)</w:t>
      </w:r>
      <w:r w:rsidR="00C07F2E" w:rsidRPr="008B68A9">
        <w:t>;</w:t>
      </w:r>
      <w:r w:rsidRPr="008B68A9">
        <w:t xml:space="preserve"> </w:t>
      </w:r>
      <w:r w:rsidR="00C07F2E" w:rsidRPr="008B68A9">
        <w:t>it</w:t>
      </w:r>
      <w:r w:rsidRPr="008B68A9">
        <w:t xml:space="preserve"> </w:t>
      </w:r>
      <w:r w:rsidR="00632122" w:rsidRPr="008B68A9">
        <w:t>creates a direct challenge to</w:t>
      </w:r>
      <w:r w:rsidRPr="008B68A9">
        <w:t xml:space="preserve"> professional asymmetry providers and users of services.</w:t>
      </w:r>
      <w:r w:rsidR="00415741" w:rsidRPr="008B68A9">
        <w:t xml:space="preserve"> </w:t>
      </w:r>
    </w:p>
    <w:p w14:paraId="5C79CF2C" w14:textId="3177045A" w:rsidR="00D07D4E" w:rsidRPr="008B68A9" w:rsidRDefault="00D07D4E" w:rsidP="002F0FD7">
      <w:pPr>
        <w:pStyle w:val="5arangedleft"/>
      </w:pPr>
      <w:r w:rsidRPr="008B68A9">
        <w:t>Leadbeater’s contribution to personalisation</w:t>
      </w:r>
      <w:r w:rsidR="00632122" w:rsidRPr="008B68A9">
        <w:t xml:space="preserve"> is clear and </w:t>
      </w:r>
      <w:r w:rsidR="00A03B27" w:rsidRPr="008B68A9">
        <w:t>has</w:t>
      </w:r>
      <w:r w:rsidR="00632122" w:rsidRPr="008B68A9">
        <w:t xml:space="preserve"> been influential i</w:t>
      </w:r>
      <w:r w:rsidR="00C87A54" w:rsidRPr="008B68A9">
        <w:t>n driving the policy direction.</w:t>
      </w:r>
      <w:r w:rsidR="00632122" w:rsidRPr="008B68A9">
        <w:t xml:space="preserve"> Leadbeater</w:t>
      </w:r>
      <w:r w:rsidRPr="008B68A9">
        <w:t xml:space="preserve"> has</w:t>
      </w:r>
      <w:r w:rsidR="00632122" w:rsidRPr="008B68A9">
        <w:t xml:space="preserve"> however</w:t>
      </w:r>
      <w:r w:rsidRPr="008B68A9">
        <w:t xml:space="preserve"> been cr</w:t>
      </w:r>
      <w:r w:rsidR="00665838" w:rsidRPr="008B68A9">
        <w:t>itiqued by a number of authors who challenge</w:t>
      </w:r>
      <w:r w:rsidRPr="008B68A9">
        <w:t xml:space="preserve"> his credentials</w:t>
      </w:r>
      <w:r w:rsidR="00632122" w:rsidRPr="008B68A9">
        <w:t xml:space="preserve"> to shape a new public service narrative. Carr (2012)</w:t>
      </w:r>
      <w:r w:rsidR="00A03B27" w:rsidRPr="008B68A9">
        <w:t xml:space="preserve"> for instance</w:t>
      </w:r>
      <w:r w:rsidR="00632122" w:rsidRPr="008B68A9">
        <w:t xml:space="preserve"> has questioned whether his</w:t>
      </w:r>
      <w:r w:rsidRPr="008B68A9">
        <w:t xml:space="preserve"> </w:t>
      </w:r>
      <w:r w:rsidR="00632122" w:rsidRPr="008B68A9">
        <w:t xml:space="preserve">being a policy advisor to the Blair government with no experience in human public services qualifies as relevant </w:t>
      </w:r>
      <w:r w:rsidR="00A03B27" w:rsidRPr="008B68A9">
        <w:t>credentials to influence</w:t>
      </w:r>
      <w:r w:rsidR="00632122" w:rsidRPr="008B68A9">
        <w:t xml:space="preserve"> and further</w:t>
      </w:r>
      <w:r w:rsidR="00A03B27" w:rsidRPr="008B68A9">
        <w:t>,</w:t>
      </w:r>
      <w:r w:rsidR="00632122" w:rsidRPr="008B68A9">
        <w:t xml:space="preserve"> that </w:t>
      </w:r>
      <w:r w:rsidRPr="008B68A9">
        <w:t>the</w:t>
      </w:r>
      <w:r w:rsidR="00665838" w:rsidRPr="008B68A9">
        <w:t xml:space="preserve"> script proposed by Leadbeater </w:t>
      </w:r>
      <w:r w:rsidR="00632122" w:rsidRPr="008B68A9">
        <w:t>was developed</w:t>
      </w:r>
      <w:r w:rsidR="00665838" w:rsidRPr="008B68A9">
        <w:t xml:space="preserve"> </w:t>
      </w:r>
      <w:r w:rsidR="00C87A54" w:rsidRPr="008B68A9">
        <w:t xml:space="preserve">with </w:t>
      </w:r>
      <w:r w:rsidR="00665838" w:rsidRPr="008B68A9">
        <w:t>a</w:t>
      </w:r>
      <w:r w:rsidR="00A03B27" w:rsidRPr="008B68A9">
        <w:t>n</w:t>
      </w:r>
      <w:r w:rsidRPr="008B68A9">
        <w:t xml:space="preserve"> </w:t>
      </w:r>
      <w:r w:rsidR="00632122" w:rsidRPr="008B68A9">
        <w:t>ironic</w:t>
      </w:r>
      <w:r w:rsidRPr="008B68A9">
        <w:t xml:space="preserve"> lack of service user in</w:t>
      </w:r>
      <w:r w:rsidR="00665838" w:rsidRPr="008B68A9">
        <w:t>volvement.</w:t>
      </w:r>
      <w:r w:rsidR="00415741" w:rsidRPr="008B68A9">
        <w:t xml:space="preserve"> </w:t>
      </w:r>
      <w:r w:rsidRPr="008B68A9">
        <w:t>The</w:t>
      </w:r>
      <w:r w:rsidR="00E0296F" w:rsidRPr="008B68A9">
        <w:t xml:space="preserve"> issue of </w:t>
      </w:r>
      <w:r w:rsidR="00A03B27" w:rsidRPr="008B68A9">
        <w:t>poor</w:t>
      </w:r>
      <w:r w:rsidR="00E0296F" w:rsidRPr="008B68A9">
        <w:t xml:space="preserve"> user involvement</w:t>
      </w:r>
      <w:r w:rsidRPr="008B68A9">
        <w:t xml:space="preserve"> </w:t>
      </w:r>
      <w:r w:rsidR="00A03B27" w:rsidRPr="008B68A9">
        <w:t>in Leadbeater’s work can be</w:t>
      </w:r>
      <w:r w:rsidRPr="008B68A9">
        <w:t xml:space="preserve"> seen </w:t>
      </w:r>
      <w:r w:rsidR="00A03B27" w:rsidRPr="008B68A9">
        <w:t>his model’s</w:t>
      </w:r>
      <w:r w:rsidRPr="008B68A9">
        <w:t xml:space="preserve"> deepest level of personalisation, </w:t>
      </w:r>
      <w:r w:rsidR="00A03B27" w:rsidRPr="008B68A9">
        <w:t xml:space="preserve">where </w:t>
      </w:r>
      <w:r w:rsidRPr="008B68A9">
        <w:t>professionals retai</w:t>
      </w:r>
      <w:r w:rsidR="00E85FA4" w:rsidRPr="008B68A9">
        <w:t xml:space="preserve">n power and final authority over whatever is produced </w:t>
      </w:r>
      <w:r w:rsidRPr="008B68A9">
        <w:t>(Carr 2011</w:t>
      </w:r>
      <w:r w:rsidR="00095039" w:rsidRPr="008B68A9">
        <w:t>b</w:t>
      </w:r>
      <w:r w:rsidRPr="008B68A9">
        <w:t>).</w:t>
      </w:r>
      <w:r w:rsidR="00415741" w:rsidRPr="008B68A9">
        <w:t xml:space="preserve"> </w:t>
      </w:r>
      <w:r w:rsidRPr="008B68A9">
        <w:t xml:space="preserve">Similarly the </w:t>
      </w:r>
      <w:r w:rsidR="004805FD" w:rsidRPr="008B68A9">
        <w:t>ideas</w:t>
      </w:r>
      <w:r w:rsidRPr="008B68A9">
        <w:t xml:space="preserve"> expressed by Leadbeater are predicated on </w:t>
      </w:r>
      <w:r w:rsidR="004805FD" w:rsidRPr="008B68A9">
        <w:t>the</w:t>
      </w:r>
      <w:r w:rsidR="00A03B27" w:rsidRPr="008B68A9">
        <w:t xml:space="preserve"> assumption that a</w:t>
      </w:r>
      <w:r w:rsidRPr="008B68A9">
        <w:t xml:space="preserve"> user </w:t>
      </w:r>
      <w:r w:rsidR="004805FD" w:rsidRPr="008B68A9">
        <w:t>is an</w:t>
      </w:r>
      <w:r w:rsidRPr="008B68A9">
        <w:t xml:space="preserve"> active citizen, requiring an engagement </w:t>
      </w:r>
      <w:r w:rsidR="004805FD" w:rsidRPr="008B68A9">
        <w:t>that resembles</w:t>
      </w:r>
      <w:r w:rsidRPr="008B68A9">
        <w:t xml:space="preserve"> social entrepreneurialism</w:t>
      </w:r>
      <w:r w:rsidR="00665EFB" w:rsidRPr="008B68A9">
        <w:t xml:space="preserve"> (Scourfield 2007)</w:t>
      </w:r>
      <w:r w:rsidRPr="008B68A9">
        <w:t>.</w:t>
      </w:r>
      <w:r w:rsidR="00415741" w:rsidRPr="008B68A9">
        <w:t xml:space="preserve"> </w:t>
      </w:r>
      <w:r w:rsidRPr="008B68A9">
        <w:t xml:space="preserve">The level of personal engagement required by Leadbeater’s vision </w:t>
      </w:r>
      <w:r w:rsidR="00474435" w:rsidRPr="008B68A9">
        <w:t xml:space="preserve">according to Alakeson (2013b), </w:t>
      </w:r>
      <w:r w:rsidRPr="008B68A9">
        <w:t xml:space="preserve">raises </w:t>
      </w:r>
      <w:r w:rsidR="00474435" w:rsidRPr="008B68A9">
        <w:t>a</w:t>
      </w:r>
      <w:r w:rsidRPr="008B68A9">
        <w:t xml:space="preserve"> suggestion that some </w:t>
      </w:r>
      <w:r w:rsidR="00474435" w:rsidRPr="008B68A9">
        <w:t>users</w:t>
      </w:r>
      <w:r w:rsidR="00C07F2E" w:rsidRPr="008B68A9">
        <w:t xml:space="preserve"> </w:t>
      </w:r>
      <w:r w:rsidRPr="008B68A9">
        <w:t>receiv</w:t>
      </w:r>
      <w:r w:rsidR="00C07F2E" w:rsidRPr="008B68A9">
        <w:t>ing</w:t>
      </w:r>
      <w:r w:rsidRPr="008B68A9">
        <w:t xml:space="preserve"> public services may be unwilling or unable </w:t>
      </w:r>
      <w:r w:rsidR="00C07F2E" w:rsidRPr="008B68A9">
        <w:t xml:space="preserve">to </w:t>
      </w:r>
      <w:r w:rsidR="00D97A43" w:rsidRPr="008B68A9">
        <w:t>engage</w:t>
      </w:r>
      <w:r w:rsidR="00A03B27" w:rsidRPr="008B68A9">
        <w:t xml:space="preserve"> at the required level</w:t>
      </w:r>
      <w:r w:rsidR="00474435" w:rsidRPr="008B68A9">
        <w:t xml:space="preserve"> and therefore </w:t>
      </w:r>
      <w:r w:rsidR="004805FD" w:rsidRPr="008B68A9">
        <w:t>further disadvantaged</w:t>
      </w:r>
      <w:r w:rsidRPr="008B68A9">
        <w:t>.</w:t>
      </w:r>
      <w:r w:rsidR="00415741" w:rsidRPr="008B68A9">
        <w:t xml:space="preserve"> </w:t>
      </w:r>
      <w:r w:rsidRPr="008B68A9">
        <w:t>Notwithstanding</w:t>
      </w:r>
      <w:r w:rsidR="00C07F2E" w:rsidRPr="008B68A9">
        <w:t>,</w:t>
      </w:r>
      <w:r w:rsidRPr="008B68A9">
        <w:t xml:space="preserve"> the principle of professional asymmetry</w:t>
      </w:r>
      <w:r w:rsidR="001C3E27" w:rsidRPr="008B68A9">
        <w:t xml:space="preserve"> as foundational</w:t>
      </w:r>
      <w:r w:rsidRPr="008B68A9">
        <w:t xml:space="preserve"> has maintained a grip on the implementation of personalisation, and although definitions remain vague (West </w:t>
      </w:r>
      <w:r w:rsidR="006111D0" w:rsidRPr="008B68A9">
        <w:t>2012</w:t>
      </w:r>
      <w:r w:rsidRPr="008B68A9">
        <w:t xml:space="preserve">), the legacy of Leadbeater (2004) can </w:t>
      </w:r>
      <w:r w:rsidRPr="008B68A9">
        <w:lastRenderedPageBreak/>
        <w:t xml:space="preserve">be seen to underpin the policy discourse of </w:t>
      </w:r>
      <w:r w:rsidR="00371B44" w:rsidRPr="008B68A9">
        <w:t>co-production</w:t>
      </w:r>
      <w:r w:rsidRPr="008B68A9">
        <w:t xml:space="preserve"> that has followed from the Blair/Brown administration (Needham 2009a), through the coalition government (Boyle </w:t>
      </w:r>
      <w:r w:rsidR="00AC06A3" w:rsidRPr="008B68A9">
        <w:rPr>
          <w:i/>
        </w:rPr>
        <w:t>et al.</w:t>
      </w:r>
      <w:r w:rsidRPr="008B68A9">
        <w:t xml:space="preserve"> </w:t>
      </w:r>
      <w:r w:rsidR="00F37E37" w:rsidRPr="008B68A9">
        <w:t>2010a</w:t>
      </w:r>
      <w:r w:rsidRPr="008B68A9">
        <w:t xml:space="preserve">) and the </w:t>
      </w:r>
      <w:r w:rsidR="00DC3821" w:rsidRPr="008B68A9">
        <w:t>2015 Conservative</w:t>
      </w:r>
      <w:r w:rsidRPr="008B68A9">
        <w:t xml:space="preserve"> administration (Hamilton </w:t>
      </w:r>
      <w:r w:rsidR="00AC06A3" w:rsidRPr="008B68A9">
        <w:rPr>
          <w:i/>
        </w:rPr>
        <w:t>et al.</w:t>
      </w:r>
      <w:r w:rsidRPr="008B68A9">
        <w:t xml:space="preserve"> 2015c).</w:t>
      </w:r>
      <w:r w:rsidR="00415741" w:rsidRPr="008B68A9">
        <w:t xml:space="preserve"> </w:t>
      </w:r>
      <w:r w:rsidRPr="008B68A9">
        <w:t xml:space="preserve">The growth of shared decision making between professionals and service users is </w:t>
      </w:r>
      <w:r w:rsidR="0039618F" w:rsidRPr="008B68A9">
        <w:t>promot</w:t>
      </w:r>
      <w:r w:rsidR="00B901D4" w:rsidRPr="008B68A9">
        <w:t>ed by mental health groups (Hesl</w:t>
      </w:r>
      <w:r w:rsidR="0039618F" w:rsidRPr="008B68A9">
        <w:t xml:space="preserve">op </w:t>
      </w:r>
      <w:r w:rsidR="00AC06A3" w:rsidRPr="008B68A9">
        <w:rPr>
          <w:i/>
        </w:rPr>
        <w:t>et al.</w:t>
      </w:r>
      <w:r w:rsidR="0039618F" w:rsidRPr="008B68A9">
        <w:t xml:space="preserve"> 2009), and </w:t>
      </w:r>
      <w:r w:rsidR="00800693" w:rsidRPr="008B68A9">
        <w:t>seen</w:t>
      </w:r>
      <w:r w:rsidRPr="008B68A9">
        <w:t xml:space="preserve"> </w:t>
      </w:r>
      <w:r w:rsidR="00800693" w:rsidRPr="008B68A9">
        <w:t>in</w:t>
      </w:r>
      <w:r w:rsidRPr="008B68A9">
        <w:t xml:space="preserve"> mental health services </w:t>
      </w:r>
      <w:r w:rsidR="00800693" w:rsidRPr="008B68A9">
        <w:t>though</w:t>
      </w:r>
      <w:r w:rsidRPr="008B68A9">
        <w:t xml:space="preserve"> recovery and medication mana</w:t>
      </w:r>
      <w:r w:rsidR="0039618F" w:rsidRPr="008B68A9">
        <w:t>g</w:t>
      </w:r>
      <w:r w:rsidR="00474435" w:rsidRPr="008B68A9">
        <w:t>ement (Deegan and Drake 2006). Though in t</w:t>
      </w:r>
      <w:r w:rsidR="0039618F" w:rsidRPr="008B68A9">
        <w:t xml:space="preserve">raditional </w:t>
      </w:r>
      <w:r w:rsidRPr="008B68A9">
        <w:t>acute mental health settings</w:t>
      </w:r>
      <w:r w:rsidR="0039618F" w:rsidRPr="008B68A9">
        <w:t xml:space="preserve"> collaborative decision making</w:t>
      </w:r>
      <w:r w:rsidRPr="008B68A9">
        <w:t xml:space="preserve"> </w:t>
      </w:r>
      <w:r w:rsidR="00474435" w:rsidRPr="008B68A9">
        <w:t xml:space="preserve">should be promoted </w:t>
      </w:r>
      <w:r w:rsidRPr="008B68A9">
        <w:t>(</w:t>
      </w:r>
      <w:r w:rsidR="00F37E37" w:rsidRPr="008B68A9">
        <w:t xml:space="preserve">Stacey </w:t>
      </w:r>
      <w:r w:rsidR="00AC06A3" w:rsidRPr="008B68A9">
        <w:rPr>
          <w:i/>
        </w:rPr>
        <w:t>et al.</w:t>
      </w:r>
      <w:r w:rsidRPr="008B68A9">
        <w:t xml:space="preserve"> 2016)</w:t>
      </w:r>
      <w:r w:rsidR="00422A94" w:rsidRPr="008B68A9">
        <w:t>;</w:t>
      </w:r>
      <w:r w:rsidRPr="008B68A9">
        <w:t xml:space="preserve"> there is</w:t>
      </w:r>
      <w:r w:rsidR="00474435" w:rsidRPr="008B68A9">
        <w:t xml:space="preserve"> however</w:t>
      </w:r>
      <w:r w:rsidRPr="008B68A9">
        <w:t xml:space="preserve"> little in the literature</w:t>
      </w:r>
      <w:r w:rsidR="00DC3821" w:rsidRPr="008B68A9">
        <w:t>,</w:t>
      </w:r>
      <w:r w:rsidRPr="008B68A9">
        <w:t xml:space="preserve"> beyond the Mac Pin study</w:t>
      </w:r>
      <w:r w:rsidR="007A3246" w:rsidRPr="008B68A9">
        <w:t xml:space="preserve"> (disc</w:t>
      </w:r>
      <w:r w:rsidR="00DC3821" w:rsidRPr="008B68A9">
        <w:t>ussed in the following chapter)</w:t>
      </w:r>
      <w:r w:rsidR="007A3246" w:rsidRPr="008B68A9">
        <w:t xml:space="preserve"> and this study</w:t>
      </w:r>
      <w:r w:rsidR="00DC3821" w:rsidRPr="008B68A9">
        <w:t>,</w:t>
      </w:r>
      <w:r w:rsidR="007A3246" w:rsidRPr="008B68A9">
        <w:t xml:space="preserve"> where</w:t>
      </w:r>
      <w:r w:rsidRPr="008B68A9">
        <w:t xml:space="preserve"> professional asymmetry</w:t>
      </w:r>
      <w:r w:rsidR="007A3246" w:rsidRPr="008B68A9">
        <w:t xml:space="preserve"> and the construction of identity in mental health </w:t>
      </w:r>
      <w:r w:rsidR="00422A94" w:rsidRPr="008B68A9">
        <w:t xml:space="preserve">are </w:t>
      </w:r>
      <w:r w:rsidR="00474435" w:rsidRPr="008B68A9">
        <w:t xml:space="preserve">seriously </w:t>
      </w:r>
      <w:r w:rsidR="007A3246" w:rsidRPr="008B68A9">
        <w:t>explored.</w:t>
      </w:r>
    </w:p>
    <w:p w14:paraId="4ED5002F" w14:textId="1D39227E" w:rsidR="00D07D4E" w:rsidRPr="008B68A9" w:rsidRDefault="00E85E94" w:rsidP="002F0FD7">
      <w:pPr>
        <w:pStyle w:val="5arangedleft"/>
      </w:pPr>
      <w:r w:rsidRPr="008B68A9">
        <w:t>A criticism that professional expertise still dominates direct payments in assessment and resource allocation has been made</w:t>
      </w:r>
      <w:r w:rsidR="00474435" w:rsidRPr="008B68A9">
        <w:t xml:space="preserve"> for some time (Spandl</w:t>
      </w:r>
      <w:r w:rsidR="00DB741B" w:rsidRPr="008B68A9">
        <w:t>er and Vick 2005</w:t>
      </w:r>
      <w:r w:rsidR="00474435" w:rsidRPr="008B68A9">
        <w:t>)</w:t>
      </w:r>
      <w:r w:rsidR="00DB741B" w:rsidRPr="008B68A9">
        <w:t>,</w:t>
      </w:r>
      <w:r w:rsidRPr="008B68A9">
        <w:t xml:space="preserve"> </w:t>
      </w:r>
      <w:r w:rsidR="00DB741B" w:rsidRPr="008B68A9">
        <w:t>which</w:t>
      </w:r>
      <w:r w:rsidRPr="008B68A9">
        <w:t xml:space="preserve"> has meant that</w:t>
      </w:r>
      <w:r w:rsidR="00DB741B" w:rsidRPr="008B68A9">
        <w:t xml:space="preserve"> the </w:t>
      </w:r>
      <w:r w:rsidRPr="008B68A9">
        <w:t>power to decide what is important to a person lies within</w:t>
      </w:r>
      <w:r w:rsidR="00EF3A10" w:rsidRPr="008B68A9">
        <w:t xml:space="preserve"> </w:t>
      </w:r>
      <w:r w:rsidR="00DB741B" w:rsidRPr="008B68A9">
        <w:t>a traditional service</w:t>
      </w:r>
      <w:r w:rsidRPr="008B68A9">
        <w:t xml:space="preserve"> paradigm (Alakeson 2008).</w:t>
      </w:r>
      <w:r w:rsidR="00415741" w:rsidRPr="008B68A9">
        <w:t xml:space="preserve"> </w:t>
      </w:r>
      <w:r w:rsidRPr="008B68A9">
        <w:t xml:space="preserve">Choices and decisions about how </w:t>
      </w:r>
      <w:r w:rsidR="00EF3A10" w:rsidRPr="008B68A9">
        <w:t xml:space="preserve">available </w:t>
      </w:r>
      <w:r w:rsidRPr="008B68A9">
        <w:t xml:space="preserve">funding may </w:t>
      </w:r>
      <w:r w:rsidR="00DB741B" w:rsidRPr="008B68A9">
        <w:t xml:space="preserve">be utilised </w:t>
      </w:r>
      <w:r w:rsidRPr="008B68A9">
        <w:t>differ greatly</w:t>
      </w:r>
      <w:r w:rsidR="00EF3A10" w:rsidRPr="008B68A9">
        <w:t xml:space="preserve"> between the user and care manager:</w:t>
      </w:r>
      <w:r w:rsidR="00415741" w:rsidRPr="008B68A9">
        <w:t xml:space="preserve"> </w:t>
      </w:r>
      <w:r w:rsidRPr="008B68A9">
        <w:t>budget user</w:t>
      </w:r>
      <w:r w:rsidR="00DB741B" w:rsidRPr="008B68A9">
        <w:t>s</w:t>
      </w:r>
      <w:r w:rsidRPr="008B68A9">
        <w:t xml:space="preserve"> may seek to find support from within their family or community</w:t>
      </w:r>
      <w:r w:rsidR="00EF3A10" w:rsidRPr="008B68A9">
        <w:t>,</w:t>
      </w:r>
      <w:r w:rsidRPr="008B68A9">
        <w:t xml:space="preserve"> or through ordinary means to overcome social isolation, whilst a professional perspective may attempt to meet identified need through l services with which they are more fa</w:t>
      </w:r>
      <w:r w:rsidR="00CA3416" w:rsidRPr="008B68A9">
        <w:t xml:space="preserve">miliar (Bird and Wooster 2008). </w:t>
      </w:r>
      <w:r w:rsidR="00D07D4E" w:rsidRPr="008B68A9">
        <w:t xml:space="preserve">A move towards </w:t>
      </w:r>
      <w:r w:rsidR="00371B44" w:rsidRPr="008B68A9">
        <w:t>co-production</w:t>
      </w:r>
      <w:r w:rsidR="00EF3A10" w:rsidRPr="008B68A9">
        <w:t>,</w:t>
      </w:r>
      <w:r w:rsidR="00D07D4E" w:rsidRPr="008B68A9">
        <w:t xml:space="preserve"> in the words of Rugg (2014 p. 54), “…requires a considerable behavioural and cultural shift on the part of both organisations and beneficiaries”, suggesting that change requires commitment from users and providers alike.</w:t>
      </w:r>
      <w:r w:rsidR="00415741" w:rsidRPr="008B68A9">
        <w:t xml:space="preserve"> </w:t>
      </w:r>
    </w:p>
    <w:p w14:paraId="5C74FA0B" w14:textId="140A3700" w:rsidR="000A2057" w:rsidRPr="008B68A9" w:rsidRDefault="000A2057" w:rsidP="002F0FD7">
      <w:pPr>
        <w:pStyle w:val="5arangedleft"/>
      </w:pPr>
      <w:r w:rsidRPr="008B68A9">
        <w:t xml:space="preserve">This thesis centres on the interactions between participants using personalisation and their </w:t>
      </w:r>
      <w:r w:rsidR="007A3246" w:rsidRPr="008B68A9">
        <w:t>negotiated identities</w:t>
      </w:r>
      <w:r w:rsidRPr="008B68A9">
        <w:t>.</w:t>
      </w:r>
      <w:r w:rsidR="00415741" w:rsidRPr="008B68A9">
        <w:t xml:space="preserve"> </w:t>
      </w:r>
      <w:r w:rsidRPr="008B68A9">
        <w:t xml:space="preserve">Direct </w:t>
      </w:r>
      <w:r w:rsidR="008526E7" w:rsidRPr="008B68A9">
        <w:t>p</w:t>
      </w:r>
      <w:r w:rsidRPr="008B68A9">
        <w:t xml:space="preserve">ayments hugely advanced </w:t>
      </w:r>
      <w:r w:rsidR="008526E7" w:rsidRPr="008B68A9">
        <w:t xml:space="preserve">the </w:t>
      </w:r>
      <w:r w:rsidRPr="008B68A9">
        <w:t>users</w:t>
      </w:r>
      <w:r w:rsidR="008526E7" w:rsidRPr="008B68A9">
        <w:t>’</w:t>
      </w:r>
      <w:r w:rsidRPr="008B68A9">
        <w:t xml:space="preserve"> role</w:t>
      </w:r>
      <w:r w:rsidR="00F81A99" w:rsidRPr="008B68A9">
        <w:t xml:space="preserve"> in services</w:t>
      </w:r>
      <w:r w:rsidR="008526E7" w:rsidRPr="008B68A9">
        <w:t>,</w:t>
      </w:r>
      <w:r w:rsidRPr="008B68A9">
        <w:t xml:space="preserve"> shaping the</w:t>
      </w:r>
      <w:r w:rsidR="00F81A99" w:rsidRPr="008B68A9">
        <w:t>ir</w:t>
      </w:r>
      <w:r w:rsidRPr="008B68A9">
        <w:t xml:space="preserve"> support; they do not</w:t>
      </w:r>
      <w:r w:rsidR="008526E7" w:rsidRPr="008B68A9">
        <w:t>,</w:t>
      </w:r>
      <w:r w:rsidRPr="008B68A9">
        <w:t xml:space="preserve"> however</w:t>
      </w:r>
      <w:r w:rsidR="008526E7" w:rsidRPr="008B68A9">
        <w:t>,</w:t>
      </w:r>
      <w:r w:rsidRPr="008B68A9">
        <w:t xml:space="preserve"> inherently challenge or transform the relationships between provider and recipient.</w:t>
      </w:r>
      <w:r w:rsidR="00415741" w:rsidRPr="008B68A9">
        <w:t xml:space="preserve"> </w:t>
      </w:r>
      <w:r w:rsidRPr="008B68A9">
        <w:t>Alakeson</w:t>
      </w:r>
      <w:r w:rsidR="008526E7" w:rsidRPr="008B68A9">
        <w:t xml:space="preserve"> </w:t>
      </w:r>
      <w:r w:rsidRPr="008B68A9">
        <w:t>(2013</w:t>
      </w:r>
      <w:r w:rsidR="008052B1" w:rsidRPr="008B68A9">
        <w:t>b</w:t>
      </w:r>
      <w:r w:rsidRPr="008B68A9">
        <w:t xml:space="preserve">) </w:t>
      </w:r>
      <w:r w:rsidR="00F81A99" w:rsidRPr="008B68A9">
        <w:t>states</w:t>
      </w:r>
      <w:r w:rsidRPr="008B68A9">
        <w:t xml:space="preserve"> that professionals </w:t>
      </w:r>
      <w:r w:rsidR="008526E7" w:rsidRPr="008B68A9">
        <w:t xml:space="preserve">often </w:t>
      </w:r>
      <w:r w:rsidRPr="008B68A9">
        <w:t>focus on financial aspect</w:t>
      </w:r>
      <w:r w:rsidR="00F81A99" w:rsidRPr="008B68A9">
        <w:t>s</w:t>
      </w:r>
      <w:r w:rsidRPr="008B68A9">
        <w:t xml:space="preserve"> of user</w:t>
      </w:r>
      <w:r w:rsidR="00AB0F10" w:rsidRPr="008B68A9">
        <w:t>-</w:t>
      </w:r>
      <w:r w:rsidRPr="008B68A9">
        <w:t>led service design</w:t>
      </w:r>
      <w:r w:rsidR="00F81A99" w:rsidRPr="008B68A9">
        <w:t>s</w:t>
      </w:r>
      <w:r w:rsidR="008526E7" w:rsidRPr="008B68A9">
        <w:t>,</w:t>
      </w:r>
      <w:r w:rsidRPr="008B68A9">
        <w:t xml:space="preserve"> therefore missing opportunities presented t</w:t>
      </w:r>
      <w:r w:rsidR="00F81A99" w:rsidRPr="008B68A9">
        <w:t>hrough co-production or a changed</w:t>
      </w:r>
      <w:r w:rsidRPr="008B68A9">
        <w:t xml:space="preserve"> conversation betwe</w:t>
      </w:r>
      <w:r w:rsidR="007A3246" w:rsidRPr="008B68A9">
        <w:t>en professionals and consumers</w:t>
      </w:r>
      <w:r w:rsidR="00507A79" w:rsidRPr="008B68A9">
        <w:t xml:space="preserve"> (DH 2010f)</w:t>
      </w:r>
      <w:r w:rsidR="007A3246" w:rsidRPr="008B68A9">
        <w:t>.</w:t>
      </w:r>
      <w:r w:rsidR="00415741" w:rsidRPr="008B68A9">
        <w:t xml:space="preserve"> </w:t>
      </w:r>
      <w:r w:rsidRPr="008B68A9">
        <w:t>The terms of relationships between service providers</w:t>
      </w:r>
      <w:r w:rsidR="008526E7" w:rsidRPr="008B68A9">
        <w:t xml:space="preserve"> and users</w:t>
      </w:r>
      <w:r w:rsidRPr="008B68A9">
        <w:t xml:space="preserve"> </w:t>
      </w:r>
      <w:r w:rsidR="00F81A99" w:rsidRPr="008B68A9">
        <w:t xml:space="preserve">in mental health </w:t>
      </w:r>
      <w:r w:rsidRPr="008B68A9">
        <w:t xml:space="preserve">are </w:t>
      </w:r>
      <w:r w:rsidR="008526E7" w:rsidRPr="008B68A9">
        <w:t xml:space="preserve">predisposed </w:t>
      </w:r>
      <w:r w:rsidRPr="008B68A9">
        <w:lastRenderedPageBreak/>
        <w:t>to professionally</w:t>
      </w:r>
      <w:r w:rsidR="008526E7" w:rsidRPr="008B68A9">
        <w:t xml:space="preserve"> </w:t>
      </w:r>
      <w:r w:rsidRPr="008B68A9">
        <w:t>led approach</w:t>
      </w:r>
      <w:r w:rsidR="00F81A99" w:rsidRPr="008B68A9">
        <w:t>es</w:t>
      </w:r>
      <w:r w:rsidR="008526E7" w:rsidRPr="008B68A9">
        <w:t>;</w:t>
      </w:r>
      <w:r w:rsidRPr="008B68A9">
        <w:t xml:space="preserve"> or as Tait and Lester</w:t>
      </w:r>
      <w:r w:rsidR="008526E7" w:rsidRPr="008B68A9">
        <w:t xml:space="preserve"> remark</w:t>
      </w:r>
      <w:r w:rsidRPr="008B68A9">
        <w:t xml:space="preserve"> (2005</w:t>
      </w:r>
      <w:r w:rsidR="00D37359" w:rsidRPr="008B68A9">
        <w:t>,</w:t>
      </w:r>
      <w:r w:rsidRPr="008B68A9">
        <w:rPr>
          <w:rFonts w:cs="Times New Roman"/>
          <w:szCs w:val="19"/>
        </w:rPr>
        <w:t xml:space="preserve"> p.</w:t>
      </w:r>
      <w:r w:rsidR="00D37359" w:rsidRPr="008B68A9">
        <w:rPr>
          <w:rFonts w:cs="Times New Roman"/>
          <w:szCs w:val="19"/>
        </w:rPr>
        <w:t xml:space="preserve"> </w:t>
      </w:r>
      <w:r w:rsidRPr="008B68A9">
        <w:rPr>
          <w:rFonts w:cs="Times New Roman"/>
          <w:szCs w:val="19"/>
        </w:rPr>
        <w:t>168</w:t>
      </w:r>
      <w:r w:rsidRPr="008B68A9">
        <w:t>)</w:t>
      </w:r>
      <w:r w:rsidR="008526E7" w:rsidRPr="008B68A9">
        <w:t>,</w:t>
      </w:r>
      <w:r w:rsidRPr="008B68A9">
        <w:t xml:space="preserve"> cit</w:t>
      </w:r>
      <w:r w:rsidR="008526E7" w:rsidRPr="008B68A9">
        <w:t>ing</w:t>
      </w:r>
      <w:r w:rsidRPr="008B68A9">
        <w:t xml:space="preserve"> Pilgrim and Rogers</w:t>
      </w:r>
      <w:r w:rsidR="00F958A2" w:rsidRPr="008B68A9">
        <w:t xml:space="preserve"> (1999)</w:t>
      </w:r>
      <w:r w:rsidR="008526E7" w:rsidRPr="008B68A9">
        <w:t>,</w:t>
      </w:r>
      <w:r w:rsidRPr="008B68A9">
        <w:t xml:space="preserve"> people accessing mental health services are patients, and </w:t>
      </w:r>
      <w:r w:rsidRPr="008B68A9">
        <w:rPr>
          <w:rFonts w:cs="Times New Roman"/>
          <w:szCs w:val="19"/>
        </w:rPr>
        <w:t>“objects of the clinical gaze of mental health professionals.”</w:t>
      </w:r>
      <w:r w:rsidR="00415741" w:rsidRPr="008B68A9">
        <w:rPr>
          <w:rFonts w:cs="Times New Roman"/>
          <w:szCs w:val="19"/>
        </w:rPr>
        <w:t xml:space="preserve"> </w:t>
      </w:r>
      <w:r w:rsidRPr="008B68A9">
        <w:rPr>
          <w:rFonts w:cs="Times New Roman"/>
          <w:szCs w:val="19"/>
        </w:rPr>
        <w:t xml:space="preserve">Creating equal spaces where </w:t>
      </w:r>
      <w:r w:rsidR="00371B44" w:rsidRPr="008B68A9">
        <w:rPr>
          <w:rFonts w:cs="Times New Roman"/>
          <w:szCs w:val="19"/>
        </w:rPr>
        <w:t>co-production</w:t>
      </w:r>
      <w:r w:rsidRPr="008B68A9">
        <w:rPr>
          <w:rFonts w:cs="Times New Roman"/>
          <w:szCs w:val="19"/>
        </w:rPr>
        <w:t xml:space="preserve"> underpins interaction</w:t>
      </w:r>
      <w:r w:rsidR="00F76A4E" w:rsidRPr="008B68A9">
        <w:rPr>
          <w:rFonts w:cs="Times New Roman"/>
          <w:szCs w:val="19"/>
        </w:rPr>
        <w:t xml:space="preserve"> between stakeholders</w:t>
      </w:r>
      <w:r w:rsidRPr="008B68A9">
        <w:rPr>
          <w:rFonts w:cs="Times New Roman"/>
          <w:szCs w:val="19"/>
        </w:rPr>
        <w:t xml:space="preserve"> </w:t>
      </w:r>
      <w:r w:rsidR="001C3E27" w:rsidRPr="008B68A9">
        <w:rPr>
          <w:rFonts w:cs="Times New Roman"/>
          <w:szCs w:val="19"/>
        </w:rPr>
        <w:t>remains</w:t>
      </w:r>
      <w:r w:rsidR="00F81A99" w:rsidRPr="008B68A9">
        <w:rPr>
          <w:rFonts w:cs="Times New Roman"/>
          <w:szCs w:val="19"/>
        </w:rPr>
        <w:t xml:space="preserve"> a challenge; </w:t>
      </w:r>
      <w:r w:rsidR="00F81A99" w:rsidRPr="008B68A9">
        <w:t>and yet</w:t>
      </w:r>
      <w:r w:rsidRPr="008B68A9">
        <w:t xml:space="preserve"> faces </w:t>
      </w:r>
      <w:r w:rsidR="00D57F97" w:rsidRPr="008B68A9">
        <w:t>a</w:t>
      </w:r>
      <w:r w:rsidRPr="008B68A9">
        <w:t xml:space="preserve"> </w:t>
      </w:r>
      <w:r w:rsidR="001C3E27" w:rsidRPr="008B68A9">
        <w:t>potential</w:t>
      </w:r>
      <w:r w:rsidR="00F76A4E" w:rsidRPr="008B68A9">
        <w:t xml:space="preserve"> </w:t>
      </w:r>
      <w:r w:rsidR="001C3E27" w:rsidRPr="008B68A9">
        <w:t xml:space="preserve">risk </w:t>
      </w:r>
      <w:r w:rsidR="00F76A4E" w:rsidRPr="008B68A9">
        <w:t>that</w:t>
      </w:r>
      <w:r w:rsidRPr="008B68A9">
        <w:t xml:space="preserve"> </w:t>
      </w:r>
      <w:r w:rsidR="00F76A4E" w:rsidRPr="008B68A9">
        <w:rPr>
          <w:rFonts w:cs="Times New Roman"/>
          <w:szCs w:val="19"/>
        </w:rPr>
        <w:t xml:space="preserve">care </w:t>
      </w:r>
      <w:r w:rsidR="001C3E27" w:rsidRPr="008B68A9">
        <w:rPr>
          <w:rFonts w:cs="Times New Roman"/>
          <w:szCs w:val="19"/>
        </w:rPr>
        <w:t xml:space="preserve">may </w:t>
      </w:r>
      <w:r w:rsidR="00D57F97" w:rsidRPr="008B68A9">
        <w:rPr>
          <w:rFonts w:cs="Times New Roman"/>
          <w:szCs w:val="19"/>
        </w:rPr>
        <w:t xml:space="preserve">be </w:t>
      </w:r>
      <w:r w:rsidR="001C3E27" w:rsidRPr="008B68A9">
        <w:rPr>
          <w:rFonts w:cs="Times New Roman"/>
          <w:szCs w:val="19"/>
        </w:rPr>
        <w:t xml:space="preserve">simply </w:t>
      </w:r>
      <w:r w:rsidRPr="008B68A9">
        <w:rPr>
          <w:rFonts w:cs="Times New Roman"/>
          <w:szCs w:val="19"/>
        </w:rPr>
        <w:t>badge re-engineered</w:t>
      </w:r>
      <w:r w:rsidR="001C3E27" w:rsidRPr="008B68A9">
        <w:rPr>
          <w:rFonts w:cs="Times New Roman"/>
          <w:szCs w:val="19"/>
        </w:rPr>
        <w:t>.</w:t>
      </w:r>
      <w:r w:rsidR="00415741" w:rsidRPr="008B68A9">
        <w:rPr>
          <w:rFonts w:cs="Times New Roman"/>
          <w:szCs w:val="19"/>
        </w:rPr>
        <w:t xml:space="preserve"> </w:t>
      </w:r>
      <w:r w:rsidR="001C3E27" w:rsidRPr="008B68A9">
        <w:rPr>
          <w:rFonts w:cs="Times New Roman"/>
          <w:szCs w:val="19"/>
        </w:rPr>
        <w:t>T</w:t>
      </w:r>
      <w:r w:rsidR="00F76A4E" w:rsidRPr="008B68A9">
        <w:rPr>
          <w:rFonts w:cs="Times New Roman"/>
          <w:szCs w:val="19"/>
        </w:rPr>
        <w:t xml:space="preserve">he language and symbols of </w:t>
      </w:r>
      <w:r w:rsidR="00371B44" w:rsidRPr="008B68A9">
        <w:rPr>
          <w:rFonts w:cs="Times New Roman"/>
          <w:szCs w:val="19"/>
        </w:rPr>
        <w:t>co-production</w:t>
      </w:r>
      <w:r w:rsidR="00F76A4E" w:rsidRPr="008B68A9">
        <w:rPr>
          <w:rFonts w:cs="Times New Roman"/>
          <w:szCs w:val="19"/>
        </w:rPr>
        <w:t xml:space="preserve"> </w:t>
      </w:r>
      <w:r w:rsidR="001C3E27" w:rsidRPr="008B68A9">
        <w:rPr>
          <w:rFonts w:cs="Times New Roman"/>
          <w:szCs w:val="19"/>
        </w:rPr>
        <w:t>are manifest</w:t>
      </w:r>
      <w:r w:rsidR="00F76A4E" w:rsidRPr="008B68A9">
        <w:rPr>
          <w:rFonts w:cs="Times New Roman"/>
          <w:szCs w:val="19"/>
        </w:rPr>
        <w:t xml:space="preserve">, </w:t>
      </w:r>
      <w:r w:rsidR="00E900FE" w:rsidRPr="008B68A9">
        <w:rPr>
          <w:rFonts w:cs="Times New Roman"/>
          <w:szCs w:val="19"/>
        </w:rPr>
        <w:t>t</w:t>
      </w:r>
      <w:r w:rsidRPr="008B68A9">
        <w:t>hough</w:t>
      </w:r>
      <w:r w:rsidR="00F76A4E" w:rsidRPr="008B68A9">
        <w:t xml:space="preserve"> care</w:t>
      </w:r>
      <w:r w:rsidR="00D57F97" w:rsidRPr="008B68A9">
        <w:t xml:space="preserve"> delivery</w:t>
      </w:r>
      <w:r w:rsidR="00F76A4E" w:rsidRPr="008B68A9">
        <w:t xml:space="preserve"> remain</w:t>
      </w:r>
      <w:r w:rsidR="001C3E27" w:rsidRPr="008B68A9">
        <w:t>s</w:t>
      </w:r>
      <w:r w:rsidR="00F76A4E" w:rsidRPr="008B68A9">
        <w:t xml:space="preserve"> the same. C</w:t>
      </w:r>
      <w:r w:rsidR="00E900FE" w:rsidRPr="008B68A9">
        <w:t>o-production might occur through</w:t>
      </w:r>
      <w:r w:rsidRPr="008B68A9">
        <w:t xml:space="preserve"> a re-calibration of relationships between practitioners and users</w:t>
      </w:r>
      <w:r w:rsidR="00F76A4E" w:rsidRPr="008B68A9">
        <w:t xml:space="preserve"> as</w:t>
      </w:r>
      <w:r w:rsidRPr="008B68A9">
        <w:t xml:space="preserve"> </w:t>
      </w:r>
      <w:r w:rsidR="00F76A4E" w:rsidRPr="008B68A9">
        <w:t>Needham and Carr (2012)</w:t>
      </w:r>
      <w:r w:rsidR="00D57F97" w:rsidRPr="008B68A9">
        <w:t xml:space="preserve"> state</w:t>
      </w:r>
      <w:r w:rsidR="00F76A4E" w:rsidRPr="008B68A9">
        <w:t xml:space="preserve">, </w:t>
      </w:r>
      <w:r w:rsidRPr="008B68A9">
        <w:t xml:space="preserve">from transactional to </w:t>
      </w:r>
      <w:r w:rsidR="001C3E27" w:rsidRPr="008B68A9">
        <w:t>relational, where responsibilities</w:t>
      </w:r>
      <w:r w:rsidR="00F76A4E" w:rsidRPr="008B68A9">
        <w:t xml:space="preserve"> for care</w:t>
      </w:r>
      <w:r w:rsidRPr="008B68A9">
        <w:t xml:space="preserve"> </w:t>
      </w:r>
      <w:r w:rsidR="001C3E27" w:rsidRPr="008B68A9">
        <w:t>are</w:t>
      </w:r>
      <w:r w:rsidRPr="008B68A9">
        <w:t xml:space="preserve"> shared and where </w:t>
      </w:r>
      <w:r w:rsidR="00F76A4E" w:rsidRPr="008B68A9">
        <w:t xml:space="preserve">user </w:t>
      </w:r>
      <w:r w:rsidRPr="008B68A9">
        <w:t xml:space="preserve">passivity associated with traditional care delivery </w:t>
      </w:r>
      <w:r w:rsidR="001C3E27" w:rsidRPr="008B68A9">
        <w:t>is</w:t>
      </w:r>
      <w:r w:rsidRPr="008B68A9">
        <w:t xml:space="preserve"> challenged.</w:t>
      </w:r>
      <w:r w:rsidR="00415741" w:rsidRPr="008B68A9">
        <w:t xml:space="preserve"> </w:t>
      </w:r>
      <w:r w:rsidR="00F76A4E" w:rsidRPr="008B68A9">
        <w:t xml:space="preserve">The overuse of </w:t>
      </w:r>
      <w:r w:rsidR="00CA3416" w:rsidRPr="008B68A9">
        <w:t>co-production</w:t>
      </w:r>
      <w:r w:rsidRPr="008B68A9">
        <w:t xml:space="preserve"> can only signif</w:t>
      </w:r>
      <w:r w:rsidR="00E96830" w:rsidRPr="008B68A9">
        <w:t>y</w:t>
      </w:r>
      <w:r w:rsidRPr="008B68A9">
        <w:t xml:space="preserve"> that language change</w:t>
      </w:r>
      <w:r w:rsidR="00D57F97" w:rsidRPr="008B68A9">
        <w:t>s</w:t>
      </w:r>
      <w:r w:rsidRPr="008B68A9">
        <w:t>, but the nature of the relationship</w:t>
      </w:r>
      <w:r w:rsidR="00D57F97" w:rsidRPr="008B68A9">
        <w:t xml:space="preserve"> between stakeholders</w:t>
      </w:r>
      <w:r w:rsidRPr="008B68A9">
        <w:t xml:space="preserve"> remains resolutely asymmetric.</w:t>
      </w:r>
    </w:p>
    <w:p w14:paraId="0EA95237" w14:textId="5D33BC78" w:rsidR="0018148A" w:rsidRPr="008B68A9" w:rsidRDefault="00BF51CE" w:rsidP="002F0FD7">
      <w:pPr>
        <w:pStyle w:val="5arangedleft"/>
      </w:pPr>
      <w:r w:rsidRPr="008B68A9">
        <w:t>Co-production might as Needham (2011</w:t>
      </w:r>
      <w:r w:rsidR="00413B99" w:rsidRPr="008B68A9">
        <w:t>a</w:t>
      </w:r>
      <w:r w:rsidRPr="008B68A9">
        <w:t xml:space="preserve">) suggests </w:t>
      </w:r>
      <w:r w:rsidR="00D57F97" w:rsidRPr="008B68A9">
        <w:t xml:space="preserve">be </w:t>
      </w:r>
      <w:r w:rsidRPr="008B68A9">
        <w:t xml:space="preserve">more complex than the debate often </w:t>
      </w:r>
      <w:r w:rsidR="00B20512" w:rsidRPr="008B68A9">
        <w:t>indicates</w:t>
      </w:r>
      <w:r w:rsidR="00241F1D" w:rsidRPr="008B68A9">
        <w:t>.</w:t>
      </w:r>
      <w:r w:rsidRPr="008B68A9">
        <w:t xml:space="preserve"> </w:t>
      </w:r>
      <w:r w:rsidR="00241F1D" w:rsidRPr="008B68A9">
        <w:t>I</w:t>
      </w:r>
      <w:r w:rsidRPr="008B68A9">
        <w:t xml:space="preserve">rrespective of </w:t>
      </w:r>
      <w:r w:rsidR="00D57F97" w:rsidRPr="008B68A9">
        <w:t xml:space="preserve">policy makers’ </w:t>
      </w:r>
      <w:r w:rsidR="00241F1D" w:rsidRPr="008B68A9">
        <w:t>directive</w:t>
      </w:r>
      <w:r w:rsidRPr="008B68A9">
        <w:t>, partnership working</w:t>
      </w:r>
      <w:r w:rsidR="00241F1D" w:rsidRPr="008B68A9">
        <w:t xml:space="preserve"> makes good sense as collaboration between providers and users is preferable to antagonism.</w:t>
      </w:r>
      <w:r w:rsidR="00415741" w:rsidRPr="008B68A9">
        <w:t xml:space="preserve"> </w:t>
      </w:r>
      <w:r w:rsidR="00B20512" w:rsidRPr="008B68A9">
        <w:t>P</w:t>
      </w:r>
      <w:r w:rsidR="00944D0C" w:rsidRPr="008B68A9">
        <w:t>erson centred approaches using Sanderson’s</w:t>
      </w:r>
      <w:r w:rsidR="00B75E74" w:rsidRPr="008B68A9">
        <w:t xml:space="preserve"> definition</w:t>
      </w:r>
      <w:r w:rsidR="00944D0C" w:rsidRPr="008B68A9">
        <w:t xml:space="preserve"> (2000 p. 2), </w:t>
      </w:r>
      <w:r w:rsidR="007D4A56" w:rsidRPr="008B68A9">
        <w:t>offer clarity and direction to practitioners and carers alike.</w:t>
      </w:r>
      <w:r w:rsidR="00415741" w:rsidRPr="008B68A9">
        <w:t xml:space="preserve"> </w:t>
      </w:r>
      <w:r w:rsidR="0077367F" w:rsidRPr="008B68A9">
        <w:t>A</w:t>
      </w:r>
      <w:r w:rsidRPr="008B68A9">
        <w:t xml:space="preserve"> person centred approach </w:t>
      </w:r>
      <w:r w:rsidR="00B75E74" w:rsidRPr="008B68A9">
        <w:t>requires</w:t>
      </w:r>
      <w:r w:rsidR="0077367F" w:rsidRPr="008B68A9">
        <w:t>:</w:t>
      </w:r>
      <w:r w:rsidR="0018148A" w:rsidRPr="008B68A9">
        <w:t xml:space="preserve"> “A process of continual listening, and learning; focussed on what is important to someone now, and for the future; and acting upon this in alliance with their family and friends.”</w:t>
      </w:r>
    </w:p>
    <w:p w14:paraId="10C3AFC5" w14:textId="0756FE5F" w:rsidR="000630A4" w:rsidRPr="008B68A9" w:rsidRDefault="00F2333D" w:rsidP="002F0FD7">
      <w:pPr>
        <w:pStyle w:val="5arangedleft"/>
        <w:rPr>
          <w:rFonts w:cs="Arial"/>
        </w:rPr>
      </w:pPr>
      <w:r w:rsidRPr="008B68A9">
        <w:t>Sanderson’s</w:t>
      </w:r>
      <w:r w:rsidR="007D4A56" w:rsidRPr="008B68A9">
        <w:t xml:space="preserve"> definition h</w:t>
      </w:r>
      <w:r w:rsidR="00CD23F7" w:rsidRPr="008B68A9">
        <w:t xml:space="preserve">ighlights </w:t>
      </w:r>
      <w:r w:rsidR="007D4A56" w:rsidRPr="008B68A9">
        <w:t xml:space="preserve">plans as </w:t>
      </w:r>
      <w:r w:rsidR="000630A4" w:rsidRPr="008B68A9">
        <w:t>process</w:t>
      </w:r>
      <w:r w:rsidRPr="008B68A9">
        <w:t>es</w:t>
      </w:r>
      <w:r w:rsidR="007D4A56" w:rsidRPr="008B68A9">
        <w:t xml:space="preserve"> rather than as an act</w:t>
      </w:r>
      <w:r w:rsidR="009C0670" w:rsidRPr="008B68A9">
        <w:t>,</w:t>
      </w:r>
      <w:r w:rsidR="003F6606" w:rsidRPr="008B68A9">
        <w:t xml:space="preserve"> and a similar approach should be </w:t>
      </w:r>
      <w:r w:rsidRPr="008B68A9">
        <w:t>use when</w:t>
      </w:r>
      <w:r w:rsidR="003F6606" w:rsidRPr="008B68A9">
        <w:t xml:space="preserve"> co-producing </w:t>
      </w:r>
      <w:r w:rsidRPr="008B68A9">
        <w:t>support plans in personalised services</w:t>
      </w:r>
      <w:r w:rsidR="003F6606" w:rsidRPr="008B68A9">
        <w:t>.</w:t>
      </w:r>
      <w:r w:rsidR="00415741" w:rsidRPr="008B68A9">
        <w:t xml:space="preserve"> </w:t>
      </w:r>
      <w:r w:rsidR="00520401" w:rsidRPr="008B68A9">
        <w:rPr>
          <w:rFonts w:cs="Arial"/>
        </w:rPr>
        <w:t>Within other fields of health and social care practi</w:t>
      </w:r>
      <w:r w:rsidR="009C0670" w:rsidRPr="008B68A9">
        <w:rPr>
          <w:rFonts w:cs="Arial"/>
        </w:rPr>
        <w:t>c</w:t>
      </w:r>
      <w:r w:rsidR="00520401" w:rsidRPr="008B68A9">
        <w:rPr>
          <w:rFonts w:cs="Arial"/>
        </w:rPr>
        <w:t xml:space="preserve">e, person centred planning (Sanderson </w:t>
      </w:r>
      <w:r w:rsidR="00AC06A3" w:rsidRPr="008B68A9">
        <w:rPr>
          <w:rFonts w:cs="Arial"/>
          <w:i/>
        </w:rPr>
        <w:t>et al.</w:t>
      </w:r>
      <w:r w:rsidR="00520401" w:rsidRPr="008B68A9">
        <w:rPr>
          <w:rFonts w:cs="Arial"/>
        </w:rPr>
        <w:t xml:space="preserve"> 1997) has proliferated through planning tools such as </w:t>
      </w:r>
      <w:r w:rsidR="009C0670" w:rsidRPr="008B68A9">
        <w:rPr>
          <w:rFonts w:cs="Arial"/>
        </w:rPr>
        <w:t>e</w:t>
      </w:r>
      <w:r w:rsidR="00520401" w:rsidRPr="008B68A9">
        <w:rPr>
          <w:rFonts w:cs="Arial"/>
        </w:rPr>
        <w:t xml:space="preserve">ssential lifestyle </w:t>
      </w:r>
      <w:r w:rsidR="009C0670" w:rsidRPr="008B68A9">
        <w:rPr>
          <w:rFonts w:cs="Arial"/>
        </w:rPr>
        <w:t>p</w:t>
      </w:r>
      <w:r w:rsidR="00520401" w:rsidRPr="008B68A9">
        <w:rPr>
          <w:rFonts w:cs="Arial"/>
        </w:rPr>
        <w:t xml:space="preserve">lans (Smull and Harrison 1992), </w:t>
      </w:r>
      <w:r w:rsidR="009C0670" w:rsidRPr="008B68A9">
        <w:rPr>
          <w:rFonts w:cs="Arial"/>
        </w:rPr>
        <w:t>and p</w:t>
      </w:r>
      <w:r w:rsidR="00520401" w:rsidRPr="008B68A9">
        <w:rPr>
          <w:rFonts w:cs="Arial"/>
        </w:rPr>
        <w:t xml:space="preserve">lanning </w:t>
      </w:r>
      <w:r w:rsidR="009C0670" w:rsidRPr="008B68A9">
        <w:rPr>
          <w:rFonts w:cs="Arial"/>
        </w:rPr>
        <w:t>a</w:t>
      </w:r>
      <w:r w:rsidR="00520401" w:rsidRPr="008B68A9">
        <w:rPr>
          <w:rFonts w:cs="Arial"/>
        </w:rPr>
        <w:t xml:space="preserve">lternative </w:t>
      </w:r>
      <w:r w:rsidR="009C0670" w:rsidRPr="008B68A9">
        <w:rPr>
          <w:rFonts w:cs="Arial"/>
        </w:rPr>
        <w:t>t</w:t>
      </w:r>
      <w:r w:rsidR="00520401" w:rsidRPr="008B68A9">
        <w:rPr>
          <w:rFonts w:cs="Arial"/>
        </w:rPr>
        <w:t xml:space="preserve">omorrows with </w:t>
      </w:r>
      <w:r w:rsidR="009C0670" w:rsidRPr="008B68A9">
        <w:rPr>
          <w:rFonts w:cs="Arial"/>
        </w:rPr>
        <w:t>h</w:t>
      </w:r>
      <w:r w:rsidR="00520401" w:rsidRPr="008B68A9">
        <w:rPr>
          <w:rFonts w:cs="Arial"/>
        </w:rPr>
        <w:t xml:space="preserve">ope (PATHs) (Pearpoint </w:t>
      </w:r>
      <w:r w:rsidR="00AC06A3" w:rsidRPr="008B68A9">
        <w:rPr>
          <w:rFonts w:cs="Arial"/>
          <w:i/>
        </w:rPr>
        <w:t>et al.</w:t>
      </w:r>
      <w:r w:rsidR="00520401" w:rsidRPr="008B68A9">
        <w:rPr>
          <w:rFonts w:cs="Arial"/>
        </w:rPr>
        <w:t xml:space="preserve"> 1993).</w:t>
      </w:r>
      <w:r w:rsidR="00415741" w:rsidRPr="008B68A9">
        <w:rPr>
          <w:rFonts w:cs="Arial"/>
        </w:rPr>
        <w:t xml:space="preserve"> </w:t>
      </w:r>
      <w:r w:rsidR="00520401" w:rsidRPr="008B68A9">
        <w:rPr>
          <w:rFonts w:cs="Arial"/>
        </w:rPr>
        <w:t>The</w:t>
      </w:r>
      <w:r w:rsidR="00BF7E02" w:rsidRPr="008B68A9">
        <w:rPr>
          <w:rFonts w:cs="Arial"/>
        </w:rPr>
        <w:t>se</w:t>
      </w:r>
      <w:r w:rsidR="00520401" w:rsidRPr="008B68A9">
        <w:rPr>
          <w:rFonts w:cs="Arial"/>
        </w:rPr>
        <w:t xml:space="preserve"> tools are empowering in nature, focusing on ind</w:t>
      </w:r>
      <w:r w:rsidR="00BF7E02" w:rsidRPr="008B68A9">
        <w:rPr>
          <w:rFonts w:cs="Arial"/>
        </w:rPr>
        <w:t xml:space="preserve">ividual choice and control. Their </w:t>
      </w:r>
      <w:r w:rsidR="00520401" w:rsidRPr="008B68A9">
        <w:rPr>
          <w:rFonts w:cs="Arial"/>
        </w:rPr>
        <w:t xml:space="preserve">primary consideration </w:t>
      </w:r>
      <w:r w:rsidR="00BF7E02" w:rsidRPr="008B68A9">
        <w:rPr>
          <w:rFonts w:cs="Arial"/>
        </w:rPr>
        <w:t>is</w:t>
      </w:r>
      <w:r w:rsidR="00520401" w:rsidRPr="008B68A9">
        <w:rPr>
          <w:rFonts w:cs="Arial"/>
        </w:rPr>
        <w:t xml:space="preserve"> ascertaining what the person needs founded on what is </w:t>
      </w:r>
      <w:r w:rsidR="00520401" w:rsidRPr="008B68A9">
        <w:rPr>
          <w:rFonts w:cs="Arial"/>
          <w:i/>
        </w:rPr>
        <w:t>important to</w:t>
      </w:r>
      <w:r w:rsidR="00520401" w:rsidRPr="008B68A9">
        <w:rPr>
          <w:rFonts w:cs="Arial"/>
        </w:rPr>
        <w:t xml:space="preserve"> the person</w:t>
      </w:r>
      <w:r w:rsidR="00C32B94" w:rsidRPr="008B68A9">
        <w:rPr>
          <w:rFonts w:cs="Arial"/>
        </w:rPr>
        <w:t xml:space="preserve"> using the service,</w:t>
      </w:r>
      <w:r w:rsidR="00520401" w:rsidRPr="008B68A9">
        <w:rPr>
          <w:rFonts w:cs="Arial"/>
        </w:rPr>
        <w:t xml:space="preserve"> (formed entirely from their perspective), and what is </w:t>
      </w:r>
      <w:r w:rsidR="00520401" w:rsidRPr="008B68A9">
        <w:rPr>
          <w:rFonts w:cs="Arial"/>
          <w:i/>
        </w:rPr>
        <w:t>important for</w:t>
      </w:r>
      <w:r w:rsidR="009C0670" w:rsidRPr="008B68A9">
        <w:rPr>
          <w:rFonts w:cs="Arial"/>
        </w:rPr>
        <w:t xml:space="preserve"> them</w:t>
      </w:r>
      <w:r w:rsidR="00520401" w:rsidRPr="008B68A9">
        <w:rPr>
          <w:rFonts w:cs="Arial"/>
        </w:rPr>
        <w:t xml:space="preserve"> (informed by the person).</w:t>
      </w:r>
      <w:r w:rsidR="00415741" w:rsidRPr="008B68A9">
        <w:rPr>
          <w:rFonts w:cs="Arial"/>
        </w:rPr>
        <w:t xml:space="preserve"> </w:t>
      </w:r>
      <w:r w:rsidR="00520401" w:rsidRPr="008B68A9">
        <w:rPr>
          <w:rFonts w:cs="Arial"/>
        </w:rPr>
        <w:t xml:space="preserve">The individual obtains support tailored to their need, rather than receive what services deem appropriate. </w:t>
      </w:r>
      <w:r w:rsidR="00BF7E02" w:rsidRPr="008B68A9">
        <w:rPr>
          <w:rFonts w:cs="Arial"/>
        </w:rPr>
        <w:t xml:space="preserve">Therefore co-production </w:t>
      </w:r>
      <w:r w:rsidR="00BF7E02" w:rsidRPr="008B68A9">
        <w:rPr>
          <w:rFonts w:cs="Arial"/>
        </w:rPr>
        <w:lastRenderedPageBreak/>
        <w:t xml:space="preserve">in this sense is central to creating the foundation upon which the process of listening to and learning from the user might be based.  Co-production cannot exist within relationships typified by professional asymmetry and whilst the task of creating new participative scripts for users is challenging, (discussed in chapter 7), without professionals adopting </w:t>
      </w:r>
      <w:r w:rsidRPr="008B68A9">
        <w:rPr>
          <w:rFonts w:cs="Arial"/>
        </w:rPr>
        <w:t>a different approach</w:t>
      </w:r>
      <w:r w:rsidR="00BF7E02" w:rsidRPr="008B68A9">
        <w:rPr>
          <w:rFonts w:cs="Arial"/>
        </w:rPr>
        <w:t xml:space="preserve"> personalisation through co-production is unlikely to succeed. The role professionals and their representatives have in changing the nature of helping relationships is now considered.</w:t>
      </w:r>
    </w:p>
    <w:p w14:paraId="3E3ADD5A" w14:textId="77777777" w:rsidR="00A97755" w:rsidRPr="008B68A9" w:rsidRDefault="00BD48CD" w:rsidP="00DA13FA">
      <w:pPr>
        <w:pStyle w:val="2L2header"/>
      </w:pPr>
      <w:bookmarkStart w:id="31" w:name="_Toc413607888"/>
      <w:bookmarkStart w:id="32" w:name="_Toc413827522"/>
      <w:bookmarkStart w:id="33" w:name="_Toc466800284"/>
      <w:bookmarkStart w:id="34" w:name="_Toc413607884"/>
      <w:bookmarkStart w:id="35" w:name="_Toc413827518"/>
      <w:r w:rsidRPr="008B68A9">
        <w:t>2.8</w:t>
      </w:r>
      <w:r w:rsidR="002C0B40" w:rsidRPr="008B68A9">
        <w:t xml:space="preserve"> Professionals </w:t>
      </w:r>
      <w:r w:rsidR="00A97755" w:rsidRPr="008B68A9">
        <w:t>resisting the tide</w:t>
      </w:r>
      <w:bookmarkEnd w:id="31"/>
      <w:bookmarkEnd w:id="32"/>
      <w:r w:rsidR="00665838" w:rsidRPr="008B68A9">
        <w:t xml:space="preserve"> or being disrupted?</w:t>
      </w:r>
      <w:bookmarkEnd w:id="33"/>
    </w:p>
    <w:p w14:paraId="734A95CA" w14:textId="7B68898C" w:rsidR="00A97755" w:rsidRPr="008B68A9" w:rsidRDefault="00A97755" w:rsidP="002F0FD7">
      <w:pPr>
        <w:pStyle w:val="5arangedleft"/>
      </w:pPr>
      <w:r w:rsidRPr="008B68A9">
        <w:t xml:space="preserve">The Royal College of Psychiatrists (2013), in </w:t>
      </w:r>
      <w:r w:rsidR="00D8549C" w:rsidRPr="008B68A9">
        <w:t xml:space="preserve">a joint position statement </w:t>
      </w:r>
      <w:r w:rsidRPr="008B68A9">
        <w:t xml:space="preserve">with the Association of Directors of </w:t>
      </w:r>
      <w:r w:rsidR="00D8549C" w:rsidRPr="008B68A9">
        <w:t xml:space="preserve">Adult </w:t>
      </w:r>
      <w:r w:rsidRPr="008B68A9">
        <w:t>Social Services</w:t>
      </w:r>
      <w:r w:rsidR="00D8549C" w:rsidRPr="008B68A9">
        <w:t>,</w:t>
      </w:r>
      <w:r w:rsidRPr="008B68A9">
        <w:t xml:space="preserve"> express</w:t>
      </w:r>
      <w:r w:rsidR="00E17104" w:rsidRPr="008B68A9">
        <w:t>ed</w:t>
      </w:r>
      <w:r w:rsidRPr="008B68A9">
        <w:t xml:space="preserve"> support for personalisation </w:t>
      </w:r>
      <w:r w:rsidR="00E17104" w:rsidRPr="008B68A9">
        <w:t>as well as</w:t>
      </w:r>
      <w:r w:rsidRPr="008B68A9">
        <w:t xml:space="preserve"> concern </w:t>
      </w:r>
      <w:r w:rsidR="00E17104" w:rsidRPr="008B68A9">
        <w:t>of</w:t>
      </w:r>
      <w:r w:rsidRPr="008B68A9">
        <w:t xml:space="preserve"> </w:t>
      </w:r>
      <w:r w:rsidR="00E17104" w:rsidRPr="008B68A9">
        <w:t>the</w:t>
      </w:r>
      <w:r w:rsidR="00D8549C" w:rsidRPr="008B68A9">
        <w:t xml:space="preserve"> </w:t>
      </w:r>
      <w:r w:rsidRPr="008B68A9">
        <w:t xml:space="preserve">low </w:t>
      </w:r>
      <w:r w:rsidR="00E17104" w:rsidRPr="008B68A9">
        <w:t xml:space="preserve">uptake </w:t>
      </w:r>
      <w:r w:rsidRPr="008B68A9">
        <w:t>within their respective fields of responsibility.</w:t>
      </w:r>
      <w:r w:rsidR="00415741" w:rsidRPr="008B68A9">
        <w:t xml:space="preserve"> </w:t>
      </w:r>
      <w:r w:rsidRPr="008B68A9">
        <w:t xml:space="preserve">They cite the low uptake of approximately 9% of eligible </w:t>
      </w:r>
      <w:r w:rsidR="00E17104" w:rsidRPr="008B68A9">
        <w:t xml:space="preserve">people </w:t>
      </w:r>
      <w:r w:rsidR="00D8549C" w:rsidRPr="008B68A9">
        <w:t xml:space="preserve">for </w:t>
      </w:r>
      <w:r w:rsidRPr="008B68A9">
        <w:t>a personal budget</w:t>
      </w:r>
      <w:r w:rsidR="00D8549C" w:rsidRPr="008B68A9">
        <w:t xml:space="preserve"> </w:t>
      </w:r>
      <w:r w:rsidR="00E17104" w:rsidRPr="008B68A9">
        <w:t>arising</w:t>
      </w:r>
      <w:r w:rsidRPr="008B68A9">
        <w:t xml:space="preserve"> from a lack of knowledge and fear of bureaucratisation.</w:t>
      </w:r>
      <w:r w:rsidR="00415741" w:rsidRPr="008B68A9">
        <w:t xml:space="preserve"> </w:t>
      </w:r>
      <w:r w:rsidRPr="008B68A9">
        <w:t xml:space="preserve">They </w:t>
      </w:r>
      <w:r w:rsidR="00D8549C" w:rsidRPr="008B68A9">
        <w:t xml:space="preserve">also </w:t>
      </w:r>
      <w:r w:rsidR="00E17104" w:rsidRPr="008B68A9">
        <w:t>reiterated</w:t>
      </w:r>
      <w:r w:rsidRPr="008B68A9">
        <w:t xml:space="preserve"> their commitment to joint working and </w:t>
      </w:r>
      <w:r w:rsidR="00E17104" w:rsidRPr="008B68A9">
        <w:t xml:space="preserve">of </w:t>
      </w:r>
      <w:r w:rsidRPr="008B68A9">
        <w:t xml:space="preserve">developing mechanisms </w:t>
      </w:r>
      <w:r w:rsidR="00E17104" w:rsidRPr="008B68A9">
        <w:t>to promote</w:t>
      </w:r>
      <w:r w:rsidRPr="008B68A9">
        <w:t xml:space="preserve"> an increase in personal choice and self-determination for people with mental health issues.</w:t>
      </w:r>
      <w:r w:rsidR="00415741" w:rsidRPr="008B68A9">
        <w:t xml:space="preserve"> </w:t>
      </w:r>
      <w:r w:rsidRPr="008B68A9">
        <w:t>Their intentions are positive</w:t>
      </w:r>
      <w:r w:rsidR="00D8549C" w:rsidRPr="008B68A9">
        <w:t>,</w:t>
      </w:r>
      <w:r w:rsidRPr="008B68A9">
        <w:t xml:space="preserve"> but do not </w:t>
      </w:r>
      <w:r w:rsidR="00E17104" w:rsidRPr="008B68A9">
        <w:t xml:space="preserve">however </w:t>
      </w:r>
      <w:r w:rsidRPr="008B68A9">
        <w:t xml:space="preserve">address </w:t>
      </w:r>
      <w:r w:rsidR="00E17104" w:rsidRPr="008B68A9">
        <w:t xml:space="preserve">a </w:t>
      </w:r>
      <w:r w:rsidRPr="008B68A9">
        <w:t xml:space="preserve">fundamental paternalism within </w:t>
      </w:r>
      <w:r w:rsidR="00E17104" w:rsidRPr="008B68A9">
        <w:t xml:space="preserve">their </w:t>
      </w:r>
      <w:r w:rsidRPr="008B68A9">
        <w:t>services and institutio</w:t>
      </w:r>
      <w:r w:rsidR="00E17104" w:rsidRPr="008B68A9">
        <w:t>nal discourse around medically</w:t>
      </w:r>
      <w:r w:rsidRPr="008B68A9">
        <w:t xml:space="preserve"> </w:t>
      </w:r>
      <w:r w:rsidR="00E17104" w:rsidRPr="008B68A9">
        <w:t xml:space="preserve">dominated </w:t>
      </w:r>
      <w:r w:rsidRPr="008B68A9">
        <w:t>support.</w:t>
      </w:r>
    </w:p>
    <w:p w14:paraId="27A92EA8" w14:textId="58075D0D" w:rsidR="00A97755" w:rsidRPr="008B68A9" w:rsidRDefault="00796E6B" w:rsidP="002F0FD7">
      <w:pPr>
        <w:pStyle w:val="5arangedleft"/>
      </w:pPr>
      <w:r w:rsidRPr="008B68A9">
        <w:t>Alakeson and Coyle (</w:t>
      </w:r>
      <w:r w:rsidR="003F3931" w:rsidRPr="008B68A9">
        <w:t>2011b</w:t>
      </w:r>
      <w:r w:rsidR="00A97755" w:rsidRPr="008B68A9">
        <w:t>) argued that personal health budgets will not be a</w:t>
      </w:r>
      <w:r w:rsidR="00B67C35" w:rsidRPr="008B68A9">
        <w:t xml:space="preserve">ccepted in health </w:t>
      </w:r>
      <w:r w:rsidR="00A97755" w:rsidRPr="008B68A9">
        <w:t xml:space="preserve">as they have been in continuing </w:t>
      </w:r>
      <w:r w:rsidR="00B67C35" w:rsidRPr="008B68A9">
        <w:t>healthcare or social care. They</w:t>
      </w:r>
      <w:r w:rsidR="00A97755" w:rsidRPr="008B68A9">
        <w:t xml:space="preserve"> warn</w:t>
      </w:r>
      <w:r w:rsidR="00B67C35" w:rsidRPr="008B68A9">
        <w:t>ed</w:t>
      </w:r>
      <w:r w:rsidR="00A97755" w:rsidRPr="008B68A9">
        <w:t xml:space="preserve"> of tokenism and </w:t>
      </w:r>
      <w:r w:rsidR="00936447" w:rsidRPr="008B68A9">
        <w:t>maintenance</w:t>
      </w:r>
      <w:r w:rsidR="00A97755" w:rsidRPr="008B68A9">
        <w:t xml:space="preserve"> of </w:t>
      </w:r>
      <w:r w:rsidR="00B67C35" w:rsidRPr="008B68A9">
        <w:t xml:space="preserve">the </w:t>
      </w:r>
      <w:r w:rsidR="00A97755" w:rsidRPr="008B68A9">
        <w:t xml:space="preserve">status quo with little tangible change for </w:t>
      </w:r>
      <w:r w:rsidR="00B67C35" w:rsidRPr="008B68A9">
        <w:t>budget</w:t>
      </w:r>
      <w:r w:rsidR="00A97755" w:rsidRPr="008B68A9">
        <w:t xml:space="preserve"> recipients.</w:t>
      </w:r>
      <w:r w:rsidR="0089092B" w:rsidRPr="008B68A9">
        <w:t xml:space="preserve"> </w:t>
      </w:r>
      <w:r w:rsidR="00A97755" w:rsidRPr="008B68A9">
        <w:t>Worryingly, though perhaps not unsurprisingly, professional bodies representing the interests of workers within public and human service sectors are at best ambivalent towards pers</w:t>
      </w:r>
      <w:r w:rsidR="00F326A2" w:rsidRPr="008B68A9">
        <w:t>onalisation (Wei</w:t>
      </w:r>
      <w:r w:rsidR="00A97755" w:rsidRPr="008B68A9">
        <w:t xml:space="preserve">ner 2007), </w:t>
      </w:r>
      <w:r w:rsidR="00D32780" w:rsidRPr="008B68A9">
        <w:t xml:space="preserve">and </w:t>
      </w:r>
      <w:r w:rsidR="00A97755" w:rsidRPr="008B68A9">
        <w:t>at worst h</w:t>
      </w:r>
      <w:r w:rsidR="00660D49" w:rsidRPr="008B68A9">
        <w:t xml:space="preserve">ostile (Pile </w:t>
      </w:r>
      <w:r w:rsidR="00B67C35" w:rsidRPr="008B68A9">
        <w:t>2014</w:t>
      </w:r>
      <w:r w:rsidR="006074B3" w:rsidRPr="008B68A9">
        <w:t>a</w:t>
      </w:r>
      <w:r w:rsidR="00660D49" w:rsidRPr="008B68A9">
        <w:t>, 2014</w:t>
      </w:r>
      <w:r w:rsidR="006074B3" w:rsidRPr="008B68A9">
        <w:t>b</w:t>
      </w:r>
      <w:r w:rsidR="00660D49" w:rsidRPr="008B68A9">
        <w:t>)</w:t>
      </w:r>
      <w:r w:rsidR="00A97755" w:rsidRPr="008B68A9">
        <w:t>.</w:t>
      </w:r>
      <w:r w:rsidR="00415741" w:rsidRPr="008B68A9">
        <w:t xml:space="preserve"> </w:t>
      </w:r>
      <w:r w:rsidR="00A97755" w:rsidRPr="008B68A9">
        <w:t>Irrespective of location or decade, the issue of challenging the discourse of professional dominance and asymmetric relationships in mental health remain</w:t>
      </w:r>
      <w:r w:rsidR="00D32780" w:rsidRPr="008B68A9">
        <w:t>s</w:t>
      </w:r>
      <w:r w:rsidR="00A97755" w:rsidRPr="008B68A9">
        <w:t xml:space="preserve"> virtually unchanged.</w:t>
      </w:r>
      <w:r w:rsidR="00415741" w:rsidRPr="008B68A9">
        <w:t xml:space="preserve"> </w:t>
      </w:r>
      <w:r w:rsidR="00A97755" w:rsidRPr="008B68A9">
        <w:t xml:space="preserve">In its position paper on personalisation, Unison, the UK’s largest public sector trade union, accepted and supported the aims of personalisation, </w:t>
      </w:r>
      <w:r w:rsidR="00D32780" w:rsidRPr="008B68A9">
        <w:t xml:space="preserve">but </w:t>
      </w:r>
      <w:r w:rsidR="00A97755" w:rsidRPr="008B68A9">
        <w:t>outlined its concerns of an expansion of personalisation as a direct threat to the wellbeing of the membership</w:t>
      </w:r>
      <w:r w:rsidR="00066910" w:rsidRPr="008B68A9">
        <w:t xml:space="preserve"> of</w:t>
      </w:r>
      <w:r w:rsidR="00A97755" w:rsidRPr="008B68A9">
        <w:t xml:space="preserve"> ar</w:t>
      </w:r>
      <w:r w:rsidR="00066910" w:rsidRPr="008B68A9">
        <w:t xml:space="preserve">ound 1m </w:t>
      </w:r>
      <w:r w:rsidR="00066910" w:rsidRPr="008B68A9">
        <w:lastRenderedPageBreak/>
        <w:t>public sector employees</w:t>
      </w:r>
      <w:r w:rsidR="00A97755" w:rsidRPr="008B68A9">
        <w:t>.</w:t>
      </w:r>
      <w:r w:rsidR="00415741" w:rsidRPr="008B68A9">
        <w:t xml:space="preserve"> </w:t>
      </w:r>
      <w:r w:rsidR="00A97755" w:rsidRPr="008B68A9">
        <w:t>Their document provides its membership with a ten step strategy of organising and maintaining their control of the services currently offered (Unison 2011), which position</w:t>
      </w:r>
      <w:r w:rsidR="00066910" w:rsidRPr="008B68A9">
        <w:t>s</w:t>
      </w:r>
      <w:r w:rsidR="00A97755" w:rsidRPr="008B68A9">
        <w:t xml:space="preserve"> the organisation at odds with the policy direction.</w:t>
      </w:r>
      <w:r w:rsidR="00415741" w:rsidRPr="008B68A9">
        <w:t xml:space="preserve"> </w:t>
      </w:r>
    </w:p>
    <w:p w14:paraId="73A510CA" w14:textId="56750DAD" w:rsidR="0089092B" w:rsidRPr="008B68A9" w:rsidRDefault="00F05FF8" w:rsidP="002F0FD7">
      <w:pPr>
        <w:pStyle w:val="5arangedleft"/>
      </w:pPr>
      <w:r w:rsidRPr="008B68A9">
        <w:t xml:space="preserve">Tilly </w:t>
      </w:r>
      <w:r w:rsidR="00AC06A3" w:rsidRPr="008B68A9">
        <w:rPr>
          <w:i/>
        </w:rPr>
        <w:t>et al.</w:t>
      </w:r>
      <w:r w:rsidRPr="008B68A9">
        <w:t xml:space="preserve"> (200</w:t>
      </w:r>
      <w:r w:rsidR="00034ED6" w:rsidRPr="008B68A9">
        <w:t>0</w:t>
      </w:r>
      <w:r w:rsidR="00A97755" w:rsidRPr="008B68A9">
        <w:t xml:space="preserve">) </w:t>
      </w:r>
      <w:r w:rsidR="00D724CD" w:rsidRPr="008B68A9">
        <w:t>support</w:t>
      </w:r>
      <w:r w:rsidR="00EA1E34" w:rsidRPr="008B68A9">
        <w:t xml:space="preserve"> </w:t>
      </w:r>
      <w:r w:rsidR="00A97755" w:rsidRPr="008B68A9">
        <w:t>the concept of individualised support and the processes that have led to personalisation</w:t>
      </w:r>
      <w:r w:rsidR="00DB07DE" w:rsidRPr="008B68A9">
        <w:t>,</w:t>
      </w:r>
      <w:r w:rsidR="00A97755" w:rsidRPr="008B68A9">
        <w:t xml:space="preserve"> although they highlight the potential</w:t>
      </w:r>
      <w:r w:rsidR="00D724CD" w:rsidRPr="008B68A9">
        <w:t>ly</w:t>
      </w:r>
      <w:r w:rsidR="00A97755" w:rsidRPr="008B68A9">
        <w:t xml:space="preserve"> </w:t>
      </w:r>
      <w:r w:rsidR="00D724CD" w:rsidRPr="008B68A9">
        <w:t xml:space="preserve">negative </w:t>
      </w:r>
      <w:r w:rsidR="00A97755" w:rsidRPr="008B68A9">
        <w:t>consequence</w:t>
      </w:r>
      <w:r w:rsidR="00D724CD" w:rsidRPr="008B68A9">
        <w:t>s</w:t>
      </w:r>
      <w:r w:rsidR="00A97755" w:rsidRPr="008B68A9">
        <w:t xml:space="preserve"> for personal assistants or others in direct employment of people receiving individual budgets.</w:t>
      </w:r>
      <w:r w:rsidR="00415741" w:rsidRPr="008B68A9">
        <w:t xml:space="preserve"> </w:t>
      </w:r>
      <w:r w:rsidR="00A97755" w:rsidRPr="008B68A9">
        <w:t>They state that lower rates of remuneration, combined with a lack of tenure</w:t>
      </w:r>
      <w:r w:rsidR="00DB07DE" w:rsidRPr="008B68A9">
        <w:t>,</w:t>
      </w:r>
      <w:r w:rsidR="00A97755" w:rsidRPr="008B68A9">
        <w:t xml:space="preserve"> create conditions for job insecurity and </w:t>
      </w:r>
      <w:r w:rsidR="00843F3A" w:rsidRPr="008B68A9">
        <w:t>possible</w:t>
      </w:r>
      <w:r w:rsidR="00A97755" w:rsidRPr="008B68A9">
        <w:t xml:space="preserve"> exploitation.</w:t>
      </w:r>
      <w:r w:rsidR="00415741" w:rsidRPr="008B68A9">
        <w:t xml:space="preserve"> </w:t>
      </w:r>
      <w:r w:rsidR="00843F3A" w:rsidRPr="008B68A9">
        <w:t>Needham (2011b), cit</w:t>
      </w:r>
      <w:r w:rsidR="00DB07DE" w:rsidRPr="008B68A9">
        <w:t>ing</w:t>
      </w:r>
      <w:r w:rsidR="00843F3A" w:rsidRPr="008B68A9">
        <w:t xml:space="preserve"> Land and Himmelweit, (2010), echo the concern that personal budgets might place directly employed assistants in situations similar to </w:t>
      </w:r>
      <w:r w:rsidR="00321BA4" w:rsidRPr="008B68A9">
        <w:t>19</w:t>
      </w:r>
      <w:r w:rsidR="00321BA4" w:rsidRPr="008B68A9">
        <w:rPr>
          <w:vertAlign w:val="superscript"/>
        </w:rPr>
        <w:t>th</w:t>
      </w:r>
      <w:r w:rsidR="00321BA4" w:rsidRPr="008B68A9">
        <w:t>-century factory owners.</w:t>
      </w:r>
      <w:r w:rsidR="00415741" w:rsidRPr="008B68A9">
        <w:t xml:space="preserve"> </w:t>
      </w:r>
      <w:r w:rsidR="00A97755" w:rsidRPr="008B68A9">
        <w:t xml:space="preserve">The issue of exploitation and </w:t>
      </w:r>
      <w:r w:rsidR="00936447" w:rsidRPr="008B68A9">
        <w:t xml:space="preserve">the </w:t>
      </w:r>
      <w:r w:rsidR="00A97755" w:rsidRPr="008B68A9">
        <w:t xml:space="preserve">driving down wages is developed by Weiner (2007), who argues </w:t>
      </w:r>
      <w:r w:rsidR="0089092B" w:rsidRPr="008B68A9">
        <w:t xml:space="preserve">that in US provider market which is less regulated than in Europe </w:t>
      </w:r>
      <w:r w:rsidR="00A97755" w:rsidRPr="008B68A9">
        <w:t>that not enough consideration had been applied to the workforce in a wholly personalised service.</w:t>
      </w:r>
      <w:r w:rsidR="00415741" w:rsidRPr="008B68A9">
        <w:t xml:space="preserve"> </w:t>
      </w:r>
      <w:r w:rsidR="00A97755" w:rsidRPr="008B68A9">
        <w:t>In the US where personalisation through self-direction has a longer tradition, the issues of liberalised workforce terms of employment are pertinent as</w:t>
      </w:r>
      <w:r w:rsidR="00220FEA" w:rsidRPr="008B68A9">
        <w:t xml:space="preserve"> although in the US, </w:t>
      </w:r>
      <w:r w:rsidR="00A97755" w:rsidRPr="008B68A9">
        <w:t>regulation of pay and conditions is far more in keeping with a free market and neo-liberalist principl</w:t>
      </w:r>
      <w:r w:rsidR="00321BA4" w:rsidRPr="008B68A9">
        <w:t>es that the market will decide.</w:t>
      </w:r>
      <w:r w:rsidR="00220FEA" w:rsidRPr="008B68A9">
        <w:t xml:space="preserve"> A fear here is </w:t>
      </w:r>
      <w:r w:rsidR="0089092B" w:rsidRPr="008B68A9">
        <w:t xml:space="preserve">that whilst </w:t>
      </w:r>
      <w:r w:rsidR="00220FEA" w:rsidRPr="008B68A9">
        <w:t>users</w:t>
      </w:r>
      <w:r w:rsidR="0089092B" w:rsidRPr="008B68A9">
        <w:t xml:space="preserve"> of personal budgets may enjoy greater satisfaction</w:t>
      </w:r>
      <w:r w:rsidR="00220FEA" w:rsidRPr="008B68A9">
        <w:t>, choice</w:t>
      </w:r>
      <w:r w:rsidR="0089092B" w:rsidRPr="008B68A9">
        <w:t xml:space="preserve"> and control by employing personal assistants, the picture for </w:t>
      </w:r>
      <w:r w:rsidR="00220FEA" w:rsidRPr="008B68A9">
        <w:t xml:space="preserve">those personal </w:t>
      </w:r>
      <w:r w:rsidR="0089092B" w:rsidRPr="008B68A9">
        <w:t xml:space="preserve">providers may </w:t>
      </w:r>
      <w:r w:rsidR="00220FEA" w:rsidRPr="008B68A9">
        <w:t xml:space="preserve">be </w:t>
      </w:r>
      <w:r w:rsidR="0089092B" w:rsidRPr="008B68A9">
        <w:t>differ</w:t>
      </w:r>
      <w:r w:rsidR="00220FEA" w:rsidRPr="008B68A9">
        <w:t>ent</w:t>
      </w:r>
      <w:r w:rsidR="0089092B" w:rsidRPr="008B68A9">
        <w:t xml:space="preserve">. Weiner (2007) cites the disparity between higher employment protection for care workers in the UK and Europe than in the US, which reduces costs for SD users in the US, though possibly at the expense of their employees. Arntz and Thomsen (2010) make a similar point </w:t>
      </w:r>
      <w:r w:rsidR="00220FEA" w:rsidRPr="008B68A9">
        <w:t>about</w:t>
      </w:r>
      <w:r w:rsidR="0089092B" w:rsidRPr="008B68A9">
        <w:t xml:space="preserve"> German personalisation schemes where the potential for exploitative working arrangements with eastern European migrants taking up low paid and poorly tenured work as carers. It seems that within personalised markets, empowerment though increase</w:t>
      </w:r>
      <w:r w:rsidR="00232C7C" w:rsidRPr="008B68A9">
        <w:t>d</w:t>
      </w:r>
      <w:r w:rsidR="0089092B" w:rsidRPr="008B68A9">
        <w:t xml:space="preserve"> choice and control for some risks exploitation for others.</w:t>
      </w:r>
      <w:r w:rsidR="00220FEA" w:rsidRPr="008B68A9">
        <w:t xml:space="preserve"> </w:t>
      </w:r>
    </w:p>
    <w:p w14:paraId="70D721C7" w14:textId="77777777" w:rsidR="00B67C35" w:rsidRPr="008B68A9" w:rsidRDefault="00A97755" w:rsidP="002F0FD7">
      <w:pPr>
        <w:pStyle w:val="5arangedleft"/>
      </w:pPr>
      <w:r w:rsidRPr="008B68A9">
        <w:t>A more measured, and perhaps more sophisticated</w:t>
      </w:r>
      <w:r w:rsidR="00EA1E34" w:rsidRPr="008B68A9">
        <w:t>,</w:t>
      </w:r>
      <w:r w:rsidRPr="008B68A9">
        <w:t xml:space="preserve"> position was attempted by the Royal College of Nursing mental health n</w:t>
      </w:r>
      <w:r w:rsidR="006C791D" w:rsidRPr="008B68A9">
        <w:t>etwork paper (</w:t>
      </w:r>
      <w:r w:rsidR="00562309" w:rsidRPr="008B68A9">
        <w:t>Mental He</w:t>
      </w:r>
      <w:r w:rsidR="00CC4F12" w:rsidRPr="008B68A9">
        <w:t>a</w:t>
      </w:r>
      <w:r w:rsidR="00562309" w:rsidRPr="008B68A9">
        <w:t>l</w:t>
      </w:r>
      <w:r w:rsidR="00CC4F12" w:rsidRPr="008B68A9">
        <w:t>th Network 2011</w:t>
      </w:r>
      <w:r w:rsidRPr="008B68A9">
        <w:t xml:space="preserve">) </w:t>
      </w:r>
      <w:r w:rsidR="00B67C35" w:rsidRPr="008B68A9">
        <w:t xml:space="preserve">which </w:t>
      </w:r>
      <w:r w:rsidRPr="008B68A9">
        <w:t>exa</w:t>
      </w:r>
      <w:r w:rsidR="00B67C35" w:rsidRPr="008B68A9">
        <w:t>mined</w:t>
      </w:r>
      <w:r w:rsidRPr="008B68A9">
        <w:t xml:space="preserve"> data from 60 individuals and 640 survey responses about </w:t>
      </w:r>
      <w:r w:rsidRPr="008B68A9">
        <w:lastRenderedPageBreak/>
        <w:t>personalisation in mental health services.</w:t>
      </w:r>
      <w:r w:rsidR="00415741" w:rsidRPr="008B68A9">
        <w:t xml:space="preserve"> </w:t>
      </w:r>
      <w:r w:rsidRPr="008B68A9">
        <w:t xml:space="preserve">They concluded there were many questions and concerns that required resolving before they </w:t>
      </w:r>
      <w:r w:rsidR="00D97A43" w:rsidRPr="008B68A9">
        <w:t>could</w:t>
      </w:r>
      <w:r w:rsidRPr="008B68A9">
        <w:t xml:space="preserve"> wholly endorse personalisation in </w:t>
      </w:r>
      <w:r w:rsidR="00B67C35" w:rsidRPr="008B68A9">
        <w:t xml:space="preserve">UK </w:t>
      </w:r>
      <w:r w:rsidRPr="008B68A9">
        <w:t>mental health.</w:t>
      </w:r>
      <w:r w:rsidR="00415741" w:rsidRPr="008B68A9">
        <w:t xml:space="preserve"> </w:t>
      </w:r>
      <w:r w:rsidRPr="008B68A9">
        <w:t>Overall</w:t>
      </w:r>
      <w:r w:rsidR="00EA1E34" w:rsidRPr="008B68A9">
        <w:t>,</w:t>
      </w:r>
      <w:r w:rsidRPr="008B68A9">
        <w:t xml:space="preserve"> psychiatrists and psychologists from the sample expressed reticence around </w:t>
      </w:r>
      <w:r w:rsidR="00B67C35" w:rsidRPr="008B68A9">
        <w:t>ceding</w:t>
      </w:r>
      <w:r w:rsidRPr="008B68A9">
        <w:t xml:space="preserve"> control, whereas a more moderate response </w:t>
      </w:r>
      <w:r w:rsidR="00EA1E34" w:rsidRPr="008B68A9">
        <w:t xml:space="preserve">came </w:t>
      </w:r>
      <w:r w:rsidRPr="008B68A9">
        <w:t xml:space="preserve">from professions allied to medicine such as occupational therapists, (O/Ts), </w:t>
      </w:r>
      <w:r w:rsidR="00EA1E34" w:rsidRPr="008B68A9">
        <w:t xml:space="preserve">who </w:t>
      </w:r>
      <w:r w:rsidRPr="008B68A9">
        <w:t xml:space="preserve">were concerned </w:t>
      </w:r>
      <w:r w:rsidR="00EA1E34" w:rsidRPr="008B68A9">
        <w:t xml:space="preserve">about </w:t>
      </w:r>
      <w:r w:rsidRPr="008B68A9">
        <w:t>increased bureaucracy and a diminishing fidelity to the choice and empowerment model.</w:t>
      </w:r>
      <w:r w:rsidR="00415741" w:rsidRPr="008B68A9">
        <w:t xml:space="preserve"> </w:t>
      </w:r>
    </w:p>
    <w:p w14:paraId="76634E93" w14:textId="163DB8C7" w:rsidR="00A97755" w:rsidRPr="008B68A9" w:rsidRDefault="00A97755" w:rsidP="002F0FD7">
      <w:pPr>
        <w:pStyle w:val="5arangedleft"/>
      </w:pPr>
      <w:r w:rsidRPr="008B68A9">
        <w:t xml:space="preserve">This last point </w:t>
      </w:r>
      <w:r w:rsidR="00B67C35" w:rsidRPr="008B68A9">
        <w:t>has been</w:t>
      </w:r>
      <w:r w:rsidRPr="008B68A9">
        <w:t xml:space="preserve"> </w:t>
      </w:r>
      <w:r w:rsidR="00232C7C" w:rsidRPr="008B68A9">
        <w:t>made</w:t>
      </w:r>
      <w:r w:rsidRPr="008B68A9">
        <w:t xml:space="preserve"> by Hamilton </w:t>
      </w:r>
      <w:r w:rsidR="00AC06A3" w:rsidRPr="008B68A9">
        <w:rPr>
          <w:i/>
        </w:rPr>
        <w:t>et al.</w:t>
      </w:r>
      <w:r w:rsidRPr="008B68A9">
        <w:t xml:space="preserve"> (2015c), where in their sample from integrated mental health community teams it was the O/Ts who were more likely to undertake personalisation support planning</w:t>
      </w:r>
      <w:r w:rsidR="006210D9" w:rsidRPr="008B68A9">
        <w:t xml:space="preserve"> </w:t>
      </w:r>
      <w:r w:rsidR="00EA1E34" w:rsidRPr="008B68A9">
        <w:t xml:space="preserve">than </w:t>
      </w:r>
      <w:r w:rsidR="006210D9" w:rsidRPr="008B68A9">
        <w:t xml:space="preserve">social workers </w:t>
      </w:r>
      <w:r w:rsidR="00B67C35" w:rsidRPr="008B68A9">
        <w:t>or</w:t>
      </w:r>
      <w:r w:rsidR="006210D9" w:rsidRPr="008B68A9">
        <w:t xml:space="preserve"> nurses.</w:t>
      </w:r>
      <w:r w:rsidR="00415741" w:rsidRPr="008B68A9">
        <w:t xml:space="preserve"> </w:t>
      </w:r>
      <w:r w:rsidR="006210D9" w:rsidRPr="008B68A9">
        <w:t xml:space="preserve">It is unsurprising therefore </w:t>
      </w:r>
      <w:r w:rsidR="00C8617E" w:rsidRPr="008B68A9">
        <w:t>that professional staff represent</w:t>
      </w:r>
      <w:r w:rsidR="006210D9" w:rsidRPr="008B68A9">
        <w:t xml:space="preserve">ing traditional services </w:t>
      </w:r>
      <w:r w:rsidR="00232C7C" w:rsidRPr="008B68A9">
        <w:t>are found to be</w:t>
      </w:r>
      <w:r w:rsidR="00F35222" w:rsidRPr="008B68A9">
        <w:t xml:space="preserve"> wary or </w:t>
      </w:r>
      <w:r w:rsidR="00BD3548" w:rsidRPr="008B68A9">
        <w:t>resist changes to the</w:t>
      </w:r>
      <w:r w:rsidR="00F35222" w:rsidRPr="008B68A9">
        <w:t>ir established ways of working.</w:t>
      </w:r>
      <w:r w:rsidR="00415741" w:rsidRPr="008B68A9">
        <w:t xml:space="preserve"> </w:t>
      </w:r>
      <w:r w:rsidR="00BD3548" w:rsidRPr="008B68A9">
        <w:t>Needham (2011b</w:t>
      </w:r>
      <w:r w:rsidR="00C32B94" w:rsidRPr="008B68A9">
        <w:t>,</w:t>
      </w:r>
      <w:r w:rsidR="00F35222" w:rsidRPr="008B68A9">
        <w:t xml:space="preserve"> p</w:t>
      </w:r>
      <w:r w:rsidR="00C32B94" w:rsidRPr="008B68A9">
        <w:t>.</w:t>
      </w:r>
      <w:r w:rsidR="00F35222" w:rsidRPr="008B68A9">
        <w:t xml:space="preserve"> 145</w:t>
      </w:r>
      <w:r w:rsidR="00B67C35" w:rsidRPr="008B68A9">
        <w:t>) argued</w:t>
      </w:r>
      <w:r w:rsidR="00BD3548" w:rsidRPr="008B68A9">
        <w:t xml:space="preserve"> that </w:t>
      </w:r>
      <w:r w:rsidR="00B67C35" w:rsidRPr="008B68A9">
        <w:t xml:space="preserve">professionals, </w:t>
      </w:r>
      <w:r w:rsidR="00C8617E" w:rsidRPr="008B68A9">
        <w:t xml:space="preserve">either </w:t>
      </w:r>
      <w:r w:rsidR="00B67C35" w:rsidRPr="008B68A9">
        <w:t>disruptive</w:t>
      </w:r>
      <w:r w:rsidR="00C8617E" w:rsidRPr="008B68A9">
        <w:t xml:space="preserve"> or overly enthusiastic to the </w:t>
      </w:r>
      <w:r w:rsidR="00F35222" w:rsidRPr="008B68A9">
        <w:t>personalisation</w:t>
      </w:r>
      <w:r w:rsidR="00C8617E" w:rsidRPr="008B68A9">
        <w:t xml:space="preserve"> narrative</w:t>
      </w:r>
      <w:r w:rsidR="009A61E9" w:rsidRPr="008B68A9">
        <w:t>,</w:t>
      </w:r>
      <w:r w:rsidR="00C8617E" w:rsidRPr="008B68A9">
        <w:t xml:space="preserve"> reflect</w:t>
      </w:r>
      <w:r w:rsidR="00B67C35" w:rsidRPr="008B68A9">
        <w:t>ed</w:t>
      </w:r>
      <w:r w:rsidR="00C8617E" w:rsidRPr="008B68A9">
        <w:t xml:space="preserve"> their selective use of different “strands of evidence and different interpretation of recent practice</w:t>
      </w:r>
      <w:r w:rsidR="00F35222" w:rsidRPr="008B68A9">
        <w:t>”</w:t>
      </w:r>
      <w:r w:rsidR="009A61E9" w:rsidRPr="008B68A9">
        <w:t>.</w:t>
      </w:r>
      <w:r w:rsidR="00415741" w:rsidRPr="008B68A9">
        <w:t xml:space="preserve"> </w:t>
      </w:r>
      <w:r w:rsidR="00F35222" w:rsidRPr="008B68A9">
        <w:t xml:space="preserve">However, whilst </w:t>
      </w:r>
      <w:r w:rsidR="00C0620E" w:rsidRPr="008B68A9">
        <w:t xml:space="preserve">personalisation </w:t>
      </w:r>
      <w:r w:rsidR="00F35222" w:rsidRPr="008B68A9">
        <w:t>policy narratives are ambiguous</w:t>
      </w:r>
      <w:r w:rsidR="009A61E9" w:rsidRPr="008B68A9">
        <w:t xml:space="preserve"> and</w:t>
      </w:r>
      <w:r w:rsidR="00F35222" w:rsidRPr="008B68A9">
        <w:t xml:space="preserve"> open to multiple interpretation, the issue</w:t>
      </w:r>
      <w:r w:rsidR="002154B8" w:rsidRPr="008B68A9">
        <w:t>s</w:t>
      </w:r>
      <w:r w:rsidR="00F35222" w:rsidRPr="008B68A9">
        <w:t xml:space="preserve"> of applying personali</w:t>
      </w:r>
      <w:r w:rsidR="002154B8" w:rsidRPr="008B68A9">
        <w:t>sation to mental health are complex and to some degree more fundamental.</w:t>
      </w:r>
      <w:r w:rsidR="00415741" w:rsidRPr="008B68A9">
        <w:t xml:space="preserve"> </w:t>
      </w:r>
      <w:r w:rsidR="002154B8" w:rsidRPr="008B68A9">
        <w:t>Issues of choice, autonomy and pow</w:t>
      </w:r>
      <w:r w:rsidR="00C0620E" w:rsidRPr="008B68A9">
        <w:t>er in mental health share features associated with other groups accessing personal budgets</w:t>
      </w:r>
      <w:r w:rsidR="009A61E9" w:rsidRPr="008B68A9">
        <w:t>;</w:t>
      </w:r>
      <w:r w:rsidR="00C0620E" w:rsidRPr="008B68A9">
        <w:t xml:space="preserve"> however</w:t>
      </w:r>
      <w:r w:rsidR="009A61E9" w:rsidRPr="008B68A9">
        <w:t>,</w:t>
      </w:r>
      <w:r w:rsidR="00C0620E" w:rsidRPr="008B68A9">
        <w:t xml:space="preserve"> the nature </w:t>
      </w:r>
      <w:r w:rsidR="00B67C35" w:rsidRPr="008B68A9">
        <w:t xml:space="preserve">of </w:t>
      </w:r>
      <w:r w:rsidR="00C0620E" w:rsidRPr="008B68A9">
        <w:t xml:space="preserve">mental health </w:t>
      </w:r>
      <w:r w:rsidR="00B67C35" w:rsidRPr="008B68A9">
        <w:t xml:space="preserve">and potential consequences </w:t>
      </w:r>
      <w:r w:rsidR="00C0620E" w:rsidRPr="008B68A9">
        <w:t xml:space="preserve">create a unique </w:t>
      </w:r>
      <w:r w:rsidR="00B67C35" w:rsidRPr="008B68A9">
        <w:t>circumstance</w:t>
      </w:r>
      <w:r w:rsidR="002866F1" w:rsidRPr="008B68A9">
        <w:t xml:space="preserve"> beyond what has been discussed so far.</w:t>
      </w:r>
      <w:r w:rsidR="00B67C35" w:rsidRPr="008B68A9">
        <w:t xml:space="preserve"> Mental ill-health or rather psychological distress is typified by transient difficulties of perception, relationships and functioning.  Moreover there is little agreement as to the causal and maintaining determinants of distress.  This chapte</w:t>
      </w:r>
      <w:r w:rsidR="00A44B37" w:rsidRPr="008B68A9">
        <w:t>r now considers the implications of personalisation for mental health the role dominant power plays before examining the role support brokers might play in ameliorating the inherent tensions when implementing personalisation in mental health.</w:t>
      </w:r>
    </w:p>
    <w:p w14:paraId="5ACA4900" w14:textId="3B263DB1" w:rsidR="005D63FF" w:rsidRPr="008B68A9" w:rsidRDefault="00BD48CD" w:rsidP="00DA13FA">
      <w:pPr>
        <w:pStyle w:val="2L2header"/>
      </w:pPr>
      <w:bookmarkStart w:id="36" w:name="_Toc466800285"/>
      <w:r w:rsidRPr="008B68A9">
        <w:lastRenderedPageBreak/>
        <w:t>2.9</w:t>
      </w:r>
      <w:r w:rsidR="005D63FF" w:rsidRPr="008B68A9">
        <w:t xml:space="preserve"> </w:t>
      </w:r>
      <w:bookmarkEnd w:id="34"/>
      <w:bookmarkEnd w:id="35"/>
      <w:r w:rsidR="005D63FF" w:rsidRPr="008B68A9">
        <w:t>Power and control through personalisation in mental health</w:t>
      </w:r>
      <w:bookmarkEnd w:id="36"/>
    </w:p>
    <w:p w14:paraId="1D5F588C" w14:textId="3BBF09BA" w:rsidR="005D63FF" w:rsidRPr="008B68A9" w:rsidRDefault="005D63FF" w:rsidP="002F0FD7">
      <w:pPr>
        <w:pStyle w:val="5arangedleft"/>
      </w:pPr>
      <w:r w:rsidRPr="008B68A9">
        <w:t>The causal, precipitating and maintaining factors of mental health problems have been argued over for centuries (Scull 2015), th</w:t>
      </w:r>
      <w:r w:rsidR="00891FAD" w:rsidRPr="008B68A9">
        <w:t>r</w:t>
      </w:r>
      <w:r w:rsidRPr="008B68A9">
        <w:t>ough Szasz in the early 1960s</w:t>
      </w:r>
      <w:r w:rsidR="000C457C" w:rsidRPr="008B68A9">
        <w:t xml:space="preserve"> (Szasz 2010)</w:t>
      </w:r>
      <w:r w:rsidRPr="008B68A9">
        <w:t xml:space="preserve"> and continue to be contested, (</w:t>
      </w:r>
      <w:r w:rsidR="00C32B94" w:rsidRPr="008B68A9">
        <w:t xml:space="preserve">Bentall 2004, </w:t>
      </w:r>
      <w:r w:rsidRPr="008B68A9">
        <w:t>Kinderman 201</w:t>
      </w:r>
      <w:r w:rsidR="000C457C" w:rsidRPr="008B68A9">
        <w:t>4</w:t>
      </w:r>
      <w:r w:rsidR="009C5833" w:rsidRPr="008B68A9">
        <w:t>b</w:t>
      </w:r>
      <w:r w:rsidR="00562309" w:rsidRPr="008B68A9">
        <w:t>)</w:t>
      </w:r>
      <w:r w:rsidRPr="008B68A9">
        <w:t>.</w:t>
      </w:r>
      <w:r w:rsidR="00415741" w:rsidRPr="008B68A9">
        <w:t xml:space="preserve"> </w:t>
      </w:r>
      <w:r w:rsidRPr="008B68A9">
        <w:t xml:space="preserve">The powerful position of </w:t>
      </w:r>
      <w:r w:rsidR="00C32B94" w:rsidRPr="008B68A9">
        <w:t>psychiatric medicine</w:t>
      </w:r>
      <w:r w:rsidRPr="008B68A9">
        <w:t xml:space="preserve"> has shaped the course of </w:t>
      </w:r>
      <w:r w:rsidR="00C32B94" w:rsidRPr="008B68A9">
        <w:t>how psychological</w:t>
      </w:r>
      <w:r w:rsidRPr="008B68A9">
        <w:t xml:space="preserve"> distress</w:t>
      </w:r>
      <w:r w:rsidR="00C32B94" w:rsidRPr="008B68A9">
        <w:t xml:space="preserve"> has been responded to</w:t>
      </w:r>
      <w:r w:rsidRPr="008B68A9">
        <w:t xml:space="preserve"> over time (Scull 199</w:t>
      </w:r>
      <w:r w:rsidR="009C5833" w:rsidRPr="008B68A9">
        <w:t>3</w:t>
      </w:r>
      <w:r w:rsidR="00562309" w:rsidRPr="008B68A9">
        <w:t>,</w:t>
      </w:r>
      <w:r w:rsidRPr="008B68A9">
        <w:t xml:space="preserve"> Frances and Widiger 201</w:t>
      </w:r>
      <w:r w:rsidR="009C5833" w:rsidRPr="008B68A9">
        <w:t>1</w:t>
      </w:r>
      <w:r w:rsidR="00562309" w:rsidRPr="008B68A9">
        <w:t>)</w:t>
      </w:r>
      <w:r w:rsidRPr="008B68A9">
        <w:t>.</w:t>
      </w:r>
      <w:r w:rsidR="00415741" w:rsidRPr="008B68A9">
        <w:t xml:space="preserve"> </w:t>
      </w:r>
      <w:r w:rsidRPr="008B68A9">
        <w:t>Bio-medical or</w:t>
      </w:r>
      <w:r w:rsidR="00C32B94" w:rsidRPr="008B68A9">
        <w:t xml:space="preserve"> what</w:t>
      </w:r>
      <w:r w:rsidR="005334D8" w:rsidRPr="008B68A9">
        <w:t xml:space="preserve"> </w:t>
      </w:r>
      <w:r w:rsidR="00C32B94" w:rsidRPr="008B68A9">
        <w:t xml:space="preserve">Bentall (2009) terms </w:t>
      </w:r>
      <w:r w:rsidR="005334D8" w:rsidRPr="008B68A9">
        <w:t xml:space="preserve">neo-Kraepelinian </w:t>
      </w:r>
      <w:r w:rsidRPr="008B68A9">
        <w:t>constructions of mental health where</w:t>
      </w:r>
      <w:r w:rsidR="00C32B94" w:rsidRPr="008B68A9">
        <w:t xml:space="preserve"> the</w:t>
      </w:r>
      <w:r w:rsidRPr="008B68A9">
        <w:t xml:space="preserve"> physiological causality </w:t>
      </w:r>
      <w:r w:rsidR="00C32B94" w:rsidRPr="008B68A9">
        <w:t xml:space="preserve">of mental illness promoted by Kandel </w:t>
      </w:r>
      <w:r w:rsidRPr="008B68A9">
        <w:t xml:space="preserve">(1998) </w:t>
      </w:r>
      <w:r w:rsidR="00C32B94" w:rsidRPr="008B68A9">
        <w:t>have a dominance</w:t>
      </w:r>
      <w:r w:rsidRPr="008B68A9">
        <w:t xml:space="preserve"> in</w:t>
      </w:r>
      <w:r w:rsidR="0005282A" w:rsidRPr="008B68A9">
        <w:t xml:space="preserve"> the constructions of</w:t>
      </w:r>
      <w:r w:rsidR="00D876E8" w:rsidRPr="008B68A9">
        <w:t xml:space="preserve">  </w:t>
      </w:r>
      <w:r w:rsidRPr="008B68A9">
        <w:t xml:space="preserve"> mental health problems </w:t>
      </w:r>
      <w:r w:rsidR="00C32B94" w:rsidRPr="008B68A9">
        <w:t>for</w:t>
      </w:r>
      <w:r w:rsidRPr="008B68A9">
        <w:t xml:space="preserve"> many professionals and lay person</w:t>
      </w:r>
      <w:r w:rsidR="00891FAD" w:rsidRPr="008B68A9">
        <w:t>s</w:t>
      </w:r>
      <w:r w:rsidRPr="008B68A9">
        <w:t xml:space="preserve"> alike.</w:t>
      </w:r>
      <w:r w:rsidR="00415741" w:rsidRPr="008B68A9">
        <w:t xml:space="preserve"> </w:t>
      </w:r>
      <w:r w:rsidRPr="008B68A9">
        <w:t xml:space="preserve">Psycho-social perspectives focusing on the interaction between the individual </w:t>
      </w:r>
      <w:r w:rsidR="00780C7C" w:rsidRPr="008B68A9">
        <w:t>and</w:t>
      </w:r>
      <w:r w:rsidRPr="008B68A9">
        <w:t xml:space="preserve"> economic and social forces (Kinderman 2013</w:t>
      </w:r>
      <w:r w:rsidR="009C5833" w:rsidRPr="008B68A9">
        <w:t>b</w:t>
      </w:r>
      <w:r w:rsidRPr="008B68A9">
        <w:t>) represent an evidence based challenge to the dominant discourse of health</w:t>
      </w:r>
      <w:r w:rsidR="00AB0F10" w:rsidRPr="008B68A9">
        <w:t>-</w:t>
      </w:r>
      <w:r w:rsidRPr="008B68A9">
        <w:t xml:space="preserve">led disorders, though </w:t>
      </w:r>
      <w:r w:rsidR="00883C52" w:rsidRPr="008B68A9">
        <w:t xml:space="preserve">the theory </w:t>
      </w:r>
      <w:r w:rsidR="00780C7C" w:rsidRPr="008B68A9">
        <w:t xml:space="preserve">is </w:t>
      </w:r>
      <w:r w:rsidRPr="008B68A9">
        <w:t>less readily accepted.</w:t>
      </w:r>
      <w:r w:rsidR="00415741" w:rsidRPr="008B68A9">
        <w:t xml:space="preserve"> </w:t>
      </w:r>
      <w:r w:rsidRPr="008B68A9">
        <w:t>The contested landscape in mental health extends beyond notions of physiology versus psychology or social factors</w:t>
      </w:r>
      <w:r w:rsidR="00780C7C" w:rsidRPr="008B68A9">
        <w:t>,</w:t>
      </w:r>
      <w:r w:rsidRPr="008B68A9">
        <w:t xml:space="preserve"> to one of madness as a fictitious social construction representing an attempt </w:t>
      </w:r>
      <w:r w:rsidR="00780C7C" w:rsidRPr="008B68A9">
        <w:t xml:space="preserve">to </w:t>
      </w:r>
      <w:r w:rsidRPr="008B68A9">
        <w:t xml:space="preserve">control minorities, </w:t>
      </w:r>
      <w:r w:rsidR="0011412B" w:rsidRPr="008B68A9">
        <w:t xml:space="preserve">which </w:t>
      </w:r>
      <w:r w:rsidR="00883C52" w:rsidRPr="008B68A9">
        <w:t xml:space="preserve">Szasz (2001) claims medicine and madness </w:t>
      </w:r>
      <w:r w:rsidRPr="008B68A9">
        <w:t xml:space="preserve">is as outmoded as a science in contemporary societies as phlogiston </w:t>
      </w:r>
      <w:r w:rsidR="00883C52" w:rsidRPr="008B68A9">
        <w:t>was</w:t>
      </w:r>
      <w:r w:rsidRPr="008B68A9">
        <w:t xml:space="preserve"> to chemistry.</w:t>
      </w:r>
      <w:r w:rsidR="00415741" w:rsidRPr="008B68A9">
        <w:t xml:space="preserve"> </w:t>
      </w:r>
      <w:r w:rsidRPr="008B68A9">
        <w:t>Similarly</w:t>
      </w:r>
      <w:r w:rsidR="00780C7C" w:rsidRPr="008B68A9">
        <w:t>,</w:t>
      </w:r>
      <w:r w:rsidRPr="008B68A9">
        <w:t xml:space="preserve"> mental health and disorder is argued </w:t>
      </w:r>
      <w:r w:rsidR="00232C7C" w:rsidRPr="008B68A9">
        <w:t xml:space="preserve">to be </w:t>
      </w:r>
      <w:r w:rsidRPr="008B68A9">
        <w:t>a process of labelling statistically non-normative behaviour or expression (Ronson 2012), diagnosing variance as ill</w:t>
      </w:r>
      <w:r w:rsidR="00780C7C" w:rsidRPr="008B68A9">
        <w:t>ness</w:t>
      </w:r>
      <w:r w:rsidRPr="008B68A9">
        <w:t xml:space="preserve"> rather than</w:t>
      </w:r>
      <w:r w:rsidR="00232C7C" w:rsidRPr="008B68A9">
        <w:t xml:space="preserve"> as human</w:t>
      </w:r>
      <w:r w:rsidRPr="008B68A9">
        <w:t xml:space="preserve"> diversity.</w:t>
      </w:r>
    </w:p>
    <w:p w14:paraId="6DD4BAA3" w14:textId="2FAA40AD" w:rsidR="005D63FF" w:rsidRPr="008B68A9" w:rsidRDefault="005D63FF" w:rsidP="002F0FD7">
      <w:pPr>
        <w:pStyle w:val="5arangedleft"/>
      </w:pPr>
      <w:r w:rsidRPr="008B68A9">
        <w:t>Foucault is often discussed in the context of the development of power over others</w:t>
      </w:r>
      <w:r w:rsidR="0011412B" w:rsidRPr="008B68A9">
        <w:t>,</w:t>
      </w:r>
      <w:r w:rsidRPr="008B68A9">
        <w:t xml:space="preserve"> where conceptual notions of sanity and madness have shaped the discourse and response to mental health within a dominant construct.</w:t>
      </w:r>
      <w:r w:rsidR="00415741" w:rsidRPr="008B68A9">
        <w:t xml:space="preserve"> </w:t>
      </w:r>
      <w:r w:rsidRPr="008B68A9">
        <w:t>Although this study does not locate itself in a post-modernist discourse,</w:t>
      </w:r>
      <w:r w:rsidR="0010208B" w:rsidRPr="008B68A9">
        <w:t xml:space="preserve"> </w:t>
      </w:r>
      <w:r w:rsidR="00232C7C" w:rsidRPr="008B68A9">
        <w:t>or</w:t>
      </w:r>
      <w:r w:rsidR="0010208B" w:rsidRPr="008B68A9">
        <w:t xml:space="preserve"> use the analytical methods of Foucault Discourse Analysis</w:t>
      </w:r>
      <w:r w:rsidRPr="008B68A9">
        <w:t xml:space="preserve">, debates exploring power and control </w:t>
      </w:r>
      <w:r w:rsidR="0010208B" w:rsidRPr="008B68A9">
        <w:t>have almost become</w:t>
      </w:r>
      <w:r w:rsidRPr="008B68A9">
        <w:t xml:space="preserve"> synonymous with mental health studies (</w:t>
      </w:r>
      <w:r w:rsidR="009C5833" w:rsidRPr="008B68A9">
        <w:t xml:space="preserve">Stacey </w:t>
      </w:r>
      <w:r w:rsidR="00AC06A3" w:rsidRPr="008B68A9">
        <w:rPr>
          <w:i/>
        </w:rPr>
        <w:t>et al.</w:t>
      </w:r>
      <w:r w:rsidRPr="008B68A9">
        <w:t xml:space="preserve"> 2016).</w:t>
      </w:r>
      <w:r w:rsidR="00415741" w:rsidRPr="008B68A9">
        <w:t xml:space="preserve"> </w:t>
      </w:r>
      <w:r w:rsidRPr="008B68A9">
        <w:t>In spite of the rhetoric of recovery and increased user involvement through co-production, there remains at the heart of mental health a deep and almost irrevocable separation between the mad and the well.</w:t>
      </w:r>
      <w:r w:rsidR="00415741" w:rsidRPr="008B68A9">
        <w:t xml:space="preserve"> </w:t>
      </w:r>
      <w:r w:rsidRPr="008B68A9">
        <w:t xml:space="preserve">And with the separation of well and ill, conventions </w:t>
      </w:r>
      <w:r w:rsidRPr="008B68A9">
        <w:lastRenderedPageBreak/>
        <w:t>of warrant (Gergen 1989) are created establishing those who can diagnose by virtue of authorised qualification, those who can administer</w:t>
      </w:r>
      <w:r w:rsidR="0011412B" w:rsidRPr="008B68A9">
        <w:t>,</w:t>
      </w:r>
      <w:r w:rsidRPr="008B68A9">
        <w:t xml:space="preserve"> and necessarily those who must be treated. In the context of power and authorisation, personalisation disrupts the traditional construction of who has voice and where decisions of choice and treatment lie.</w:t>
      </w:r>
      <w:r w:rsidR="00415741" w:rsidRPr="008B68A9">
        <w:t xml:space="preserve"> </w:t>
      </w:r>
    </w:p>
    <w:p w14:paraId="68251018" w14:textId="028EABF0" w:rsidR="005C08BF" w:rsidRPr="008B68A9" w:rsidRDefault="005C08BF" w:rsidP="00E53180">
      <w:pPr>
        <w:pStyle w:val="5arangedleft"/>
      </w:pPr>
      <w:r w:rsidRPr="008B68A9">
        <w:t>What causes</w:t>
      </w:r>
      <w:r w:rsidR="005D63FF" w:rsidRPr="008B68A9">
        <w:t xml:space="preserve"> mental </w:t>
      </w:r>
      <w:r w:rsidRPr="008B68A9">
        <w:t xml:space="preserve">ill </w:t>
      </w:r>
      <w:r w:rsidR="005D63FF" w:rsidRPr="008B68A9">
        <w:t xml:space="preserve">health is made more problematic for individuals claiming </w:t>
      </w:r>
      <w:r w:rsidRPr="008B68A9">
        <w:t>such</w:t>
      </w:r>
      <w:r w:rsidR="005D63FF" w:rsidRPr="008B68A9">
        <w:t xml:space="preserve"> problems</w:t>
      </w:r>
      <w:r w:rsidR="005466F4" w:rsidRPr="008B68A9">
        <w:t>,</w:t>
      </w:r>
      <w:r w:rsidR="005D63FF" w:rsidRPr="008B68A9">
        <w:t xml:space="preserve"> given the ambiguity of the problem and the lack of measurable evidence to determine </w:t>
      </w:r>
      <w:r w:rsidRPr="008B68A9">
        <w:t>mental illness’s</w:t>
      </w:r>
      <w:r w:rsidR="005D63FF" w:rsidRPr="008B68A9">
        <w:t xml:space="preserve"> existence.</w:t>
      </w:r>
      <w:r w:rsidR="00415741" w:rsidRPr="008B68A9">
        <w:t xml:space="preserve"> </w:t>
      </w:r>
      <w:r w:rsidR="005D63FF" w:rsidRPr="008B68A9">
        <w:t>The interpretations of powerful others</w:t>
      </w:r>
      <w:r w:rsidR="0010208B" w:rsidRPr="008B68A9">
        <w:t xml:space="preserve"> such as psychiatrists</w:t>
      </w:r>
      <w:r w:rsidR="005466F4" w:rsidRPr="008B68A9">
        <w:t xml:space="preserve"> – </w:t>
      </w:r>
      <w:r w:rsidR="005D63FF" w:rsidRPr="008B68A9">
        <w:t>or as Radley and Billig (</w:t>
      </w:r>
      <w:r w:rsidR="009C5833" w:rsidRPr="008B68A9">
        <w:t>1996</w:t>
      </w:r>
      <w:r w:rsidR="005D63FF" w:rsidRPr="008B68A9">
        <w:t>) claim</w:t>
      </w:r>
      <w:r w:rsidR="005466F4" w:rsidRPr="008B68A9">
        <w:t>,</w:t>
      </w:r>
      <w:r w:rsidR="005D63FF" w:rsidRPr="008B68A9">
        <w:t xml:space="preserve"> the existence of doubt whether </w:t>
      </w:r>
      <w:r w:rsidR="005466F4" w:rsidRPr="008B68A9">
        <w:t xml:space="preserve">the </w:t>
      </w:r>
      <w:r w:rsidR="005D63FF" w:rsidRPr="008B68A9">
        <w:t xml:space="preserve">mental disorder is biologically, individually or socially mediated </w:t>
      </w:r>
      <w:r w:rsidR="005466F4" w:rsidRPr="008B68A9">
        <w:t>–</w:t>
      </w:r>
      <w:r w:rsidR="005D63FF" w:rsidRPr="008B68A9">
        <w:t>perpetuates the uncertainty.</w:t>
      </w:r>
      <w:r w:rsidR="00415741" w:rsidRPr="008B68A9">
        <w:t xml:space="preserve"> </w:t>
      </w:r>
      <w:r w:rsidR="005D63FF" w:rsidRPr="008B68A9">
        <w:t xml:space="preserve">Mental ill-health as an authentic position is maintained only as an opposite to health, where an actor’s legitimacy to their claim of psychological problems </w:t>
      </w:r>
      <w:r w:rsidRPr="008B68A9">
        <w:t>is</w:t>
      </w:r>
      <w:r w:rsidR="005D63FF" w:rsidRPr="008B68A9">
        <w:t xml:space="preserve"> determined by other’s judgement, and as Laing (</w:t>
      </w:r>
      <w:r w:rsidR="00D56ABB" w:rsidRPr="008B68A9">
        <w:t>1986</w:t>
      </w:r>
      <w:r w:rsidR="005D63FF" w:rsidRPr="008B68A9">
        <w:t>) stated, psychiatry is unlike any other field of medicine.</w:t>
      </w:r>
      <w:r w:rsidR="00415741" w:rsidRPr="008B68A9">
        <w:t xml:space="preserve"> </w:t>
      </w:r>
      <w:r w:rsidR="005D63FF" w:rsidRPr="008B68A9">
        <w:t xml:space="preserve">Physical health presents symptoms that may be unequivocal, visible and therefore authentic; mental health can be observed </w:t>
      </w:r>
      <w:r w:rsidR="007D3B21" w:rsidRPr="008B68A9">
        <w:t xml:space="preserve">only </w:t>
      </w:r>
      <w:r w:rsidR="005D63FF" w:rsidRPr="008B68A9">
        <w:t>through actions, autobiographic</w:t>
      </w:r>
      <w:r w:rsidR="001463F7" w:rsidRPr="008B68A9">
        <w:t xml:space="preserve">al </w:t>
      </w:r>
      <w:r w:rsidR="005D63FF" w:rsidRPr="008B68A9">
        <w:t>accounts and the judgement of authorised others.</w:t>
      </w:r>
      <w:r w:rsidR="00415741" w:rsidRPr="008B68A9">
        <w:t xml:space="preserve"> </w:t>
      </w:r>
      <w:r w:rsidR="005D63FF" w:rsidRPr="008B68A9">
        <w:t>Possessing warranted ill-health is not without responsibilities as in order to have authentic ill-health the person is obliged to actively seek health status, whereas in mental health, often the actor remains stubbornly ill.</w:t>
      </w:r>
      <w:r w:rsidR="00415741" w:rsidRPr="008B68A9">
        <w:t xml:space="preserve"> </w:t>
      </w:r>
      <w:r w:rsidR="005D63FF" w:rsidRPr="008B68A9">
        <w:t>Radley and Billig (1996) recognise the difficulty for people with mental health problems as their responsibility is to authenticate their distress</w:t>
      </w:r>
      <w:r w:rsidR="001463F7" w:rsidRPr="008B68A9">
        <w:t>,</w:t>
      </w:r>
      <w:r w:rsidR="005D63FF" w:rsidRPr="008B68A9">
        <w:t xml:space="preserve"> as separate from health, whilst they are experiencing </w:t>
      </w:r>
      <w:r w:rsidRPr="008B68A9">
        <w:t xml:space="preserve">often severe </w:t>
      </w:r>
      <w:r w:rsidR="005D63FF" w:rsidRPr="008B68A9">
        <w:t>distress.</w:t>
      </w:r>
      <w:r w:rsidR="00415741" w:rsidRPr="008B68A9">
        <w:t xml:space="preserve"> </w:t>
      </w:r>
    </w:p>
    <w:p w14:paraId="154CBCD8" w14:textId="77777777" w:rsidR="00A97755" w:rsidRPr="008B68A9" w:rsidRDefault="00BD48CD" w:rsidP="00DA13FA">
      <w:pPr>
        <w:pStyle w:val="2L2header"/>
      </w:pPr>
      <w:bookmarkStart w:id="37" w:name="_Toc466800286"/>
      <w:bookmarkStart w:id="38" w:name="_Toc413827373"/>
      <w:r w:rsidRPr="008B68A9">
        <w:t>2</w:t>
      </w:r>
      <w:r w:rsidR="00A97755" w:rsidRPr="008B68A9">
        <w:t>.</w:t>
      </w:r>
      <w:r w:rsidRPr="008B68A9">
        <w:t>10</w:t>
      </w:r>
      <w:r w:rsidR="00A97755" w:rsidRPr="008B68A9">
        <w:t xml:space="preserve"> Personalisation as a means to support recovery</w:t>
      </w:r>
      <w:bookmarkEnd w:id="37"/>
    </w:p>
    <w:p w14:paraId="3BF5721A" w14:textId="4B635FE2" w:rsidR="00A97755" w:rsidRPr="008B68A9" w:rsidRDefault="00A97755" w:rsidP="002F0FD7">
      <w:pPr>
        <w:pStyle w:val="5arangedleft"/>
      </w:pPr>
      <w:r w:rsidRPr="008B68A9">
        <w:t>Recovery approaches</w:t>
      </w:r>
      <w:r w:rsidR="007D3B21" w:rsidRPr="008B68A9">
        <w:t xml:space="preserve"> are</w:t>
      </w:r>
      <w:r w:rsidRPr="008B68A9">
        <w:t xml:space="preserve"> defined by many </w:t>
      </w:r>
      <w:r w:rsidR="008930A2" w:rsidRPr="008B68A9">
        <w:t xml:space="preserve">(Deegan 1988, Repper and Perkins 2003, Slade 2009, Shepherd </w:t>
      </w:r>
      <w:r w:rsidR="008930A2" w:rsidRPr="008B68A9">
        <w:rPr>
          <w:i/>
        </w:rPr>
        <w:t>et al.</w:t>
      </w:r>
      <w:r w:rsidR="008930A2" w:rsidRPr="008B68A9">
        <w:t xml:space="preserve"> 2010) </w:t>
      </w:r>
      <w:r w:rsidRPr="008B68A9">
        <w:t>as a whol</w:t>
      </w:r>
      <w:r w:rsidR="008930A2" w:rsidRPr="008B68A9">
        <w:t>e person approach to recognise and address</w:t>
      </w:r>
      <w:r w:rsidRPr="008B68A9">
        <w:t xml:space="preserve"> need</w:t>
      </w:r>
      <w:r w:rsidR="007D3B21" w:rsidRPr="008B68A9">
        <w:t>s</w:t>
      </w:r>
      <w:r w:rsidRPr="008B68A9">
        <w:t xml:space="preserve"> </w:t>
      </w:r>
      <w:r w:rsidR="008930A2" w:rsidRPr="008B68A9">
        <w:t>of</w:t>
      </w:r>
      <w:r w:rsidRPr="008B68A9">
        <w:t xml:space="preserve"> people with mental health problems</w:t>
      </w:r>
      <w:r w:rsidR="002F602D" w:rsidRPr="008B68A9">
        <w:t>.</w:t>
      </w:r>
      <w:r w:rsidR="00415741" w:rsidRPr="008B68A9">
        <w:t xml:space="preserve"> </w:t>
      </w:r>
      <w:r w:rsidR="008930A2" w:rsidRPr="008B68A9">
        <w:t>Although recovery ha</w:t>
      </w:r>
      <w:r w:rsidR="002F602D" w:rsidRPr="008B68A9">
        <w:t>s no one definition (Bonney and Stickley 2008),</w:t>
      </w:r>
      <w:r w:rsidRPr="008B68A9">
        <w:t xml:space="preserve"> Anthony (1993), often cited as the originator of the movement</w:t>
      </w:r>
      <w:r w:rsidR="007D3B21" w:rsidRPr="008B68A9">
        <w:t>, r</w:t>
      </w:r>
      <w:r w:rsidR="008930A2" w:rsidRPr="008B68A9">
        <w:t>ecovery represents</w:t>
      </w:r>
      <w:r w:rsidRPr="008B68A9">
        <w:t>:</w:t>
      </w:r>
    </w:p>
    <w:p w14:paraId="52271BCC" w14:textId="462A11B3" w:rsidR="00A97755" w:rsidRPr="008B68A9" w:rsidRDefault="00A97755" w:rsidP="002F0FD7">
      <w:pPr>
        <w:pStyle w:val="6ablockquoteroman"/>
      </w:pPr>
      <w:r w:rsidRPr="008B68A9">
        <w:t xml:space="preserve">…a deeply personal, unique process of changing one’s attitudes, values, feelings, goals, skills, and/or roles. It is a way of living a satisfying, hopeful, </w:t>
      </w:r>
      <w:r w:rsidRPr="008B68A9">
        <w:lastRenderedPageBreak/>
        <w:t>and contributing life even within the limitations caused by health. Recovery involves the development of new meaning and purpose in one’s life as one grows beyond the catastrophic effects of mental health. (p.</w:t>
      </w:r>
      <w:r w:rsidR="007D3B21" w:rsidRPr="008B68A9">
        <w:t xml:space="preserve"> </w:t>
      </w:r>
      <w:r w:rsidRPr="008B68A9">
        <w:t>527)</w:t>
      </w:r>
    </w:p>
    <w:p w14:paraId="41623E78" w14:textId="04267086" w:rsidR="00A97755" w:rsidRPr="008B68A9" w:rsidRDefault="00A97755" w:rsidP="002F0FD7">
      <w:pPr>
        <w:pStyle w:val="5arangedleft"/>
      </w:pPr>
      <w:r w:rsidRPr="008B68A9">
        <w:t xml:space="preserve">The sentiment reflects the </w:t>
      </w:r>
      <w:r w:rsidR="007417F1" w:rsidRPr="008B68A9">
        <w:t xml:space="preserve">views of the US </w:t>
      </w:r>
      <w:r w:rsidRPr="008B68A9">
        <w:t xml:space="preserve">user movement and </w:t>
      </w:r>
      <w:r w:rsidR="007417F1" w:rsidRPr="008B68A9">
        <w:t xml:space="preserve">proponents of </w:t>
      </w:r>
      <w:r w:rsidRPr="008B68A9">
        <w:t>self-determination for people with intellectual imp</w:t>
      </w:r>
      <w:r w:rsidR="00B9611A" w:rsidRPr="008B68A9">
        <w:t>airment and physical disability</w:t>
      </w:r>
      <w:r w:rsidR="006814A5" w:rsidRPr="008B68A9">
        <w:t>,</w:t>
      </w:r>
      <w:r w:rsidR="00B9611A" w:rsidRPr="008B68A9">
        <w:t xml:space="preserve"> although </w:t>
      </w:r>
      <w:r w:rsidR="006814A5" w:rsidRPr="008B68A9">
        <w:t xml:space="preserve">recovery </w:t>
      </w:r>
      <w:r w:rsidR="00B9611A" w:rsidRPr="008B68A9">
        <w:t>now</w:t>
      </w:r>
      <w:r w:rsidRPr="008B68A9">
        <w:t xml:space="preserve"> influences </w:t>
      </w:r>
      <w:r w:rsidR="006814A5" w:rsidRPr="008B68A9">
        <w:t xml:space="preserve">UK </w:t>
      </w:r>
      <w:r w:rsidR="00B9611A" w:rsidRPr="008B68A9">
        <w:t xml:space="preserve">health national policy </w:t>
      </w:r>
      <w:r w:rsidRPr="008B68A9">
        <w:t>(Welsh Government 2010</w:t>
      </w:r>
      <w:r w:rsidR="006814A5" w:rsidRPr="008B68A9">
        <w:t>,</w:t>
      </w:r>
      <w:r w:rsidRPr="008B68A9">
        <w:t xml:space="preserve"> </w:t>
      </w:r>
      <w:r w:rsidR="00B9611A" w:rsidRPr="008B68A9">
        <w:t>Care Act 2014) and</w:t>
      </w:r>
      <w:r w:rsidRPr="008B68A9">
        <w:t xml:space="preserve"> mental health policy (</w:t>
      </w:r>
      <w:r w:rsidR="00B546BE" w:rsidRPr="008B68A9">
        <w:t>DH</w:t>
      </w:r>
      <w:r w:rsidRPr="008B68A9">
        <w:t xml:space="preserve"> 2011</w:t>
      </w:r>
      <w:r w:rsidR="006814A5" w:rsidRPr="008B68A9">
        <w:t>,</w:t>
      </w:r>
      <w:r w:rsidRPr="008B68A9">
        <w:t xml:space="preserve"> Welsh Government 2012, Scottish Executive 2012).</w:t>
      </w:r>
      <w:r w:rsidR="00415741" w:rsidRPr="008B68A9">
        <w:t xml:space="preserve"> </w:t>
      </w:r>
      <w:r w:rsidR="005C08BF" w:rsidRPr="008B68A9">
        <w:t>As previously stated, p</w:t>
      </w:r>
      <w:r w:rsidRPr="008B68A9">
        <w:t xml:space="preserve">ersonalisation shares many features </w:t>
      </w:r>
      <w:r w:rsidR="006814A5" w:rsidRPr="008B68A9">
        <w:t>with</w:t>
      </w:r>
      <w:r w:rsidRPr="008B68A9">
        <w:t xml:space="preserve"> recovery approaches (Alakeson and </w:t>
      </w:r>
      <w:r w:rsidR="00B9611A" w:rsidRPr="008B68A9">
        <w:t xml:space="preserve">Repper 2012), providing a toolkit </w:t>
      </w:r>
      <w:r w:rsidRPr="008B68A9">
        <w:t xml:space="preserve">or framework where </w:t>
      </w:r>
      <w:r w:rsidR="00562309" w:rsidRPr="008B68A9">
        <w:t>whole person approaches can create change in mental health identities.</w:t>
      </w:r>
      <w:r w:rsidR="00415741" w:rsidRPr="008B68A9">
        <w:t xml:space="preserve"> </w:t>
      </w:r>
      <w:r w:rsidRPr="008B68A9">
        <w:t>The concept is widely accepted within mental health services (</w:t>
      </w:r>
      <w:r w:rsidR="00A64315" w:rsidRPr="008B68A9">
        <w:t xml:space="preserve">DH 2006d </w:t>
      </w:r>
      <w:r w:rsidRPr="008B68A9">
        <w:t>Bonney and</w:t>
      </w:r>
      <w:r w:rsidR="00A41193" w:rsidRPr="008B68A9">
        <w:t xml:space="preserve"> Stickley 2008), and influences</w:t>
      </w:r>
      <w:r w:rsidRPr="008B68A9">
        <w:t xml:space="preserve"> the rhetoric if not completely the practice of mental health services, as</w:t>
      </w:r>
      <w:r w:rsidR="00A41193" w:rsidRPr="008B68A9">
        <w:t xml:space="preserve"> often service user</w:t>
      </w:r>
      <w:r w:rsidRPr="008B68A9">
        <w:t xml:space="preserve"> views are excluded from decisions about care and service delivery.</w:t>
      </w:r>
    </w:p>
    <w:p w14:paraId="710367DE" w14:textId="0E1A5039" w:rsidR="002F602D" w:rsidRPr="008B68A9" w:rsidRDefault="00A97755" w:rsidP="002F0FD7">
      <w:pPr>
        <w:pStyle w:val="5arangedleft"/>
      </w:pPr>
      <w:r w:rsidRPr="008B68A9">
        <w:t xml:space="preserve">Personalisation challenges care </w:t>
      </w:r>
      <w:r w:rsidR="00A64315" w:rsidRPr="008B68A9">
        <w:t xml:space="preserve">services’ </w:t>
      </w:r>
      <w:r w:rsidRPr="008B68A9">
        <w:t>arbitrary divisions of traditional resource</w:t>
      </w:r>
      <w:r w:rsidR="00864488" w:rsidRPr="008B68A9">
        <w:t>s</w:t>
      </w:r>
      <w:r w:rsidRPr="008B68A9">
        <w:t>, labour practic</w:t>
      </w:r>
      <w:r w:rsidR="006013E4" w:rsidRPr="008B68A9">
        <w:t xml:space="preserve">es </w:t>
      </w:r>
      <w:r w:rsidR="007417F1" w:rsidRPr="008B68A9">
        <w:t xml:space="preserve">and </w:t>
      </w:r>
      <w:r w:rsidR="006013E4" w:rsidRPr="008B68A9">
        <w:t xml:space="preserve">silos of service </w:t>
      </w:r>
      <w:r w:rsidR="00A64315" w:rsidRPr="008B68A9">
        <w:t>separation</w:t>
      </w:r>
      <w:r w:rsidR="006013E4" w:rsidRPr="008B68A9">
        <w:t xml:space="preserve"> (TLAP 2015).</w:t>
      </w:r>
      <w:r w:rsidR="00415741" w:rsidRPr="008B68A9">
        <w:t xml:space="preserve"> </w:t>
      </w:r>
      <w:r w:rsidR="006013E4" w:rsidRPr="008B68A9">
        <w:t xml:space="preserve">Recovery approaches also challenge traditional fixed and inflexible </w:t>
      </w:r>
      <w:r w:rsidR="00A64315" w:rsidRPr="008B68A9">
        <w:t xml:space="preserve">service </w:t>
      </w:r>
      <w:r w:rsidR="006013E4" w:rsidRPr="008B68A9">
        <w:t>provision</w:t>
      </w:r>
      <w:r w:rsidR="00A64315" w:rsidRPr="008B68A9">
        <w:t xml:space="preserve"> and in doing so</w:t>
      </w:r>
      <w:r w:rsidR="006013E4" w:rsidRPr="008B68A9">
        <w:t xml:space="preserve"> limit the possibilities and potential for individualised care</w:t>
      </w:r>
      <w:r w:rsidR="00550AE2" w:rsidRPr="008B68A9">
        <w:t xml:space="preserve"> (Davidson 2005)</w:t>
      </w:r>
      <w:r w:rsidR="006013E4" w:rsidRPr="008B68A9">
        <w:t>.</w:t>
      </w:r>
      <w:r w:rsidR="00415741" w:rsidRPr="008B68A9">
        <w:t xml:space="preserve"> </w:t>
      </w:r>
      <w:r w:rsidR="00B320F4" w:rsidRPr="008B68A9">
        <w:t>Like personalisation</w:t>
      </w:r>
      <w:r w:rsidR="00864488" w:rsidRPr="008B68A9">
        <w:t>,</w:t>
      </w:r>
      <w:r w:rsidR="00B320F4" w:rsidRPr="008B68A9">
        <w:t xml:space="preserve"> recovery has </w:t>
      </w:r>
      <w:r w:rsidR="008930A2" w:rsidRPr="008B68A9">
        <w:t xml:space="preserve">had </w:t>
      </w:r>
      <w:r w:rsidR="00A64315" w:rsidRPr="008B68A9">
        <w:t>many</w:t>
      </w:r>
      <w:r w:rsidR="008930A2" w:rsidRPr="008B68A9">
        <w:t xml:space="preserve"> policy</w:t>
      </w:r>
      <w:r w:rsidR="00B320F4" w:rsidRPr="008B68A9">
        <w:t xml:space="preserve"> </w:t>
      </w:r>
      <w:r w:rsidR="008930A2" w:rsidRPr="008B68A9">
        <w:t>statements applied to its</w:t>
      </w:r>
      <w:r w:rsidR="00B320F4" w:rsidRPr="008B68A9">
        <w:t xml:space="preserve"> enactment</w:t>
      </w:r>
      <w:r w:rsidR="00864488" w:rsidRPr="008B68A9">
        <w:t>;</w:t>
      </w:r>
      <w:r w:rsidR="00B320F4" w:rsidRPr="008B68A9">
        <w:t xml:space="preserve"> however</w:t>
      </w:r>
      <w:r w:rsidR="00864488" w:rsidRPr="008B68A9">
        <w:t>,</w:t>
      </w:r>
      <w:r w:rsidR="00B320F4" w:rsidRPr="008B68A9">
        <w:t xml:space="preserve"> as Bonney and Stickley, (2008 p. 149), state: </w:t>
      </w:r>
      <w:r w:rsidR="002F602D" w:rsidRPr="008B68A9">
        <w:t>"Whatever the rhetoric regarding individualized care, the recovering person continues to find himself or herself cared for within rigid systems.</w:t>
      </w:r>
      <w:r w:rsidR="00415741" w:rsidRPr="008B68A9">
        <w:t xml:space="preserve"> </w:t>
      </w:r>
      <w:r w:rsidR="002F602D" w:rsidRPr="008B68A9">
        <w:t>Flexible services are considered essential in order to provide individually tailored care</w:t>
      </w:r>
      <w:r w:rsidR="00B320F4" w:rsidRPr="008B68A9">
        <w:t>.”</w:t>
      </w:r>
    </w:p>
    <w:p w14:paraId="2AB4AD88" w14:textId="79FBCE1E" w:rsidR="00A97755" w:rsidRPr="008B68A9" w:rsidRDefault="00C86B11" w:rsidP="002F0FD7">
      <w:pPr>
        <w:pStyle w:val="5arangedleft"/>
      </w:pPr>
      <w:r w:rsidRPr="008B68A9">
        <w:t>The</w:t>
      </w:r>
      <w:r w:rsidR="00A41193" w:rsidRPr="008B68A9">
        <w:t xml:space="preserve"> personalisation policy push and supporting</w:t>
      </w:r>
      <w:r w:rsidR="00A97755" w:rsidRPr="008B68A9">
        <w:t xml:space="preserve"> </w:t>
      </w:r>
      <w:r w:rsidRPr="008B68A9">
        <w:t>legislative frameworks (Power 2014) have not fundamentally changed the basis of interaction between users and professionals, nor have</w:t>
      </w:r>
      <w:r w:rsidR="00A97755" w:rsidRPr="008B68A9">
        <w:t xml:space="preserve"> user</w:t>
      </w:r>
      <w:r w:rsidRPr="008B68A9">
        <w:t>s</w:t>
      </w:r>
      <w:r w:rsidR="00A97755" w:rsidRPr="008B68A9">
        <w:t xml:space="preserve"> bec</w:t>
      </w:r>
      <w:r w:rsidRPr="008B68A9">
        <w:t xml:space="preserve">ome the integrator of services as </w:t>
      </w:r>
      <w:r w:rsidR="00A97755" w:rsidRPr="008B68A9">
        <w:t xml:space="preserve">Alakeson </w:t>
      </w:r>
      <w:r w:rsidR="00AC06A3" w:rsidRPr="008B68A9">
        <w:rPr>
          <w:i/>
        </w:rPr>
        <w:t>et al.</w:t>
      </w:r>
      <w:r w:rsidR="00A97755" w:rsidRPr="008B68A9">
        <w:t xml:space="preserve"> </w:t>
      </w:r>
      <w:r w:rsidRPr="008B68A9">
        <w:t>(</w:t>
      </w:r>
      <w:r w:rsidR="00A97755" w:rsidRPr="008B68A9">
        <w:t>2013b)</w:t>
      </w:r>
      <w:r w:rsidRPr="008B68A9">
        <w:t xml:space="preserve"> hoped</w:t>
      </w:r>
      <w:r w:rsidR="00A97755" w:rsidRPr="008B68A9">
        <w:t>.</w:t>
      </w:r>
      <w:r w:rsidR="00415741" w:rsidRPr="008B68A9">
        <w:t xml:space="preserve"> </w:t>
      </w:r>
      <w:r w:rsidR="008930A2" w:rsidRPr="008B68A9">
        <w:t>Therefore, where professional staff focus</w:t>
      </w:r>
      <w:r w:rsidR="00A97755" w:rsidRPr="008B68A9">
        <w:t xml:space="preserve"> on the </w:t>
      </w:r>
      <w:r w:rsidRPr="008B68A9">
        <w:t xml:space="preserve">individual budget </w:t>
      </w:r>
      <w:r w:rsidR="00A97755" w:rsidRPr="008B68A9">
        <w:t>purchases of laptops, gym m</w:t>
      </w:r>
      <w:r w:rsidR="008930A2" w:rsidRPr="008B68A9">
        <w:t>emb</w:t>
      </w:r>
      <w:r w:rsidRPr="008B68A9">
        <w:t>erships or home improvements, over the importance</w:t>
      </w:r>
      <w:r w:rsidR="00A97755" w:rsidRPr="008B68A9">
        <w:t xml:space="preserve"> of fidelity to the principles of personalisation </w:t>
      </w:r>
      <w:r w:rsidRPr="008B68A9">
        <w:t>or participating in</w:t>
      </w:r>
      <w:r w:rsidR="00A97755" w:rsidRPr="008B68A9">
        <w:t xml:space="preserve"> co-produced support plans</w:t>
      </w:r>
      <w:r w:rsidRPr="008B68A9">
        <w:t>, they are failing in their duty</w:t>
      </w:r>
      <w:r w:rsidR="002A733C" w:rsidRPr="008B68A9">
        <w:t>. A</w:t>
      </w:r>
      <w:r w:rsidR="00A97755" w:rsidRPr="008B68A9">
        <w:t>s Anthony (1993 p</w:t>
      </w:r>
      <w:r w:rsidR="00864488" w:rsidRPr="008B68A9">
        <w:t>.</w:t>
      </w:r>
      <w:r w:rsidR="00A97755" w:rsidRPr="008B68A9">
        <w:t xml:space="preserve"> </w:t>
      </w:r>
      <w:r w:rsidR="00C67D9C" w:rsidRPr="008B68A9">
        <w:t>16</w:t>
      </w:r>
      <w:r w:rsidR="00A97755" w:rsidRPr="008B68A9">
        <w:t xml:space="preserve">) states: “A common denominator of recovery is the presence of people who believe </w:t>
      </w:r>
      <w:r w:rsidR="00A97755" w:rsidRPr="008B68A9">
        <w:lastRenderedPageBreak/>
        <w:t>in and stand by the person in need of recovery.”</w:t>
      </w:r>
      <w:r w:rsidR="00415741" w:rsidRPr="008B68A9">
        <w:t xml:space="preserve"> </w:t>
      </w:r>
      <w:r w:rsidR="00DD316D" w:rsidRPr="008B68A9">
        <w:t xml:space="preserve">Both recovery approaches and personalisation require </w:t>
      </w:r>
      <w:r w:rsidR="00D84068" w:rsidRPr="008B68A9">
        <w:t xml:space="preserve">members of </w:t>
      </w:r>
      <w:r w:rsidR="002A733C" w:rsidRPr="008B68A9">
        <w:t xml:space="preserve">health and social care </w:t>
      </w:r>
      <w:r w:rsidR="00DD316D" w:rsidRPr="008B68A9">
        <w:t>profession</w:t>
      </w:r>
      <w:r w:rsidR="002A733C" w:rsidRPr="008B68A9">
        <w:t>s</w:t>
      </w:r>
      <w:r w:rsidR="00DD316D" w:rsidRPr="008B68A9">
        <w:t xml:space="preserve"> to </w:t>
      </w:r>
      <w:r w:rsidR="002A733C" w:rsidRPr="008B68A9">
        <w:t>change</w:t>
      </w:r>
      <w:r w:rsidR="00DD316D" w:rsidRPr="008B68A9">
        <w:t xml:space="preserve"> </w:t>
      </w:r>
      <w:r w:rsidR="000301DD" w:rsidRPr="008B68A9">
        <w:t xml:space="preserve">their </w:t>
      </w:r>
      <w:r w:rsidR="00DD316D" w:rsidRPr="008B68A9">
        <w:t xml:space="preserve">ways of working </w:t>
      </w:r>
      <w:r w:rsidR="002A733C" w:rsidRPr="008B68A9">
        <w:t xml:space="preserve">from traditional professionally led services to </w:t>
      </w:r>
      <w:r w:rsidR="00DD316D" w:rsidRPr="008B68A9">
        <w:t>partnership</w:t>
      </w:r>
      <w:r w:rsidR="000301DD" w:rsidRPr="008B68A9">
        <w:t>s</w:t>
      </w:r>
      <w:r w:rsidR="00DD316D" w:rsidRPr="008B68A9">
        <w:t xml:space="preserve"> b</w:t>
      </w:r>
      <w:r w:rsidR="00871ECE" w:rsidRPr="008B68A9">
        <w:t xml:space="preserve">etween users and providers, </w:t>
      </w:r>
      <w:r w:rsidR="002A733C" w:rsidRPr="008B68A9">
        <w:t>echoing</w:t>
      </w:r>
      <w:r w:rsidR="00871ECE" w:rsidRPr="008B68A9">
        <w:t xml:space="preserve"> the aspirations of the self-determination movement.</w:t>
      </w:r>
      <w:r w:rsidR="00415741" w:rsidRPr="008B68A9">
        <w:t xml:space="preserve"> </w:t>
      </w:r>
    </w:p>
    <w:p w14:paraId="7464F722" w14:textId="392DB229" w:rsidR="00636218" w:rsidRPr="008B68A9" w:rsidRDefault="00636218" w:rsidP="00636218">
      <w:pPr>
        <w:pStyle w:val="2L2header"/>
      </w:pPr>
      <w:bookmarkStart w:id="39" w:name="_Toc466800287"/>
      <w:bookmarkStart w:id="40" w:name="_Toc413827389"/>
      <w:r w:rsidRPr="008B68A9">
        <w:t xml:space="preserve">2.11 </w:t>
      </w:r>
      <w:r w:rsidR="007C2331" w:rsidRPr="008B68A9">
        <w:t xml:space="preserve">Brokerage, </w:t>
      </w:r>
      <w:r w:rsidR="00371B44" w:rsidRPr="008B68A9">
        <w:t>co-production</w:t>
      </w:r>
      <w:r w:rsidR="007C2331" w:rsidRPr="008B68A9">
        <w:t xml:space="preserve"> and personalisation</w:t>
      </w:r>
      <w:bookmarkEnd w:id="39"/>
    </w:p>
    <w:bookmarkEnd w:id="40"/>
    <w:p w14:paraId="23A3EA4F" w14:textId="6EC24559" w:rsidR="00070E8F" w:rsidRPr="008B68A9" w:rsidRDefault="00636218" w:rsidP="00636218">
      <w:pPr>
        <w:pStyle w:val="5arangedleft"/>
      </w:pPr>
      <w:r w:rsidRPr="008B68A9">
        <w:t xml:space="preserve">The debate </w:t>
      </w:r>
      <w:r w:rsidR="00FF7040" w:rsidRPr="008B68A9">
        <w:t>whether</w:t>
      </w:r>
      <w:r w:rsidRPr="008B68A9">
        <w:t xml:space="preserve"> increased </w:t>
      </w:r>
      <w:r w:rsidR="00DD155C" w:rsidRPr="008B68A9">
        <w:t>control</w:t>
      </w:r>
      <w:r w:rsidRPr="008B68A9">
        <w:t xml:space="preserve"> and choice for users of public services in health and social care, here in the United Kingdom as w</w:t>
      </w:r>
      <w:r w:rsidR="00DD155C" w:rsidRPr="008B68A9">
        <w:t xml:space="preserve">ell as internationally, appears to Gadsby (2013) </w:t>
      </w:r>
      <w:r w:rsidRPr="008B68A9">
        <w:t xml:space="preserve">complete. A wide-scale policy acceptance of the principles underpinning self-direction for service users, and </w:t>
      </w:r>
      <w:r w:rsidR="002A1197" w:rsidRPr="008B68A9">
        <w:t>governments’</w:t>
      </w:r>
      <w:r w:rsidRPr="008B68A9">
        <w:t xml:space="preserve"> willingness to share the responsibility for delivering public services, means that personalisation will likely remain an intrinsic part of health and social care in the future. Studies consistently report that budget users enjoy improved choice and a greater sense of control, which seem enough to sustain the policy</w:t>
      </w:r>
      <w:r w:rsidR="0087358D" w:rsidRPr="008B68A9">
        <w:t xml:space="preserve"> alone</w:t>
      </w:r>
      <w:r w:rsidRPr="008B68A9">
        <w:t xml:space="preserve">. Legislation such as the Care Act (2014) </w:t>
      </w:r>
      <w:r w:rsidR="0087358D" w:rsidRPr="008B68A9">
        <w:t>demands</w:t>
      </w:r>
      <w:r w:rsidRPr="008B68A9">
        <w:t xml:space="preserve"> </w:t>
      </w:r>
      <w:r w:rsidR="002A1197" w:rsidRPr="008B68A9">
        <w:t xml:space="preserve">the </w:t>
      </w:r>
      <w:r w:rsidRPr="008B68A9">
        <w:t>personalisation</w:t>
      </w:r>
      <w:r w:rsidR="0087358D" w:rsidRPr="008B68A9">
        <w:t xml:space="preserve"> </w:t>
      </w:r>
      <w:r w:rsidR="002A1197" w:rsidRPr="008B68A9">
        <w:t>of</w:t>
      </w:r>
      <w:r w:rsidR="0087358D" w:rsidRPr="008B68A9">
        <w:t xml:space="preserve"> all social care</w:t>
      </w:r>
      <w:r w:rsidRPr="008B68A9">
        <w:t xml:space="preserve">, though </w:t>
      </w:r>
      <w:r w:rsidR="0087358D" w:rsidRPr="008B68A9">
        <w:t>the legislative demand</w:t>
      </w:r>
      <w:r w:rsidRPr="008B68A9">
        <w:t xml:space="preserve"> may </w:t>
      </w:r>
      <w:r w:rsidR="002A1197" w:rsidRPr="008B68A9">
        <w:t xml:space="preserve">only </w:t>
      </w:r>
      <w:r w:rsidRPr="008B68A9">
        <w:t xml:space="preserve">serve </w:t>
      </w:r>
      <w:r w:rsidR="002A1197" w:rsidRPr="008B68A9">
        <w:t xml:space="preserve">in absence of co-production </w:t>
      </w:r>
      <w:r w:rsidRPr="008B68A9">
        <w:t xml:space="preserve">to further bureaucratise personal budgets. </w:t>
      </w:r>
    </w:p>
    <w:p w14:paraId="6069DB1F" w14:textId="4F665DC2" w:rsidR="00636218" w:rsidRPr="008B68A9" w:rsidRDefault="00636218" w:rsidP="00636218">
      <w:pPr>
        <w:pStyle w:val="5arangedleft"/>
      </w:pPr>
      <w:r w:rsidRPr="008B68A9">
        <w:t xml:space="preserve">The themes of choice, control and autonomy mean that groups who have been historically excluded from mainstream policy can now expect power to self-determine their care as a right. Self-determination not only represents the previously marginalised, such as people with physical impairments and intellectual disabilities, but also </w:t>
      </w:r>
      <w:r w:rsidR="000108F5" w:rsidRPr="008B68A9">
        <w:t xml:space="preserve">now in </w:t>
      </w:r>
      <w:r w:rsidRPr="008B68A9">
        <w:t xml:space="preserve">the majority of all social care is being offered in the form of a direct payment (Care Act 2014). Translating improved experience of public services into better outcomes for users or reduced costs for governments is not a given. Gadsby </w:t>
      </w:r>
      <w:r w:rsidRPr="008B68A9">
        <w:rPr>
          <w:i/>
        </w:rPr>
        <w:t>et al.</w:t>
      </w:r>
      <w:r w:rsidRPr="008B68A9">
        <w:t xml:space="preserve"> (2013) highlights the gap between the claims made on behalf of personalisation and the e</w:t>
      </w:r>
      <w:r w:rsidR="000108F5" w:rsidRPr="008B68A9">
        <w:t>vidential basis</w:t>
      </w:r>
      <w:r w:rsidR="0088494F" w:rsidRPr="008B68A9">
        <w:t xml:space="preserve"> supporting these.</w:t>
      </w:r>
      <w:r w:rsidRPr="008B68A9">
        <w:t xml:space="preserve"> </w:t>
      </w:r>
      <w:r w:rsidR="0088494F" w:rsidRPr="008B68A9">
        <w:t xml:space="preserve">Many also </w:t>
      </w:r>
      <w:r w:rsidRPr="008B68A9">
        <w:t xml:space="preserve">express caution to </w:t>
      </w:r>
      <w:r w:rsidR="000108F5" w:rsidRPr="008B68A9">
        <w:t xml:space="preserve">the </w:t>
      </w:r>
      <w:r w:rsidRPr="008B68A9">
        <w:t xml:space="preserve">unintended consequences </w:t>
      </w:r>
      <w:r w:rsidR="000108F5" w:rsidRPr="008B68A9">
        <w:t>of inequality in</w:t>
      </w:r>
      <w:r w:rsidR="00154E31" w:rsidRPr="008B68A9">
        <w:t xml:space="preserve"> </w:t>
      </w:r>
      <w:r w:rsidRPr="008B68A9">
        <w:t>personalisation poli</w:t>
      </w:r>
      <w:r w:rsidR="000108F5" w:rsidRPr="008B68A9">
        <w:t>cy</w:t>
      </w:r>
      <w:r w:rsidR="0088494F" w:rsidRPr="008B68A9">
        <w:t xml:space="preserve"> (</w:t>
      </w:r>
      <w:r w:rsidRPr="008B68A9">
        <w:t>Daly and Woolham 2010</w:t>
      </w:r>
      <w:r w:rsidR="0088494F" w:rsidRPr="008B68A9">
        <w:t>)</w:t>
      </w:r>
      <w:r w:rsidRPr="008B68A9">
        <w:t xml:space="preserve">, </w:t>
      </w:r>
      <w:r w:rsidR="000108F5" w:rsidRPr="008B68A9">
        <w:t xml:space="preserve">leading to </w:t>
      </w:r>
      <w:r w:rsidR="0088494F" w:rsidRPr="008B68A9">
        <w:t xml:space="preserve">more professional power </w:t>
      </w:r>
      <w:r w:rsidR="00154E31" w:rsidRPr="008B68A9">
        <w:t>(</w:t>
      </w:r>
      <w:r w:rsidRPr="008B68A9">
        <w:t>Carr 2011b</w:t>
      </w:r>
      <w:r w:rsidR="0088494F" w:rsidRPr="008B68A9">
        <w:t xml:space="preserve">) and </w:t>
      </w:r>
      <w:r w:rsidR="000108F5" w:rsidRPr="008B68A9">
        <w:t>reduced</w:t>
      </w:r>
      <w:r w:rsidR="00291AD2" w:rsidRPr="008B68A9">
        <w:t xml:space="preserve"> service</w:t>
      </w:r>
      <w:r w:rsidR="000108F5" w:rsidRPr="008B68A9">
        <w:t xml:space="preserve"> policy</w:t>
      </w:r>
      <w:r w:rsidR="00291AD2" w:rsidRPr="008B68A9">
        <w:t xml:space="preserve"> </w:t>
      </w:r>
      <w:r w:rsidR="000108F5" w:rsidRPr="008B68A9">
        <w:t xml:space="preserve">arising </w:t>
      </w:r>
      <w:r w:rsidR="00291AD2" w:rsidRPr="008B68A9">
        <w:t>from austerity (</w:t>
      </w:r>
      <w:r w:rsidRPr="008B68A9">
        <w:t xml:space="preserve">Brookes </w:t>
      </w:r>
      <w:r w:rsidRPr="008B68A9">
        <w:rPr>
          <w:i/>
        </w:rPr>
        <w:t>et al.</w:t>
      </w:r>
      <w:r w:rsidR="00F13432" w:rsidRPr="008B68A9">
        <w:t xml:space="preserve"> 2013</w:t>
      </w:r>
      <w:r w:rsidRPr="008B68A9">
        <w:t>).</w:t>
      </w:r>
      <w:r w:rsidR="000108F5" w:rsidRPr="008B68A9">
        <w:t xml:space="preserve"> The</w:t>
      </w:r>
      <w:r w:rsidR="00291AD2" w:rsidRPr="008B68A9">
        <w:t xml:space="preserve"> risk </w:t>
      </w:r>
      <w:r w:rsidR="000108F5" w:rsidRPr="008B68A9">
        <w:t xml:space="preserve">remains </w:t>
      </w:r>
      <w:r w:rsidR="00291AD2" w:rsidRPr="008B68A9">
        <w:lastRenderedPageBreak/>
        <w:t xml:space="preserve">that </w:t>
      </w:r>
      <w:r w:rsidRPr="008B68A9">
        <w:t xml:space="preserve">directives </w:t>
      </w:r>
      <w:r w:rsidR="000108F5" w:rsidRPr="008B68A9">
        <w:t xml:space="preserve">remain the pages of their policy and </w:t>
      </w:r>
      <w:r w:rsidRPr="008B68A9">
        <w:t xml:space="preserve">that </w:t>
      </w:r>
      <w:r w:rsidR="00BE7419" w:rsidRPr="008B68A9">
        <w:t xml:space="preserve">the </w:t>
      </w:r>
      <w:r w:rsidR="000108F5" w:rsidRPr="008B68A9">
        <w:t xml:space="preserve">basis upon which professional and users interact may remain </w:t>
      </w:r>
      <w:r w:rsidRPr="008B68A9">
        <w:t xml:space="preserve">fundamentally </w:t>
      </w:r>
      <w:r w:rsidR="00BE7419" w:rsidRPr="008B68A9">
        <w:t>un</w:t>
      </w:r>
      <w:r w:rsidRPr="008B68A9">
        <w:t>alter</w:t>
      </w:r>
      <w:r w:rsidR="000108F5" w:rsidRPr="008B68A9">
        <w:t>e</w:t>
      </w:r>
      <w:r w:rsidR="00BE7419" w:rsidRPr="008B68A9">
        <w:t>d.</w:t>
      </w:r>
    </w:p>
    <w:p w14:paraId="58081332" w14:textId="17320D55" w:rsidR="00636218" w:rsidRPr="008B68A9" w:rsidRDefault="00636218" w:rsidP="00636218">
      <w:pPr>
        <w:pStyle w:val="5arangedleft"/>
      </w:pPr>
      <w:r w:rsidRPr="008B68A9">
        <w:t xml:space="preserve">The negotiation of choice and control through personal budgets implies </w:t>
      </w:r>
      <w:r w:rsidR="00AD2AB0" w:rsidRPr="008B68A9">
        <w:t>mutuality</w:t>
      </w:r>
      <w:r w:rsidRPr="008B68A9">
        <w:t xml:space="preserve"> </w:t>
      </w:r>
      <w:r w:rsidR="00AD2AB0" w:rsidRPr="008B68A9">
        <w:t>through</w:t>
      </w:r>
      <w:r w:rsidRPr="008B68A9">
        <w:t xml:space="preserve"> </w:t>
      </w:r>
      <w:r w:rsidR="00371B44" w:rsidRPr="008B68A9">
        <w:t>co-production</w:t>
      </w:r>
      <w:r w:rsidRPr="008B68A9">
        <w:t xml:space="preserve">, a meeting as equal partners, where futures can be constructed within social interactions. Duffy (2010b) </w:t>
      </w:r>
      <w:r w:rsidR="00AD2AB0" w:rsidRPr="008B68A9">
        <w:t>has suggested</w:t>
      </w:r>
      <w:r w:rsidRPr="008B68A9">
        <w:t xml:space="preserve"> that in developing personalised outcomes both the user and professional </w:t>
      </w:r>
      <w:r w:rsidR="00C57A58" w:rsidRPr="008B68A9">
        <w:t xml:space="preserve">should </w:t>
      </w:r>
      <w:r w:rsidRPr="008B68A9">
        <w:t xml:space="preserve">bring expertise to a shared space. One participant possesses knowledge of what works for them and how their difficulties impact on their aspirations; </w:t>
      </w:r>
      <w:r w:rsidR="00A022F4" w:rsidRPr="008B68A9">
        <w:t>whilst</w:t>
      </w:r>
      <w:r w:rsidRPr="008B68A9">
        <w:t xml:space="preserve"> the other, the professional, is an expert in navigating the procedural corridors of services. Hamilton </w:t>
      </w:r>
      <w:r w:rsidRPr="008B68A9">
        <w:rPr>
          <w:i/>
        </w:rPr>
        <w:t>et al.</w:t>
      </w:r>
      <w:r w:rsidRPr="008B68A9">
        <w:t xml:space="preserve"> (2015c) suggest that, “…we may see power as constructed in the spaces between people in ways that may be limiting or productive, and may involve developing power together.” Their view in this sense is almost utopian, suggesting that professionals cede power over to power with, creating the kinds of platform where practitioners and budget users collaborate with an absence of </w:t>
      </w:r>
      <w:r w:rsidR="00EA638D" w:rsidRPr="008B68A9">
        <w:t xml:space="preserve">Leadbeater’s (2004) </w:t>
      </w:r>
      <w:r w:rsidRPr="008B68A9">
        <w:t xml:space="preserve">professional asymmetry. Instead, the view of Hamilton </w:t>
      </w:r>
      <w:r w:rsidRPr="008B68A9">
        <w:rPr>
          <w:i/>
        </w:rPr>
        <w:t>et al.</w:t>
      </w:r>
      <w:r w:rsidRPr="008B68A9">
        <w:t xml:space="preserve"> (2015c) is summarised as:</w:t>
      </w:r>
    </w:p>
    <w:p w14:paraId="48D54453" w14:textId="77777777" w:rsidR="00636218" w:rsidRPr="008B68A9" w:rsidRDefault="00636218" w:rsidP="00636218">
      <w:pPr>
        <w:pStyle w:val="6ablockquoteroman"/>
      </w:pPr>
      <w:r w:rsidRPr="008B68A9">
        <w:t>Whether choice and control are conceived in terms of the agency of the individual consumer or as something that is developed and negotiated through relationships of mutuality, personal budgets may offer service users and practitioners opportunities to experience new ways of situating themselves and interacting with one another. (p. 4)</w:t>
      </w:r>
    </w:p>
    <w:p w14:paraId="38AAF1DB" w14:textId="38F6BB08" w:rsidR="00636218" w:rsidRPr="008B68A9" w:rsidRDefault="007D055B" w:rsidP="00636218">
      <w:pPr>
        <w:pStyle w:val="5arangedleft"/>
      </w:pPr>
      <w:r w:rsidRPr="008B68A9">
        <w:t>Differing systems</w:t>
      </w:r>
      <w:r w:rsidR="00636218" w:rsidRPr="008B68A9">
        <w:t xml:space="preserve"> of delivering personal budgets, self-directed care and consumer directed care have shown that personalisation</w:t>
      </w:r>
      <w:r w:rsidRPr="008B68A9">
        <w:t xml:space="preserve"> in whatever form</w:t>
      </w:r>
      <w:r w:rsidR="00636218" w:rsidRPr="008B68A9">
        <w:t xml:space="preserve"> offer</w:t>
      </w:r>
      <w:r w:rsidRPr="008B68A9">
        <w:t>s</w:t>
      </w:r>
      <w:r w:rsidR="00636218" w:rsidRPr="008B68A9">
        <w:t xml:space="preserve"> mor</w:t>
      </w:r>
      <w:r w:rsidRPr="008B68A9">
        <w:t xml:space="preserve">e choice, </w:t>
      </w:r>
      <w:r w:rsidR="00636218" w:rsidRPr="008B68A9">
        <w:t xml:space="preserve">satisfaction and sense of control for people with mental health problems (Coyle 2011, Hamilton </w:t>
      </w:r>
      <w:r w:rsidR="00636218" w:rsidRPr="008B68A9">
        <w:rPr>
          <w:i/>
        </w:rPr>
        <w:t>et al.</w:t>
      </w:r>
      <w:r w:rsidR="00636218" w:rsidRPr="008B68A9">
        <w:t xml:space="preserve"> 2015c). However, the </w:t>
      </w:r>
      <w:r w:rsidRPr="008B68A9">
        <w:t xml:space="preserve">pace and </w:t>
      </w:r>
      <w:r w:rsidR="00636218" w:rsidRPr="008B68A9">
        <w:t>development of personalisation in mental he</w:t>
      </w:r>
      <w:r w:rsidRPr="008B68A9">
        <w:t>alth appears to be mirroring that</w:t>
      </w:r>
      <w:r w:rsidR="00636218" w:rsidRPr="008B68A9">
        <w:t xml:space="preserve"> of</w:t>
      </w:r>
      <w:r w:rsidRPr="008B68A9">
        <w:t xml:space="preserve"> the</w:t>
      </w:r>
      <w:r w:rsidR="00636218" w:rsidRPr="008B68A9">
        <w:t xml:space="preserve"> development of direct payments a decade </w:t>
      </w:r>
      <w:r w:rsidRPr="008B68A9">
        <w:t xml:space="preserve">ago (Spandler and Vick 2005). </w:t>
      </w:r>
      <w:r w:rsidR="00636218" w:rsidRPr="008B68A9">
        <w:t>Negotiating possible outcomes between professional staff and potential budget users represents something more than a system allocating resource</w:t>
      </w:r>
      <w:r w:rsidRPr="008B68A9">
        <w:t>s</w:t>
      </w:r>
      <w:r w:rsidR="00636218" w:rsidRPr="008B68A9">
        <w:t xml:space="preserve"> to identified need. It becomes a space where personal and professional identities construct futures which may hold transformative potential, or </w:t>
      </w:r>
      <w:r w:rsidRPr="008B68A9">
        <w:t xml:space="preserve">which might </w:t>
      </w:r>
      <w:r w:rsidR="00636218" w:rsidRPr="008B68A9">
        <w:t xml:space="preserve">maintain current arrangements of need and </w:t>
      </w:r>
      <w:r w:rsidRPr="008B68A9">
        <w:t>response</w:t>
      </w:r>
      <w:r w:rsidR="00636218" w:rsidRPr="008B68A9">
        <w:t xml:space="preserve">. </w:t>
      </w:r>
    </w:p>
    <w:p w14:paraId="110D1FE6" w14:textId="215467EE" w:rsidR="00636218" w:rsidRPr="008B68A9" w:rsidRDefault="00636218" w:rsidP="00636218">
      <w:pPr>
        <w:pStyle w:val="5arangedleft"/>
      </w:pPr>
      <w:r w:rsidRPr="008B68A9">
        <w:lastRenderedPageBreak/>
        <w:t xml:space="preserve">Personalisation has come to represent something greater than the ability of health and social service users to determine how they live a meaningful life within the constraints of their impairment or difficulties. The hard fought </w:t>
      </w:r>
      <w:r w:rsidR="00070E8F" w:rsidRPr="008B68A9">
        <w:t>struggle</w:t>
      </w:r>
      <w:r w:rsidRPr="008B68A9">
        <w:t xml:space="preserve"> for the principle of the users’ voice shaping services appears</w:t>
      </w:r>
      <w:r w:rsidR="00070E8F" w:rsidRPr="008B68A9">
        <w:t xml:space="preserve"> at least legislatively,</w:t>
      </w:r>
      <w:r w:rsidRPr="008B68A9">
        <w:t xml:space="preserve"> to have been largely won</w:t>
      </w:r>
      <w:r w:rsidR="00070E8F" w:rsidRPr="008B68A9">
        <w:t xml:space="preserve"> as the Care Act (2014) makes clear. H</w:t>
      </w:r>
      <w:r w:rsidRPr="008B68A9">
        <w:t xml:space="preserve">owever, the pace of reform </w:t>
      </w:r>
      <w:r w:rsidR="007A1258" w:rsidRPr="008B68A9">
        <w:t>appears to have</w:t>
      </w:r>
      <w:r w:rsidRPr="008B68A9">
        <w:t xml:space="preserve"> outstripped professionals’ ability to transform their practice and their interactions with users</w:t>
      </w:r>
      <w:r w:rsidR="00070E8F" w:rsidRPr="008B68A9">
        <w:t xml:space="preserve"> as work from Lymbery (2011, 2012), </w:t>
      </w:r>
      <w:r w:rsidR="007A1258" w:rsidRPr="008B68A9">
        <w:t xml:space="preserve">The </w:t>
      </w:r>
      <w:r w:rsidR="00070E8F" w:rsidRPr="008B68A9">
        <w:t>R</w:t>
      </w:r>
      <w:r w:rsidR="007A1258" w:rsidRPr="008B68A9">
        <w:t xml:space="preserve">oyal College of Nursing (2011) and </w:t>
      </w:r>
      <w:r w:rsidR="00070E8F" w:rsidRPr="008B68A9">
        <w:t>Pile (2014) demonstrate</w:t>
      </w:r>
      <w:r w:rsidR="007A1258" w:rsidRPr="008B68A9">
        <w:t>s</w:t>
      </w:r>
      <w:r w:rsidRPr="008B68A9">
        <w:t xml:space="preserve">. Austerity as a dominant narrative in the public sector has emerged </w:t>
      </w:r>
      <w:r w:rsidR="007A1258" w:rsidRPr="008B68A9">
        <w:t>at the same time as</w:t>
      </w:r>
      <w:r w:rsidRPr="008B68A9">
        <w:t xml:space="preserve"> </w:t>
      </w:r>
      <w:r w:rsidR="007A1258" w:rsidRPr="008B68A9">
        <w:t>personalisation</w:t>
      </w:r>
      <w:r w:rsidRPr="008B68A9">
        <w:t xml:space="preserve">, with the consequence that mental health practitioners such as social workers and nurses are challenged to work in partnership whilst maintaining financial and gatekeeping roles (Power2014). People with mental health problems accessing social care have the right to have access to personalised and self-directed support (Care Act 2014), but translating the right into reality remains </w:t>
      </w:r>
      <w:r w:rsidR="00070E8F" w:rsidRPr="008B68A9">
        <w:t>a challenge</w:t>
      </w:r>
      <w:r w:rsidRPr="008B68A9">
        <w:t xml:space="preserve">. </w:t>
      </w:r>
    </w:p>
    <w:p w14:paraId="3F8D7D04" w14:textId="673A73C0" w:rsidR="00636218" w:rsidRPr="008B68A9" w:rsidRDefault="00070E8F" w:rsidP="00636218">
      <w:pPr>
        <w:pStyle w:val="5arangedleft"/>
      </w:pPr>
      <w:r w:rsidRPr="008B68A9">
        <w:t xml:space="preserve">As </w:t>
      </w:r>
      <w:r w:rsidR="007A1258" w:rsidRPr="008B68A9">
        <w:t>demanded</w:t>
      </w:r>
      <w:r w:rsidRPr="008B68A9">
        <w:t xml:space="preserve"> by the Care Act (2014)</w:t>
      </w:r>
      <w:r w:rsidR="007A1258" w:rsidRPr="008B68A9">
        <w:t>,</w:t>
      </w:r>
      <w:r w:rsidRPr="008B68A9">
        <w:t xml:space="preserve"> f</w:t>
      </w:r>
      <w:r w:rsidR="00636218" w:rsidRPr="008B68A9">
        <w:t xml:space="preserve">rontline staff are obliged to </w:t>
      </w:r>
      <w:r w:rsidRPr="008B68A9">
        <w:t>work according</w:t>
      </w:r>
      <w:r w:rsidR="00636218" w:rsidRPr="008B68A9">
        <w:t xml:space="preserve"> </w:t>
      </w:r>
      <w:r w:rsidRPr="008B68A9">
        <w:t>to the</w:t>
      </w:r>
      <w:r w:rsidR="00636218" w:rsidRPr="008B68A9">
        <w:t xml:space="preserve"> ethos of personalisation in their everyday practice through co-productive acts and working in partnership, each bringing expertise to the shared project of care planning and outcome formulation in a person centred way. This ideal, </w:t>
      </w:r>
      <w:r w:rsidR="007A1258" w:rsidRPr="008B68A9">
        <w:t xml:space="preserve">first </w:t>
      </w:r>
      <w:r w:rsidR="00636218" w:rsidRPr="008B68A9">
        <w:t xml:space="preserve">expressed in </w:t>
      </w:r>
      <w:r w:rsidR="00636218" w:rsidRPr="008B68A9">
        <w:rPr>
          <w:i/>
        </w:rPr>
        <w:t>Putting People First</w:t>
      </w:r>
      <w:r w:rsidR="00636218" w:rsidRPr="008B68A9">
        <w:t xml:space="preserve"> (HM Government 2007), typifies the relative ease </w:t>
      </w:r>
      <w:r w:rsidR="00186C90" w:rsidRPr="008B68A9">
        <w:t>that</w:t>
      </w:r>
      <w:r w:rsidR="00636218" w:rsidRPr="008B68A9">
        <w:t xml:space="preserve"> grand narratives of hope</w:t>
      </w:r>
      <w:r w:rsidR="00186C90" w:rsidRPr="008B68A9">
        <w:t xml:space="preserve"> are written</w:t>
      </w:r>
      <w:r w:rsidR="00636218" w:rsidRPr="008B68A9">
        <w:t xml:space="preserve"> that do not fully reveal the complexities and scale of the project they seek to enact. Needham’s (2011b p. 181) use of ‘positive-sum game’, to exemplify the opposite of a “zero-sum relationship in which the battle for authority and status” is played out between practitioners and service users, </w:t>
      </w:r>
      <w:r w:rsidR="00186C90" w:rsidRPr="008B68A9">
        <w:t>articulates</w:t>
      </w:r>
      <w:r w:rsidR="00636218" w:rsidRPr="008B68A9">
        <w:t xml:space="preserve"> </w:t>
      </w:r>
      <w:r w:rsidR="00186C90" w:rsidRPr="008B68A9">
        <w:t>the</w:t>
      </w:r>
      <w:r w:rsidR="00636218" w:rsidRPr="008B68A9">
        <w:t xml:space="preserve"> aspiration at the heart of personalisation. How, then, to observe and name processes that facilitate co-productive working and how might co-production be achieved – or something that approximates to that goal when it is clearly not apparent in the </w:t>
      </w:r>
      <w:r w:rsidRPr="008B68A9">
        <w:t>attritional</w:t>
      </w:r>
      <w:r w:rsidR="00636218" w:rsidRPr="008B68A9">
        <w:t xml:space="preserve"> battles of zero-sum </w:t>
      </w:r>
      <w:r w:rsidR="00186C90" w:rsidRPr="008B68A9">
        <w:t xml:space="preserve">public sector </w:t>
      </w:r>
      <w:r w:rsidR="00636218" w:rsidRPr="008B68A9">
        <w:t>cultures.</w:t>
      </w:r>
    </w:p>
    <w:p w14:paraId="3201E0B7" w14:textId="06762BBA" w:rsidR="00636218" w:rsidRPr="008B68A9" w:rsidRDefault="00371B44" w:rsidP="00636218">
      <w:pPr>
        <w:pStyle w:val="5arangedleft"/>
      </w:pPr>
      <w:r w:rsidRPr="008B68A9">
        <w:t>Co-production</w:t>
      </w:r>
      <w:r w:rsidR="00636218" w:rsidRPr="008B68A9">
        <w:t xml:space="preserve"> is a requirement of personalisation, </w:t>
      </w:r>
      <w:r w:rsidR="00186C90" w:rsidRPr="008B68A9">
        <w:t>called for</w:t>
      </w:r>
      <w:r w:rsidR="00636218" w:rsidRPr="008B68A9">
        <w:t xml:space="preserve"> in policy (HM Government 2007), and an essential ingredient for the transfer of power and responsibility to the individual (Needham and Carr 2012). </w:t>
      </w:r>
      <w:r w:rsidRPr="008B68A9">
        <w:t>Co-production</w:t>
      </w:r>
      <w:r w:rsidR="00636218" w:rsidRPr="008B68A9">
        <w:t xml:space="preserve"> is taken by Needham (2011b, citing Sullivan 2009) as representing </w:t>
      </w:r>
      <w:r w:rsidR="00A15EF5" w:rsidRPr="008B68A9">
        <w:t>the government’s</w:t>
      </w:r>
      <w:r w:rsidR="00070E8F" w:rsidRPr="008B68A9">
        <w:t xml:space="preserve"> </w:t>
      </w:r>
      <w:r w:rsidR="00A15EF5" w:rsidRPr="008B68A9">
        <w:t xml:space="preserve">deliberate </w:t>
      </w:r>
      <w:r w:rsidR="00636218" w:rsidRPr="008B68A9">
        <w:lastRenderedPageBreak/>
        <w:t xml:space="preserve">positioning </w:t>
      </w:r>
      <w:r w:rsidR="00A15EF5" w:rsidRPr="008B68A9">
        <w:t>of</w:t>
      </w:r>
      <w:r w:rsidR="00636218" w:rsidRPr="008B68A9">
        <w:t xml:space="preserve"> </w:t>
      </w:r>
      <w:r w:rsidR="00A15EF5" w:rsidRPr="008B68A9">
        <w:t>destabilising</w:t>
      </w:r>
      <w:r w:rsidR="00636218" w:rsidRPr="008B68A9">
        <w:t xml:space="preserve"> </w:t>
      </w:r>
      <w:r w:rsidR="00070E8F" w:rsidRPr="008B68A9">
        <w:t xml:space="preserve">professional power </w:t>
      </w:r>
      <w:r w:rsidR="00A15EF5" w:rsidRPr="008B68A9">
        <w:t>to create</w:t>
      </w:r>
      <w:r w:rsidR="00636218" w:rsidRPr="008B68A9">
        <w:t xml:space="preserve"> new spaces </w:t>
      </w:r>
      <w:r w:rsidR="00A15EF5" w:rsidRPr="008B68A9">
        <w:t>to</w:t>
      </w:r>
      <w:r w:rsidR="00636218" w:rsidRPr="008B68A9">
        <w:t xml:space="preserve"> replace </w:t>
      </w:r>
      <w:r w:rsidR="00070E8F" w:rsidRPr="008B68A9">
        <w:t>existing power arrangements.</w:t>
      </w:r>
      <w:r w:rsidR="00636218" w:rsidRPr="008B68A9">
        <w:t xml:space="preserve"> </w:t>
      </w:r>
      <w:r w:rsidR="00070E8F" w:rsidRPr="008B68A9">
        <w:t>T</w:t>
      </w:r>
      <w:r w:rsidR="00636218" w:rsidRPr="008B68A9">
        <w:t xml:space="preserve">he question of </w:t>
      </w:r>
      <w:r w:rsidR="00A15EF5" w:rsidRPr="008B68A9">
        <w:t>what</w:t>
      </w:r>
      <w:r w:rsidR="00636218" w:rsidRPr="008B68A9">
        <w:t xml:space="preserve"> traditional service structures, based on expert</w:t>
      </w:r>
      <w:r w:rsidR="00070E8F" w:rsidRPr="008B68A9">
        <w:t xml:space="preserve"> professional</w:t>
      </w:r>
      <w:r w:rsidR="00636218" w:rsidRPr="008B68A9">
        <w:t xml:space="preserve"> and </w:t>
      </w:r>
      <w:r w:rsidR="00070E8F" w:rsidRPr="008B68A9">
        <w:t xml:space="preserve">passive </w:t>
      </w:r>
      <w:r w:rsidR="00636218" w:rsidRPr="008B68A9">
        <w:t xml:space="preserve">recipient relationships, to be replaced is unanswered. Co-production seems a likely successor to medical or social work dominance in mental health, as professionals appear to be </w:t>
      </w:r>
      <w:r w:rsidR="00E87B69" w:rsidRPr="008B68A9">
        <w:t>caught</w:t>
      </w:r>
      <w:r w:rsidR="00636218" w:rsidRPr="008B68A9">
        <w:t xml:space="preserve"> between relinquishing professional </w:t>
      </w:r>
      <w:r w:rsidR="004B710D" w:rsidRPr="008B68A9">
        <w:t>autonomy and therefore control of their profession (</w:t>
      </w:r>
      <w:r w:rsidR="00636218" w:rsidRPr="008B68A9">
        <w:t xml:space="preserve">Godin 2003), </w:t>
      </w:r>
      <w:r w:rsidR="004B710D" w:rsidRPr="008B68A9">
        <w:t>and of</w:t>
      </w:r>
      <w:r w:rsidR="00636218" w:rsidRPr="008B68A9">
        <w:t xml:space="preserve"> adopting more equal working practices. Professionals are facing increased accountability and scrutiny over their professional decision </w:t>
      </w:r>
      <w:r w:rsidR="004B710D" w:rsidRPr="008B68A9">
        <w:t>making that creates tension</w:t>
      </w:r>
      <w:r w:rsidR="00636218" w:rsidRPr="008B68A9">
        <w:t xml:space="preserve"> </w:t>
      </w:r>
      <w:r w:rsidR="004B710D" w:rsidRPr="008B68A9">
        <w:t>attempting to enact</w:t>
      </w:r>
      <w:r w:rsidR="00636218" w:rsidRPr="008B68A9">
        <w:t xml:space="preserve"> personalisation. The literature</w:t>
      </w:r>
      <w:r w:rsidR="00E87B69" w:rsidRPr="008B68A9">
        <w:t xml:space="preserve"> </w:t>
      </w:r>
      <w:r w:rsidR="004B710D" w:rsidRPr="008B68A9">
        <w:t>on</w:t>
      </w:r>
      <w:r w:rsidR="00E87B69" w:rsidRPr="008B68A9">
        <w:t xml:space="preserve"> personalisation</w:t>
      </w:r>
      <w:r w:rsidR="00636218" w:rsidRPr="008B68A9">
        <w:t xml:space="preserve"> has little to say on this</w:t>
      </w:r>
      <w:r w:rsidR="00E87B69" w:rsidRPr="008B68A9">
        <w:t xml:space="preserve"> other than some professional organisations or their representatives (Unison 2010, Pile 2014)</w:t>
      </w:r>
      <w:r w:rsidR="00636218" w:rsidRPr="008B68A9">
        <w:t xml:space="preserve">, though the dichotomy </w:t>
      </w:r>
      <w:r w:rsidR="004B710D" w:rsidRPr="008B68A9">
        <w:t>such tension</w:t>
      </w:r>
      <w:r w:rsidR="00636218" w:rsidRPr="008B68A9">
        <w:t xml:space="preserve"> </w:t>
      </w:r>
      <w:r w:rsidR="00E87B69" w:rsidRPr="008B68A9">
        <w:t>creates</w:t>
      </w:r>
      <w:r w:rsidR="00636218" w:rsidRPr="008B68A9">
        <w:t xml:space="preserve"> makes </w:t>
      </w:r>
      <w:r w:rsidR="004B710D" w:rsidRPr="008B68A9">
        <w:t xml:space="preserve">large-scale </w:t>
      </w:r>
      <w:r w:rsidRPr="008B68A9">
        <w:t>co-production</w:t>
      </w:r>
      <w:r w:rsidR="00636218" w:rsidRPr="008B68A9">
        <w:t xml:space="preserve"> extending beyond enlightened practitioners to commonplace activity </w:t>
      </w:r>
      <w:r w:rsidR="00E87B69" w:rsidRPr="008B68A9">
        <w:t xml:space="preserve">more </w:t>
      </w:r>
      <w:r w:rsidR="00636218" w:rsidRPr="008B68A9">
        <w:t xml:space="preserve">difficult to imagine. </w:t>
      </w:r>
    </w:p>
    <w:p w14:paraId="0D16934B" w14:textId="2F97F6DE" w:rsidR="00636218" w:rsidRPr="008B68A9" w:rsidRDefault="00371B44" w:rsidP="00636218">
      <w:pPr>
        <w:pStyle w:val="5arangedleft"/>
      </w:pPr>
      <w:r w:rsidRPr="008B68A9">
        <w:t>Co-production</w:t>
      </w:r>
      <w:r w:rsidR="00636218" w:rsidRPr="008B68A9">
        <w:t xml:space="preserve"> embodies</w:t>
      </w:r>
      <w:r w:rsidR="00F24F13" w:rsidRPr="008B68A9">
        <w:t xml:space="preserve"> the</w:t>
      </w:r>
      <w:r w:rsidR="00636218" w:rsidRPr="008B68A9">
        <w:t xml:space="preserve"> principles of fairness, equity and reciprocity between actors </w:t>
      </w:r>
      <w:r w:rsidR="00F24F13" w:rsidRPr="008B68A9">
        <w:t xml:space="preserve">who are </w:t>
      </w:r>
      <w:r w:rsidR="00636218" w:rsidRPr="008B68A9">
        <w:t xml:space="preserve">engaged in a mutually satisfying endeavour (Boyle and Harris 2009), with the additional benefit of reshaping public services into platforms where </w:t>
      </w:r>
      <w:r w:rsidR="000429B3" w:rsidRPr="008B68A9">
        <w:t xml:space="preserve">local good can be accomplished envisaged by </w:t>
      </w:r>
      <w:r w:rsidR="00636218" w:rsidRPr="008B68A9">
        <w:t xml:space="preserve">Leadbeater </w:t>
      </w:r>
      <w:r w:rsidR="000429B3" w:rsidRPr="008B68A9">
        <w:t>(</w:t>
      </w:r>
      <w:r w:rsidR="00636218" w:rsidRPr="008B68A9">
        <w:t>2004). However, role accountability and organisational constraints</w:t>
      </w:r>
      <w:r w:rsidR="007859BF" w:rsidRPr="008B68A9">
        <w:t xml:space="preserve"> in public sector organisations</w:t>
      </w:r>
      <w:r w:rsidR="00C87A54" w:rsidRPr="008B68A9">
        <w:t xml:space="preserve"> always</w:t>
      </w:r>
      <w:r w:rsidR="007859BF" w:rsidRPr="008B68A9">
        <w:t xml:space="preserve"> impact</w:t>
      </w:r>
      <w:r w:rsidR="000429B3" w:rsidRPr="008B68A9">
        <w:t xml:space="preserve"> professional decision making</w:t>
      </w:r>
      <w:r w:rsidR="00636218" w:rsidRPr="008B68A9">
        <w:t xml:space="preserve"> beyond </w:t>
      </w:r>
      <w:r w:rsidR="00C87A54" w:rsidRPr="008B68A9">
        <w:t>what Standing (2008) termed</w:t>
      </w:r>
      <w:r w:rsidR="00A647FC" w:rsidRPr="008B68A9">
        <w:t xml:space="preserve"> tacit</w:t>
      </w:r>
      <w:r w:rsidR="00636218" w:rsidRPr="008B68A9">
        <w:t xml:space="preserve"> level </w:t>
      </w:r>
      <w:r w:rsidR="007859BF" w:rsidRPr="008B68A9">
        <w:t>actions</w:t>
      </w:r>
      <w:r w:rsidR="00C87A54" w:rsidRPr="008B68A9">
        <w:t>;</w:t>
      </w:r>
      <w:r w:rsidR="007859BF" w:rsidRPr="008B68A9">
        <w:t xml:space="preserve"> </w:t>
      </w:r>
      <w:r w:rsidR="00C87A54" w:rsidRPr="008B68A9">
        <w:t>where</w:t>
      </w:r>
      <w:r w:rsidR="00636218" w:rsidRPr="008B68A9">
        <w:t xml:space="preserve"> </w:t>
      </w:r>
      <w:r w:rsidRPr="008B68A9">
        <w:t>co-production</w:t>
      </w:r>
      <w:r w:rsidR="00636218" w:rsidRPr="008B68A9">
        <w:t xml:space="preserve"> </w:t>
      </w:r>
      <w:r w:rsidR="007859BF" w:rsidRPr="008B68A9">
        <w:t>rema</w:t>
      </w:r>
      <w:bookmarkStart w:id="41" w:name="_GoBack"/>
      <w:bookmarkEnd w:id="41"/>
      <w:r w:rsidR="007859BF" w:rsidRPr="008B68A9">
        <w:t>in</w:t>
      </w:r>
      <w:r w:rsidR="00C87A54" w:rsidRPr="008B68A9">
        <w:t>s</w:t>
      </w:r>
      <w:r w:rsidR="00A647FC" w:rsidRPr="008B68A9">
        <w:t xml:space="preserve"> </w:t>
      </w:r>
      <w:r w:rsidR="00C87A54" w:rsidRPr="008B68A9">
        <w:t>visible in</w:t>
      </w:r>
      <w:r w:rsidR="00C87A54" w:rsidRPr="008B68A9">
        <w:t xml:space="preserve"> policy </w:t>
      </w:r>
      <w:r w:rsidR="00C87A54" w:rsidRPr="008B68A9">
        <w:t>rather</w:t>
      </w:r>
      <w:r w:rsidR="00E87B69" w:rsidRPr="008B68A9">
        <w:t xml:space="preserve"> than </w:t>
      </w:r>
      <w:r w:rsidR="00C87A54" w:rsidRPr="008B68A9">
        <w:t>in</w:t>
      </w:r>
      <w:r w:rsidR="00E87B69" w:rsidRPr="008B68A9">
        <w:t xml:space="preserve"> practice.</w:t>
      </w:r>
    </w:p>
    <w:p w14:paraId="361D4A50" w14:textId="4794B671" w:rsidR="00636218" w:rsidRPr="008B68A9" w:rsidRDefault="00636218" w:rsidP="00636218">
      <w:pPr>
        <w:pStyle w:val="5arangedleft"/>
      </w:pPr>
      <w:r w:rsidRPr="008B68A9">
        <w:t xml:space="preserve">Perhaps divisions between users and practitioners may be resolved </w:t>
      </w:r>
      <w:r w:rsidR="00BD4CC0" w:rsidRPr="008B68A9">
        <w:t>if</w:t>
      </w:r>
      <w:r w:rsidR="00C37F63" w:rsidRPr="008B68A9">
        <w:t xml:space="preserve"> a third party such as </w:t>
      </w:r>
      <w:r w:rsidRPr="008B68A9">
        <w:t>brokers, wor</w:t>
      </w:r>
      <w:r w:rsidR="00C37F63" w:rsidRPr="008B68A9">
        <w:t>king between them with a clear</w:t>
      </w:r>
      <w:r w:rsidRPr="008B68A9">
        <w:t xml:space="preserve"> focused and </w:t>
      </w:r>
      <w:r w:rsidR="00C37F63" w:rsidRPr="008B68A9">
        <w:t>values driven approach, providing</w:t>
      </w:r>
      <w:r w:rsidRPr="008B68A9">
        <w:t xml:space="preserve"> </w:t>
      </w:r>
      <w:r w:rsidR="00C37F63" w:rsidRPr="008B68A9">
        <w:t>opportunities</w:t>
      </w:r>
      <w:r w:rsidRPr="008B68A9">
        <w:t xml:space="preserve"> to </w:t>
      </w:r>
      <w:r w:rsidR="00C37F63" w:rsidRPr="008B68A9">
        <w:t>challenge</w:t>
      </w:r>
      <w:r w:rsidRPr="008B68A9">
        <w:t xml:space="preserve"> professional caution. The literature generates a wide range of </w:t>
      </w:r>
      <w:r w:rsidR="000044C1" w:rsidRPr="008B68A9">
        <w:t>definitions</w:t>
      </w:r>
      <w:r w:rsidRPr="008B68A9">
        <w:t xml:space="preserve"> </w:t>
      </w:r>
      <w:r w:rsidR="000044C1" w:rsidRPr="008B68A9">
        <w:t xml:space="preserve">of </w:t>
      </w:r>
      <w:r w:rsidRPr="008B68A9">
        <w:t>brokerage</w:t>
      </w:r>
      <w:r w:rsidR="000044C1" w:rsidRPr="008B68A9">
        <w:t xml:space="preserve"> and the</w:t>
      </w:r>
      <w:r w:rsidRPr="008B68A9">
        <w:t xml:space="preserve"> roles</w:t>
      </w:r>
      <w:r w:rsidR="000044C1" w:rsidRPr="008B68A9">
        <w:t xml:space="preserve"> within it,</w:t>
      </w:r>
      <w:r w:rsidRPr="008B68A9">
        <w:t xml:space="preserve"> part</w:t>
      </w:r>
      <w:r w:rsidR="000044C1" w:rsidRPr="008B68A9">
        <w:t>ly due</w:t>
      </w:r>
      <w:r w:rsidRPr="008B68A9">
        <w:t xml:space="preserve"> to </w:t>
      </w:r>
      <w:r w:rsidR="000044C1" w:rsidRPr="008B68A9">
        <w:t>a</w:t>
      </w:r>
      <w:r w:rsidRPr="008B68A9">
        <w:t xml:space="preserve"> lack of </w:t>
      </w:r>
      <w:r w:rsidR="000044C1" w:rsidRPr="008B68A9">
        <w:t>agreement of what the</w:t>
      </w:r>
      <w:r w:rsidRPr="008B68A9">
        <w:t xml:space="preserve"> role</w:t>
      </w:r>
      <w:r w:rsidR="000044C1" w:rsidRPr="008B68A9">
        <w:t xml:space="preserve"> entails</w:t>
      </w:r>
      <w:r w:rsidRPr="008B68A9">
        <w:t xml:space="preserve">. </w:t>
      </w:r>
      <w:r w:rsidR="000044C1" w:rsidRPr="008B68A9">
        <w:t xml:space="preserve">Brokerage in this thesis is used that brokers provide advice and support to </w:t>
      </w:r>
      <w:r w:rsidR="009C03FB" w:rsidRPr="008B68A9">
        <w:t>budget users</w:t>
      </w:r>
      <w:r w:rsidR="000044C1" w:rsidRPr="008B68A9">
        <w:t xml:space="preserve"> in planning and monitoring of </w:t>
      </w:r>
      <w:r w:rsidR="009C03FB" w:rsidRPr="008B68A9">
        <w:t xml:space="preserve">their </w:t>
      </w:r>
      <w:r w:rsidR="000044C1" w:rsidRPr="008B68A9">
        <w:t xml:space="preserve">services, and may assist </w:t>
      </w:r>
      <w:r w:rsidR="009C03FB" w:rsidRPr="008B68A9">
        <w:t>the user</w:t>
      </w:r>
      <w:r w:rsidR="000044C1" w:rsidRPr="008B68A9">
        <w:t xml:space="preserve"> in organising the</w:t>
      </w:r>
      <w:r w:rsidR="009C03FB" w:rsidRPr="008B68A9">
        <w:t>ir service</w:t>
      </w:r>
      <w:r w:rsidR="000044C1" w:rsidRPr="008B68A9">
        <w:t xml:space="preserve"> (Doty </w:t>
      </w:r>
      <w:r w:rsidR="000044C1" w:rsidRPr="008B68A9">
        <w:rPr>
          <w:i/>
        </w:rPr>
        <w:t>et al</w:t>
      </w:r>
      <w:r w:rsidR="000044C1" w:rsidRPr="008B68A9">
        <w:t xml:space="preserve">., 2010), however </w:t>
      </w:r>
      <w:r w:rsidR="009C03FB" w:rsidRPr="008B68A9">
        <w:t>brokers</w:t>
      </w:r>
      <w:r w:rsidR="000044C1" w:rsidRPr="008B68A9">
        <w:t xml:space="preserve"> do not make decisions or take any action </w:t>
      </w:r>
      <w:r w:rsidR="009C03FB" w:rsidRPr="008B68A9">
        <w:t>that has not been</w:t>
      </w:r>
      <w:r w:rsidR="000044C1" w:rsidRPr="008B68A9">
        <w:t xml:space="preserve"> decided upon by the </w:t>
      </w:r>
      <w:r w:rsidR="009C03FB" w:rsidRPr="008B68A9">
        <w:t>user</w:t>
      </w:r>
      <w:r w:rsidR="000044C1" w:rsidRPr="008B68A9">
        <w:t xml:space="preserve"> (Cook </w:t>
      </w:r>
      <w:r w:rsidR="000044C1" w:rsidRPr="008B68A9">
        <w:rPr>
          <w:i/>
        </w:rPr>
        <w:t>et al</w:t>
      </w:r>
      <w:r w:rsidR="000044C1" w:rsidRPr="008B68A9">
        <w:t xml:space="preserve">., 2010). </w:t>
      </w:r>
      <w:r w:rsidR="00FB4FC1" w:rsidRPr="008B68A9">
        <w:t xml:space="preserve">Further the </w:t>
      </w:r>
      <w:r w:rsidR="00A33CD9" w:rsidRPr="008B68A9">
        <w:t>principles</w:t>
      </w:r>
      <w:r w:rsidR="00FB4FC1" w:rsidRPr="008B68A9">
        <w:t xml:space="preserve"> of a form of brokerage, support brokers, outlined by Leach (2015, p.6) are also used;</w:t>
      </w:r>
      <w:r w:rsidR="00FB4FC1" w:rsidRPr="008B68A9">
        <w:rPr>
          <w:sz w:val="22"/>
          <w:szCs w:val="22"/>
        </w:rPr>
        <w:t xml:space="preserve"> </w:t>
      </w:r>
      <w:r w:rsidR="00FB4FC1" w:rsidRPr="008B68A9">
        <w:t xml:space="preserve">facilitating the outcomes that have been set by the individual – taking on what the person </w:t>
      </w:r>
      <w:r w:rsidR="00FB4FC1" w:rsidRPr="008B68A9">
        <w:lastRenderedPageBreak/>
        <w:t xml:space="preserve">would like you to do.”. </w:t>
      </w:r>
      <w:r w:rsidRPr="008B68A9">
        <w:t xml:space="preserve">Fundamental questions of who should undertake brokerage roles and </w:t>
      </w:r>
      <w:r w:rsidR="009C03FB" w:rsidRPr="008B68A9">
        <w:t xml:space="preserve">indeed </w:t>
      </w:r>
      <w:r w:rsidRPr="008B68A9">
        <w:t>whether such roles should be promote</w:t>
      </w:r>
      <w:r w:rsidR="00E87B69" w:rsidRPr="008B68A9">
        <w:t xml:space="preserve">d or </w:t>
      </w:r>
      <w:r w:rsidR="009C03FB" w:rsidRPr="008B68A9">
        <w:t>discourage</w:t>
      </w:r>
      <w:r w:rsidR="00A33CD9" w:rsidRPr="008B68A9">
        <w:t>d</w:t>
      </w:r>
      <w:r w:rsidR="00E87B69" w:rsidRPr="008B68A9">
        <w:t xml:space="preserve"> have been </w:t>
      </w:r>
      <w:r w:rsidR="009C03FB" w:rsidRPr="008B68A9">
        <w:t>raised</w:t>
      </w:r>
      <w:r w:rsidR="00E87B69" w:rsidRPr="008B68A9">
        <w:t xml:space="preserve"> by </w:t>
      </w:r>
      <w:r w:rsidRPr="008B68A9">
        <w:t xml:space="preserve">Duffy and Fulton </w:t>
      </w:r>
      <w:r w:rsidR="00E87B69" w:rsidRPr="008B68A9">
        <w:t>(</w:t>
      </w:r>
      <w:r w:rsidRPr="008B68A9">
        <w:t>2009)</w:t>
      </w:r>
      <w:r w:rsidR="009C03FB" w:rsidRPr="008B68A9">
        <w:t xml:space="preserve"> who</w:t>
      </w:r>
      <w:r w:rsidR="00A33CD9" w:rsidRPr="008B68A9">
        <w:t>,</w:t>
      </w:r>
      <w:r w:rsidR="00E87B69" w:rsidRPr="008B68A9">
        <w:t xml:space="preserve"> </w:t>
      </w:r>
      <w:r w:rsidR="009C03FB" w:rsidRPr="008B68A9">
        <w:t>whilst</w:t>
      </w:r>
      <w:r w:rsidR="00E87B69" w:rsidRPr="008B68A9">
        <w:t xml:space="preserve"> supportive of brokerage, argue strongly aga</w:t>
      </w:r>
      <w:r w:rsidR="009C03FB" w:rsidRPr="008B68A9">
        <w:t>inst creating another profession with the associated bureaucracy and cost</w:t>
      </w:r>
      <w:r w:rsidRPr="008B68A9">
        <w:t xml:space="preserve">. Questions also remain as to what a broker’s relationship to the budget holder and service providers should be. Many suggest that existing staff within services could fulfil </w:t>
      </w:r>
      <w:r w:rsidR="00D845ED" w:rsidRPr="008B68A9">
        <w:t>broker</w:t>
      </w:r>
      <w:r w:rsidRPr="008B68A9">
        <w:t xml:space="preserve"> functions, and </w:t>
      </w:r>
      <w:r w:rsidR="00D845ED" w:rsidRPr="008B68A9">
        <w:t xml:space="preserve">that </w:t>
      </w:r>
      <w:r w:rsidRPr="008B68A9">
        <w:t>social workers in particular “…should move away from rationing towards advocacy and brokerage” (Leach 2015, p. 4), a point echoed by Leece and Leece (2011) and Lymbery, (2011). Their perspective alludes to a narrative of dissatisfaction in social work role identity, which is changing from controlling resource activities and gatekeeping access to services, to one where professional identity is shaped more by a desire to undertake client centred and advocacy activities.</w:t>
      </w:r>
    </w:p>
    <w:p w14:paraId="0F052248" w14:textId="12CBB862" w:rsidR="006E3F64" w:rsidRPr="008B68A9" w:rsidRDefault="00636218" w:rsidP="00636218">
      <w:pPr>
        <w:pStyle w:val="5arangedleft"/>
        <w:rPr>
          <w:rStyle w:val="apple-converted-space"/>
        </w:rPr>
      </w:pPr>
      <w:r w:rsidRPr="008B68A9">
        <w:rPr>
          <w:rStyle w:val="apple-converted-space"/>
        </w:rPr>
        <w:t xml:space="preserve">Brokerage </w:t>
      </w:r>
      <w:r w:rsidR="00AD6F99" w:rsidRPr="008B68A9">
        <w:rPr>
          <w:rStyle w:val="apple-converted-space"/>
        </w:rPr>
        <w:t>is described as a natural</w:t>
      </w:r>
      <w:r w:rsidRPr="008B68A9">
        <w:rPr>
          <w:rStyle w:val="apple-converted-space"/>
        </w:rPr>
        <w:t xml:space="preserve"> extension of social worker role</w:t>
      </w:r>
      <w:r w:rsidR="00AD6F99" w:rsidRPr="008B68A9">
        <w:rPr>
          <w:rStyle w:val="apple-converted-space"/>
        </w:rPr>
        <w:t>s</w:t>
      </w:r>
      <w:r w:rsidRPr="008B68A9">
        <w:rPr>
          <w:rStyle w:val="apple-converted-space"/>
        </w:rPr>
        <w:t xml:space="preserve"> (Leece and Leece 2011), </w:t>
      </w:r>
      <w:r w:rsidR="00AD6F99" w:rsidRPr="008B68A9">
        <w:rPr>
          <w:rStyle w:val="apple-converted-space"/>
        </w:rPr>
        <w:t xml:space="preserve">and </w:t>
      </w:r>
      <w:r w:rsidRPr="008B68A9">
        <w:rPr>
          <w:rStyle w:val="apple-converted-space"/>
        </w:rPr>
        <w:t xml:space="preserve">as a legitimate emancipatory role </w:t>
      </w:r>
      <w:r w:rsidR="009318B2" w:rsidRPr="008B68A9">
        <w:rPr>
          <w:rStyle w:val="apple-converted-space"/>
        </w:rPr>
        <w:t>by Scourfield (2010</w:t>
      </w:r>
      <w:r w:rsidR="00E87B69" w:rsidRPr="008B68A9">
        <w:rPr>
          <w:rStyle w:val="apple-converted-space"/>
        </w:rPr>
        <w:t>)</w:t>
      </w:r>
      <w:r w:rsidR="00AD6F99" w:rsidRPr="008B68A9">
        <w:rPr>
          <w:rStyle w:val="apple-converted-space"/>
        </w:rPr>
        <w:t xml:space="preserve"> </w:t>
      </w:r>
      <w:r w:rsidRPr="008B68A9">
        <w:rPr>
          <w:rStyle w:val="apple-converted-space"/>
        </w:rPr>
        <w:t>that rad</w:t>
      </w:r>
      <w:r w:rsidR="00AD6F99" w:rsidRPr="008B68A9">
        <w:rPr>
          <w:rStyle w:val="apple-converted-space"/>
        </w:rPr>
        <w:t>ical social work should fulfil. Brokerage is also suggested</w:t>
      </w:r>
      <w:r w:rsidRPr="008B68A9">
        <w:rPr>
          <w:rStyle w:val="apple-converted-space"/>
        </w:rPr>
        <w:t xml:space="preserve"> as something that should be </w:t>
      </w:r>
      <w:r w:rsidR="00E87B69" w:rsidRPr="008B68A9">
        <w:rPr>
          <w:rStyle w:val="apple-converted-space"/>
        </w:rPr>
        <w:t xml:space="preserve">quite </w:t>
      </w:r>
      <w:r w:rsidRPr="008B68A9">
        <w:rPr>
          <w:rStyle w:val="apple-converted-space"/>
        </w:rPr>
        <w:t>separate</w:t>
      </w:r>
      <w:r w:rsidR="00E87B69" w:rsidRPr="008B68A9">
        <w:rPr>
          <w:rStyle w:val="apple-converted-space"/>
        </w:rPr>
        <w:t xml:space="preserve"> from public service </w:t>
      </w:r>
      <w:r w:rsidR="00AD6F99" w:rsidRPr="008B68A9">
        <w:rPr>
          <w:rStyle w:val="apple-converted-space"/>
        </w:rPr>
        <w:t>roles, (such as social workers or nursing),</w:t>
      </w:r>
      <w:r w:rsidR="00E87B69" w:rsidRPr="008B68A9">
        <w:rPr>
          <w:rStyle w:val="apple-converted-space"/>
        </w:rPr>
        <w:t xml:space="preserve"> as </w:t>
      </w:r>
      <w:r w:rsidRPr="008B68A9">
        <w:rPr>
          <w:rStyle w:val="apple-converted-space"/>
        </w:rPr>
        <w:t>Dowson</w:t>
      </w:r>
      <w:r w:rsidR="00CA3416" w:rsidRPr="008B68A9">
        <w:rPr>
          <w:rStyle w:val="apple-converted-space"/>
        </w:rPr>
        <w:t xml:space="preserve"> (2008)</w:t>
      </w:r>
      <w:r w:rsidR="004948B3" w:rsidRPr="008B68A9">
        <w:rPr>
          <w:rStyle w:val="apple-converted-space"/>
        </w:rPr>
        <w:t xml:space="preserve"> stated, brokerage</w:t>
      </w:r>
      <w:r w:rsidR="00E87B69" w:rsidRPr="008B68A9">
        <w:rPr>
          <w:rStyle w:val="apple-converted-space"/>
        </w:rPr>
        <w:t xml:space="preserve"> should be focussed entirely on the user’s need and preference</w:t>
      </w:r>
      <w:r w:rsidR="004948B3" w:rsidRPr="008B68A9">
        <w:rPr>
          <w:rStyle w:val="apple-converted-space"/>
        </w:rPr>
        <w:t xml:space="preserve"> free from conflicts of interest or competing statutory role</w:t>
      </w:r>
      <w:r w:rsidRPr="008B68A9">
        <w:rPr>
          <w:rStyle w:val="apple-converted-space"/>
        </w:rPr>
        <w:t xml:space="preserve">. Some question the </w:t>
      </w:r>
      <w:r w:rsidR="004948B3" w:rsidRPr="008B68A9">
        <w:rPr>
          <w:rStyle w:val="apple-converted-space"/>
        </w:rPr>
        <w:t>place</w:t>
      </w:r>
      <w:r w:rsidRPr="008B68A9">
        <w:rPr>
          <w:rStyle w:val="apple-converted-space"/>
        </w:rPr>
        <w:t xml:space="preserve"> of brokerage</w:t>
      </w:r>
      <w:r w:rsidR="004948B3" w:rsidRPr="008B68A9">
        <w:rPr>
          <w:rStyle w:val="apple-converted-space"/>
        </w:rPr>
        <w:t xml:space="preserve"> in public sector deliver</w:t>
      </w:r>
      <w:r w:rsidRPr="008B68A9">
        <w:rPr>
          <w:rStyle w:val="apple-converted-space"/>
        </w:rPr>
        <w:t xml:space="preserve"> in the context of </w:t>
      </w:r>
      <w:r w:rsidR="004948B3" w:rsidRPr="008B68A9">
        <w:rPr>
          <w:rStyle w:val="apple-converted-space"/>
        </w:rPr>
        <w:t xml:space="preserve">perceived </w:t>
      </w:r>
      <w:r w:rsidRPr="008B68A9">
        <w:rPr>
          <w:rStyle w:val="apple-converted-space"/>
        </w:rPr>
        <w:t>negative associations w</w:t>
      </w:r>
      <w:r w:rsidR="004948B3" w:rsidRPr="008B68A9">
        <w:rPr>
          <w:rStyle w:val="apple-converted-space"/>
        </w:rPr>
        <w:t>ith neo-liberalism</w:t>
      </w:r>
      <w:r w:rsidRPr="008B68A9">
        <w:rPr>
          <w:rStyle w:val="apple-converted-space"/>
        </w:rPr>
        <w:t xml:space="preserve">, </w:t>
      </w:r>
      <w:r w:rsidR="004948B3" w:rsidRPr="008B68A9">
        <w:rPr>
          <w:rStyle w:val="apple-converted-space"/>
        </w:rPr>
        <w:t>stating that</w:t>
      </w:r>
      <w:r w:rsidRPr="008B68A9">
        <w:rPr>
          <w:rStyle w:val="apple-converted-space"/>
        </w:rPr>
        <w:t xml:space="preserve"> </w:t>
      </w:r>
      <w:r w:rsidR="004948B3" w:rsidRPr="008B68A9">
        <w:rPr>
          <w:rStyle w:val="apple-converted-space"/>
        </w:rPr>
        <w:t>brokers and market function creates winners and losers and</w:t>
      </w:r>
      <w:r w:rsidR="009318B2" w:rsidRPr="008B68A9">
        <w:rPr>
          <w:rStyle w:val="apple-converted-space"/>
        </w:rPr>
        <w:t xml:space="preserve"> in the context of providing for vulnerable populations does</w:t>
      </w:r>
      <w:r w:rsidRPr="008B68A9">
        <w:rPr>
          <w:rStyle w:val="apple-converted-space"/>
        </w:rPr>
        <w:t xml:space="preserve"> not belong in the publ</w:t>
      </w:r>
      <w:r w:rsidR="00E87B69" w:rsidRPr="008B68A9">
        <w:rPr>
          <w:rStyle w:val="apple-converted-space"/>
        </w:rPr>
        <w:t>ic worker remit</w:t>
      </w:r>
      <w:r w:rsidR="00DA77CC" w:rsidRPr="008B68A9">
        <w:rPr>
          <w:rStyle w:val="apple-converted-space"/>
        </w:rPr>
        <w:t xml:space="preserve"> (Daly 2012)</w:t>
      </w:r>
      <w:r w:rsidR="00E87B69" w:rsidRPr="008B68A9">
        <w:rPr>
          <w:rStyle w:val="apple-converted-space"/>
        </w:rPr>
        <w:t>.</w:t>
      </w:r>
    </w:p>
    <w:p w14:paraId="1CB89D08" w14:textId="7A003E04" w:rsidR="00636218" w:rsidRPr="008B68A9" w:rsidRDefault="00E87B69" w:rsidP="00636218">
      <w:pPr>
        <w:pStyle w:val="5arangedleft"/>
        <w:rPr>
          <w:rStyle w:val="apple-converted-space"/>
        </w:rPr>
      </w:pPr>
      <w:r w:rsidRPr="008B68A9">
        <w:rPr>
          <w:rStyle w:val="apple-converted-space"/>
        </w:rPr>
        <w:t xml:space="preserve">Brokerage as an idea </w:t>
      </w:r>
      <w:r w:rsidR="00636218" w:rsidRPr="008B68A9">
        <w:rPr>
          <w:rStyle w:val="apple-converted-space"/>
        </w:rPr>
        <w:t xml:space="preserve">has been in public policy narratives in some form for many years. </w:t>
      </w:r>
      <w:r w:rsidR="00BD4CC0" w:rsidRPr="008B68A9">
        <w:rPr>
          <w:rStyle w:val="apple-converted-space"/>
        </w:rPr>
        <w:t xml:space="preserve">Leach (2015) cites its history dating back to the circles of support in Canadian intellectual impairment services 40 years ago. In a UK context the Department of Health in </w:t>
      </w:r>
      <w:r w:rsidR="00636218" w:rsidRPr="008B68A9">
        <w:rPr>
          <w:rStyle w:val="apple-converted-space"/>
          <w:i/>
        </w:rPr>
        <w:t>Independence, wellbeing and choice</w:t>
      </w:r>
      <w:r w:rsidR="00636218" w:rsidRPr="008B68A9">
        <w:rPr>
          <w:rStyle w:val="apple-converted-space"/>
        </w:rPr>
        <w:t xml:space="preserve"> (DH 2005) spoke of ‘care navigators’ assisting users to plan their care</w:t>
      </w:r>
      <w:r w:rsidR="00DA77CC" w:rsidRPr="008B68A9">
        <w:rPr>
          <w:rStyle w:val="apple-converted-space"/>
        </w:rPr>
        <w:t xml:space="preserve"> whose role outline has much in common with the definition above.</w:t>
      </w:r>
      <w:r w:rsidR="00636218" w:rsidRPr="008B68A9">
        <w:rPr>
          <w:rStyle w:val="apple-converted-space"/>
        </w:rPr>
        <w:t xml:space="preserve"> </w:t>
      </w:r>
      <w:r w:rsidR="00DA77CC" w:rsidRPr="008B68A9">
        <w:rPr>
          <w:rStyle w:val="apple-converted-space"/>
        </w:rPr>
        <w:t>Brokerage</w:t>
      </w:r>
      <w:r w:rsidR="00636218" w:rsidRPr="008B68A9">
        <w:rPr>
          <w:rStyle w:val="apple-converted-space"/>
        </w:rPr>
        <w:t xml:space="preserve"> </w:t>
      </w:r>
      <w:r w:rsidR="00DA77CC" w:rsidRPr="008B68A9">
        <w:rPr>
          <w:rStyle w:val="apple-converted-space"/>
        </w:rPr>
        <w:t>roles have</w:t>
      </w:r>
      <w:r w:rsidR="00636218" w:rsidRPr="008B68A9">
        <w:rPr>
          <w:rStyle w:val="apple-converted-space"/>
        </w:rPr>
        <w:t xml:space="preserve"> been </w:t>
      </w:r>
      <w:r w:rsidR="00DA77CC" w:rsidRPr="008B68A9">
        <w:rPr>
          <w:rStyle w:val="apple-converted-space"/>
        </w:rPr>
        <w:t>a part of the social care narrative</w:t>
      </w:r>
      <w:r w:rsidR="00636218" w:rsidRPr="008B68A9">
        <w:rPr>
          <w:rStyle w:val="apple-converted-space"/>
        </w:rPr>
        <w:t xml:space="preserve"> alongside personalised funding of social care</w:t>
      </w:r>
      <w:r w:rsidR="00DA77CC" w:rsidRPr="008B68A9">
        <w:rPr>
          <w:rStyle w:val="apple-converted-space"/>
        </w:rPr>
        <w:t xml:space="preserve"> and much debate about the practice and function has occurred (see Duffy and Fulton 2009, Fulton 2014 and Leech 2015)</w:t>
      </w:r>
      <w:r w:rsidR="00636218" w:rsidRPr="008B68A9">
        <w:rPr>
          <w:rStyle w:val="apple-converted-space"/>
        </w:rPr>
        <w:t xml:space="preserve">. </w:t>
      </w:r>
      <w:r w:rsidR="00636218" w:rsidRPr="008B68A9">
        <w:rPr>
          <w:rStyle w:val="apple-converted-space"/>
        </w:rPr>
        <w:lastRenderedPageBreak/>
        <w:t>Leece and Leece</w:t>
      </w:r>
      <w:r w:rsidR="00DA77CC" w:rsidRPr="008B68A9">
        <w:rPr>
          <w:rStyle w:val="apple-converted-space"/>
        </w:rPr>
        <w:t xml:space="preserve"> (2011) have written extensively on brokerage and they</w:t>
      </w:r>
      <w:r w:rsidR="00636218" w:rsidRPr="008B68A9">
        <w:rPr>
          <w:rStyle w:val="apple-converted-space"/>
        </w:rPr>
        <w:t xml:space="preserve"> make the point that whilst the origins of brokerage emanate from the individualised services support for people with learning disabilities in Canada </w:t>
      </w:r>
      <w:r w:rsidRPr="008B68A9">
        <w:rPr>
          <w:rStyle w:val="apple-converted-space"/>
        </w:rPr>
        <w:t>in the 1970’s</w:t>
      </w:r>
      <w:r w:rsidR="00636218" w:rsidRPr="008B68A9">
        <w:rPr>
          <w:rStyle w:val="apple-converted-space"/>
        </w:rPr>
        <w:t>, the role has never been fully def</w:t>
      </w:r>
      <w:r w:rsidRPr="008B68A9">
        <w:rPr>
          <w:rStyle w:val="apple-converted-space"/>
        </w:rPr>
        <w:t>ined as a social worker’s task and</w:t>
      </w:r>
      <w:r w:rsidR="00DA77CC" w:rsidRPr="008B68A9">
        <w:rPr>
          <w:rStyle w:val="apple-converted-space"/>
        </w:rPr>
        <w:t xml:space="preserve"> in terms of this thesis,</w:t>
      </w:r>
      <w:r w:rsidRPr="008B68A9">
        <w:rPr>
          <w:rStyle w:val="apple-converted-space"/>
        </w:rPr>
        <w:t xml:space="preserve"> never in mental health nursing in the UK setting.</w:t>
      </w:r>
    </w:p>
    <w:p w14:paraId="716CF7B2" w14:textId="590F15DA" w:rsidR="00636218" w:rsidRPr="008B68A9" w:rsidRDefault="00636218" w:rsidP="00636218">
      <w:pPr>
        <w:pStyle w:val="5arangedleft"/>
      </w:pPr>
      <w:r w:rsidRPr="008B68A9">
        <w:t xml:space="preserve">Leece and Leece (2011, p. 208), argue that whilst aspects of brokerage can be aligned with social workers’ roles, many areas do not, and they support the view that “…for brokerage to be effective, it must be an independent function, with brokers accountable solely to the individual for whom they are providing a service.” We see more recently in the duality of fiscal gatekeeping and safeguarding roles identified by Hamilton </w:t>
      </w:r>
      <w:r w:rsidRPr="008B68A9">
        <w:rPr>
          <w:i/>
        </w:rPr>
        <w:t>et al.</w:t>
      </w:r>
      <w:r w:rsidRPr="008B68A9">
        <w:t xml:space="preserve"> (2015c) </w:t>
      </w:r>
      <w:r w:rsidR="00B4233A" w:rsidRPr="008B68A9">
        <w:t>a</w:t>
      </w:r>
      <w:r w:rsidRPr="008B68A9">
        <w:t xml:space="preserve"> reluctance of some health and social care workers to relinquish professional dominance (Brookes </w:t>
      </w:r>
      <w:r w:rsidRPr="008B68A9">
        <w:rPr>
          <w:i/>
        </w:rPr>
        <w:t>et al.</w:t>
      </w:r>
      <w:r w:rsidR="00F13432" w:rsidRPr="008B68A9">
        <w:t xml:space="preserve"> 2013</w:t>
      </w:r>
      <w:r w:rsidRPr="008B68A9">
        <w:t>), suggesting that Dowson’s observation may have been valid. However as studies in Australia (Lara</w:t>
      </w:r>
      <w:r w:rsidR="00B4233A" w:rsidRPr="008B68A9">
        <w:t>gy and Ottmann 2011) have shown</w:t>
      </w:r>
      <w:r w:rsidRPr="008B68A9">
        <w:t xml:space="preserve"> there is a financial cost of providing brokerage functions; and that, whilst acceptable to some, paid brokerage nevertheless reduce</w:t>
      </w:r>
      <w:r w:rsidR="00D97A43" w:rsidRPr="008B68A9">
        <w:t>s</w:t>
      </w:r>
      <w:r w:rsidRPr="008B68A9">
        <w:t xml:space="preserve"> the available budget. Gadsby (2013) suggests </w:t>
      </w:r>
      <w:r w:rsidR="00D97A43" w:rsidRPr="008B68A9">
        <w:t xml:space="preserve">that </w:t>
      </w:r>
      <w:r w:rsidRPr="008B68A9">
        <w:t xml:space="preserve">budget holders using a known service professional </w:t>
      </w:r>
      <w:r w:rsidR="00D97A43" w:rsidRPr="008B68A9">
        <w:t>is</w:t>
      </w:r>
      <w:r w:rsidRPr="008B68A9">
        <w:t xml:space="preserve"> preferable as </w:t>
      </w:r>
      <w:r w:rsidR="00B4233A" w:rsidRPr="008B68A9">
        <w:t xml:space="preserve">a </w:t>
      </w:r>
      <w:r w:rsidR="00D97A43" w:rsidRPr="008B68A9">
        <w:t xml:space="preserve">form of </w:t>
      </w:r>
      <w:r w:rsidR="00B4233A" w:rsidRPr="008B68A9">
        <w:t xml:space="preserve">free </w:t>
      </w:r>
      <w:r w:rsidRPr="008B68A9">
        <w:t>brokerage, rather than diverting a part of their budget allocation</w:t>
      </w:r>
      <w:r w:rsidR="0016136B" w:rsidRPr="008B68A9">
        <w:t xml:space="preserve"> to pay for brokers</w:t>
      </w:r>
      <w:r w:rsidRPr="008B68A9">
        <w:t xml:space="preserve">. </w:t>
      </w:r>
    </w:p>
    <w:p w14:paraId="7C6765EA" w14:textId="1AD5CE4E" w:rsidR="00636218" w:rsidRPr="008B68A9" w:rsidRDefault="00636218" w:rsidP="00636218">
      <w:pPr>
        <w:pStyle w:val="5arangedleft"/>
        <w:rPr>
          <w:rStyle w:val="apple-converted-space"/>
        </w:rPr>
      </w:pPr>
      <w:r w:rsidRPr="008B68A9">
        <w:t xml:space="preserve">According to Duffy and Fulton (2009), there are dangers and costs in creating a new body of professional independent brokers, although there is no firm evidence for the dangers they warned of. Rather, bureaucratisation and the unionisation of existing professionals and associated groups – feared by Tilly </w:t>
      </w:r>
      <w:r w:rsidRPr="008B68A9">
        <w:rPr>
          <w:i/>
        </w:rPr>
        <w:t>et al.</w:t>
      </w:r>
      <w:r w:rsidRPr="008B68A9">
        <w:t xml:space="preserve"> (2000), Tilly and Weiner (2001), Weiner (2007) and Power (2013) – appears </w:t>
      </w:r>
      <w:r w:rsidR="0016136B" w:rsidRPr="008B68A9">
        <w:t xml:space="preserve">more likely </w:t>
      </w:r>
      <w:r w:rsidRPr="008B68A9">
        <w:t>to have occurred.</w:t>
      </w:r>
      <w:r w:rsidR="0016136B" w:rsidRPr="008B68A9">
        <w:t xml:space="preserve"> Indeed, as </w:t>
      </w:r>
      <w:r w:rsidRPr="008B68A9">
        <w:t>Ne</w:t>
      </w:r>
      <w:r w:rsidR="0016136B" w:rsidRPr="008B68A9">
        <w:t>edham and Glasby (2014) suggest</w:t>
      </w:r>
      <w:r w:rsidRPr="008B68A9">
        <w:t xml:space="preserve"> that UK </w:t>
      </w:r>
      <w:r w:rsidR="0016136B" w:rsidRPr="008B68A9">
        <w:t>trades union stance</w:t>
      </w:r>
      <w:r w:rsidRPr="008B68A9">
        <w:t xml:space="preserve"> </w:t>
      </w:r>
      <w:r w:rsidR="0016136B" w:rsidRPr="008B68A9">
        <w:t>has changed</w:t>
      </w:r>
      <w:r w:rsidRPr="008B68A9">
        <w:t xml:space="preserve"> from an initial rejection and distrust of personalisation to one of working with the new narrative. </w:t>
      </w:r>
      <w:r w:rsidR="0016136B" w:rsidRPr="008B68A9">
        <w:t xml:space="preserve">The change may reflect a new pragmatism or more worryingly a bureaucratisation of personalisation feared many. Dedicated brokers as argued for by </w:t>
      </w:r>
      <w:r w:rsidRPr="008B68A9">
        <w:t xml:space="preserve">Dowson </w:t>
      </w:r>
      <w:r w:rsidR="0016136B" w:rsidRPr="008B68A9">
        <w:t>(</w:t>
      </w:r>
      <w:r w:rsidRPr="008B68A9">
        <w:t xml:space="preserve">2008) or recovery coaches (Spaulding-Givens and Lacasse 2015) may be preferable to the </w:t>
      </w:r>
      <w:r w:rsidR="00FC707D" w:rsidRPr="008B68A9">
        <w:t>alternative</w:t>
      </w:r>
      <w:r w:rsidRPr="008B68A9">
        <w:t xml:space="preserve"> of relying </w:t>
      </w:r>
      <w:r w:rsidR="00FC707D" w:rsidRPr="008B68A9">
        <w:t>upon existing</w:t>
      </w:r>
      <w:r w:rsidRPr="008B68A9">
        <w:t xml:space="preserve"> health and social care staff </w:t>
      </w:r>
      <w:r w:rsidR="00FC707D" w:rsidRPr="008B68A9">
        <w:t>to undertake</w:t>
      </w:r>
      <w:r w:rsidRPr="008B68A9">
        <w:t xml:space="preserve"> additional roles</w:t>
      </w:r>
      <w:r w:rsidR="00FC707D" w:rsidRPr="008B68A9">
        <w:t xml:space="preserve"> for</w:t>
      </w:r>
      <w:r w:rsidRPr="008B68A9">
        <w:t xml:space="preserve"> </w:t>
      </w:r>
      <w:r w:rsidR="00FC707D" w:rsidRPr="008B68A9">
        <w:t xml:space="preserve">people with mental health issues </w:t>
      </w:r>
      <w:r w:rsidRPr="008B68A9">
        <w:t>that they may not be in a position</w:t>
      </w:r>
      <w:r w:rsidR="00FC707D" w:rsidRPr="008B68A9">
        <w:t xml:space="preserve"> to</w:t>
      </w:r>
      <w:r w:rsidRPr="008B68A9">
        <w:t xml:space="preserve"> </w:t>
      </w:r>
      <w:r w:rsidR="00FC707D" w:rsidRPr="008B68A9">
        <w:t xml:space="preserve">do </w:t>
      </w:r>
      <w:r w:rsidRPr="008B68A9">
        <w:t>(</w:t>
      </w:r>
      <w:r w:rsidR="00FC707D" w:rsidRPr="008B68A9">
        <w:t xml:space="preserve">see </w:t>
      </w:r>
      <w:r w:rsidRPr="008B68A9">
        <w:t>Leece 2011), or be willing</w:t>
      </w:r>
      <w:r w:rsidR="00FC707D" w:rsidRPr="008B68A9">
        <w:t xml:space="preserve"> to</w:t>
      </w:r>
      <w:r w:rsidR="00371B44" w:rsidRPr="008B68A9">
        <w:t xml:space="preserve"> as </w:t>
      </w:r>
      <w:r w:rsidR="00371B44" w:rsidRPr="008B68A9">
        <w:lastRenderedPageBreak/>
        <w:t>Spandler and Vick (2007) suggested</w:t>
      </w:r>
      <w:r w:rsidRPr="008B68A9">
        <w:t xml:space="preserve">. Whilst there is a strong argument that people providing </w:t>
      </w:r>
      <w:r w:rsidR="00FC707D" w:rsidRPr="008B68A9">
        <w:t>brokerage</w:t>
      </w:r>
      <w:r w:rsidRPr="008B68A9">
        <w:t xml:space="preserve"> should be skilled, trained and meet a set of quality standards, the individual budget holder </w:t>
      </w:r>
      <w:r w:rsidR="00371B44" w:rsidRPr="008B68A9">
        <w:t>should</w:t>
      </w:r>
      <w:r w:rsidRPr="008B68A9">
        <w:t xml:space="preserve"> be</w:t>
      </w:r>
      <w:r w:rsidR="00371B44" w:rsidRPr="008B68A9">
        <w:t xml:space="preserve"> according to</w:t>
      </w:r>
      <w:r w:rsidRPr="008B68A9">
        <w:t xml:space="preserve"> </w:t>
      </w:r>
      <w:r w:rsidR="00371B44" w:rsidRPr="008B68A9">
        <w:t xml:space="preserve">Williams (2008) </w:t>
      </w:r>
      <w:r w:rsidRPr="008B68A9">
        <w:t xml:space="preserve">the </w:t>
      </w:r>
      <w:r w:rsidR="00371B44" w:rsidRPr="008B68A9">
        <w:t>person</w:t>
      </w:r>
      <w:r w:rsidRPr="008B68A9">
        <w:t xml:space="preserve"> to decide who should act as their broker.</w:t>
      </w:r>
    </w:p>
    <w:p w14:paraId="25BDC4C2" w14:textId="58E4CF9C" w:rsidR="00636218" w:rsidRPr="008B68A9" w:rsidRDefault="00636218" w:rsidP="00636218">
      <w:pPr>
        <w:pStyle w:val="5arangedleft"/>
      </w:pPr>
      <w:r w:rsidRPr="008B68A9">
        <w:t xml:space="preserve">Looking at personal health budgets for people with long term care needs in the US, Quach </w:t>
      </w:r>
      <w:r w:rsidRPr="008B68A9">
        <w:rPr>
          <w:i/>
        </w:rPr>
        <w:t>et al.</w:t>
      </w:r>
      <w:r w:rsidRPr="008B68A9">
        <w:t xml:space="preserve"> (2010) argued that case managers or other providers </w:t>
      </w:r>
      <w:r w:rsidR="00FC707D" w:rsidRPr="008B68A9">
        <w:t>undertaking</w:t>
      </w:r>
      <w:r w:rsidRPr="008B68A9">
        <w:t xml:space="preserve"> </w:t>
      </w:r>
      <w:r w:rsidR="00FC707D" w:rsidRPr="008B68A9">
        <w:t>a</w:t>
      </w:r>
      <w:r w:rsidRPr="008B68A9">
        <w:t xml:space="preserve"> </w:t>
      </w:r>
      <w:r w:rsidR="00BE52EE" w:rsidRPr="008B68A9">
        <w:t>broker</w:t>
      </w:r>
      <w:r w:rsidRPr="008B68A9">
        <w:t xml:space="preserve"> role need proper training if they are to respond skilfully to challenging situations self-direction bring</w:t>
      </w:r>
      <w:r w:rsidR="00BE52EE" w:rsidRPr="008B68A9">
        <w:t>s</w:t>
      </w:r>
      <w:r w:rsidRPr="008B68A9">
        <w:t xml:space="preserve">. Croft and Parish (2016) found that brokers were critical </w:t>
      </w:r>
      <w:r w:rsidR="00BE52EE" w:rsidRPr="008B68A9">
        <w:t>in</w:t>
      </w:r>
      <w:r w:rsidRPr="008B68A9">
        <w:t xml:space="preserve"> facilitating </w:t>
      </w:r>
      <w:r w:rsidR="00BE52EE" w:rsidRPr="008B68A9">
        <w:t xml:space="preserve">budgets </w:t>
      </w:r>
      <w:r w:rsidRPr="008B68A9">
        <w:t>processes which encouraged “greater self-sufficiency, independence, and self-esteem</w:t>
      </w:r>
      <w:r w:rsidR="00BE52EE" w:rsidRPr="008B68A9">
        <w:t>”</w:t>
      </w:r>
      <w:r w:rsidRPr="008B68A9">
        <w:t>.</w:t>
      </w:r>
      <w:r w:rsidRPr="008B68A9">
        <w:rPr>
          <w:rStyle w:val="apple-converted-space"/>
        </w:rPr>
        <w:t xml:space="preserve"> </w:t>
      </w:r>
      <w:r w:rsidRPr="008B68A9">
        <w:t xml:space="preserve">Irvine </w:t>
      </w:r>
      <w:r w:rsidRPr="008B68A9">
        <w:rPr>
          <w:i/>
        </w:rPr>
        <w:t>et al.</w:t>
      </w:r>
      <w:r w:rsidRPr="008B68A9">
        <w:t xml:space="preserve"> (2011, p. 13) highlighted </w:t>
      </w:r>
      <w:r w:rsidR="00BE52EE" w:rsidRPr="008B68A9">
        <w:t>a</w:t>
      </w:r>
      <w:r w:rsidRPr="008B68A9">
        <w:t xml:space="preserve"> potential advantage of professionals undertaking brokerage roles in personal health budgets: the opportunity for detailed discussions around perceived “needs, goals and preferences were </w:t>
      </w:r>
      <w:r w:rsidR="00BE52EE" w:rsidRPr="008B68A9">
        <w:t>useful”</w:t>
      </w:r>
      <w:r w:rsidRPr="008B68A9">
        <w:t xml:space="preserve"> and for some users presented an unaccustomed opportunity to frame their need and aspirations outside the usual narrative of tight clinical focus.</w:t>
      </w:r>
      <w:r w:rsidR="00BE52EE" w:rsidRPr="008B68A9">
        <w:t xml:space="preserve"> However this perspective may be borne more out of hope rather than from evidence reported in the literature.</w:t>
      </w:r>
      <w:r w:rsidRPr="008B68A9">
        <w:t xml:space="preserve"> In the words of Scourfield (2010 p. 873) "It would appear that, as far as both personalization and brokerage are concerned, fluidity, uncertainty and opacity are the watchwords."</w:t>
      </w:r>
    </w:p>
    <w:p w14:paraId="18ACEDB4" w14:textId="20FAA052" w:rsidR="00DD155C" w:rsidRPr="008B68A9" w:rsidRDefault="00371B44" w:rsidP="00DD155C">
      <w:pPr>
        <w:pStyle w:val="5arangedleft"/>
      </w:pPr>
      <w:r w:rsidRPr="008B68A9">
        <w:t xml:space="preserve">The </w:t>
      </w:r>
      <w:r w:rsidR="000106C0" w:rsidRPr="008B68A9">
        <w:t>question</w:t>
      </w:r>
      <w:r w:rsidR="00DD155C" w:rsidRPr="008B68A9">
        <w:t xml:space="preserve"> </w:t>
      </w:r>
      <w:r w:rsidRPr="008B68A9">
        <w:t xml:space="preserve">of </w:t>
      </w:r>
      <w:r w:rsidR="00DD155C" w:rsidRPr="008B68A9">
        <w:t>whether paid health and social care staff are best placed to undertake the roles of broker or intermediaries, given their primary and statutory functions of managing risk, safety and more</w:t>
      </w:r>
      <w:r w:rsidRPr="008B68A9">
        <w:t xml:space="preserve"> recently financial gatekeeping </w:t>
      </w:r>
      <w:r w:rsidR="00BE52EE" w:rsidRPr="008B68A9">
        <w:t>remains</w:t>
      </w:r>
      <w:r w:rsidRPr="008B68A9">
        <w:t xml:space="preserve"> important. Also</w:t>
      </w:r>
      <w:r w:rsidR="00DD155C" w:rsidRPr="008B68A9">
        <w:t xml:space="preserve">, as in the case of the US, independent brokerage has </w:t>
      </w:r>
      <w:r w:rsidRPr="008B68A9">
        <w:t xml:space="preserve">had </w:t>
      </w:r>
      <w:r w:rsidR="00DD155C" w:rsidRPr="008B68A9">
        <w:t xml:space="preserve">a positive effect </w:t>
      </w:r>
      <w:r w:rsidRPr="008B68A9">
        <w:t xml:space="preserve">on the success of personalisation and enhancing the choice and control for users of services, </w:t>
      </w:r>
      <w:r w:rsidR="00DD155C" w:rsidRPr="008B68A9">
        <w:t>(Sullivan 2006, Cook and Shore 2010, Croft and Parish 2016).</w:t>
      </w:r>
      <w:r w:rsidR="00BE52EE" w:rsidRPr="008B68A9">
        <w:t xml:space="preserve"> Therefore i</w:t>
      </w:r>
      <w:r w:rsidR="00DD155C" w:rsidRPr="008B68A9">
        <w:t xml:space="preserve">f personalisation in mental health is to be more than a tokenistic process that facilitates or impedes the goals of self-determination and recovery, processes need to be identified and addressed (Hamilton </w:t>
      </w:r>
      <w:r w:rsidR="00DD155C" w:rsidRPr="008B68A9">
        <w:rPr>
          <w:i/>
        </w:rPr>
        <w:t>et al.</w:t>
      </w:r>
      <w:r w:rsidR="00DD155C" w:rsidRPr="008B68A9">
        <w:t xml:space="preserve"> 2015c). Moreover, systems of governance and regulation </w:t>
      </w:r>
      <w:r w:rsidR="00D24923" w:rsidRPr="008B68A9">
        <w:t xml:space="preserve">that accompany personalisation </w:t>
      </w:r>
      <w:r w:rsidR="00DD155C" w:rsidRPr="008B68A9">
        <w:t>should avoid “additional dysfunctional burea</w:t>
      </w:r>
      <w:r w:rsidR="00D24923" w:rsidRPr="008B68A9">
        <w:t>ucracy” (Slasberg 2014, p. 183)</w:t>
      </w:r>
      <w:r w:rsidR="00DD155C" w:rsidRPr="008B68A9">
        <w:t xml:space="preserve">. Balancing the role of professional practitioners in a new world of individually tailored support will </w:t>
      </w:r>
      <w:r w:rsidR="00D24923" w:rsidRPr="008B68A9">
        <w:t>remain</w:t>
      </w:r>
      <w:r w:rsidR="00DD155C" w:rsidRPr="008B68A9">
        <w:t xml:space="preserve"> difficult. The multiplicity of roles and expectations practitioners must </w:t>
      </w:r>
      <w:r w:rsidR="00DD155C" w:rsidRPr="008B68A9">
        <w:lastRenderedPageBreak/>
        <w:t>contend with affect their sense of clinical or professional</w:t>
      </w:r>
      <w:r w:rsidR="00D24923" w:rsidRPr="008B68A9">
        <w:t xml:space="preserve"> identity in everyday practice and personalisation in one of many such challenges.</w:t>
      </w:r>
    </w:p>
    <w:p w14:paraId="1ED501A2" w14:textId="77777777" w:rsidR="00E53180" w:rsidRPr="008B68A9" w:rsidRDefault="00E53180" w:rsidP="00DD155C">
      <w:pPr>
        <w:pStyle w:val="5arangedleft"/>
      </w:pPr>
    </w:p>
    <w:p w14:paraId="6067423D" w14:textId="68CDAB7C" w:rsidR="00636218" w:rsidRPr="008B68A9" w:rsidRDefault="00DD155C" w:rsidP="002F0FD7">
      <w:pPr>
        <w:pStyle w:val="5arangedleft"/>
      </w:pPr>
      <w:r w:rsidRPr="008B68A9">
        <w:t xml:space="preserve">Whilst practitioners’ </w:t>
      </w:r>
      <w:r w:rsidR="004504FA" w:rsidRPr="008B68A9">
        <w:t>acceptance</w:t>
      </w:r>
      <w:r w:rsidRPr="008B68A9">
        <w:t xml:space="preserve"> of self-direction as a construct may be </w:t>
      </w:r>
      <w:r w:rsidR="004504FA" w:rsidRPr="008B68A9">
        <w:t>acknowledged</w:t>
      </w:r>
      <w:r w:rsidRPr="008B68A9">
        <w:t xml:space="preserve">, translating those principles into practice is made harder because of regulatory demands and resistive practices carried in the culture of their profession’s identity. Certainly personalisation challenges established notions of what being a nurse, social worker or occupational therapist means; but </w:t>
      </w:r>
      <w:r w:rsidR="000106C0" w:rsidRPr="008B68A9">
        <w:t>there are also challenges</w:t>
      </w:r>
      <w:r w:rsidRPr="008B68A9">
        <w:t xml:space="preserve"> for the user’s identity</w:t>
      </w:r>
      <w:r w:rsidR="004504FA" w:rsidRPr="008B68A9">
        <w:t xml:space="preserve"> too.</w:t>
      </w:r>
      <w:r w:rsidRPr="008B68A9">
        <w:t xml:space="preserve"> </w:t>
      </w:r>
      <w:r w:rsidR="004504FA" w:rsidRPr="008B68A9">
        <w:t>T</w:t>
      </w:r>
      <w:r w:rsidR="000106C0" w:rsidRPr="008B68A9">
        <w:t xml:space="preserve">heir </w:t>
      </w:r>
      <w:r w:rsidRPr="008B68A9">
        <w:t xml:space="preserve">construction </w:t>
      </w:r>
      <w:r w:rsidR="004504FA" w:rsidRPr="008B68A9">
        <w:t>of what being a</w:t>
      </w:r>
      <w:r w:rsidRPr="008B68A9">
        <w:t xml:space="preserve"> </w:t>
      </w:r>
      <w:r w:rsidR="004504FA" w:rsidRPr="008B68A9">
        <w:t>user</w:t>
      </w:r>
      <w:r w:rsidR="001B1BD3" w:rsidRPr="008B68A9">
        <w:t xml:space="preserve"> means</w:t>
      </w:r>
      <w:r w:rsidR="004504FA" w:rsidRPr="008B68A9">
        <w:t xml:space="preserve"> is</w:t>
      </w:r>
      <w:r w:rsidRPr="008B68A9">
        <w:t xml:space="preserve"> also questioned </w:t>
      </w:r>
      <w:r w:rsidR="00C62C14" w:rsidRPr="008B68A9">
        <w:t>as</w:t>
      </w:r>
      <w:r w:rsidRPr="008B68A9">
        <w:t xml:space="preserve"> </w:t>
      </w:r>
      <w:r w:rsidR="000106C0" w:rsidRPr="008B68A9">
        <w:t>personalisation</w:t>
      </w:r>
      <w:r w:rsidR="00E77859" w:rsidRPr="008B68A9">
        <w:t xml:space="preserve"> policy</w:t>
      </w:r>
      <w:r w:rsidR="00C62C14" w:rsidRPr="008B68A9">
        <w:t xml:space="preserve"> continues</w:t>
      </w:r>
      <w:r w:rsidRPr="008B68A9">
        <w:t>. The negotiated spaces</w:t>
      </w:r>
      <w:r w:rsidR="00E77859" w:rsidRPr="008B68A9">
        <w:t xml:space="preserve"> between stakeholders</w:t>
      </w:r>
      <w:r w:rsidRPr="008B68A9">
        <w:t xml:space="preserve"> alluded to by Hamilton </w:t>
      </w:r>
      <w:r w:rsidRPr="008B68A9">
        <w:rPr>
          <w:i/>
        </w:rPr>
        <w:t>et al.</w:t>
      </w:r>
      <w:r w:rsidRPr="008B68A9">
        <w:t xml:space="preserve"> (2015c) provide</w:t>
      </w:r>
      <w:r w:rsidR="00C62C14" w:rsidRPr="008B68A9">
        <w:t>s</w:t>
      </w:r>
      <w:r w:rsidRPr="008B68A9">
        <w:t xml:space="preserve"> a basis for a further exploration of these issues, examining the positioning and identity work undertaken by professionals and budget users. Without </w:t>
      </w:r>
      <w:r w:rsidR="001B1BD3" w:rsidRPr="008B68A9">
        <w:t xml:space="preserve">a </w:t>
      </w:r>
      <w:r w:rsidRPr="008B68A9">
        <w:t>consi</w:t>
      </w:r>
      <w:r w:rsidR="00C62C14" w:rsidRPr="008B68A9">
        <w:t>deration of who, or which, group</w:t>
      </w:r>
      <w:r w:rsidRPr="008B68A9">
        <w:t xml:space="preserve"> takes on </w:t>
      </w:r>
      <w:r w:rsidR="00C62C14" w:rsidRPr="008B68A9">
        <w:t>brokerage</w:t>
      </w:r>
      <w:r w:rsidRPr="008B68A9">
        <w:t>, professionals m</w:t>
      </w:r>
      <w:r w:rsidR="00C62C14" w:rsidRPr="008B68A9">
        <w:t xml:space="preserve">ay fill that space (Spandler 2007) and the opportunity to exploit the potential </w:t>
      </w:r>
      <w:r w:rsidR="001B1BD3" w:rsidRPr="008B68A9">
        <w:t xml:space="preserve">of </w:t>
      </w:r>
      <w:r w:rsidR="00C62C14" w:rsidRPr="008B68A9">
        <w:t xml:space="preserve">personalisation for </w:t>
      </w:r>
      <w:r w:rsidRPr="008B68A9">
        <w:t>people with mental health difficulties</w:t>
      </w:r>
      <w:r w:rsidR="00C62C14" w:rsidRPr="008B68A9">
        <w:t xml:space="preserve"> may be lost</w:t>
      </w:r>
      <w:r w:rsidRPr="008B68A9">
        <w:t xml:space="preserve"> </w:t>
      </w:r>
    </w:p>
    <w:p w14:paraId="5CFDA04B" w14:textId="1CEEF68A" w:rsidR="004A78E9" w:rsidRPr="008B68A9" w:rsidRDefault="004A78E9" w:rsidP="002F0FD7">
      <w:pPr>
        <w:pStyle w:val="5arangedleft"/>
      </w:pPr>
      <w:r w:rsidRPr="008B68A9">
        <w:t>Having explored some of the policy context and implications of personalisation in this chapter,</w:t>
      </w:r>
      <w:r w:rsidR="001B1BD3" w:rsidRPr="008B68A9">
        <w:t xml:space="preserve"> b</w:t>
      </w:r>
      <w:r w:rsidRPr="008B68A9">
        <w:t>rokerage has been highlighted as important as I take the view that the role should b</w:t>
      </w:r>
      <w:r w:rsidR="001B1BD3" w:rsidRPr="008B68A9">
        <w:t xml:space="preserve">e undertaken by third parties. </w:t>
      </w:r>
      <w:r w:rsidRPr="008B68A9">
        <w:t>Brokers feature later in this thesis and their skill in helping users and practitioners negotiate new spaces of collaboration are examined.</w:t>
      </w:r>
      <w:r w:rsidR="00620B80" w:rsidRPr="008B68A9">
        <w:t xml:space="preserve"> T</w:t>
      </w:r>
      <w:r w:rsidRPr="008B68A9">
        <w:t>he following chapter examines the literature informing the policy of personalisation in UK and abroad</w:t>
      </w:r>
      <w:r w:rsidR="00620B80" w:rsidRPr="008B68A9">
        <w:t xml:space="preserve">, highlighting where evidence for increased control and self-direction </w:t>
      </w:r>
      <w:r w:rsidR="001B1BD3" w:rsidRPr="008B68A9">
        <w:t xml:space="preserve">is found </w:t>
      </w:r>
      <w:r w:rsidR="00620B80" w:rsidRPr="008B68A9">
        <w:t>and what the implications of personalisation might be for people with mental health problems.</w:t>
      </w:r>
    </w:p>
    <w:p w14:paraId="1FE1A515" w14:textId="77777777" w:rsidR="00620B80" w:rsidRPr="008B68A9" w:rsidRDefault="00620B80" w:rsidP="002F0FD7">
      <w:pPr>
        <w:pStyle w:val="5arangedleft"/>
        <w:sectPr w:rsidR="00620B80" w:rsidRPr="008B68A9" w:rsidSect="00DA190C">
          <w:pgSz w:w="11906" w:h="16838"/>
          <w:pgMar w:top="1440" w:right="1558" w:bottom="1440" w:left="2268" w:header="709" w:footer="709" w:gutter="0"/>
          <w:cols w:space="708"/>
          <w:docGrid w:linePitch="360"/>
        </w:sectPr>
      </w:pPr>
    </w:p>
    <w:p w14:paraId="6463FE9B" w14:textId="3C63F46D" w:rsidR="00595B8D" w:rsidRPr="008B68A9" w:rsidRDefault="00595B8D" w:rsidP="00A60960">
      <w:pPr>
        <w:pStyle w:val="1L1header"/>
      </w:pPr>
      <w:bookmarkStart w:id="42" w:name="_Toc466800288"/>
      <w:r w:rsidRPr="008B68A9">
        <w:lastRenderedPageBreak/>
        <w:t xml:space="preserve">Chapter </w:t>
      </w:r>
      <w:bookmarkEnd w:id="38"/>
      <w:r w:rsidRPr="008B68A9">
        <w:t>3</w:t>
      </w:r>
      <w:r w:rsidR="00A60960" w:rsidRPr="008B68A9">
        <w:t xml:space="preserve">: </w:t>
      </w:r>
      <w:r w:rsidRPr="008B68A9">
        <w:t>Reviewing the literature of personalisation</w:t>
      </w:r>
      <w:bookmarkEnd w:id="42"/>
      <w:r w:rsidRPr="008B68A9">
        <w:t xml:space="preserve"> </w:t>
      </w:r>
    </w:p>
    <w:p w14:paraId="6B2B5FB1" w14:textId="65ED7393" w:rsidR="00595B8D" w:rsidRPr="008B68A9" w:rsidRDefault="00595B8D" w:rsidP="00DA13FA">
      <w:pPr>
        <w:pStyle w:val="2L2header"/>
      </w:pPr>
      <w:bookmarkStart w:id="43" w:name="_Toc413827374"/>
      <w:bookmarkStart w:id="44" w:name="_Toc466800289"/>
      <w:r w:rsidRPr="008B68A9">
        <w:t xml:space="preserve">3.1 </w:t>
      </w:r>
      <w:bookmarkEnd w:id="43"/>
      <w:r w:rsidRPr="008B68A9">
        <w:t>Introduction</w:t>
      </w:r>
      <w:bookmarkEnd w:id="44"/>
      <w:r w:rsidRPr="008B68A9">
        <w:t xml:space="preserve"> </w:t>
      </w:r>
    </w:p>
    <w:p w14:paraId="1EE1B0DC" w14:textId="48F1AB57" w:rsidR="000251B8" w:rsidRPr="008B68A9" w:rsidRDefault="00595B8D" w:rsidP="002F0FD7">
      <w:pPr>
        <w:pStyle w:val="5arangedleft"/>
      </w:pPr>
      <w:r w:rsidRPr="008B68A9">
        <w:t xml:space="preserve">This chapter </w:t>
      </w:r>
      <w:r w:rsidR="00E84EA5" w:rsidRPr="008B68A9">
        <w:t>examines</w:t>
      </w:r>
      <w:r w:rsidRPr="008B68A9">
        <w:t xml:space="preserve"> the research basis, efficacy and limitations of personalisation through </w:t>
      </w:r>
      <w:r w:rsidR="00D724CD" w:rsidRPr="008B68A9">
        <w:t xml:space="preserve">a critique of research </w:t>
      </w:r>
      <w:r w:rsidRPr="008B68A9">
        <w:t>literature</w:t>
      </w:r>
      <w:r w:rsidR="00636218" w:rsidRPr="008B68A9">
        <w:t xml:space="preserve"> </w:t>
      </w:r>
      <w:r w:rsidR="00E84EA5" w:rsidRPr="008B68A9">
        <w:t>highlighting</w:t>
      </w:r>
      <w:r w:rsidRPr="008B68A9">
        <w:t xml:space="preserve"> the impact </w:t>
      </w:r>
      <w:r w:rsidR="00636218" w:rsidRPr="008B68A9">
        <w:t>personalisation</w:t>
      </w:r>
      <w:r w:rsidRPr="008B68A9">
        <w:t xml:space="preserve"> has had </w:t>
      </w:r>
      <w:r w:rsidR="00D724CD" w:rsidRPr="008B68A9">
        <w:t>for individual budgets</w:t>
      </w:r>
      <w:r w:rsidR="00E84EA5" w:rsidRPr="008B68A9">
        <w:t xml:space="preserve"> users, professionals and on </w:t>
      </w:r>
      <w:r w:rsidR="00D724CD" w:rsidRPr="008B68A9">
        <w:t xml:space="preserve">health and </w:t>
      </w:r>
      <w:r w:rsidR="00422578" w:rsidRPr="008B68A9">
        <w:t>social care policy</w:t>
      </w:r>
      <w:r w:rsidRPr="008B68A9">
        <w:t>.</w:t>
      </w:r>
      <w:r w:rsidR="00415741" w:rsidRPr="008B68A9">
        <w:t xml:space="preserve"> </w:t>
      </w:r>
      <w:r w:rsidRPr="008B68A9">
        <w:t xml:space="preserve">The growth in literature over the past 15 years reflects </w:t>
      </w:r>
      <w:r w:rsidR="00D5712D" w:rsidRPr="008B68A9">
        <w:t xml:space="preserve">personalisation’s </w:t>
      </w:r>
      <w:r w:rsidRPr="008B68A9">
        <w:t xml:space="preserve">rise as an enacted policy in </w:t>
      </w:r>
      <w:r w:rsidR="00E15D92" w:rsidRPr="008B68A9">
        <w:t>many</w:t>
      </w:r>
      <w:r w:rsidRPr="008B68A9">
        <w:t xml:space="preserve"> count</w:t>
      </w:r>
      <w:r w:rsidR="00B37781" w:rsidRPr="008B68A9">
        <w:t>r</w:t>
      </w:r>
      <w:r w:rsidRPr="008B68A9">
        <w:t>ies</w:t>
      </w:r>
      <w:r w:rsidR="00E15D92" w:rsidRPr="008B68A9">
        <w:t xml:space="preserve"> </w:t>
      </w:r>
      <w:r w:rsidR="00D5712D" w:rsidRPr="008B68A9">
        <w:t>which as discussed in the preceding chapter has diverse and competing drivers</w:t>
      </w:r>
      <w:r w:rsidRPr="008B68A9">
        <w:t>.</w:t>
      </w:r>
      <w:r w:rsidR="00415741" w:rsidRPr="008B68A9">
        <w:t xml:space="preserve"> </w:t>
      </w:r>
      <w:r w:rsidR="00D5712D" w:rsidRPr="008B68A9">
        <w:t>In this chapter p</w:t>
      </w:r>
      <w:r w:rsidR="00D724CD" w:rsidRPr="008B68A9">
        <w:t>apers reporting studies and evaluations, including literature reviews, from the UK, European mainland nation states, Australia and the US are discussed</w:t>
      </w:r>
      <w:r w:rsidR="00D5712D" w:rsidRPr="008B68A9">
        <w:t>.</w:t>
      </w:r>
      <w:r w:rsidR="00D724CD" w:rsidRPr="008B68A9">
        <w:t xml:space="preserve"> </w:t>
      </w:r>
      <w:r w:rsidRPr="008B68A9">
        <w:t xml:space="preserve">The chapter </w:t>
      </w:r>
      <w:r w:rsidR="00D5712D" w:rsidRPr="008B68A9">
        <w:t xml:space="preserve">also </w:t>
      </w:r>
      <w:r w:rsidRPr="008B68A9">
        <w:t>consider</w:t>
      </w:r>
      <w:r w:rsidR="00636218" w:rsidRPr="008B68A9">
        <w:t>s</w:t>
      </w:r>
      <w:r w:rsidRPr="008B68A9">
        <w:t xml:space="preserve"> the interpretation of the </w:t>
      </w:r>
      <w:r w:rsidR="00D5712D" w:rsidRPr="008B68A9">
        <w:t xml:space="preserve">policy in those countries and what lessons might be learned from the studies for wider adoption of personalisation. </w:t>
      </w:r>
    </w:p>
    <w:p w14:paraId="7A02EBE7" w14:textId="0E00875E" w:rsidR="00595B8D" w:rsidRPr="008B68A9" w:rsidRDefault="00D5712D" w:rsidP="002F0FD7">
      <w:pPr>
        <w:pStyle w:val="5arangedleft"/>
      </w:pPr>
      <w:r w:rsidRPr="008B68A9">
        <w:t>Many</w:t>
      </w:r>
      <w:r w:rsidR="00595B8D" w:rsidRPr="008B68A9">
        <w:t xml:space="preserve"> of </w:t>
      </w:r>
      <w:r w:rsidRPr="008B68A9">
        <w:t>the</w:t>
      </w:r>
      <w:r w:rsidR="00595B8D" w:rsidRPr="008B68A9">
        <w:t xml:space="preserve"> </w:t>
      </w:r>
      <w:r w:rsidRPr="008B68A9">
        <w:t>studies</w:t>
      </w:r>
      <w:r w:rsidR="00595B8D" w:rsidRPr="008B68A9">
        <w:t xml:space="preserve"> </w:t>
      </w:r>
      <w:r w:rsidR="0078344C" w:rsidRPr="008B68A9">
        <w:t xml:space="preserve">reviewed </w:t>
      </w:r>
      <w:r w:rsidRPr="008B68A9">
        <w:t>focus</w:t>
      </w:r>
      <w:r w:rsidR="00595B8D" w:rsidRPr="008B68A9">
        <w:t xml:space="preserve"> on the experiences of people with physical impairments, on-going health problems or people with learning disabilities. </w:t>
      </w:r>
      <w:r w:rsidR="000251B8" w:rsidRPr="008B68A9">
        <w:t xml:space="preserve">I have included that work in this review as whilst there are differences between mental health and other groups accessing personalisation in whatever form, there are principles and learning that can inform </w:t>
      </w:r>
      <w:r w:rsidR="00993337" w:rsidRPr="008B68A9">
        <w:t xml:space="preserve">personalisation </w:t>
      </w:r>
      <w:r w:rsidR="000251B8" w:rsidRPr="008B68A9">
        <w:t>for mental health</w:t>
      </w:r>
      <w:r w:rsidR="00993337" w:rsidRPr="008B68A9">
        <w:t xml:space="preserve"> services</w:t>
      </w:r>
      <w:r w:rsidR="000251B8" w:rsidRPr="008B68A9">
        <w:t xml:space="preserve">. </w:t>
      </w:r>
      <w:r w:rsidR="00DC10E1" w:rsidRPr="008B68A9">
        <w:t xml:space="preserve">A longer </w:t>
      </w:r>
      <w:r w:rsidR="00993337" w:rsidRPr="008B68A9">
        <w:t xml:space="preserve">discussion of </w:t>
      </w:r>
      <w:r w:rsidR="000251B8" w:rsidRPr="008B68A9">
        <w:t xml:space="preserve">literature from the US </w:t>
      </w:r>
      <w:r w:rsidR="00993337" w:rsidRPr="008B68A9">
        <w:t xml:space="preserve">is </w:t>
      </w:r>
      <w:r w:rsidR="00E80059" w:rsidRPr="008B68A9">
        <w:t xml:space="preserve">presented </w:t>
      </w:r>
      <w:r w:rsidR="00993337" w:rsidRPr="008B68A9">
        <w:t xml:space="preserve">as </w:t>
      </w:r>
      <w:r w:rsidR="00E80059" w:rsidRPr="008B68A9">
        <w:t xml:space="preserve">self-directed care </w:t>
      </w:r>
      <w:r w:rsidR="00993337" w:rsidRPr="008B68A9">
        <w:t>has i</w:t>
      </w:r>
      <w:r w:rsidR="00057CE3" w:rsidRPr="008B68A9">
        <w:t>t</w:t>
      </w:r>
      <w:r w:rsidR="00993337" w:rsidRPr="008B68A9">
        <w:t>s</w:t>
      </w:r>
      <w:r w:rsidR="00057CE3" w:rsidRPr="008B68A9">
        <w:t xml:space="preserve"> origins</w:t>
      </w:r>
      <w:r w:rsidR="000251B8" w:rsidRPr="008B68A9">
        <w:t xml:space="preserve"> </w:t>
      </w:r>
      <w:r w:rsidR="00E80059" w:rsidRPr="008B68A9">
        <w:t xml:space="preserve">there </w:t>
      </w:r>
      <w:r w:rsidR="000251B8" w:rsidRPr="008B68A9">
        <w:t xml:space="preserve">and </w:t>
      </w:r>
      <w:r w:rsidR="00E80059" w:rsidRPr="008B68A9">
        <w:t xml:space="preserve">certain US states have </w:t>
      </w:r>
      <w:r w:rsidR="000251B8" w:rsidRPr="008B68A9">
        <w:t xml:space="preserve">history </w:t>
      </w:r>
      <w:r w:rsidR="00E80059" w:rsidRPr="008B68A9">
        <w:t>of implementing</w:t>
      </w:r>
      <w:r w:rsidR="000251B8" w:rsidRPr="008B68A9">
        <w:t xml:space="preserve"> </w:t>
      </w:r>
      <w:r w:rsidR="00E80059" w:rsidRPr="008B68A9">
        <w:t xml:space="preserve">personalisation </w:t>
      </w:r>
      <w:r w:rsidR="000251B8" w:rsidRPr="008B68A9">
        <w:t xml:space="preserve">in mental health settings. </w:t>
      </w:r>
      <w:r w:rsidR="00595B8D" w:rsidRPr="008B68A9">
        <w:t xml:space="preserve">This chapter </w:t>
      </w:r>
      <w:r w:rsidR="00492831" w:rsidRPr="008B68A9">
        <w:t>concludes by analysing</w:t>
      </w:r>
      <w:r w:rsidR="00636218" w:rsidRPr="008B68A9">
        <w:t xml:space="preserve"> the </w:t>
      </w:r>
      <w:r w:rsidR="00492831" w:rsidRPr="008B68A9">
        <w:t xml:space="preserve">UK mental health personalisation </w:t>
      </w:r>
      <w:r w:rsidR="00636218" w:rsidRPr="008B68A9">
        <w:t>literature</w:t>
      </w:r>
      <w:r w:rsidR="00FC74D6" w:rsidRPr="008B68A9">
        <w:t xml:space="preserve"> and implications for policy</w:t>
      </w:r>
      <w:r w:rsidR="00492831" w:rsidRPr="008B68A9">
        <w:t>.</w:t>
      </w:r>
    </w:p>
    <w:p w14:paraId="5D20FE9E" w14:textId="35893250" w:rsidR="00595B8D" w:rsidRPr="008B68A9" w:rsidRDefault="00595B8D" w:rsidP="00DA13FA">
      <w:pPr>
        <w:pStyle w:val="2L2header"/>
      </w:pPr>
      <w:bookmarkStart w:id="45" w:name="_Toc413827375"/>
      <w:bookmarkStart w:id="46" w:name="_Toc466800290"/>
      <w:r w:rsidRPr="008B68A9">
        <w:t xml:space="preserve">3.2 </w:t>
      </w:r>
      <w:bookmarkEnd w:id="45"/>
      <w:r w:rsidRPr="008B68A9">
        <w:t>Why personalisation</w:t>
      </w:r>
      <w:r w:rsidR="00F5725F" w:rsidRPr="008B68A9">
        <w:t>? W</w:t>
      </w:r>
      <w:r w:rsidRPr="008B68A9">
        <w:t>hy now</w:t>
      </w:r>
      <w:r w:rsidR="00F5725F" w:rsidRPr="008B68A9">
        <w:t>?</w:t>
      </w:r>
      <w:bookmarkEnd w:id="46"/>
    </w:p>
    <w:p w14:paraId="55D4DD6C" w14:textId="6B1D45D0" w:rsidR="00595B8D" w:rsidRPr="008B68A9" w:rsidRDefault="00595B8D" w:rsidP="002F0FD7">
      <w:pPr>
        <w:pStyle w:val="5arangedleft"/>
      </w:pPr>
      <w:r w:rsidRPr="008B68A9">
        <w:t xml:space="preserve">Personalisation has been a major part of policy direction in English social care settings since </w:t>
      </w:r>
      <w:r w:rsidRPr="008B68A9">
        <w:rPr>
          <w:i/>
        </w:rPr>
        <w:t>Putting People First</w:t>
      </w:r>
      <w:r w:rsidRPr="008B68A9">
        <w:t xml:space="preserve"> (HM Government 2007), and more so since the Care Act (</w:t>
      </w:r>
      <w:r w:rsidR="00F5725F" w:rsidRPr="008B68A9">
        <w:t>DH</w:t>
      </w:r>
      <w:r w:rsidRPr="008B68A9">
        <w:t xml:space="preserve"> 2014).</w:t>
      </w:r>
      <w:r w:rsidR="00415741" w:rsidRPr="008B68A9">
        <w:t xml:space="preserve"> </w:t>
      </w:r>
      <w:r w:rsidRPr="008B68A9">
        <w:t>Arguably</w:t>
      </w:r>
      <w:r w:rsidR="00F5725F" w:rsidRPr="008B68A9">
        <w:t>,</w:t>
      </w:r>
      <w:r w:rsidRPr="008B68A9">
        <w:t xml:space="preserve"> the policy turn towards personalisation reflects a longer history of a movement for self-determination and the rights of people with disabilities.</w:t>
      </w:r>
      <w:r w:rsidR="00415741" w:rsidRPr="008B68A9">
        <w:t xml:space="preserve"> </w:t>
      </w:r>
      <w:r w:rsidRPr="008B68A9">
        <w:t xml:space="preserve">It </w:t>
      </w:r>
      <w:r w:rsidR="00F5725F" w:rsidRPr="008B68A9">
        <w:t>has,</w:t>
      </w:r>
      <w:r w:rsidRPr="008B68A9">
        <w:t xml:space="preserve"> as Power (2014</w:t>
      </w:r>
      <w:r w:rsidR="00F5725F" w:rsidRPr="008B68A9">
        <w:t>,</w:t>
      </w:r>
      <w:r w:rsidRPr="008B68A9">
        <w:t xml:space="preserve"> p.</w:t>
      </w:r>
      <w:r w:rsidR="00F5725F" w:rsidRPr="008B68A9">
        <w:t xml:space="preserve"> </w:t>
      </w:r>
      <w:r w:rsidRPr="008B68A9">
        <w:t>829) stated</w:t>
      </w:r>
      <w:r w:rsidR="00F5725F" w:rsidRPr="008B68A9">
        <w:t>,</w:t>
      </w:r>
      <w:r w:rsidRPr="008B68A9">
        <w:t xml:space="preserve"> “…now become centre-stage in adult social care and continues to have an enduring level of political commitment </w:t>
      </w:r>
      <w:r w:rsidRPr="008B68A9">
        <w:lastRenderedPageBreak/>
        <w:t>and on-going appeal for many disabled people”.</w:t>
      </w:r>
      <w:r w:rsidR="00415741" w:rsidRPr="008B68A9">
        <w:t xml:space="preserve"> </w:t>
      </w:r>
      <w:r w:rsidR="000C2903" w:rsidRPr="008B68A9">
        <w:t xml:space="preserve">Proponents of personalisation, (Alakeson 2012, Clewitt </w:t>
      </w:r>
      <w:r w:rsidR="000C2903" w:rsidRPr="008B68A9">
        <w:rPr>
          <w:i/>
        </w:rPr>
        <w:t>et al.</w:t>
      </w:r>
      <w:r w:rsidR="000C2903" w:rsidRPr="008B68A9">
        <w:t xml:space="preserve"> 2015) </w:t>
      </w:r>
      <w:r w:rsidRPr="008B68A9">
        <w:t>point to the opportunities afforded to disabled individuals when provided with the levers of choice and self-direction</w:t>
      </w:r>
      <w:r w:rsidR="00F5725F" w:rsidRPr="008B68A9">
        <w:t>,</w:t>
      </w:r>
      <w:r w:rsidRPr="008B68A9">
        <w:t xml:space="preserve"> so they may reclaim their citizenship and have access to the same rights as others</w:t>
      </w:r>
      <w:r w:rsidR="00F5725F" w:rsidRPr="008B68A9">
        <w:t>;</w:t>
      </w:r>
      <w:r w:rsidR="00415741" w:rsidRPr="008B68A9">
        <w:t xml:space="preserve"> </w:t>
      </w:r>
      <w:r w:rsidR="00F5725F" w:rsidRPr="008B68A9">
        <w:t>w</w:t>
      </w:r>
      <w:r w:rsidRPr="008B68A9">
        <w:t xml:space="preserve">hereas the few voices who expressed caution </w:t>
      </w:r>
      <w:r w:rsidR="00F5725F" w:rsidRPr="008B68A9">
        <w:t xml:space="preserve">about </w:t>
      </w:r>
      <w:r w:rsidRPr="008B68A9">
        <w:t xml:space="preserve">the policy turn were </w:t>
      </w:r>
      <w:r w:rsidR="00772A5B" w:rsidRPr="008B68A9">
        <w:t>regarded</w:t>
      </w:r>
      <w:r w:rsidRPr="008B68A9">
        <w:t xml:space="preserve"> as </w:t>
      </w:r>
      <w:r w:rsidR="00F5725F" w:rsidRPr="008B68A9">
        <w:t>having</w:t>
      </w:r>
      <w:r w:rsidRPr="008B68A9">
        <w:t xml:space="preserve"> professional protectionist int</w:t>
      </w:r>
      <w:r w:rsidR="002C0B40" w:rsidRPr="008B68A9">
        <w:t xml:space="preserve">erests at heart (Glasby </w:t>
      </w:r>
      <w:r w:rsidR="009D4656" w:rsidRPr="008B68A9">
        <w:t>2014</w:t>
      </w:r>
      <w:r w:rsidR="002C0B40" w:rsidRPr="008B68A9">
        <w:t xml:space="preserve">). </w:t>
      </w:r>
      <w:r w:rsidRPr="008B68A9">
        <w:t xml:space="preserve">The evidence is explored below, but it is worth noting that throughout this chapter the theme of relationships between </w:t>
      </w:r>
      <w:r w:rsidR="00C075F7" w:rsidRPr="008B68A9">
        <w:t xml:space="preserve">self-directed care </w:t>
      </w:r>
      <w:r w:rsidRPr="008B68A9">
        <w:t xml:space="preserve">users’ experience and those of professionals and policy makers differ, even though they openly express support about </w:t>
      </w:r>
      <w:r w:rsidR="00550A34" w:rsidRPr="008B68A9">
        <w:t>personalisation</w:t>
      </w:r>
      <w:r w:rsidRPr="008B68A9">
        <w:t>.</w:t>
      </w:r>
    </w:p>
    <w:p w14:paraId="623F52E5" w14:textId="66A70D5C" w:rsidR="00595B8D" w:rsidRPr="008B68A9" w:rsidRDefault="00595B8D" w:rsidP="00DA13FA">
      <w:pPr>
        <w:pStyle w:val="2L2header"/>
      </w:pPr>
      <w:bookmarkStart w:id="47" w:name="_Toc413827376"/>
      <w:bookmarkStart w:id="48" w:name="_Toc466800291"/>
      <w:r w:rsidRPr="008B68A9">
        <w:t xml:space="preserve">3.3 </w:t>
      </w:r>
      <w:bookmarkEnd w:id="47"/>
      <w:r w:rsidRPr="008B68A9">
        <w:t>Interpreting personalisation</w:t>
      </w:r>
      <w:bookmarkEnd w:id="48"/>
    </w:p>
    <w:p w14:paraId="325C1327" w14:textId="156E44B9" w:rsidR="002C0B40" w:rsidRPr="008B68A9" w:rsidRDefault="00595B8D" w:rsidP="002F0FD7">
      <w:pPr>
        <w:pStyle w:val="5arangedleft"/>
      </w:pPr>
      <w:r w:rsidRPr="008B68A9">
        <w:t>The status personalisation has achieved in the past decade is striking</w:t>
      </w:r>
      <w:r w:rsidR="00D04E14" w:rsidRPr="008B68A9">
        <w:t>,</w:t>
      </w:r>
      <w:r w:rsidRPr="008B68A9">
        <w:t xml:space="preserve"> </w:t>
      </w:r>
      <w:r w:rsidR="00FE09C7" w:rsidRPr="008B68A9">
        <w:t>considering the</w:t>
      </w:r>
      <w:r w:rsidR="00D04E14" w:rsidRPr="008B68A9">
        <w:t xml:space="preserve"> </w:t>
      </w:r>
      <w:r w:rsidRPr="008B68A9">
        <w:t>widely acknowledged dearth of large</w:t>
      </w:r>
      <w:r w:rsidR="00D04E14" w:rsidRPr="008B68A9">
        <w:t>-</w:t>
      </w:r>
      <w:r w:rsidRPr="008B68A9">
        <w:t>scale studies to demonstrate the many claims made on its behalf (Alakeson 2013</w:t>
      </w:r>
      <w:r w:rsidR="009D4656" w:rsidRPr="008B68A9">
        <w:t>b</w:t>
      </w:r>
      <w:r w:rsidRPr="008B68A9">
        <w:t>).</w:t>
      </w:r>
      <w:r w:rsidR="00415741" w:rsidRPr="008B68A9">
        <w:t xml:space="preserve"> </w:t>
      </w:r>
      <w:r w:rsidR="00426495" w:rsidRPr="008B68A9">
        <w:t>Daly and Woolham (2010</w:t>
      </w:r>
      <w:r w:rsidR="00D04E14" w:rsidRPr="008B68A9">
        <w:t>,</w:t>
      </w:r>
      <w:r w:rsidRPr="008B68A9">
        <w:t xml:space="preserve"> p</w:t>
      </w:r>
      <w:r w:rsidR="00D04E14" w:rsidRPr="008B68A9">
        <w:t>.</w:t>
      </w:r>
      <w:r w:rsidRPr="008B68A9">
        <w:t xml:space="preserve"> 2) point to “the very ‘newness’ of personal/individual budgets means that empirical evidence remains scarce, and some of what does exist is more enthusiastic than analytic.”</w:t>
      </w:r>
      <w:r w:rsidR="00415741" w:rsidRPr="008B68A9">
        <w:t xml:space="preserve"> </w:t>
      </w:r>
      <w:r w:rsidRPr="008B68A9">
        <w:t>The enthusiasm for self-direction has for some created an almost rarefied status for personalisation</w:t>
      </w:r>
      <w:r w:rsidR="00D04E14" w:rsidRPr="008B68A9">
        <w:t>,</w:t>
      </w:r>
      <w:r w:rsidRPr="008B68A9">
        <w:t xml:space="preserve"> where</w:t>
      </w:r>
      <w:r w:rsidR="00D04E14" w:rsidRPr="008B68A9">
        <w:t xml:space="preserve"> </w:t>
      </w:r>
      <w:r w:rsidR="00550A34" w:rsidRPr="008B68A9">
        <w:t>to</w:t>
      </w:r>
      <w:r w:rsidRPr="008B68A9">
        <w:t xml:space="preserve"> </w:t>
      </w:r>
      <w:r w:rsidR="00550A34" w:rsidRPr="008B68A9">
        <w:t>dissent</w:t>
      </w:r>
      <w:r w:rsidRPr="008B68A9">
        <w:t xml:space="preserve"> is akin to heresy (Glasby </w:t>
      </w:r>
      <w:r w:rsidR="009D4656" w:rsidRPr="008B68A9">
        <w:t>2014</w:t>
      </w:r>
      <w:r w:rsidRPr="008B68A9">
        <w:t>)</w:t>
      </w:r>
      <w:r w:rsidR="002E21F6" w:rsidRPr="008B68A9">
        <w:t>,</w:t>
      </w:r>
      <w:r w:rsidR="00550A34" w:rsidRPr="008B68A9">
        <w:t xml:space="preserve"> and that</w:t>
      </w:r>
      <w:r w:rsidRPr="008B68A9">
        <w:t xml:space="preserve"> </w:t>
      </w:r>
      <w:r w:rsidR="00550A34" w:rsidRPr="008B68A9">
        <w:t xml:space="preserve">personalisation’s </w:t>
      </w:r>
      <w:r w:rsidRPr="008B68A9">
        <w:t xml:space="preserve">tenets have come to represent </w:t>
      </w:r>
      <w:r w:rsidR="00550A34" w:rsidRPr="008B68A9">
        <w:t>what</w:t>
      </w:r>
      <w:r w:rsidR="00D04E14" w:rsidRPr="008B68A9">
        <w:t xml:space="preserve"> </w:t>
      </w:r>
      <w:r w:rsidRPr="008B68A9">
        <w:t xml:space="preserve">Burr (2015) </w:t>
      </w:r>
      <w:r w:rsidR="00FD2AC9" w:rsidRPr="008B68A9">
        <w:t>would</w:t>
      </w:r>
      <w:r w:rsidRPr="008B68A9">
        <w:t xml:space="preserve"> say </w:t>
      </w:r>
      <w:r w:rsidR="00FD2AC9" w:rsidRPr="008B68A9">
        <w:t>is now</w:t>
      </w:r>
      <w:r w:rsidRPr="008B68A9">
        <w:t xml:space="preserve"> taken</w:t>
      </w:r>
      <w:r w:rsidR="00D04E14" w:rsidRPr="008B68A9">
        <w:t>-</w:t>
      </w:r>
      <w:r w:rsidRPr="008B68A9">
        <w:t>for</w:t>
      </w:r>
      <w:r w:rsidR="00D04E14" w:rsidRPr="008B68A9">
        <w:t>-</w:t>
      </w:r>
      <w:r w:rsidRPr="008B68A9">
        <w:t>granted knowledge.</w:t>
      </w:r>
      <w:r w:rsidR="00415741" w:rsidRPr="008B68A9">
        <w:t xml:space="preserve"> </w:t>
      </w:r>
      <w:r w:rsidRPr="008B68A9">
        <w:t>However</w:t>
      </w:r>
      <w:r w:rsidR="00D04E14" w:rsidRPr="008B68A9">
        <w:t>,</w:t>
      </w:r>
      <w:r w:rsidRPr="008B68A9">
        <w:t xml:space="preserve"> much of the literature examining personalisation has focused on </w:t>
      </w:r>
      <w:r w:rsidR="00550A34" w:rsidRPr="008B68A9">
        <w:t>attempting to demonstrate</w:t>
      </w:r>
      <w:r w:rsidRPr="008B68A9">
        <w:t xml:space="preserve"> its cost</w:t>
      </w:r>
      <w:r w:rsidR="00D04E14" w:rsidRPr="008B68A9">
        <w:t>-</w:t>
      </w:r>
      <w:r w:rsidRPr="008B68A9">
        <w:t>effectiveness and improved outcomes as a policy, rather than focusing on the nature of relationships</w:t>
      </w:r>
      <w:r w:rsidR="00550A34" w:rsidRPr="008B68A9">
        <w:t xml:space="preserve"> between stakeholders</w:t>
      </w:r>
      <w:r w:rsidRPr="008B68A9">
        <w:t xml:space="preserve">. </w:t>
      </w:r>
    </w:p>
    <w:p w14:paraId="11579198" w14:textId="6C4F52E7" w:rsidR="00595B8D" w:rsidRPr="008B68A9" w:rsidRDefault="00595B8D" w:rsidP="002F0FD7">
      <w:pPr>
        <w:pStyle w:val="5arangedleft"/>
      </w:pPr>
      <w:r w:rsidRPr="008B68A9">
        <w:t xml:space="preserve">The evidence represents the effect of policy enactment over an analysis of complex </w:t>
      </w:r>
      <w:r w:rsidR="00FD2AC9" w:rsidRPr="008B68A9">
        <w:t xml:space="preserve">and </w:t>
      </w:r>
      <w:r w:rsidRPr="008B68A9">
        <w:t>competing interest</w:t>
      </w:r>
      <w:r w:rsidR="006A4B40" w:rsidRPr="008B68A9">
        <w:t>s</w:t>
      </w:r>
      <w:r w:rsidRPr="008B68A9">
        <w:t xml:space="preserve"> </w:t>
      </w:r>
      <w:r w:rsidR="00FD2AC9" w:rsidRPr="008B68A9">
        <w:t xml:space="preserve">arising </w:t>
      </w:r>
      <w:r w:rsidRPr="008B68A9">
        <w:t>from personalisation (Carr 2011</w:t>
      </w:r>
      <w:r w:rsidR="00095039" w:rsidRPr="008B68A9">
        <w:t>c</w:t>
      </w:r>
      <w:r w:rsidRPr="008B68A9">
        <w:t>).</w:t>
      </w:r>
      <w:r w:rsidR="00415741" w:rsidRPr="008B68A9">
        <w:t xml:space="preserve"> </w:t>
      </w:r>
      <w:r w:rsidRPr="008B68A9">
        <w:t xml:space="preserve">Empirical </w:t>
      </w:r>
      <w:r w:rsidR="00FD2AC9" w:rsidRPr="008B68A9">
        <w:t xml:space="preserve">personalisation </w:t>
      </w:r>
      <w:r w:rsidRPr="008B68A9">
        <w:t xml:space="preserve">studies are </w:t>
      </w:r>
      <w:r w:rsidR="00FD2AC9" w:rsidRPr="008B68A9">
        <w:t xml:space="preserve">often criticised </w:t>
      </w:r>
      <w:r w:rsidRPr="008B68A9">
        <w:t>for failing to meet gold standard</w:t>
      </w:r>
      <w:r w:rsidR="00FD2AC9" w:rsidRPr="008B68A9">
        <w:t>s</w:t>
      </w:r>
      <w:r w:rsidRPr="008B68A9">
        <w:t xml:space="preserve"> of evidential threshold</w:t>
      </w:r>
      <w:r w:rsidR="00FF3943" w:rsidRPr="008B68A9">
        <w:t>s</w:t>
      </w:r>
      <w:r w:rsidRPr="008B68A9">
        <w:t xml:space="preserve"> (Ottmann </w:t>
      </w:r>
      <w:r w:rsidR="00AC06A3" w:rsidRPr="008B68A9">
        <w:rPr>
          <w:i/>
        </w:rPr>
        <w:t>et al.</w:t>
      </w:r>
      <w:r w:rsidRPr="008B68A9">
        <w:t xml:space="preserve"> 2013), which in itself suggests </w:t>
      </w:r>
      <w:r w:rsidR="000652AF" w:rsidRPr="008B68A9">
        <w:t xml:space="preserve">the </w:t>
      </w:r>
      <w:r w:rsidRPr="008B68A9">
        <w:t xml:space="preserve">intention </w:t>
      </w:r>
      <w:r w:rsidR="00FF3943" w:rsidRPr="008B68A9">
        <w:t>of</w:t>
      </w:r>
      <w:r w:rsidR="000652AF" w:rsidRPr="008B68A9">
        <w:t xml:space="preserve"> </w:t>
      </w:r>
      <w:r w:rsidRPr="008B68A9">
        <w:t xml:space="preserve">many </w:t>
      </w:r>
      <w:r w:rsidR="003D144A" w:rsidRPr="008B68A9">
        <w:t xml:space="preserve">such </w:t>
      </w:r>
      <w:r w:rsidRPr="008B68A9">
        <w:t xml:space="preserve">studies </w:t>
      </w:r>
      <w:r w:rsidR="003D144A" w:rsidRPr="008B68A9">
        <w:t xml:space="preserve">is </w:t>
      </w:r>
      <w:r w:rsidR="00FF3943" w:rsidRPr="008B68A9">
        <w:t>to</w:t>
      </w:r>
      <w:r w:rsidR="006A4B40" w:rsidRPr="008B68A9">
        <w:t xml:space="preserve"> </w:t>
      </w:r>
      <w:r w:rsidR="003D144A" w:rsidRPr="008B68A9">
        <w:t>produce</w:t>
      </w:r>
      <w:r w:rsidRPr="008B68A9">
        <w:t xml:space="preserve"> cost</w:t>
      </w:r>
      <w:r w:rsidR="006A4B40" w:rsidRPr="008B68A9">
        <w:t>-</w:t>
      </w:r>
      <w:r w:rsidRPr="008B68A9">
        <w:t>effective social or health interventions.</w:t>
      </w:r>
      <w:r w:rsidR="00415741" w:rsidRPr="008B68A9">
        <w:t xml:space="preserve"> </w:t>
      </w:r>
      <w:r w:rsidRPr="008B68A9">
        <w:t xml:space="preserve">Where studies </w:t>
      </w:r>
      <w:r w:rsidR="006A4B40" w:rsidRPr="008B68A9">
        <w:t xml:space="preserve">with </w:t>
      </w:r>
      <w:r w:rsidRPr="008B68A9">
        <w:t>large</w:t>
      </w:r>
      <w:r w:rsidR="00FF3943" w:rsidRPr="008B68A9">
        <w:t>,</w:t>
      </w:r>
      <w:r w:rsidRPr="008B68A9">
        <w:t xml:space="preserve"> </w:t>
      </w:r>
      <w:r w:rsidR="00FF3943" w:rsidRPr="008B68A9">
        <w:t xml:space="preserve">variable controlled </w:t>
      </w:r>
      <w:r w:rsidRPr="008B68A9">
        <w:t xml:space="preserve">data samples are </w:t>
      </w:r>
      <w:r w:rsidR="006A4B40" w:rsidRPr="008B68A9">
        <w:t>utilised</w:t>
      </w:r>
      <w:r w:rsidRPr="008B68A9">
        <w:t xml:space="preserve"> employing standardi</w:t>
      </w:r>
      <w:r w:rsidR="006A4B40" w:rsidRPr="008B68A9">
        <w:t>s</w:t>
      </w:r>
      <w:r w:rsidRPr="008B68A9">
        <w:t xml:space="preserve">ed </w:t>
      </w:r>
      <w:r w:rsidR="00FF3943" w:rsidRPr="008B68A9">
        <w:t>tools</w:t>
      </w:r>
      <w:r w:rsidRPr="008B68A9">
        <w:t xml:space="preserve">, personalisation in whatever form does not demonstrate significant improvement outcomes beyond perceptual satisfaction and wellbeing </w:t>
      </w:r>
      <w:r w:rsidRPr="008B68A9">
        <w:lastRenderedPageBreak/>
        <w:t xml:space="preserve">(Doty </w:t>
      </w:r>
      <w:r w:rsidR="00AC06A3" w:rsidRPr="008B68A9">
        <w:rPr>
          <w:i/>
        </w:rPr>
        <w:t>et al.</w:t>
      </w:r>
      <w:r w:rsidRPr="008B68A9">
        <w:t xml:space="preserve"> 2007, Crozier </w:t>
      </w:r>
      <w:r w:rsidR="00335E1E" w:rsidRPr="008B68A9">
        <w:rPr>
          <w:i/>
        </w:rPr>
        <w:t>et al</w:t>
      </w:r>
      <w:r w:rsidR="00B51D91" w:rsidRPr="008B68A9">
        <w:rPr>
          <w:i/>
        </w:rPr>
        <w:t>.</w:t>
      </w:r>
      <w:r w:rsidR="00335E1E" w:rsidRPr="008B68A9">
        <w:t xml:space="preserve"> </w:t>
      </w:r>
      <w:r w:rsidRPr="008B68A9">
        <w:t>201</w:t>
      </w:r>
      <w:r w:rsidR="00335E1E" w:rsidRPr="008B68A9">
        <w:t>2</w:t>
      </w:r>
      <w:r w:rsidRPr="008B68A9">
        <w:t xml:space="preserve">, Forder </w:t>
      </w:r>
      <w:r w:rsidR="00AC06A3" w:rsidRPr="008B68A9">
        <w:rPr>
          <w:i/>
        </w:rPr>
        <w:t>et al.</w:t>
      </w:r>
      <w:r w:rsidRPr="008B68A9">
        <w:t xml:space="preserve"> 2012, Alakeson 2013</w:t>
      </w:r>
      <w:r w:rsidR="00335E1E" w:rsidRPr="008B68A9">
        <w:t>b</w:t>
      </w:r>
      <w:r w:rsidRPr="008B68A9">
        <w:t>, Gadsby 2013).</w:t>
      </w:r>
    </w:p>
    <w:p w14:paraId="67792033" w14:textId="7CE98351" w:rsidR="00595B8D" w:rsidRPr="008B68A9" w:rsidRDefault="00FF3943" w:rsidP="002F0FD7">
      <w:pPr>
        <w:pStyle w:val="5arangedleft"/>
      </w:pPr>
      <w:r w:rsidRPr="008B68A9">
        <w:t>A</w:t>
      </w:r>
      <w:r w:rsidR="00595B8D" w:rsidRPr="008B68A9">
        <w:t xml:space="preserve"> disconnect between </w:t>
      </w:r>
      <w:r w:rsidR="000652AF" w:rsidRPr="008B68A9">
        <w:t>the</w:t>
      </w:r>
      <w:r w:rsidR="00595B8D" w:rsidRPr="008B68A9">
        <w:t xml:space="preserve"> need for evidence of intervention efficacy (in an empirical sense), and </w:t>
      </w:r>
      <w:r w:rsidR="00DC5E32" w:rsidRPr="008B68A9">
        <w:t xml:space="preserve">personalisation’s </w:t>
      </w:r>
      <w:r w:rsidR="00595B8D" w:rsidRPr="008B68A9">
        <w:t>wide</w:t>
      </w:r>
      <w:r w:rsidR="000652AF" w:rsidRPr="008B68A9">
        <w:t>-</w:t>
      </w:r>
      <w:r w:rsidR="00595B8D" w:rsidRPr="008B68A9">
        <w:t xml:space="preserve">scale </w:t>
      </w:r>
      <w:r w:rsidRPr="008B68A9">
        <w:t xml:space="preserve">policy </w:t>
      </w:r>
      <w:r w:rsidR="00595B8D" w:rsidRPr="008B68A9">
        <w:t>enactment</w:t>
      </w:r>
      <w:r w:rsidR="00DC5E32" w:rsidRPr="008B68A9">
        <w:t xml:space="preserve"> has led to a </w:t>
      </w:r>
      <w:r w:rsidR="00595B8D" w:rsidRPr="008B68A9">
        <w:t xml:space="preserve">research </w:t>
      </w:r>
      <w:r w:rsidR="00DC5E32" w:rsidRPr="008B68A9">
        <w:t xml:space="preserve">gap </w:t>
      </w:r>
      <w:r w:rsidR="00595B8D" w:rsidRPr="008B68A9">
        <w:t xml:space="preserve">attempting to </w:t>
      </w:r>
      <w:r w:rsidR="003D144A" w:rsidRPr="008B68A9">
        <w:t>match the</w:t>
      </w:r>
      <w:r w:rsidR="0013658B" w:rsidRPr="008B68A9">
        <w:t xml:space="preserve"> policy push</w:t>
      </w:r>
      <w:r w:rsidR="00595B8D" w:rsidRPr="008B68A9">
        <w:t>.</w:t>
      </w:r>
      <w:r w:rsidR="00415741" w:rsidRPr="008B68A9">
        <w:t xml:space="preserve"> </w:t>
      </w:r>
      <w:r w:rsidR="0013658B" w:rsidRPr="008B68A9">
        <w:t>According to Power (2014, p. 842) p</w:t>
      </w:r>
      <w:r w:rsidR="00595B8D" w:rsidRPr="008B68A9">
        <w:t xml:space="preserve">ersonalisation </w:t>
      </w:r>
      <w:r w:rsidR="003D144A" w:rsidRPr="008B68A9">
        <w:t xml:space="preserve">in the UK </w:t>
      </w:r>
      <w:r w:rsidR="00595B8D" w:rsidRPr="008B68A9">
        <w:t xml:space="preserve">has been subject </w:t>
      </w:r>
      <w:r w:rsidR="003D144A" w:rsidRPr="008B68A9">
        <w:t xml:space="preserve">from the outset </w:t>
      </w:r>
      <w:r w:rsidR="00595B8D" w:rsidRPr="008B68A9">
        <w:t xml:space="preserve">to a top-down policy </w:t>
      </w:r>
      <w:r w:rsidR="003D144A" w:rsidRPr="008B68A9">
        <w:t>directive</w:t>
      </w:r>
      <w:r w:rsidR="0013658B" w:rsidRPr="008B68A9">
        <w:t xml:space="preserve"> where the priority </w:t>
      </w:r>
      <w:r w:rsidR="00595B8D" w:rsidRPr="008B68A9">
        <w:t>was</w:t>
      </w:r>
      <w:r w:rsidR="000652AF" w:rsidRPr="008B68A9">
        <w:t>,</w:t>
      </w:r>
      <w:r w:rsidR="00595B8D" w:rsidRPr="008B68A9">
        <w:t xml:space="preserve"> in the words of one UK senior government administrator</w:t>
      </w:r>
      <w:r w:rsidR="000652AF" w:rsidRPr="008B68A9">
        <w:t>,</w:t>
      </w:r>
      <w:r w:rsidR="00595B8D" w:rsidRPr="008B68A9">
        <w:t xml:space="preserve"> “to get the policy over the line” knowing that policy was not fully </w:t>
      </w:r>
      <w:r w:rsidR="000652AF" w:rsidRPr="008B68A9">
        <w:t>(</w:t>
      </w:r>
      <w:r w:rsidR="00595B8D" w:rsidRPr="008B68A9">
        <w:t>in their words</w:t>
      </w:r>
      <w:r w:rsidR="000652AF" w:rsidRPr="008B68A9">
        <w:t>)</w:t>
      </w:r>
      <w:r w:rsidR="00595B8D" w:rsidRPr="008B68A9">
        <w:t xml:space="preserve"> “de-bugged”.</w:t>
      </w:r>
      <w:r w:rsidR="00415741" w:rsidRPr="008B68A9">
        <w:t xml:space="preserve"> </w:t>
      </w:r>
      <w:r w:rsidR="00595B8D" w:rsidRPr="008B68A9">
        <w:t xml:space="preserve">Practice </w:t>
      </w:r>
      <w:r w:rsidR="00C90A3A" w:rsidRPr="008B68A9">
        <w:t>was required</w:t>
      </w:r>
      <w:r w:rsidR="00A20D48" w:rsidRPr="008B68A9">
        <w:t xml:space="preserve"> </w:t>
      </w:r>
      <w:r w:rsidR="00595B8D" w:rsidRPr="008B68A9">
        <w:t xml:space="preserve">to respond, rather than policy responding </w:t>
      </w:r>
      <w:r w:rsidR="00B67B34" w:rsidRPr="008B68A9">
        <w:t xml:space="preserve">to </w:t>
      </w:r>
      <w:r w:rsidR="00595B8D" w:rsidRPr="008B68A9">
        <w:t>bottom</w:t>
      </w:r>
      <w:r w:rsidR="000652AF" w:rsidRPr="008B68A9">
        <w:t>-</w:t>
      </w:r>
      <w:r w:rsidR="00595B8D" w:rsidRPr="008B68A9">
        <w:t>up pressure from frontline practice.</w:t>
      </w:r>
      <w:r w:rsidR="00415741" w:rsidRPr="008B68A9">
        <w:t xml:space="preserve"> </w:t>
      </w:r>
      <w:r w:rsidR="00595B8D" w:rsidRPr="008B68A9">
        <w:t xml:space="preserve">By creating </w:t>
      </w:r>
      <w:r w:rsidR="00C90A3A" w:rsidRPr="008B68A9">
        <w:t>the</w:t>
      </w:r>
      <w:r w:rsidR="00595B8D" w:rsidRPr="008B68A9">
        <w:t xml:space="preserve"> legislative push, </w:t>
      </w:r>
      <w:r w:rsidR="000C2903" w:rsidRPr="008B68A9">
        <w:t>users</w:t>
      </w:r>
      <w:r w:rsidR="00595B8D" w:rsidRPr="008B68A9">
        <w:t xml:space="preserve"> benefited from </w:t>
      </w:r>
      <w:r w:rsidR="00C90A3A" w:rsidRPr="008B68A9">
        <w:t>an</w:t>
      </w:r>
      <w:r w:rsidR="000652AF" w:rsidRPr="008B68A9">
        <w:t xml:space="preserve"> </w:t>
      </w:r>
      <w:r w:rsidR="00595B8D" w:rsidRPr="008B68A9">
        <w:t>emphasis to</w:t>
      </w:r>
      <w:r w:rsidR="000C2903" w:rsidRPr="008B68A9">
        <w:t>wards</w:t>
      </w:r>
      <w:r w:rsidR="00595B8D" w:rsidRPr="008B68A9">
        <w:t xml:space="preserve"> inclusive citizenship </w:t>
      </w:r>
      <w:r w:rsidR="00C90A3A" w:rsidRPr="008B68A9">
        <w:t>through</w:t>
      </w:r>
      <w:r w:rsidR="00595B8D" w:rsidRPr="008B68A9">
        <w:t xml:space="preserve"> high level policy support, though </w:t>
      </w:r>
      <w:r w:rsidR="00C90A3A" w:rsidRPr="008B68A9">
        <w:t xml:space="preserve">for professionals, </w:t>
      </w:r>
      <w:r w:rsidR="00595B8D" w:rsidRPr="008B68A9">
        <w:t>adapt</w:t>
      </w:r>
      <w:r w:rsidR="000652AF" w:rsidRPr="008B68A9">
        <w:t>ing</w:t>
      </w:r>
      <w:r w:rsidR="00595B8D" w:rsidRPr="008B68A9">
        <w:t xml:space="preserve"> their personal and administrative working practices </w:t>
      </w:r>
      <w:r w:rsidR="00C90A3A" w:rsidRPr="008B68A9">
        <w:t xml:space="preserve">was and </w:t>
      </w:r>
      <w:r w:rsidR="00595B8D" w:rsidRPr="008B68A9">
        <w:t>continues to challenge many in the field.</w:t>
      </w:r>
    </w:p>
    <w:p w14:paraId="2CD53645" w14:textId="1ABF0322" w:rsidR="00595B8D" w:rsidRPr="008B68A9" w:rsidRDefault="00595B8D" w:rsidP="002F0FD7">
      <w:pPr>
        <w:pStyle w:val="5arangedleft"/>
      </w:pPr>
      <w:r w:rsidRPr="008B68A9">
        <w:t>Most personalisation studies have methodological weakness</w:t>
      </w:r>
      <w:r w:rsidR="00B67B34" w:rsidRPr="008B68A9">
        <w:t>es</w:t>
      </w:r>
      <w:r w:rsidRPr="008B68A9">
        <w:t xml:space="preserve"> in their design, (Glasby 2014, Webber </w:t>
      </w:r>
      <w:r w:rsidR="00AC06A3" w:rsidRPr="008B68A9">
        <w:rPr>
          <w:i/>
        </w:rPr>
        <w:t>et al.</w:t>
      </w:r>
      <w:r w:rsidR="000251B8" w:rsidRPr="008B68A9">
        <w:t xml:space="preserve"> 2014</w:t>
      </w:r>
      <w:r w:rsidRPr="008B68A9">
        <w:t>), limiting their utility as realist</w:t>
      </w:r>
      <w:r w:rsidR="00B67B34" w:rsidRPr="008B68A9">
        <w:t xml:space="preserve">ic </w:t>
      </w:r>
      <w:r w:rsidRPr="008B68A9">
        <w:t>evaluations of policy intervention</w:t>
      </w:r>
      <w:r w:rsidR="00620D5A" w:rsidRPr="008B68A9">
        <w:t>s</w:t>
      </w:r>
      <w:r w:rsidR="00B67B34" w:rsidRPr="008B68A9">
        <w:t xml:space="preserve">, </w:t>
      </w:r>
      <w:r w:rsidRPr="008B68A9">
        <w:t xml:space="preserve">but </w:t>
      </w:r>
      <w:r w:rsidR="00B84BE6" w:rsidRPr="008B68A9">
        <w:t xml:space="preserve">as stated </w:t>
      </w:r>
      <w:r w:rsidRPr="008B68A9">
        <w:t>they continue to exert a strong influence on policy and service delivery (Carr 2011</w:t>
      </w:r>
      <w:r w:rsidR="00095039" w:rsidRPr="008B68A9">
        <w:t>b</w:t>
      </w:r>
      <w:r w:rsidRPr="008B68A9">
        <w:t>).</w:t>
      </w:r>
      <w:r w:rsidR="00415741" w:rsidRPr="008B68A9">
        <w:t xml:space="preserve"> </w:t>
      </w:r>
      <w:r w:rsidRPr="008B68A9">
        <w:t xml:space="preserve">Social workers and more recently nurses are being challenged by the policy directives of personalisation and </w:t>
      </w:r>
      <w:r w:rsidR="00B84BE6" w:rsidRPr="008B68A9">
        <w:t xml:space="preserve">an </w:t>
      </w:r>
      <w:r w:rsidRPr="008B68A9">
        <w:t xml:space="preserve">increasing </w:t>
      </w:r>
      <w:r w:rsidR="00B84BE6" w:rsidRPr="008B68A9">
        <w:t xml:space="preserve">emphasis on </w:t>
      </w:r>
      <w:r w:rsidRPr="008B68A9">
        <w:t>user</w:t>
      </w:r>
      <w:r w:rsidR="00AB0F10" w:rsidRPr="008B68A9">
        <w:t>-</w:t>
      </w:r>
      <w:r w:rsidRPr="008B68A9">
        <w:t>led and self-directed support in health and social care</w:t>
      </w:r>
      <w:r w:rsidR="00951D72" w:rsidRPr="008B68A9">
        <w:t xml:space="preserve"> (Coyle </w:t>
      </w:r>
      <w:r w:rsidR="00AC06A3" w:rsidRPr="008B68A9">
        <w:rPr>
          <w:i/>
        </w:rPr>
        <w:t>et al.</w:t>
      </w:r>
      <w:r w:rsidR="00951D72" w:rsidRPr="008B68A9">
        <w:t xml:space="preserve"> 2005)</w:t>
      </w:r>
      <w:r w:rsidRPr="008B68A9">
        <w:t>.</w:t>
      </w:r>
      <w:r w:rsidR="00415741" w:rsidRPr="008B68A9">
        <w:t xml:space="preserve"> </w:t>
      </w:r>
      <w:r w:rsidRPr="008B68A9">
        <w:t xml:space="preserve">Professional identity issues </w:t>
      </w:r>
      <w:r w:rsidR="00B84BE6" w:rsidRPr="008B68A9">
        <w:t>of</w:t>
      </w:r>
      <w:r w:rsidRPr="008B68A9">
        <w:t xml:space="preserve"> role and expertise in the light of new demands have challenged professions since the </w:t>
      </w:r>
      <w:r w:rsidR="00B84BE6" w:rsidRPr="008B68A9">
        <w:t xml:space="preserve">early years of direct payment </w:t>
      </w:r>
      <w:r w:rsidRPr="008B68A9">
        <w:t>expansion (Clarke and Spafford 2002)</w:t>
      </w:r>
      <w:r w:rsidR="00B67B34" w:rsidRPr="008B68A9">
        <w:t>;</w:t>
      </w:r>
      <w:r w:rsidRPr="008B68A9">
        <w:t xml:space="preserve"> many of these identity issues remain unresolved and established ways of practice </w:t>
      </w:r>
      <w:r w:rsidR="00B84BE6" w:rsidRPr="008B68A9">
        <w:t xml:space="preserve">will </w:t>
      </w:r>
      <w:r w:rsidRPr="008B68A9">
        <w:t>continue until challenged by experience or evidence (Standing 2008).</w:t>
      </w:r>
      <w:r w:rsidR="00415741" w:rsidRPr="008B68A9">
        <w:t xml:space="preserve"> </w:t>
      </w:r>
      <w:r w:rsidRPr="008B68A9">
        <w:t xml:space="preserve">Practice calls for an evidential basis prior to adopting </w:t>
      </w:r>
      <w:r w:rsidR="00B67B34" w:rsidRPr="008B68A9">
        <w:t xml:space="preserve">a </w:t>
      </w:r>
      <w:r w:rsidRPr="008B68A9">
        <w:t xml:space="preserve">new </w:t>
      </w:r>
      <w:r w:rsidR="00B51D91" w:rsidRPr="008B68A9">
        <w:t>paradigm, though as Glasby</w:t>
      </w:r>
      <w:r w:rsidRPr="008B68A9">
        <w:t xml:space="preserve"> (</w:t>
      </w:r>
      <w:r w:rsidR="00AE69C4" w:rsidRPr="008B68A9">
        <w:t>2014</w:t>
      </w:r>
      <w:r w:rsidRPr="008B68A9">
        <w:t>) reminds us such a stance is often based on a misunderstanding of the principles proposed</w:t>
      </w:r>
      <w:r w:rsidR="00B67B34" w:rsidRPr="008B68A9">
        <w:t>,</w:t>
      </w:r>
      <w:r w:rsidRPr="008B68A9">
        <w:t xml:space="preserve"> as well as failure to apply the burden of evidential proof to the old and established practices.</w:t>
      </w:r>
    </w:p>
    <w:p w14:paraId="2C8370FF" w14:textId="77777777" w:rsidR="00E53180" w:rsidRPr="008B68A9" w:rsidRDefault="00E53180" w:rsidP="002F0FD7">
      <w:pPr>
        <w:pStyle w:val="5arangedleft"/>
      </w:pPr>
    </w:p>
    <w:p w14:paraId="0A8FC492" w14:textId="3024BC5E" w:rsidR="00595B8D" w:rsidRPr="008B68A9" w:rsidRDefault="00595B8D" w:rsidP="002F0FD7">
      <w:pPr>
        <w:pStyle w:val="5arangedleft"/>
      </w:pPr>
      <w:r w:rsidRPr="008B68A9">
        <w:lastRenderedPageBreak/>
        <w:t>Having raised a number of issues around the pre-eminence personalisation has achieved, and suggested that policy rather than research or wide</w:t>
      </w:r>
      <w:r w:rsidR="00620D5A" w:rsidRPr="008B68A9">
        <w:t>-</w:t>
      </w:r>
      <w:r w:rsidRPr="008B68A9">
        <w:t>scale practice has driven the rise of self-</w:t>
      </w:r>
      <w:r w:rsidR="00BE5561" w:rsidRPr="008B68A9">
        <w:t>determination;</w:t>
      </w:r>
      <w:r w:rsidRPr="008B68A9">
        <w:t xml:space="preserve"> this section present</w:t>
      </w:r>
      <w:r w:rsidR="000C2903" w:rsidRPr="008B68A9">
        <w:t>s</w:t>
      </w:r>
      <w:r w:rsidRPr="008B68A9">
        <w:t xml:space="preserve"> a range of evidence from a number of countries that have implemented personalisation in one form or another over the past 20 years.</w:t>
      </w:r>
      <w:r w:rsidR="00415741" w:rsidRPr="008B68A9">
        <w:t xml:space="preserve"> </w:t>
      </w:r>
      <w:r w:rsidRPr="008B68A9">
        <w:t>The review is not comprehensive, nor fully systematic</w:t>
      </w:r>
      <w:r w:rsidR="00620D5A" w:rsidRPr="008B68A9">
        <w:t>;</w:t>
      </w:r>
      <w:r w:rsidRPr="008B68A9">
        <w:t xml:space="preserve"> readers </w:t>
      </w:r>
      <w:r w:rsidR="00620D5A" w:rsidRPr="008B68A9">
        <w:t>are</w:t>
      </w:r>
      <w:r w:rsidRPr="008B68A9">
        <w:t xml:space="preserve"> guided to several strong pieces that resource and temporal limitations have imposed on this researcher, such as Ottmann </w:t>
      </w:r>
      <w:r w:rsidR="00AC06A3" w:rsidRPr="008B68A9">
        <w:rPr>
          <w:i/>
        </w:rPr>
        <w:t>et al.</w:t>
      </w:r>
      <w:r w:rsidR="002E21F6" w:rsidRPr="008B68A9">
        <w:t>,</w:t>
      </w:r>
      <w:r w:rsidRPr="008B68A9">
        <w:t xml:space="preserve"> (2013), Gadsby (2013)</w:t>
      </w:r>
      <w:r w:rsidR="002E21F6" w:rsidRPr="008B68A9">
        <w:t xml:space="preserve">, </w:t>
      </w:r>
      <w:r w:rsidRPr="008B68A9">
        <w:t xml:space="preserve">and Webber </w:t>
      </w:r>
      <w:r w:rsidR="00AC06A3" w:rsidRPr="008B68A9">
        <w:rPr>
          <w:i/>
        </w:rPr>
        <w:t>et al.</w:t>
      </w:r>
      <w:r w:rsidRPr="008B68A9">
        <w:t xml:space="preserve"> (2014).</w:t>
      </w:r>
      <w:r w:rsidR="00415741" w:rsidRPr="008B68A9">
        <w:t xml:space="preserve"> </w:t>
      </w:r>
      <w:r w:rsidR="000C2903" w:rsidRPr="008B68A9">
        <w:t>This review instead follows</w:t>
      </w:r>
      <w:r w:rsidRPr="008B68A9">
        <w:t xml:space="preserve"> a transparent approach to identifying and interrogating literature, </w:t>
      </w:r>
      <w:r w:rsidR="009D047B" w:rsidRPr="008B68A9">
        <w:t>it</w:t>
      </w:r>
      <w:r w:rsidRPr="008B68A9">
        <w:t xml:space="preserve"> also takes a narrative path in an attempt to examine some of the outcomes and complications attributed to personalisation policy and practice.</w:t>
      </w:r>
    </w:p>
    <w:p w14:paraId="4874BDCD" w14:textId="12469163" w:rsidR="00595B8D" w:rsidRPr="008B68A9" w:rsidRDefault="00595B8D" w:rsidP="002F0FD7">
      <w:pPr>
        <w:pStyle w:val="5arangedleft"/>
      </w:pPr>
      <w:r w:rsidRPr="008B68A9">
        <w:t xml:space="preserve">Peer reviewed literature </w:t>
      </w:r>
      <w:r w:rsidR="0061587F" w:rsidRPr="008B68A9">
        <w:t xml:space="preserve">was </w:t>
      </w:r>
      <w:r w:rsidRPr="008B68A9">
        <w:t>identified through a combination of retrospective and targeted searching</w:t>
      </w:r>
      <w:r w:rsidR="0061587F" w:rsidRPr="008B68A9">
        <w:t>,</w:t>
      </w:r>
      <w:r w:rsidRPr="008B68A9">
        <w:t xml:space="preserve"> following a similar approach </w:t>
      </w:r>
      <w:r w:rsidR="0061587F" w:rsidRPr="008B68A9">
        <w:t xml:space="preserve">to </w:t>
      </w:r>
      <w:r w:rsidRPr="008B68A9">
        <w:t xml:space="preserve">Gadsby (2013) </w:t>
      </w:r>
      <w:r w:rsidR="0061587F" w:rsidRPr="008B68A9">
        <w:t xml:space="preserve">and </w:t>
      </w:r>
      <w:r w:rsidRPr="008B68A9">
        <w:t>to a lesser extent The Health Foundation scan (2010).</w:t>
      </w:r>
      <w:r w:rsidR="00415741" w:rsidRPr="008B68A9">
        <w:t xml:space="preserve"> </w:t>
      </w:r>
      <w:r w:rsidRPr="008B68A9">
        <w:t>Potential papers on personalisation were identified through online databases</w:t>
      </w:r>
      <w:r w:rsidR="0061587F" w:rsidRPr="008B68A9">
        <w:t>:</w:t>
      </w:r>
      <w:r w:rsidRPr="008B68A9">
        <w:t xml:space="preserve"> CINAHL (Cumulative Index of Nursing and Allied Health), Medline, </w:t>
      </w:r>
      <w:r w:rsidR="0061587F" w:rsidRPr="008B68A9">
        <w:t xml:space="preserve">and </w:t>
      </w:r>
      <w:r w:rsidRPr="008B68A9">
        <w:t xml:space="preserve">ASSIA (Applied Social </w:t>
      </w:r>
      <w:r w:rsidR="002E21F6" w:rsidRPr="008B68A9">
        <w:t>Science Index and Abstracts).</w:t>
      </w:r>
      <w:r w:rsidR="00415741" w:rsidRPr="008B68A9">
        <w:t xml:space="preserve"> </w:t>
      </w:r>
      <w:r w:rsidRPr="008B68A9">
        <w:t>Terms used individually were</w:t>
      </w:r>
      <w:r w:rsidR="0061587F" w:rsidRPr="008B68A9">
        <w:t>:</w:t>
      </w:r>
      <w:r w:rsidRPr="008B68A9">
        <w:t xml:space="preserve"> personal budgets, individual budgets, personal health budgets, personalisation, self-directed care, self-directed support, cash and counselling.</w:t>
      </w:r>
      <w:r w:rsidR="00415741" w:rsidRPr="008B68A9">
        <w:t xml:space="preserve"> </w:t>
      </w:r>
      <w:r w:rsidRPr="008B68A9">
        <w:t xml:space="preserve">Each of these terms </w:t>
      </w:r>
      <w:r w:rsidR="0061587F" w:rsidRPr="008B68A9">
        <w:t xml:space="preserve">was </w:t>
      </w:r>
      <w:r w:rsidRPr="008B68A9">
        <w:t>combined with mental health and mental illness, as many of the articles reported on personalisation for other groups.</w:t>
      </w:r>
    </w:p>
    <w:p w14:paraId="41A2341E" w14:textId="15FFD1B3" w:rsidR="00595B8D" w:rsidRPr="008B68A9" w:rsidRDefault="00595B8D" w:rsidP="002F0FD7">
      <w:pPr>
        <w:pStyle w:val="5arangedleft"/>
      </w:pPr>
      <w:r w:rsidRPr="008B68A9">
        <w:t xml:space="preserve">Papers before 1996 were generally not examined as </w:t>
      </w:r>
      <w:r w:rsidR="00FC177A" w:rsidRPr="008B68A9">
        <w:t xml:space="preserve">the </w:t>
      </w:r>
      <w:r w:rsidRPr="008B68A9">
        <w:t>first examples of self-direction</w:t>
      </w:r>
      <w:r w:rsidR="000E0578" w:rsidRPr="008B68A9">
        <w:t>,</w:t>
      </w:r>
      <w:r w:rsidRPr="008B68A9">
        <w:t xml:space="preserve"> direct payments</w:t>
      </w:r>
      <w:r w:rsidR="00FC177A" w:rsidRPr="008B68A9">
        <w:t>,</w:t>
      </w:r>
      <w:r w:rsidRPr="008B68A9">
        <w:t xml:space="preserve"> were not legislated before this date (</w:t>
      </w:r>
      <w:r w:rsidR="00B546BE" w:rsidRPr="008B68A9">
        <w:t>DH</w:t>
      </w:r>
      <w:r w:rsidRPr="008B68A9">
        <w:t xml:space="preserve"> 2005).</w:t>
      </w:r>
      <w:r w:rsidR="00415741" w:rsidRPr="008B68A9">
        <w:t xml:space="preserve"> </w:t>
      </w:r>
      <w:r w:rsidRPr="008B68A9">
        <w:t>However, earlier papers include the introduction and expansion of direct payments and the early self-directed care literature.</w:t>
      </w:r>
      <w:r w:rsidR="00415741" w:rsidRPr="008B68A9">
        <w:t xml:space="preserve"> </w:t>
      </w:r>
      <w:r w:rsidRPr="008B68A9">
        <w:t>An important part of the review process was derived from additional literature identified from citations</w:t>
      </w:r>
      <w:r w:rsidR="000E0578" w:rsidRPr="008B68A9">
        <w:t>,</w:t>
      </w:r>
      <w:r w:rsidRPr="008B68A9">
        <w:t xml:space="preserve"> hand searching and grey literature. </w:t>
      </w:r>
    </w:p>
    <w:p w14:paraId="06B64A27" w14:textId="2BB5B174" w:rsidR="00595B8D" w:rsidRPr="008B68A9" w:rsidRDefault="00595B8D" w:rsidP="002F0FD7">
      <w:pPr>
        <w:pStyle w:val="5arangedleft"/>
      </w:pPr>
      <w:r w:rsidRPr="008B68A9">
        <w:t>Title and abstracts were read for relevance to personalisation</w:t>
      </w:r>
      <w:r w:rsidR="000E0578" w:rsidRPr="008B68A9">
        <w:t>,</w:t>
      </w:r>
      <w:r w:rsidRPr="008B68A9">
        <w:t xml:space="preserve"> then were categorised </w:t>
      </w:r>
      <w:r w:rsidR="007B0EA6" w:rsidRPr="008B68A9">
        <w:t>into</w:t>
      </w:r>
      <w:r w:rsidR="00FC177A" w:rsidRPr="008B68A9">
        <w:t xml:space="preserve"> infomercial, opinion piece,</w:t>
      </w:r>
      <w:r w:rsidRPr="008B68A9">
        <w:t xml:space="preserve"> correspondence, introductory piece, commentary or research.</w:t>
      </w:r>
      <w:r w:rsidR="00415741" w:rsidRPr="008B68A9">
        <w:t xml:space="preserve"> </w:t>
      </w:r>
      <w:r w:rsidR="00A44351" w:rsidRPr="008B68A9">
        <w:t>Most opinion-</w:t>
      </w:r>
      <w:r w:rsidRPr="008B68A9">
        <w:t xml:space="preserve">based short introductory pieces were discarded as they offered little </w:t>
      </w:r>
      <w:r w:rsidR="000E0578" w:rsidRPr="008B68A9">
        <w:t xml:space="preserve">or </w:t>
      </w:r>
      <w:r w:rsidR="00A44351" w:rsidRPr="008B68A9">
        <w:t xml:space="preserve">no new research </w:t>
      </w:r>
      <w:r w:rsidRPr="008B68A9">
        <w:t>or perspective.</w:t>
      </w:r>
      <w:r w:rsidR="00415741" w:rsidRPr="008B68A9">
        <w:t xml:space="preserve"> </w:t>
      </w:r>
      <w:r w:rsidRPr="008B68A9">
        <w:t xml:space="preserve">Substantial and </w:t>
      </w:r>
      <w:r w:rsidRPr="008B68A9">
        <w:lastRenderedPageBreak/>
        <w:t>credibly authored opinion or discussion pieces were</w:t>
      </w:r>
      <w:r w:rsidR="000E0578" w:rsidRPr="008B68A9">
        <w:t>,</w:t>
      </w:r>
      <w:r w:rsidRPr="008B68A9">
        <w:t xml:space="preserve"> however</w:t>
      </w:r>
      <w:r w:rsidR="000E0578" w:rsidRPr="008B68A9">
        <w:t>,</w:t>
      </w:r>
      <w:r w:rsidRPr="008B68A9">
        <w:t xml:space="preserve"> read as their authors brought a knowledgeable perspective </w:t>
      </w:r>
      <w:r w:rsidR="00A44351" w:rsidRPr="008B68A9">
        <w:t>to</w:t>
      </w:r>
      <w:r w:rsidRPr="008B68A9">
        <w:t xml:space="preserve"> personalisation</w:t>
      </w:r>
      <w:r w:rsidR="000E0578" w:rsidRPr="008B68A9">
        <w:t>;</w:t>
      </w:r>
      <w:r w:rsidRPr="008B68A9">
        <w:t xml:space="preserve"> and priority was given to original research.</w:t>
      </w:r>
      <w:r w:rsidR="00415741" w:rsidRPr="008B68A9">
        <w:t xml:space="preserve"> </w:t>
      </w:r>
      <w:r w:rsidRPr="008B68A9">
        <w:t>There are limitations to</w:t>
      </w:r>
      <w:r w:rsidR="00A44351" w:rsidRPr="008B68A9">
        <w:t xml:space="preserve"> this review that I acknowledge</w:t>
      </w:r>
      <w:r w:rsidR="00415741" w:rsidRPr="008B68A9">
        <w:t xml:space="preserve"> </w:t>
      </w:r>
      <w:r w:rsidR="00A44351" w:rsidRPr="008B68A9">
        <w:t>relating</w:t>
      </w:r>
      <w:r w:rsidRPr="008B68A9">
        <w:t xml:space="preserve"> to </w:t>
      </w:r>
      <w:r w:rsidR="00A44351" w:rsidRPr="008B68A9">
        <w:t>the</w:t>
      </w:r>
      <w:r w:rsidRPr="008B68A9">
        <w:t xml:space="preserve"> comprehensiveness of the data examined and others to my interests in personalisation.</w:t>
      </w:r>
      <w:r w:rsidR="00415741" w:rsidRPr="008B68A9">
        <w:t xml:space="preserve"> </w:t>
      </w:r>
      <w:r w:rsidR="00A44351" w:rsidRPr="008B68A9">
        <w:t xml:space="preserve">The chapter that </w:t>
      </w:r>
      <w:r w:rsidRPr="008B68A9">
        <w:t xml:space="preserve">follows aims to represent a critical account of personalisation </w:t>
      </w:r>
      <w:r w:rsidR="00A44351" w:rsidRPr="008B68A9">
        <w:t xml:space="preserve">literature </w:t>
      </w:r>
      <w:r w:rsidRPr="008B68A9">
        <w:t xml:space="preserve">and the competing </w:t>
      </w:r>
      <w:r w:rsidR="00A44351" w:rsidRPr="008B68A9">
        <w:t>accounts</w:t>
      </w:r>
      <w:r w:rsidRPr="008B68A9">
        <w:t xml:space="preserve"> that are </w:t>
      </w:r>
      <w:r w:rsidR="00A44351" w:rsidRPr="008B68A9">
        <w:t>created through research and practice</w:t>
      </w:r>
      <w:r w:rsidRPr="008B68A9">
        <w:t>.</w:t>
      </w:r>
      <w:r w:rsidR="00415741" w:rsidRPr="008B68A9">
        <w:t xml:space="preserve"> </w:t>
      </w:r>
      <w:r w:rsidR="00A44351" w:rsidRPr="008B68A9">
        <w:t>A</w:t>
      </w:r>
      <w:r w:rsidRPr="008B68A9">
        <w:t xml:space="preserve"> review grid appraising key studies can be found in appendix </w:t>
      </w:r>
      <w:r w:rsidR="004452A3" w:rsidRPr="008B68A9">
        <w:t>1</w:t>
      </w:r>
      <w:r w:rsidR="000E0578" w:rsidRPr="008B68A9">
        <w:t>.</w:t>
      </w:r>
    </w:p>
    <w:p w14:paraId="1A47792F" w14:textId="77777777" w:rsidR="00595B8D" w:rsidRPr="008B68A9" w:rsidRDefault="00595B8D" w:rsidP="006B4701">
      <w:pPr>
        <w:pStyle w:val="8unnumberedcross-head"/>
      </w:pPr>
      <w:r w:rsidRPr="008B68A9">
        <w:t>Literature review evidence</w:t>
      </w:r>
    </w:p>
    <w:p w14:paraId="4300D0B2" w14:textId="480E1C71" w:rsidR="00595B8D" w:rsidRPr="008B68A9" w:rsidRDefault="00595B8D" w:rsidP="002F0FD7">
      <w:pPr>
        <w:pStyle w:val="5arangedleft"/>
      </w:pPr>
      <w:r w:rsidRPr="008B68A9">
        <w:t xml:space="preserve">Gadsby’s </w:t>
      </w:r>
      <w:r w:rsidR="005E13BB" w:rsidRPr="008B68A9">
        <w:t>(2013)</w:t>
      </w:r>
      <w:r w:rsidR="00B51D91" w:rsidRPr="008B68A9">
        <w:t xml:space="preserve"> </w:t>
      </w:r>
      <w:r w:rsidRPr="008B68A9">
        <w:rPr>
          <w:rFonts w:cs="Minion Pro"/>
          <w:color w:val="000000"/>
          <w:szCs w:val="23"/>
        </w:rPr>
        <w:t xml:space="preserve">review of </w:t>
      </w:r>
      <w:r w:rsidR="00141154" w:rsidRPr="008B68A9">
        <w:rPr>
          <w:rFonts w:cs="Minion Pro"/>
          <w:color w:val="000000"/>
          <w:szCs w:val="23"/>
        </w:rPr>
        <w:t xml:space="preserve">the </w:t>
      </w:r>
      <w:r w:rsidRPr="008B68A9">
        <w:rPr>
          <w:rFonts w:cs="Minion Pro"/>
          <w:color w:val="000000"/>
          <w:szCs w:val="23"/>
        </w:rPr>
        <w:t>efficacy of personal budgets within the European region, North America and Australasia</w:t>
      </w:r>
      <w:r w:rsidRPr="008B68A9">
        <w:t xml:space="preserve"> drew upon 280 papers comprising evaluation reports (n=9), accounts of empirical research (n=29)</w:t>
      </w:r>
      <w:r w:rsidR="002E21F6" w:rsidRPr="008B68A9">
        <w:t>,</w:t>
      </w:r>
      <w:r w:rsidRPr="008B68A9">
        <w:t xml:space="preserve"> and comparative studies (n=14).</w:t>
      </w:r>
      <w:r w:rsidR="00415741" w:rsidRPr="008B68A9">
        <w:t xml:space="preserve"> </w:t>
      </w:r>
      <w:r w:rsidRPr="008B68A9">
        <w:t>She identified most studies as flawed with design limitations, often with self-selecting participants and only some employing control groups.</w:t>
      </w:r>
      <w:r w:rsidR="00415741" w:rsidRPr="008B68A9">
        <w:t xml:space="preserve"> </w:t>
      </w:r>
      <w:r w:rsidRPr="008B68A9">
        <w:t>Whilst qualitative studies may be rigorous and well designed (Silverman 2014), Gadsby argues they hold limited function for informing wider policy debate and implementation.</w:t>
      </w:r>
      <w:r w:rsidR="00415741" w:rsidRPr="008B68A9">
        <w:t xml:space="preserve"> </w:t>
      </w:r>
      <w:r w:rsidRPr="008B68A9">
        <w:t xml:space="preserve">The studies demonstrated </w:t>
      </w:r>
      <w:r w:rsidR="009C7E3D" w:rsidRPr="008B68A9">
        <w:t xml:space="preserve">however </w:t>
      </w:r>
      <w:r w:rsidRPr="008B68A9">
        <w:t xml:space="preserve">that in almost every setting or nation the recipients of budgets expressed increased satisfaction and improvement in perceived wellbeing. </w:t>
      </w:r>
    </w:p>
    <w:p w14:paraId="11532797" w14:textId="77777777" w:rsidR="00595B8D" w:rsidRPr="008B68A9" w:rsidRDefault="00595B8D" w:rsidP="006B4701">
      <w:pPr>
        <w:pStyle w:val="8unnumberedcross-head"/>
      </w:pPr>
      <w:r w:rsidRPr="008B68A9">
        <w:t xml:space="preserve">Individual budget demonstrations in health and social care </w:t>
      </w:r>
    </w:p>
    <w:p w14:paraId="3E22870D" w14:textId="4BD6FAF5" w:rsidR="00595B8D" w:rsidRPr="008B68A9" w:rsidRDefault="009C7E3D" w:rsidP="002F0FD7">
      <w:pPr>
        <w:pStyle w:val="5arangedleft"/>
      </w:pPr>
      <w:r w:rsidRPr="008B68A9">
        <w:t>In terms of personal budget demonstrations it</w:t>
      </w:r>
      <w:r w:rsidR="00595B8D" w:rsidRPr="008B68A9">
        <w:t xml:space="preserve"> may be appropriate to begin with the In Control evaluations</w:t>
      </w:r>
      <w:r w:rsidR="0000666F" w:rsidRPr="008B68A9">
        <w:t>,</w:t>
      </w:r>
      <w:r w:rsidR="00595B8D" w:rsidRPr="008B68A9">
        <w:t xml:space="preserve"> arguably the forerunner </w:t>
      </w:r>
      <w:r w:rsidRPr="008B68A9">
        <w:t>of</w:t>
      </w:r>
      <w:r w:rsidR="00595B8D" w:rsidRPr="008B68A9">
        <w:t xml:space="preserve"> most </w:t>
      </w:r>
      <w:r w:rsidR="0000666F" w:rsidRPr="008B68A9">
        <w:t xml:space="preserve">UK </w:t>
      </w:r>
      <w:r w:rsidR="00595B8D" w:rsidRPr="008B68A9">
        <w:t>personalisation studies.</w:t>
      </w:r>
      <w:r w:rsidR="00415741" w:rsidRPr="008B68A9">
        <w:t xml:space="preserve"> </w:t>
      </w:r>
      <w:r w:rsidR="00595B8D" w:rsidRPr="008B68A9">
        <w:t>The charity’s work in extending self-direction through direct payment</w:t>
      </w:r>
      <w:r w:rsidR="0000666F" w:rsidRPr="008B68A9">
        <w:t>s</w:t>
      </w:r>
      <w:r w:rsidR="00595B8D" w:rsidRPr="008B68A9">
        <w:t xml:space="preserve"> to populations beyond people with physical impairments is clear, building on seven principles that articulate self-direct support as a right and entitlement beyond policy or </w:t>
      </w:r>
      <w:r w:rsidRPr="008B68A9">
        <w:t>political rhetoric (Power 2013).</w:t>
      </w:r>
      <w:r w:rsidR="00595B8D" w:rsidRPr="008B68A9">
        <w:t xml:space="preserve"> Through their first three self-direction studies between 2003 and 2010, their samples grew from 31 budget holders (Poll </w:t>
      </w:r>
      <w:r w:rsidR="00AC06A3" w:rsidRPr="008B68A9">
        <w:rPr>
          <w:i/>
        </w:rPr>
        <w:t>et al.</w:t>
      </w:r>
      <w:r w:rsidR="00595B8D" w:rsidRPr="008B68A9">
        <w:t xml:space="preserve"> 2006) to the final study (Tyson </w:t>
      </w:r>
      <w:r w:rsidR="00AC06A3" w:rsidRPr="008B68A9">
        <w:rPr>
          <w:i/>
        </w:rPr>
        <w:t>et al.</w:t>
      </w:r>
      <w:r w:rsidR="00595B8D" w:rsidRPr="008B68A9">
        <w:t xml:space="preserve"> 2010)</w:t>
      </w:r>
      <w:r w:rsidR="0000666F" w:rsidRPr="008B68A9">
        <w:t xml:space="preserve"> which sampled</w:t>
      </w:r>
      <w:r w:rsidR="00595B8D" w:rsidRPr="008B68A9">
        <w:t xml:space="preserve"> between 385-522 IB users and the views and experiences of 55-73 professionals (the sample numbers were aggregated</w:t>
      </w:r>
      <w:r w:rsidR="0000666F" w:rsidRPr="008B68A9">
        <w:t>,</w:t>
      </w:r>
      <w:r w:rsidR="00595B8D" w:rsidRPr="008B68A9">
        <w:t xml:space="preserve"> drawing on more than one dataset).</w:t>
      </w:r>
      <w:r w:rsidR="00415741" w:rsidRPr="008B68A9">
        <w:t xml:space="preserve"> </w:t>
      </w:r>
      <w:r w:rsidR="00595B8D" w:rsidRPr="008B68A9">
        <w:t xml:space="preserve">These studies are interesting as </w:t>
      </w:r>
      <w:r w:rsidR="00595B8D" w:rsidRPr="008B68A9">
        <w:lastRenderedPageBreak/>
        <w:t>although their statistical relevance is small, producing mostly descriptive data, health and wellbeing show</w:t>
      </w:r>
      <w:r w:rsidR="0000666F" w:rsidRPr="008B68A9">
        <w:t>ed</w:t>
      </w:r>
      <w:r w:rsidR="00595B8D" w:rsidRPr="008B68A9">
        <w:t xml:space="preserve"> no discernible change.</w:t>
      </w:r>
      <w:r w:rsidR="00415741" w:rsidRPr="008B68A9">
        <w:t xml:space="preserve"> </w:t>
      </w:r>
      <w:r w:rsidR="00595B8D" w:rsidRPr="008B68A9">
        <w:t xml:space="preserve">Yet their importance </w:t>
      </w:r>
      <w:r w:rsidRPr="008B68A9">
        <w:t>of</w:t>
      </w:r>
      <w:r w:rsidR="00595B8D" w:rsidRPr="008B68A9">
        <w:t xml:space="preserve"> promoting personal budgets is greater than </w:t>
      </w:r>
      <w:r w:rsidRPr="008B68A9">
        <w:t xml:space="preserve">their </w:t>
      </w:r>
      <w:r w:rsidR="00595B8D" w:rsidRPr="008B68A9">
        <w:t>empirical measures of validity.</w:t>
      </w:r>
      <w:r w:rsidR="00415741" w:rsidRPr="008B68A9">
        <w:t xml:space="preserve"> </w:t>
      </w:r>
      <w:r w:rsidR="00595B8D" w:rsidRPr="008B68A9">
        <w:t>In each of their reports people with an identified mental health issue represent a very small proportion of the overall sample, and most likely as a co-morbid diagnosis.</w:t>
      </w:r>
      <w:r w:rsidR="00415741" w:rsidRPr="008B68A9">
        <w:t xml:space="preserve"> </w:t>
      </w:r>
      <w:r w:rsidR="00595B8D" w:rsidRPr="008B68A9">
        <w:t>In Control’s reports are exemplars of the optimism that accompanies the philosophy of user</w:t>
      </w:r>
      <w:r w:rsidR="0000666F" w:rsidRPr="008B68A9">
        <w:t>-</w:t>
      </w:r>
      <w:r w:rsidR="00595B8D" w:rsidRPr="008B68A9">
        <w:t>directed support</w:t>
      </w:r>
      <w:r w:rsidR="0000666F" w:rsidRPr="008B68A9">
        <w:t>;</w:t>
      </w:r>
      <w:r w:rsidR="00595B8D" w:rsidRPr="008B68A9">
        <w:t xml:space="preserve"> and whilst they are a vehicle for promoting the work of the charity, they nevertheless highlight that personalisation is or should be </w:t>
      </w:r>
      <w:r w:rsidR="0076489F" w:rsidRPr="008B68A9">
        <w:t xml:space="preserve">about </w:t>
      </w:r>
      <w:r w:rsidR="00595B8D" w:rsidRPr="008B68A9">
        <w:t>more than the budget, represent</w:t>
      </w:r>
      <w:r w:rsidR="0000666F" w:rsidRPr="008B68A9">
        <w:t>ing</w:t>
      </w:r>
      <w:r w:rsidR="00595B8D" w:rsidRPr="008B68A9">
        <w:t xml:space="preserve"> a more equitable and ethical way of </w:t>
      </w:r>
      <w:r w:rsidRPr="008B68A9">
        <w:t xml:space="preserve">partnership </w:t>
      </w:r>
      <w:r w:rsidR="00595B8D" w:rsidRPr="008B68A9">
        <w:t>working.</w:t>
      </w:r>
      <w:r w:rsidR="00415741" w:rsidRPr="008B68A9">
        <w:t xml:space="preserve"> </w:t>
      </w:r>
    </w:p>
    <w:p w14:paraId="4DA3C43B" w14:textId="603101F9" w:rsidR="00595B8D" w:rsidRPr="008B68A9" w:rsidRDefault="00595B8D" w:rsidP="002F0FD7">
      <w:pPr>
        <w:pStyle w:val="5arangedleft"/>
      </w:pPr>
      <w:r w:rsidRPr="008B68A9">
        <w:t>Over the past decade there have been a small number of stati</w:t>
      </w:r>
      <w:r w:rsidR="0076489F" w:rsidRPr="008B68A9">
        <w:t>sti</w:t>
      </w:r>
      <w:r w:rsidRPr="008B68A9">
        <w:t xml:space="preserve">cally powered studies evaluating the efficacy and effect of personalisation through individual budgets in the UK (Glendinning </w:t>
      </w:r>
      <w:r w:rsidR="00AC06A3" w:rsidRPr="008B68A9">
        <w:rPr>
          <w:i/>
        </w:rPr>
        <w:t>et al.</w:t>
      </w:r>
      <w:r w:rsidRPr="008B68A9">
        <w:t xml:space="preserve"> 2008, Hatton and Waters 2011, Forder </w:t>
      </w:r>
      <w:r w:rsidR="00AC06A3" w:rsidRPr="008B68A9">
        <w:rPr>
          <w:i/>
        </w:rPr>
        <w:t>et al.</w:t>
      </w:r>
      <w:r w:rsidRPr="008B68A9">
        <w:t xml:space="preserve"> 2012).</w:t>
      </w:r>
      <w:r w:rsidR="00415741" w:rsidRPr="008B68A9">
        <w:t xml:space="preserve"> </w:t>
      </w:r>
      <w:r w:rsidRPr="008B68A9">
        <w:t xml:space="preserve">The 2005 three year </w:t>
      </w:r>
      <w:r w:rsidR="00B546BE" w:rsidRPr="008B68A9">
        <w:t>DH</w:t>
      </w:r>
      <w:r w:rsidRPr="008B68A9">
        <w:t xml:space="preserve"> funded study </w:t>
      </w:r>
      <w:r w:rsidRPr="008B68A9">
        <w:rPr>
          <w:i/>
        </w:rPr>
        <w:t>Individual Budgets Evaluation Network</w:t>
      </w:r>
      <w:r w:rsidRPr="008B68A9">
        <w:t xml:space="preserve"> </w:t>
      </w:r>
      <w:r w:rsidR="00C144FE" w:rsidRPr="008B68A9">
        <w:t>(IBSeN)</w:t>
      </w:r>
      <w:r w:rsidR="00471F73" w:rsidRPr="008B68A9">
        <w:t xml:space="preserve"> pilot programme </w:t>
      </w:r>
      <w:r w:rsidRPr="008B68A9">
        <w:t xml:space="preserve">(Glendinning </w:t>
      </w:r>
      <w:r w:rsidR="00AC06A3" w:rsidRPr="008B68A9">
        <w:rPr>
          <w:i/>
        </w:rPr>
        <w:t>et al.</w:t>
      </w:r>
      <w:r w:rsidRPr="008B68A9">
        <w:t xml:space="preserve"> 2008) evaluated individual budgets for nearly 1000 individuals across 13 UK local authorities.</w:t>
      </w:r>
      <w:r w:rsidR="00415741" w:rsidRPr="008B68A9">
        <w:t xml:space="preserve"> </w:t>
      </w:r>
      <w:r w:rsidRPr="008B68A9">
        <w:t>The project employed a mix</w:t>
      </w:r>
      <w:r w:rsidR="0076489F" w:rsidRPr="008B68A9">
        <w:t>ed</w:t>
      </w:r>
      <w:r w:rsidRPr="008B68A9">
        <w:t xml:space="preserve"> methods design including a randomised trial arm.</w:t>
      </w:r>
      <w:r w:rsidR="00415741" w:rsidRPr="008B68A9">
        <w:t xml:space="preserve"> </w:t>
      </w:r>
      <w:r w:rsidRPr="008B68A9">
        <w:t xml:space="preserve">The final sample (510 = IB group </w:t>
      </w:r>
      <w:r w:rsidR="0076489F" w:rsidRPr="008B68A9">
        <w:t>and</w:t>
      </w:r>
      <w:r w:rsidRPr="008B68A9">
        <w:t xml:space="preserve"> 449 = traditional services) represented </w:t>
      </w:r>
      <w:r w:rsidR="00EE198A" w:rsidRPr="008B68A9">
        <w:t xml:space="preserve">at the time </w:t>
      </w:r>
      <w:r w:rsidRPr="008B68A9">
        <w:t xml:space="preserve">the largest study </w:t>
      </w:r>
      <w:r w:rsidR="00EE198A" w:rsidRPr="008B68A9">
        <w:t>on</w:t>
      </w:r>
      <w:r w:rsidRPr="008B68A9">
        <w:t xml:space="preserve"> </w:t>
      </w:r>
      <w:r w:rsidR="00EE198A" w:rsidRPr="008B68A9">
        <w:t xml:space="preserve">UK </w:t>
      </w:r>
      <w:r w:rsidRPr="008B68A9">
        <w:t>personalisation.</w:t>
      </w:r>
      <w:r w:rsidR="00415741" w:rsidRPr="008B68A9">
        <w:t xml:space="preserve"> </w:t>
      </w:r>
      <w:r w:rsidRPr="008B68A9">
        <w:t>People with mental health accounted for the smallest subset</w:t>
      </w:r>
      <w:r w:rsidR="0076489F" w:rsidRPr="008B68A9">
        <w:t>,</w:t>
      </w:r>
      <w:r w:rsidRPr="008B68A9">
        <w:t xml:space="preserve"> 14% (n=131) </w:t>
      </w:r>
      <w:r w:rsidR="009D047B" w:rsidRPr="008B68A9">
        <w:t>in</w:t>
      </w:r>
      <w:r w:rsidRPr="008B68A9">
        <w:t xml:space="preserve"> the overall sample</w:t>
      </w:r>
      <w:r w:rsidR="0076489F" w:rsidRPr="008B68A9">
        <w:t>,</w:t>
      </w:r>
      <w:r w:rsidR="00EE198A" w:rsidRPr="008B68A9">
        <w:t xml:space="preserve"> though this groups’</w:t>
      </w:r>
      <w:r w:rsidRPr="008B68A9">
        <w:t xml:space="preserve"> gains in satisfaction and psychological wellbeing (derived from the General Health Questionnaire (GHQ) </w:t>
      </w:r>
      <w:r w:rsidR="00423BA3" w:rsidRPr="008B68A9">
        <w:t xml:space="preserve">12, </w:t>
      </w:r>
      <w:r w:rsidR="0076489F" w:rsidRPr="008B68A9">
        <w:t>(</w:t>
      </w:r>
      <w:r w:rsidR="00423BA3" w:rsidRPr="008B68A9">
        <w:t>Goldberg</w:t>
      </w:r>
      <w:r w:rsidRPr="008B68A9">
        <w:t xml:space="preserve"> </w:t>
      </w:r>
      <w:r w:rsidR="00C144FE" w:rsidRPr="008B68A9">
        <w:t>1982</w:t>
      </w:r>
      <w:r w:rsidR="0076489F" w:rsidRPr="008B68A9">
        <w:t>)</w:t>
      </w:r>
      <w:r w:rsidRPr="008B68A9">
        <w:t xml:space="preserve"> and the Brief Psychological Rating Scale (BPRS) </w:t>
      </w:r>
      <w:r w:rsidR="0076489F" w:rsidRPr="008B68A9">
        <w:t>(</w:t>
      </w:r>
      <w:r w:rsidRPr="008B68A9">
        <w:t xml:space="preserve">Overall and Gorham 1962) are widely reported </w:t>
      </w:r>
      <w:r w:rsidR="00EE198A" w:rsidRPr="008B68A9">
        <w:t>as higher than those of other groups</w:t>
      </w:r>
      <w:r w:rsidRPr="008B68A9">
        <w:t>.</w:t>
      </w:r>
      <w:r w:rsidR="00415741" w:rsidRPr="008B68A9">
        <w:t xml:space="preserve"> </w:t>
      </w:r>
      <w:r w:rsidRPr="008B68A9">
        <w:t xml:space="preserve">However, when removing proxy responses from the analysis these results are not statistically significant (Netten </w:t>
      </w:r>
      <w:r w:rsidR="00AC06A3" w:rsidRPr="008B68A9">
        <w:rPr>
          <w:i/>
        </w:rPr>
        <w:t>et al.</w:t>
      </w:r>
      <w:r w:rsidRPr="008B68A9">
        <w:t xml:space="preserve"> 2012).</w:t>
      </w:r>
      <w:r w:rsidR="00415741" w:rsidRPr="008B68A9">
        <w:t xml:space="preserve"> </w:t>
      </w:r>
      <w:r w:rsidRPr="008B68A9">
        <w:t>The study was not as some may have hoped the definitive evidence for personalisation</w:t>
      </w:r>
      <w:r w:rsidR="0076489F" w:rsidRPr="008B68A9">
        <w:t>,</w:t>
      </w:r>
      <w:r w:rsidRPr="008B68A9">
        <w:t xml:space="preserve"> coming as it did a year after the </w:t>
      </w:r>
      <w:r w:rsidRPr="008B68A9">
        <w:rPr>
          <w:i/>
        </w:rPr>
        <w:t>Putting People First</w:t>
      </w:r>
      <w:r w:rsidRPr="008B68A9">
        <w:t xml:space="preserve"> concordat (HM Gov</w:t>
      </w:r>
      <w:r w:rsidR="002E21F6" w:rsidRPr="008B68A9">
        <w:t>ernment</w:t>
      </w:r>
      <w:r w:rsidRPr="008B68A9">
        <w:t xml:space="preserve"> 2007)</w:t>
      </w:r>
      <w:r w:rsidR="0076489F" w:rsidRPr="008B68A9">
        <w:t>;</w:t>
      </w:r>
      <w:r w:rsidRPr="008B68A9">
        <w:t xml:space="preserve"> rather</w:t>
      </w:r>
      <w:r w:rsidR="0076489F" w:rsidRPr="008B68A9">
        <w:t>,</w:t>
      </w:r>
      <w:r w:rsidRPr="008B68A9">
        <w:t xml:space="preserve"> the work raised questions </w:t>
      </w:r>
      <w:r w:rsidR="0076489F" w:rsidRPr="008B68A9">
        <w:t>about</w:t>
      </w:r>
      <w:r w:rsidRPr="008B68A9">
        <w:t xml:space="preserve"> the impact of personalisation on the local provider economy</w:t>
      </w:r>
      <w:r w:rsidR="0076489F" w:rsidRPr="008B68A9">
        <w:t>,</w:t>
      </w:r>
      <w:r w:rsidRPr="008B68A9">
        <w:t xml:space="preserve"> how </w:t>
      </w:r>
      <w:r w:rsidR="0076489F" w:rsidRPr="008B68A9">
        <w:t xml:space="preserve">it </w:t>
      </w:r>
      <w:r w:rsidRPr="008B68A9">
        <w:t>could affect the complex relationships between health and social care working</w:t>
      </w:r>
      <w:r w:rsidR="0076489F" w:rsidRPr="008B68A9">
        <w:t>,</w:t>
      </w:r>
      <w:r w:rsidRPr="008B68A9">
        <w:t xml:space="preserve"> and what skills statutory service providers require in a new personalised relationship with users.</w:t>
      </w:r>
    </w:p>
    <w:p w14:paraId="1EABE25A" w14:textId="48FBD7EF" w:rsidR="00595B8D" w:rsidRPr="008B68A9" w:rsidRDefault="00595B8D" w:rsidP="002F0FD7">
      <w:pPr>
        <w:pStyle w:val="5arangedleft"/>
      </w:pPr>
      <w:r w:rsidRPr="008B68A9">
        <w:lastRenderedPageBreak/>
        <w:t xml:space="preserve">Further attempts in understanding the effect personalisation had on users, carers and other </w:t>
      </w:r>
      <w:r w:rsidR="00A77E52" w:rsidRPr="008B68A9">
        <w:t>participants</w:t>
      </w:r>
      <w:r w:rsidRPr="008B68A9">
        <w:t xml:space="preserve"> were undertaken </w:t>
      </w:r>
      <w:r w:rsidR="000362EE" w:rsidRPr="008B68A9">
        <w:t>by</w:t>
      </w:r>
      <w:r w:rsidRPr="008B68A9">
        <w:t xml:space="preserve"> the Persona</w:t>
      </w:r>
      <w:r w:rsidR="00BF3812" w:rsidRPr="008B68A9">
        <w:t>lisa</w:t>
      </w:r>
      <w:r w:rsidRPr="008B68A9">
        <w:t xml:space="preserve">tion Ongoing Evaluation Tool (POETs) </w:t>
      </w:r>
      <w:r w:rsidR="00353504" w:rsidRPr="008B68A9">
        <w:t xml:space="preserve">national surveys </w:t>
      </w:r>
      <w:r w:rsidRPr="008B68A9">
        <w:t>(Hatton and Waters 2011).</w:t>
      </w:r>
      <w:r w:rsidR="00415741" w:rsidRPr="008B68A9">
        <w:t xml:space="preserve"> </w:t>
      </w:r>
      <w:r w:rsidRPr="008B68A9">
        <w:t>The scale of this work exceeded that of IBSeN</w:t>
      </w:r>
      <w:r w:rsidR="00353504" w:rsidRPr="008B68A9">
        <w:t>,</w:t>
      </w:r>
      <w:r w:rsidRPr="008B68A9">
        <w:t xml:space="preserve"> exploring the experiences of n=1114 personal budget users and n=950 carers, though </w:t>
      </w:r>
      <w:r w:rsidR="003825CE" w:rsidRPr="008B68A9">
        <w:t xml:space="preserve">it </w:t>
      </w:r>
      <w:r w:rsidRPr="008B68A9">
        <w:t xml:space="preserve">cannot be said to be as thorough as the IBSeN work, regarded by </w:t>
      </w:r>
      <w:r w:rsidR="009D047B" w:rsidRPr="008B68A9">
        <w:t xml:space="preserve">Daly and Woolham (2010) </w:t>
      </w:r>
      <w:r w:rsidR="00E4140E" w:rsidRPr="008B68A9">
        <w:t>as excellent</w:t>
      </w:r>
      <w:r w:rsidRPr="008B68A9">
        <w:t>.</w:t>
      </w:r>
      <w:r w:rsidR="00415741" w:rsidRPr="008B68A9">
        <w:t xml:space="preserve"> </w:t>
      </w:r>
      <w:r w:rsidRPr="008B68A9">
        <w:t>The results demonstrated increased satisfaction</w:t>
      </w:r>
      <w:r w:rsidR="00353504" w:rsidRPr="008B68A9">
        <w:t>,</w:t>
      </w:r>
      <w:r w:rsidRPr="008B68A9">
        <w:t xml:space="preserve"> though implementation differences between local authorities were reported as having a significant impact on the users’ outcomes</w:t>
      </w:r>
      <w:r w:rsidR="00353504" w:rsidRPr="008B68A9">
        <w:t>;</w:t>
      </w:r>
      <w:r w:rsidRPr="008B68A9">
        <w:t xml:space="preserve"> </w:t>
      </w:r>
      <w:r w:rsidR="00353504" w:rsidRPr="008B68A9">
        <w:t xml:space="preserve">this </w:t>
      </w:r>
      <w:r w:rsidRPr="008B68A9">
        <w:t xml:space="preserve">highlights the importance of studies </w:t>
      </w:r>
      <w:r w:rsidR="00353504" w:rsidRPr="008B68A9">
        <w:t xml:space="preserve">which </w:t>
      </w:r>
      <w:r w:rsidRPr="008B68A9">
        <w:t>do more than ask what or how</w:t>
      </w:r>
      <w:r w:rsidR="00353504" w:rsidRPr="008B68A9">
        <w:t>,</w:t>
      </w:r>
      <w:r w:rsidRPr="008B68A9">
        <w:t xml:space="preserve"> explor</w:t>
      </w:r>
      <w:r w:rsidR="00353504" w:rsidRPr="008B68A9">
        <w:t>ing</w:t>
      </w:r>
      <w:r w:rsidRPr="008B68A9">
        <w:t xml:space="preserve"> the space between actors as they enact policy innovations.</w:t>
      </w:r>
      <w:r w:rsidR="00415741" w:rsidRPr="008B68A9">
        <w:t xml:space="preserve"> </w:t>
      </w:r>
      <w:r w:rsidRPr="008B68A9">
        <w:t xml:space="preserve">The survey claims that for the majority of recipients using personalisation, their perception of having more control over their care and their sense of independence, dignity and autonomy were positively enhanced as a result of using their budget. </w:t>
      </w:r>
    </w:p>
    <w:p w14:paraId="43176525" w14:textId="5CBBFB50" w:rsidR="00595B8D" w:rsidRPr="008B68A9" w:rsidRDefault="00595B8D" w:rsidP="002F0FD7">
      <w:pPr>
        <w:pStyle w:val="5arangedleft"/>
      </w:pPr>
      <w:r w:rsidRPr="008B68A9">
        <w:t>Subsequent POET studies (Hatton and Waters 2013, Waters and Hatton 2014), reported similar results to the initial survey.</w:t>
      </w:r>
      <w:r w:rsidR="00415741" w:rsidRPr="008B68A9">
        <w:t xml:space="preserve"> </w:t>
      </w:r>
      <w:r w:rsidRPr="008B68A9">
        <w:t>The second POETS survey received just over 2000 responses and found improved satisfaction from budget users.</w:t>
      </w:r>
      <w:r w:rsidR="00415741" w:rsidRPr="008B68A9">
        <w:t xml:space="preserve"> </w:t>
      </w:r>
      <w:r w:rsidRPr="008B68A9">
        <w:t xml:space="preserve">Most </w:t>
      </w:r>
      <w:r w:rsidR="003825CE" w:rsidRPr="008B68A9">
        <w:t xml:space="preserve">(over 70%) </w:t>
      </w:r>
      <w:r w:rsidRPr="008B68A9">
        <w:t>reported a sense of greater dignity, getting the kind of support and care that they wished for</w:t>
      </w:r>
      <w:r w:rsidR="003825CE" w:rsidRPr="008B68A9">
        <w:t>,</w:t>
      </w:r>
      <w:r w:rsidRPr="008B68A9">
        <w:t xml:space="preserve"> and health and other physical gains were self-reported.</w:t>
      </w:r>
      <w:r w:rsidR="00415741" w:rsidRPr="008B68A9">
        <w:t xml:space="preserve"> </w:t>
      </w:r>
      <w:r w:rsidRPr="008B68A9">
        <w:t xml:space="preserve">The survey highlighted the importance of </w:t>
      </w:r>
      <w:r w:rsidR="003825CE" w:rsidRPr="008B68A9">
        <w:t xml:space="preserve">budget users </w:t>
      </w:r>
      <w:r w:rsidRPr="008B68A9">
        <w:t>volunteering and connecting within local communities</w:t>
      </w:r>
      <w:r w:rsidR="003825CE" w:rsidRPr="008B68A9">
        <w:t>,</w:t>
      </w:r>
      <w:r w:rsidRPr="008B68A9">
        <w:t xml:space="preserve"> whether in paid or unpaid capacities.</w:t>
      </w:r>
      <w:r w:rsidR="00415741" w:rsidRPr="008B68A9">
        <w:t xml:space="preserve"> </w:t>
      </w:r>
      <w:r w:rsidR="003825CE" w:rsidRPr="008B68A9">
        <w:t xml:space="preserve">This </w:t>
      </w:r>
      <w:r w:rsidRPr="008B68A9">
        <w:t>may be reflective of the central policy to increase community engagement and volunteerism embodied by the failed Big Society in</w:t>
      </w:r>
      <w:r w:rsidR="00EC722C" w:rsidRPr="008B68A9">
        <w:t>itiative (Slocock</w:t>
      </w:r>
      <w:r w:rsidR="00AC06A3" w:rsidRPr="008B68A9">
        <w:rPr>
          <w:i/>
        </w:rPr>
        <w:t>.</w:t>
      </w:r>
      <w:r w:rsidR="00EC722C" w:rsidRPr="008B68A9">
        <w:t xml:space="preserve"> 2015),</w:t>
      </w:r>
      <w:r w:rsidRPr="008B68A9">
        <w:t xml:space="preserve"> or a remnant of hope around social capital and civil society within a context of diminishing central funding for local authorities from the spending review (HM Gov</w:t>
      </w:r>
      <w:r w:rsidR="00EC722C" w:rsidRPr="008B68A9">
        <w:t>ernment</w:t>
      </w:r>
      <w:r w:rsidRPr="008B68A9">
        <w:t xml:space="preserve"> 2010</w:t>
      </w:r>
      <w:r w:rsidR="005B385E" w:rsidRPr="008B68A9">
        <w:t>a</w:t>
      </w:r>
      <w:r w:rsidRPr="008B68A9">
        <w:t>).</w:t>
      </w:r>
      <w:r w:rsidR="00415741" w:rsidRPr="008B68A9">
        <w:t xml:space="preserve"> </w:t>
      </w:r>
      <w:r w:rsidR="005C3C45" w:rsidRPr="008B68A9">
        <w:t>Although greater connecting through social capital has shown some positive effect for</w:t>
      </w:r>
      <w:r w:rsidR="00A44351" w:rsidRPr="008B68A9">
        <w:t xml:space="preserve"> depression and social anxiety such as </w:t>
      </w:r>
      <w:r w:rsidR="005C3C45" w:rsidRPr="008B68A9">
        <w:t xml:space="preserve">Webber and Huxley </w:t>
      </w:r>
      <w:r w:rsidR="00A44351" w:rsidRPr="008B68A9">
        <w:t>(</w:t>
      </w:r>
      <w:r w:rsidR="005C3C45" w:rsidRPr="008B68A9">
        <w:t>2007</w:t>
      </w:r>
      <w:r w:rsidR="00A44351" w:rsidRPr="008B68A9">
        <w:t>)</w:t>
      </w:r>
      <w:r w:rsidR="005C3C45" w:rsidRPr="008B68A9">
        <w:t xml:space="preserve"> and Webber </w:t>
      </w:r>
      <w:r w:rsidR="00AC06A3" w:rsidRPr="008B68A9">
        <w:rPr>
          <w:i/>
        </w:rPr>
        <w:t>et al.</w:t>
      </w:r>
      <w:r w:rsidR="005C3C45" w:rsidRPr="008B68A9">
        <w:t xml:space="preserve"> </w:t>
      </w:r>
      <w:r w:rsidR="00A44351" w:rsidRPr="008B68A9">
        <w:t>(</w:t>
      </w:r>
      <w:r w:rsidR="005C3C45" w:rsidRPr="008B68A9">
        <w:t>2011), these were small studies examining specific and limited interventions, and not on the same scale as t</w:t>
      </w:r>
      <w:r w:rsidR="00A44351" w:rsidRPr="008B68A9">
        <w:t>he policy initiative</w:t>
      </w:r>
      <w:r w:rsidR="005C3C45" w:rsidRPr="008B68A9">
        <w:t xml:space="preserve"> require</w:t>
      </w:r>
      <w:r w:rsidR="00A44351" w:rsidRPr="008B68A9">
        <w:t>d</w:t>
      </w:r>
      <w:r w:rsidR="005C3C45" w:rsidRPr="008B68A9">
        <w:t>.</w:t>
      </w:r>
      <w:r w:rsidR="00415741" w:rsidRPr="008B68A9">
        <w:t xml:space="preserve"> </w:t>
      </w:r>
      <w:r w:rsidRPr="008B68A9">
        <w:t xml:space="preserve">The third survey (Hatton and Waters 2013) received over 4000 respondents who once again reported increased satisfaction and sense of dignity through </w:t>
      </w:r>
      <w:r w:rsidR="001D3EFE" w:rsidRPr="008B68A9">
        <w:t xml:space="preserve">the use of individual </w:t>
      </w:r>
      <w:r w:rsidRPr="008B68A9">
        <w:t>budget</w:t>
      </w:r>
      <w:r w:rsidR="001D3EFE" w:rsidRPr="008B68A9">
        <w:t>s</w:t>
      </w:r>
      <w:r w:rsidRPr="008B68A9">
        <w:t>.</w:t>
      </w:r>
      <w:r w:rsidR="00415741" w:rsidRPr="008B68A9">
        <w:t xml:space="preserve"> </w:t>
      </w:r>
      <w:r w:rsidRPr="008B68A9">
        <w:t xml:space="preserve">The authors welcomed </w:t>
      </w:r>
      <w:r w:rsidR="001D3EFE" w:rsidRPr="008B68A9">
        <w:t>the</w:t>
      </w:r>
      <w:r w:rsidRPr="008B68A9">
        <w:t xml:space="preserve"> government shift away from</w:t>
      </w:r>
      <w:r w:rsidR="00E07A55" w:rsidRPr="008B68A9">
        <w:t>,</w:t>
      </w:r>
      <w:r w:rsidRPr="008B68A9">
        <w:t xml:space="preserve"> “…</w:t>
      </w:r>
      <w:r w:rsidRPr="008B68A9">
        <w:rPr>
          <w:rStyle w:val="apple-converted-space"/>
          <w:rFonts w:ascii="Verdana" w:hAnsi="Verdana"/>
          <w:color w:val="000000"/>
          <w:sz w:val="19"/>
          <w:szCs w:val="19"/>
        </w:rPr>
        <w:t xml:space="preserve">a </w:t>
      </w:r>
      <w:r w:rsidRPr="008B68A9">
        <w:rPr>
          <w:color w:val="000000"/>
          <w:szCs w:val="19"/>
        </w:rPr>
        <w:lastRenderedPageBreak/>
        <w:t>focus from</w:t>
      </w:r>
      <w:r w:rsidRPr="008B68A9">
        <w:rPr>
          <w:rFonts w:ascii="Verdana" w:hAnsi="Verdana"/>
          <w:color w:val="000000"/>
          <w:szCs w:val="19"/>
        </w:rPr>
        <w:t xml:space="preserve"> </w:t>
      </w:r>
      <w:r w:rsidRPr="008B68A9">
        <w:rPr>
          <w:color w:val="000000"/>
          <w:szCs w:val="19"/>
        </w:rPr>
        <w:t>a simple numbers target, to concern about outcomes and experiences. But it is still only numbers that are formally collected in performance returns” (Waters and Hatton 2014, p</w:t>
      </w:r>
      <w:r w:rsidR="00E07A55" w:rsidRPr="008B68A9">
        <w:rPr>
          <w:color w:val="000000"/>
          <w:szCs w:val="19"/>
        </w:rPr>
        <w:t xml:space="preserve">. </w:t>
      </w:r>
      <w:r w:rsidRPr="008B68A9">
        <w:rPr>
          <w:color w:val="000000"/>
          <w:szCs w:val="19"/>
        </w:rPr>
        <w:t>3).</w:t>
      </w:r>
      <w:r w:rsidR="00415741" w:rsidRPr="008B68A9">
        <w:rPr>
          <w:color w:val="000000"/>
          <w:szCs w:val="19"/>
        </w:rPr>
        <w:t xml:space="preserve"> </w:t>
      </w:r>
      <w:r w:rsidRPr="008B68A9">
        <w:rPr>
          <w:color w:val="000000"/>
          <w:szCs w:val="19"/>
        </w:rPr>
        <w:t xml:space="preserve">An emphasis </w:t>
      </w:r>
      <w:r w:rsidR="00E07A55" w:rsidRPr="008B68A9">
        <w:rPr>
          <w:color w:val="000000"/>
          <w:szCs w:val="19"/>
        </w:rPr>
        <w:t xml:space="preserve">on </w:t>
      </w:r>
      <w:r w:rsidRPr="008B68A9">
        <w:rPr>
          <w:color w:val="000000"/>
          <w:szCs w:val="19"/>
        </w:rPr>
        <w:t>examining the processes of support in personal budgets</w:t>
      </w:r>
      <w:r w:rsidR="00E07A55" w:rsidRPr="008B68A9">
        <w:rPr>
          <w:color w:val="000000"/>
          <w:szCs w:val="19"/>
        </w:rPr>
        <w:t>,</w:t>
      </w:r>
      <w:r w:rsidRPr="008B68A9">
        <w:rPr>
          <w:color w:val="000000"/>
          <w:szCs w:val="19"/>
        </w:rPr>
        <w:t xml:space="preserve"> rather than a focus on the budget itself</w:t>
      </w:r>
      <w:r w:rsidR="00E07A55" w:rsidRPr="008B68A9">
        <w:rPr>
          <w:color w:val="000000"/>
          <w:szCs w:val="19"/>
        </w:rPr>
        <w:t>,</w:t>
      </w:r>
      <w:r w:rsidRPr="008B68A9">
        <w:rPr>
          <w:color w:val="000000"/>
          <w:szCs w:val="19"/>
        </w:rPr>
        <w:t xml:space="preserve"> recognise</w:t>
      </w:r>
      <w:r w:rsidR="00E07A55" w:rsidRPr="008B68A9">
        <w:rPr>
          <w:color w:val="000000"/>
          <w:szCs w:val="19"/>
        </w:rPr>
        <w:t>d</w:t>
      </w:r>
      <w:r w:rsidRPr="008B68A9">
        <w:rPr>
          <w:color w:val="000000"/>
          <w:szCs w:val="19"/>
        </w:rPr>
        <w:t xml:space="preserve"> what some had been concerned about</w:t>
      </w:r>
      <w:r w:rsidR="00E07A55" w:rsidRPr="008B68A9">
        <w:rPr>
          <w:color w:val="000000"/>
          <w:szCs w:val="19"/>
        </w:rPr>
        <w:t xml:space="preserve"> for some time:</w:t>
      </w:r>
      <w:r w:rsidRPr="008B68A9">
        <w:rPr>
          <w:color w:val="000000"/>
          <w:szCs w:val="19"/>
        </w:rPr>
        <w:t xml:space="preserve"> that real choice in personal budgets has not been achieved nor properly researched (Glasby </w:t>
      </w:r>
      <w:r w:rsidR="00AC06A3" w:rsidRPr="008B68A9">
        <w:rPr>
          <w:i/>
          <w:color w:val="000000"/>
          <w:szCs w:val="19"/>
        </w:rPr>
        <w:t>et al.</w:t>
      </w:r>
      <w:r w:rsidRPr="008B68A9">
        <w:rPr>
          <w:color w:val="000000"/>
          <w:szCs w:val="19"/>
        </w:rPr>
        <w:t xml:space="preserve"> 2013).</w:t>
      </w:r>
      <w:r w:rsidR="00415741" w:rsidRPr="008B68A9">
        <w:rPr>
          <w:color w:val="000000"/>
          <w:szCs w:val="19"/>
        </w:rPr>
        <w:t xml:space="preserve"> </w:t>
      </w:r>
      <w:r w:rsidRPr="008B68A9">
        <w:rPr>
          <w:color w:val="000000"/>
          <w:szCs w:val="19"/>
        </w:rPr>
        <w:t>Worryingly perhaps is that whilst the response rate in this third evaluation was the highest of the three</w:t>
      </w:r>
      <w:r w:rsidR="00E07A55" w:rsidRPr="008B68A9">
        <w:rPr>
          <w:color w:val="000000"/>
          <w:szCs w:val="19"/>
        </w:rPr>
        <w:t>,</w:t>
      </w:r>
      <w:r w:rsidRPr="008B68A9">
        <w:rPr>
          <w:color w:val="000000"/>
          <w:szCs w:val="19"/>
        </w:rPr>
        <w:t xml:space="preserve"> it only represented half of the councils in England</w:t>
      </w:r>
      <w:r w:rsidR="00E07A55" w:rsidRPr="008B68A9">
        <w:rPr>
          <w:color w:val="000000"/>
          <w:szCs w:val="19"/>
        </w:rPr>
        <w:t>;</w:t>
      </w:r>
      <w:r w:rsidRPr="008B68A9">
        <w:rPr>
          <w:color w:val="000000"/>
          <w:szCs w:val="19"/>
        </w:rPr>
        <w:t xml:space="preserve"> and </w:t>
      </w:r>
      <w:r w:rsidR="00E07A55" w:rsidRPr="008B68A9">
        <w:rPr>
          <w:color w:val="000000"/>
          <w:szCs w:val="19"/>
        </w:rPr>
        <w:t xml:space="preserve">though </w:t>
      </w:r>
      <w:r w:rsidRPr="008B68A9">
        <w:rPr>
          <w:color w:val="000000"/>
          <w:szCs w:val="19"/>
        </w:rPr>
        <w:t xml:space="preserve">a sample </w:t>
      </w:r>
      <w:r w:rsidR="00E07A55" w:rsidRPr="008B68A9">
        <w:rPr>
          <w:color w:val="000000"/>
          <w:szCs w:val="19"/>
        </w:rPr>
        <w:t xml:space="preserve">of </w:t>
      </w:r>
      <w:r w:rsidRPr="008B68A9">
        <w:rPr>
          <w:color w:val="000000"/>
          <w:szCs w:val="19"/>
        </w:rPr>
        <w:t xml:space="preserve">4,000 may be considered sizable, in 2011 with approximately 30,000 personal budget users in England (Brookes </w:t>
      </w:r>
      <w:r w:rsidR="00AC06A3" w:rsidRPr="008B68A9">
        <w:rPr>
          <w:i/>
          <w:color w:val="000000"/>
          <w:szCs w:val="19"/>
        </w:rPr>
        <w:t>et al.</w:t>
      </w:r>
      <w:r w:rsidR="00F13432" w:rsidRPr="008B68A9">
        <w:rPr>
          <w:color w:val="000000"/>
          <w:szCs w:val="19"/>
        </w:rPr>
        <w:t xml:space="preserve"> 2013</w:t>
      </w:r>
      <w:r w:rsidRPr="008B68A9">
        <w:rPr>
          <w:color w:val="000000"/>
          <w:szCs w:val="19"/>
        </w:rPr>
        <w:t xml:space="preserve">), the overall POETs sample represents a very small part of an bigger picture. </w:t>
      </w:r>
    </w:p>
    <w:p w14:paraId="73901D19" w14:textId="5F567545" w:rsidR="00595B8D" w:rsidRPr="008B68A9" w:rsidRDefault="00595B8D" w:rsidP="002F0FD7">
      <w:pPr>
        <w:pStyle w:val="5arangedleft"/>
      </w:pPr>
      <w:r w:rsidRPr="008B68A9">
        <w:t xml:space="preserve">Critical appraisal of the POET studies </w:t>
      </w:r>
      <w:r w:rsidR="0029282D" w:rsidRPr="008B68A9">
        <w:t xml:space="preserve">from Slasberg </w:t>
      </w:r>
      <w:r w:rsidR="0029282D" w:rsidRPr="008B68A9">
        <w:rPr>
          <w:i/>
        </w:rPr>
        <w:t>et al.</w:t>
      </w:r>
      <w:r w:rsidR="0029282D" w:rsidRPr="008B68A9">
        <w:t xml:space="preserve"> (2012, 2013) </w:t>
      </w:r>
      <w:r w:rsidRPr="008B68A9">
        <w:t>argue</w:t>
      </w:r>
      <w:r w:rsidR="00F54B23" w:rsidRPr="008B68A9">
        <w:t>s that</w:t>
      </w:r>
      <w:r w:rsidRPr="008B68A9">
        <w:t xml:space="preserve"> the </w:t>
      </w:r>
      <w:r w:rsidR="0029282D" w:rsidRPr="008B68A9">
        <w:t xml:space="preserve">POET </w:t>
      </w:r>
      <w:r w:rsidRPr="008B68A9">
        <w:t xml:space="preserve">authors misrepresented data, stating the direct payment component of the budget </w:t>
      </w:r>
      <w:r w:rsidR="00F54B23" w:rsidRPr="008B68A9">
        <w:t xml:space="preserve">was </w:t>
      </w:r>
      <w:r w:rsidRPr="008B68A9">
        <w:t xml:space="preserve">evaluated favourably, whereas support planning processes which received more negative reports </w:t>
      </w:r>
      <w:r w:rsidR="00F54B23" w:rsidRPr="008B68A9">
        <w:t>were downplayed</w:t>
      </w:r>
      <w:r w:rsidRPr="008B68A9">
        <w:t>.</w:t>
      </w:r>
      <w:r w:rsidR="00415741" w:rsidRPr="008B68A9">
        <w:rPr>
          <w:color w:val="000000"/>
          <w:szCs w:val="19"/>
        </w:rPr>
        <w:t xml:space="preserve"> </w:t>
      </w:r>
      <w:r w:rsidRPr="008B68A9">
        <w:t>They also question the assertion that personalisation delivers better outcomes for the same or less public expenditure, claiming many of the positive aspects associated with the personal budgets were achieved with fundin</w:t>
      </w:r>
      <w:r w:rsidR="00EC722C" w:rsidRPr="008B68A9">
        <w:t>g on top of existing services</w:t>
      </w:r>
      <w:r w:rsidR="00F54B23" w:rsidRPr="008B68A9">
        <w:t xml:space="preserve"> </w:t>
      </w:r>
      <w:r w:rsidRPr="008B68A9">
        <w:t xml:space="preserve">(Slasberg </w:t>
      </w:r>
      <w:r w:rsidR="00AC06A3" w:rsidRPr="008B68A9">
        <w:rPr>
          <w:i/>
        </w:rPr>
        <w:t>et al.</w:t>
      </w:r>
      <w:r w:rsidRPr="008B68A9">
        <w:t xml:space="preserve"> 2012), and unlikely to be seen </w:t>
      </w:r>
      <w:r w:rsidR="00CB7346" w:rsidRPr="008B68A9">
        <w:t>had</w:t>
      </w:r>
      <w:r w:rsidRPr="008B68A9">
        <w:t xml:space="preserve"> individual budgets were the sole source.</w:t>
      </w:r>
    </w:p>
    <w:p w14:paraId="7AB92E0E" w14:textId="5819F8CB" w:rsidR="00595B8D" w:rsidRPr="008B68A9" w:rsidRDefault="00595B8D" w:rsidP="002F0FD7">
      <w:pPr>
        <w:pStyle w:val="5arangedleft"/>
      </w:pPr>
      <w:r w:rsidRPr="008B68A9">
        <w:t xml:space="preserve">The IBSeN and POET studies produced </w:t>
      </w:r>
      <w:r w:rsidR="0029282D" w:rsidRPr="008B68A9">
        <w:t>large scale</w:t>
      </w:r>
      <w:r w:rsidRPr="008B68A9">
        <w:t xml:space="preserve"> data on personalisation for statutory and third sector organisations,</w:t>
      </w:r>
      <w:r w:rsidR="00F54B23" w:rsidRPr="008B68A9">
        <w:t xml:space="preserve"> and</w:t>
      </w:r>
      <w:r w:rsidRPr="008B68A9">
        <w:t xml:space="preserve"> their sample populations were heterogeneous, with a small proportion of people whose primary need</w:t>
      </w:r>
      <w:r w:rsidR="00F54B23" w:rsidRPr="008B68A9">
        <w:t>s</w:t>
      </w:r>
      <w:r w:rsidRPr="008B68A9">
        <w:t xml:space="preserve"> were </w:t>
      </w:r>
      <w:r w:rsidR="00F54B23" w:rsidRPr="008B68A9">
        <w:t xml:space="preserve">due to </w:t>
      </w:r>
      <w:r w:rsidRPr="008B68A9">
        <w:t>mental health issues.</w:t>
      </w:r>
      <w:r w:rsidR="00415741" w:rsidRPr="008B68A9">
        <w:t xml:space="preserve"> </w:t>
      </w:r>
      <w:r w:rsidRPr="008B68A9">
        <w:t xml:space="preserve">Studies examining the impact and efficacy of personal budgets </w:t>
      </w:r>
      <w:r w:rsidR="00F54B23" w:rsidRPr="008B68A9">
        <w:t xml:space="preserve">on people </w:t>
      </w:r>
      <w:r w:rsidRPr="008B68A9">
        <w:t xml:space="preserve">with mental health problems are few, though the number of people in the UK affected by poor mental health is widely reported </w:t>
      </w:r>
      <w:r w:rsidR="00F54B23" w:rsidRPr="008B68A9">
        <w:t xml:space="preserve">as </w:t>
      </w:r>
      <w:r w:rsidRPr="008B68A9">
        <w:t xml:space="preserve">around 23% (Health and Social Care Information Centre </w:t>
      </w:r>
      <w:r w:rsidR="00E2416A" w:rsidRPr="008B68A9">
        <w:t>201</w:t>
      </w:r>
      <w:r w:rsidR="00A9273D" w:rsidRPr="008B68A9">
        <w:t>5</w:t>
      </w:r>
      <w:r w:rsidRPr="008B68A9">
        <w:t>), suggesting there ought be more representative sampling in studies.</w:t>
      </w:r>
      <w:r w:rsidR="00415741" w:rsidRPr="008B68A9">
        <w:t xml:space="preserve"> </w:t>
      </w:r>
      <w:r w:rsidRPr="008B68A9">
        <w:t>In order to ascertain the efficacy for self-direction in mental health</w:t>
      </w:r>
      <w:r w:rsidR="00195040" w:rsidRPr="008B68A9">
        <w:t>,</w:t>
      </w:r>
      <w:r w:rsidRPr="008B68A9">
        <w:t xml:space="preserve"> the evidence base in other countries is often cited, in particular the cash and </w:t>
      </w:r>
      <w:r w:rsidR="00195040" w:rsidRPr="008B68A9">
        <w:t>counseling</w:t>
      </w:r>
      <w:r w:rsidRPr="008B68A9">
        <w:t xml:space="preserve"> and self-directed care models in the US.</w:t>
      </w:r>
    </w:p>
    <w:p w14:paraId="115A55DE" w14:textId="77777777" w:rsidR="00B901D4" w:rsidRPr="008B68A9" w:rsidRDefault="00B901D4" w:rsidP="002F0FD7">
      <w:pPr>
        <w:pStyle w:val="5arangedleft"/>
      </w:pPr>
    </w:p>
    <w:p w14:paraId="2D28D788" w14:textId="74E3102D" w:rsidR="00595B8D" w:rsidRPr="008B68A9" w:rsidRDefault="00595B8D" w:rsidP="006B4701">
      <w:pPr>
        <w:pStyle w:val="8unnumberedcross-head"/>
      </w:pPr>
      <w:r w:rsidRPr="008B68A9">
        <w:lastRenderedPageBreak/>
        <w:t xml:space="preserve">Focusing </w:t>
      </w:r>
      <w:r w:rsidR="006B4701" w:rsidRPr="008B68A9">
        <w:t xml:space="preserve">on </w:t>
      </w:r>
      <w:r w:rsidRPr="008B68A9">
        <w:t>health</w:t>
      </w:r>
    </w:p>
    <w:p w14:paraId="12E14D68" w14:textId="727B0020" w:rsidR="00595B8D" w:rsidRPr="008B68A9" w:rsidRDefault="00595B8D" w:rsidP="002F0FD7">
      <w:pPr>
        <w:pStyle w:val="5arangedleft"/>
      </w:pPr>
      <w:r w:rsidRPr="008B68A9">
        <w:t>Personalisation as an area of policy and research has not been limited to social care</w:t>
      </w:r>
      <w:r w:rsidR="00383427" w:rsidRPr="008B68A9">
        <w:t>;</w:t>
      </w:r>
      <w:r w:rsidRPr="008B68A9">
        <w:t xml:space="preserve"> for long term conditions in health services</w:t>
      </w:r>
      <w:r w:rsidR="00383427" w:rsidRPr="008B68A9">
        <w:t>,</w:t>
      </w:r>
      <w:r w:rsidRPr="008B68A9">
        <w:t xml:space="preserve"> personal budgets </w:t>
      </w:r>
      <w:r w:rsidR="000362EE" w:rsidRPr="008B68A9">
        <w:t>utility has</w:t>
      </w:r>
      <w:r w:rsidRPr="008B68A9">
        <w:t xml:space="preserve"> been explored </w:t>
      </w:r>
      <w:r w:rsidR="000362EE" w:rsidRPr="008B68A9">
        <w:t>for their potential to shape</w:t>
      </w:r>
      <w:r w:rsidRPr="008B68A9">
        <w:t xml:space="preserve"> care received </w:t>
      </w:r>
      <w:r w:rsidR="000362EE" w:rsidRPr="008B68A9">
        <w:t>to</w:t>
      </w:r>
      <w:r w:rsidRPr="008B68A9">
        <w:t xml:space="preserve"> best suit the individual.</w:t>
      </w:r>
      <w:r w:rsidR="00415741" w:rsidRPr="008B68A9">
        <w:t xml:space="preserve"> </w:t>
      </w:r>
      <w:r w:rsidRPr="008B68A9">
        <w:t>The complexity of coordinating care and support between multiple agencies for people with long term conditions</w:t>
      </w:r>
      <w:r w:rsidR="000362EE" w:rsidRPr="008B68A9">
        <w:t xml:space="preserve"> has traditionally</w:t>
      </w:r>
      <w:r w:rsidRPr="008B68A9">
        <w:t xml:space="preserve"> </w:t>
      </w:r>
      <w:r w:rsidR="0029282D" w:rsidRPr="008B68A9">
        <w:t>meant</w:t>
      </w:r>
      <w:r w:rsidRPr="008B68A9">
        <w:t xml:space="preserve"> </w:t>
      </w:r>
      <w:r w:rsidR="000362EE" w:rsidRPr="008B68A9">
        <w:t xml:space="preserve">that </w:t>
      </w:r>
      <w:r w:rsidRPr="008B68A9">
        <w:t xml:space="preserve">patients </w:t>
      </w:r>
      <w:r w:rsidR="0029282D" w:rsidRPr="008B68A9">
        <w:t xml:space="preserve">were </w:t>
      </w:r>
      <w:r w:rsidRPr="008B68A9">
        <w:t>passive recipients, bound to care agencies</w:t>
      </w:r>
      <w:r w:rsidR="00383427" w:rsidRPr="008B68A9">
        <w:t>’</w:t>
      </w:r>
      <w:r w:rsidRPr="008B68A9">
        <w:t xml:space="preserve"> remit and service constraints.</w:t>
      </w:r>
      <w:r w:rsidR="00415741" w:rsidRPr="008B68A9">
        <w:t xml:space="preserve"> </w:t>
      </w:r>
      <w:r w:rsidRPr="008B68A9">
        <w:t xml:space="preserve">Forms of increased control for long term care have been attempted within the </w:t>
      </w:r>
      <w:r w:rsidR="00E46FF2" w:rsidRPr="008B68A9">
        <w:t>NHS</w:t>
      </w:r>
      <w:r w:rsidRPr="008B68A9">
        <w:t xml:space="preserve"> for a number of years (Alakeson 2013a), though those initiatives were often condition specific and time </w:t>
      </w:r>
      <w:r w:rsidR="0029282D" w:rsidRPr="008B68A9">
        <w:t>limited for 12-18 months</w:t>
      </w:r>
      <w:r w:rsidRPr="008B68A9">
        <w:t xml:space="preserve">, for example </w:t>
      </w:r>
      <w:r w:rsidR="00383427" w:rsidRPr="008B68A9">
        <w:rPr>
          <w:i/>
        </w:rPr>
        <w:t>P</w:t>
      </w:r>
      <w:r w:rsidRPr="008B68A9">
        <w:rPr>
          <w:i/>
        </w:rPr>
        <w:t>atients choice</w:t>
      </w:r>
      <w:r w:rsidRPr="008B68A9">
        <w:t xml:space="preserve"> (</w:t>
      </w:r>
      <w:r w:rsidR="00827D97" w:rsidRPr="008B68A9">
        <w:t>DH</w:t>
      </w:r>
      <w:r w:rsidRPr="008B68A9">
        <w:t xml:space="preserve"> 2005).</w:t>
      </w:r>
      <w:r w:rsidR="00415741" w:rsidRPr="008B68A9">
        <w:t xml:space="preserve"> </w:t>
      </w:r>
      <w:r w:rsidRPr="008B68A9">
        <w:t xml:space="preserve">Once again the promise of personalisation was being </w:t>
      </w:r>
      <w:r w:rsidR="0029282D" w:rsidRPr="008B68A9">
        <w:t>proposed</w:t>
      </w:r>
      <w:r w:rsidRPr="008B68A9">
        <w:t xml:space="preserve"> as </w:t>
      </w:r>
      <w:r w:rsidR="0029282D" w:rsidRPr="008B68A9">
        <w:t>a</w:t>
      </w:r>
      <w:r w:rsidRPr="008B68A9">
        <w:t xml:space="preserve"> method </w:t>
      </w:r>
      <w:r w:rsidR="0029282D" w:rsidRPr="008B68A9">
        <w:t>for</w:t>
      </w:r>
      <w:r w:rsidRPr="008B68A9">
        <w:t xml:space="preserve"> ensuring patient centred, flexible and holistic care </w:t>
      </w:r>
      <w:r w:rsidR="00383427" w:rsidRPr="008B68A9">
        <w:t xml:space="preserve">became </w:t>
      </w:r>
      <w:r w:rsidRPr="008B68A9">
        <w:t>a reality</w:t>
      </w:r>
      <w:r w:rsidR="00383427" w:rsidRPr="008B68A9">
        <w:t>,</w:t>
      </w:r>
      <w:r w:rsidRPr="008B68A9">
        <w:t xml:space="preserve"> and moreover could unify the social care</w:t>
      </w:r>
      <w:r w:rsidR="00383427" w:rsidRPr="008B68A9">
        <w:t>/</w:t>
      </w:r>
      <w:r w:rsidRPr="008B68A9">
        <w:t>health care divide with the patient as the service integrator (Alakeson 2013b).</w:t>
      </w:r>
    </w:p>
    <w:p w14:paraId="68634FD1" w14:textId="00B239A2" w:rsidR="00595B8D" w:rsidRPr="008B68A9" w:rsidRDefault="00595B8D" w:rsidP="002F0FD7">
      <w:pPr>
        <w:pStyle w:val="5arangedleft"/>
        <w:rPr>
          <w:rFonts w:ascii="Calibri" w:hAnsi="Calibri" w:cs="Calibri"/>
        </w:rPr>
      </w:pPr>
      <w:r w:rsidRPr="008B68A9">
        <w:t xml:space="preserve">The </w:t>
      </w:r>
      <w:r w:rsidR="00B546BE" w:rsidRPr="008B68A9">
        <w:t>DH</w:t>
      </w:r>
      <w:r w:rsidRPr="008B68A9">
        <w:t xml:space="preserve"> funded three year national Personal Health Budget pilot, </w:t>
      </w:r>
      <w:r w:rsidR="00842FA0" w:rsidRPr="008B68A9">
        <w:t xml:space="preserve">an </w:t>
      </w:r>
      <w:r w:rsidRPr="008B68A9">
        <w:t>in-depth mixed method study including randomisation, aimed to assess the feasibility of personal health budgets in the NHS.</w:t>
      </w:r>
      <w:r w:rsidR="00415741" w:rsidRPr="008B68A9">
        <w:t xml:space="preserve"> </w:t>
      </w:r>
      <w:r w:rsidRPr="008B68A9">
        <w:rPr>
          <w:rFonts w:cs="Calibri"/>
        </w:rPr>
        <w:t>A range of measures were employed on a sample of 2,235 patients across 75 sites</w:t>
      </w:r>
      <w:r w:rsidR="00842FA0" w:rsidRPr="008B68A9">
        <w:rPr>
          <w:rFonts w:cs="Calibri"/>
        </w:rPr>
        <w:t>,</w:t>
      </w:r>
      <w:r w:rsidRPr="008B68A9">
        <w:rPr>
          <w:rFonts w:cs="Calibri"/>
        </w:rPr>
        <w:t xml:space="preserve"> encompassing conditions such as neurological disorder, continuing health care, stroke, diabetes, chronic obstructive pulmonary disorder and mental health.</w:t>
      </w:r>
      <w:r w:rsidR="00415741" w:rsidRPr="008B68A9">
        <w:rPr>
          <w:rFonts w:cs="Calibri"/>
        </w:rPr>
        <w:t xml:space="preserve"> </w:t>
      </w:r>
      <w:r w:rsidRPr="008B68A9">
        <w:rPr>
          <w:rFonts w:ascii="Calibri" w:hAnsi="Calibri" w:cs="Calibri"/>
        </w:rPr>
        <w:t>The health budgets project adhered to the tenets of resource transparency</w:t>
      </w:r>
      <w:r w:rsidR="00842FA0" w:rsidRPr="008B68A9">
        <w:rPr>
          <w:rFonts w:ascii="Calibri" w:hAnsi="Calibri" w:cs="Calibri"/>
        </w:rPr>
        <w:t xml:space="preserve">, which had been </w:t>
      </w:r>
      <w:r w:rsidRPr="008B68A9">
        <w:rPr>
          <w:rFonts w:ascii="Calibri" w:hAnsi="Calibri" w:cs="Calibri"/>
        </w:rPr>
        <w:t xml:space="preserve">key from the inception of </w:t>
      </w:r>
      <w:r w:rsidR="002C4F4D" w:rsidRPr="008B68A9">
        <w:rPr>
          <w:rFonts w:ascii="Calibri" w:hAnsi="Calibri" w:cs="Calibri"/>
        </w:rPr>
        <w:t xml:space="preserve">Duffy’s (2005) Resource Allocation System, </w:t>
      </w:r>
      <w:r w:rsidRPr="008B68A9">
        <w:rPr>
          <w:rFonts w:ascii="Calibri" w:hAnsi="Calibri" w:cs="Calibri"/>
        </w:rPr>
        <w:t>flexib</w:t>
      </w:r>
      <w:r w:rsidR="00842FA0" w:rsidRPr="008B68A9">
        <w:rPr>
          <w:rFonts w:ascii="Calibri" w:hAnsi="Calibri" w:cs="Calibri"/>
        </w:rPr>
        <w:t>i</w:t>
      </w:r>
      <w:r w:rsidRPr="008B68A9">
        <w:rPr>
          <w:rFonts w:ascii="Calibri" w:hAnsi="Calibri" w:cs="Calibri"/>
        </w:rPr>
        <w:t>l</w:t>
      </w:r>
      <w:r w:rsidR="00842FA0" w:rsidRPr="008B68A9">
        <w:rPr>
          <w:rFonts w:ascii="Calibri" w:hAnsi="Calibri" w:cs="Calibri"/>
        </w:rPr>
        <w:t>it</w:t>
      </w:r>
      <w:r w:rsidR="002C4F4D" w:rsidRPr="008B68A9">
        <w:rPr>
          <w:rFonts w:ascii="Calibri" w:hAnsi="Calibri" w:cs="Calibri"/>
        </w:rPr>
        <w:t>y</w:t>
      </w:r>
      <w:r w:rsidRPr="008B68A9">
        <w:rPr>
          <w:rFonts w:ascii="Calibri" w:hAnsi="Calibri" w:cs="Calibri"/>
        </w:rPr>
        <w:t xml:space="preserve"> and </w:t>
      </w:r>
      <w:r w:rsidR="004E1E34" w:rsidRPr="008B68A9">
        <w:rPr>
          <w:rFonts w:ascii="Calibri" w:hAnsi="Calibri" w:cs="Calibri"/>
        </w:rPr>
        <w:t xml:space="preserve">also </w:t>
      </w:r>
      <w:r w:rsidRPr="008B68A9">
        <w:rPr>
          <w:rFonts w:ascii="Calibri" w:hAnsi="Calibri" w:cs="Calibri"/>
        </w:rPr>
        <w:t>exclude</w:t>
      </w:r>
      <w:r w:rsidR="00842FA0" w:rsidRPr="008B68A9">
        <w:rPr>
          <w:rFonts w:ascii="Calibri" w:hAnsi="Calibri" w:cs="Calibri"/>
        </w:rPr>
        <w:t>d</w:t>
      </w:r>
      <w:r w:rsidRPr="008B68A9">
        <w:rPr>
          <w:rFonts w:ascii="Calibri" w:hAnsi="Calibri" w:cs="Calibri"/>
        </w:rPr>
        <w:t xml:space="preserve"> top up or co-payment of funds for care; a significant concern </w:t>
      </w:r>
      <w:r w:rsidR="002C4F4D" w:rsidRPr="008B68A9">
        <w:rPr>
          <w:rFonts w:ascii="Calibri" w:hAnsi="Calibri" w:cs="Calibri"/>
        </w:rPr>
        <w:t>around</w:t>
      </w:r>
      <w:r w:rsidRPr="008B68A9">
        <w:rPr>
          <w:rFonts w:ascii="Calibri" w:hAnsi="Calibri" w:cs="Calibri"/>
        </w:rPr>
        <w:t xml:space="preserve"> personal health budgets (Alakeson 2013a).</w:t>
      </w:r>
      <w:r w:rsidR="00415741" w:rsidRPr="008B68A9">
        <w:rPr>
          <w:rFonts w:ascii="Calibri" w:hAnsi="Calibri" w:cs="Calibri"/>
        </w:rPr>
        <w:t xml:space="preserve"> </w:t>
      </w:r>
      <w:r w:rsidRPr="008B68A9">
        <w:rPr>
          <w:rFonts w:ascii="Calibri" w:hAnsi="Calibri" w:cs="Calibri"/>
        </w:rPr>
        <w:t xml:space="preserve">The </w:t>
      </w:r>
      <w:r w:rsidR="00B546BE" w:rsidRPr="008B68A9">
        <w:rPr>
          <w:rFonts w:ascii="Calibri" w:hAnsi="Calibri" w:cs="Calibri"/>
        </w:rPr>
        <w:t>DH</w:t>
      </w:r>
      <w:r w:rsidRPr="008B68A9">
        <w:rPr>
          <w:rFonts w:ascii="Calibri" w:hAnsi="Calibri" w:cs="Calibri"/>
        </w:rPr>
        <w:t xml:space="preserve"> (2012) specified that those accessing personal health budgets should be able to choose their outcomes (in agreement with care professionals), know their fund allocation, create their care plan</w:t>
      </w:r>
      <w:r w:rsidR="00842FA0" w:rsidRPr="008B68A9">
        <w:rPr>
          <w:rFonts w:ascii="Calibri" w:hAnsi="Calibri" w:cs="Calibri"/>
        </w:rPr>
        <w:t>,</w:t>
      </w:r>
      <w:r w:rsidRPr="008B68A9">
        <w:rPr>
          <w:rFonts w:ascii="Calibri" w:hAnsi="Calibri" w:cs="Calibri"/>
        </w:rPr>
        <w:t xml:space="preserve"> and manage their money in ways and means th</w:t>
      </w:r>
      <w:r w:rsidR="004E1E34" w:rsidRPr="008B68A9">
        <w:rPr>
          <w:rFonts w:ascii="Calibri" w:hAnsi="Calibri" w:cs="Calibri"/>
        </w:rPr>
        <w:t>at were most appropriate to their needs and circumstance</w:t>
      </w:r>
      <w:r w:rsidRPr="008B68A9">
        <w:rPr>
          <w:rFonts w:ascii="Calibri" w:hAnsi="Calibri" w:cs="Calibri"/>
        </w:rPr>
        <w:t xml:space="preserve"> (Alakeson </w:t>
      </w:r>
      <w:r w:rsidR="009A62E8" w:rsidRPr="008B68A9">
        <w:rPr>
          <w:rFonts w:ascii="Calibri" w:hAnsi="Calibri" w:cs="Calibri"/>
        </w:rPr>
        <w:t>2013b</w:t>
      </w:r>
      <w:r w:rsidRPr="008B68A9">
        <w:rPr>
          <w:rFonts w:ascii="Calibri" w:hAnsi="Calibri" w:cs="Calibri"/>
        </w:rPr>
        <w:t>).</w:t>
      </w:r>
      <w:r w:rsidR="00415741" w:rsidRPr="008B68A9">
        <w:rPr>
          <w:rFonts w:ascii="Calibri" w:hAnsi="Calibri" w:cs="Calibri"/>
        </w:rPr>
        <w:t xml:space="preserve"> </w:t>
      </w:r>
      <w:r w:rsidR="004E1E34" w:rsidRPr="008B68A9">
        <w:rPr>
          <w:rFonts w:ascii="Calibri" w:hAnsi="Calibri" w:cs="Calibri"/>
        </w:rPr>
        <w:t>The implication here wa</w:t>
      </w:r>
      <w:r w:rsidRPr="008B68A9">
        <w:rPr>
          <w:rFonts w:ascii="Calibri" w:hAnsi="Calibri" w:cs="Calibri"/>
        </w:rPr>
        <w:t>s one of mandated choice for the budget users, but also one of professional agreement too.</w:t>
      </w:r>
      <w:r w:rsidR="00415741" w:rsidRPr="008B68A9">
        <w:rPr>
          <w:rFonts w:ascii="Calibri" w:hAnsi="Calibri" w:cs="Calibri"/>
        </w:rPr>
        <w:t xml:space="preserve"> </w:t>
      </w:r>
      <w:r w:rsidRPr="008B68A9">
        <w:rPr>
          <w:rFonts w:ascii="Calibri" w:hAnsi="Calibri" w:cs="Calibri"/>
        </w:rPr>
        <w:t xml:space="preserve">Healthcare professionals </w:t>
      </w:r>
      <w:r w:rsidR="004E1E34" w:rsidRPr="008B68A9">
        <w:rPr>
          <w:rFonts w:ascii="Calibri" w:hAnsi="Calibri" w:cs="Calibri"/>
        </w:rPr>
        <w:t xml:space="preserve">relying on their professional and clinical judgements </w:t>
      </w:r>
      <w:r w:rsidRPr="008B68A9">
        <w:rPr>
          <w:rFonts w:ascii="Calibri" w:hAnsi="Calibri" w:cs="Calibri"/>
        </w:rPr>
        <w:t>could override or disp</w:t>
      </w:r>
      <w:r w:rsidR="004E1E34" w:rsidRPr="008B68A9">
        <w:rPr>
          <w:rFonts w:ascii="Calibri" w:hAnsi="Calibri" w:cs="Calibri"/>
        </w:rPr>
        <w:t>ute patient identified outcomes</w:t>
      </w:r>
      <w:r w:rsidRPr="008B68A9">
        <w:rPr>
          <w:rFonts w:ascii="Calibri" w:hAnsi="Calibri" w:cs="Calibri"/>
        </w:rPr>
        <w:t xml:space="preserve">. The mantra that budgets could only be used for items or services that </w:t>
      </w:r>
      <w:r w:rsidRPr="008B68A9">
        <w:rPr>
          <w:rFonts w:ascii="Calibri" w:hAnsi="Calibri" w:cs="Calibri"/>
        </w:rPr>
        <w:lastRenderedPageBreak/>
        <w:t>were healthy, legal and safe (</w:t>
      </w:r>
      <w:r w:rsidR="00B546BE" w:rsidRPr="008B68A9">
        <w:rPr>
          <w:rFonts w:ascii="Calibri" w:hAnsi="Calibri" w:cs="Calibri"/>
        </w:rPr>
        <w:t>DH</w:t>
      </w:r>
      <w:r w:rsidRPr="008B68A9">
        <w:rPr>
          <w:rFonts w:ascii="Calibri" w:hAnsi="Calibri" w:cs="Calibri"/>
        </w:rPr>
        <w:t xml:space="preserve"> 2009</w:t>
      </w:r>
      <w:r w:rsidR="000354E1" w:rsidRPr="008B68A9">
        <w:rPr>
          <w:rFonts w:ascii="Calibri" w:hAnsi="Calibri" w:cs="Calibri"/>
        </w:rPr>
        <w:t>a</w:t>
      </w:r>
      <w:r w:rsidR="00842FA0" w:rsidRPr="008B68A9">
        <w:rPr>
          <w:rFonts w:ascii="Calibri" w:hAnsi="Calibri" w:cs="Calibri"/>
        </w:rPr>
        <w:t>,</w:t>
      </w:r>
      <w:r w:rsidRPr="008B68A9">
        <w:rPr>
          <w:rFonts w:ascii="Calibri" w:hAnsi="Calibri" w:cs="Calibri"/>
        </w:rPr>
        <w:t xml:space="preserve"> from Forder </w:t>
      </w:r>
      <w:r w:rsidR="00AC06A3" w:rsidRPr="008B68A9">
        <w:rPr>
          <w:rFonts w:ascii="Calibri" w:hAnsi="Calibri" w:cs="Calibri"/>
          <w:i/>
        </w:rPr>
        <w:t>et al.</w:t>
      </w:r>
      <w:r w:rsidR="004E1E34" w:rsidRPr="008B68A9">
        <w:rPr>
          <w:rFonts w:ascii="Calibri" w:hAnsi="Calibri" w:cs="Calibri"/>
        </w:rPr>
        <w:t xml:space="preserve"> 2012), </w:t>
      </w:r>
      <w:r w:rsidRPr="008B68A9">
        <w:rPr>
          <w:rFonts w:ascii="Calibri" w:hAnsi="Calibri" w:cs="Calibri"/>
        </w:rPr>
        <w:t>present in most self-determination programmes serves as a brake, where public agencies and their representatives exert executive authority</w:t>
      </w:r>
      <w:r w:rsidR="004E1E34" w:rsidRPr="008B68A9">
        <w:rPr>
          <w:rFonts w:ascii="Calibri" w:hAnsi="Calibri" w:cs="Calibri"/>
        </w:rPr>
        <w:t xml:space="preserve"> over budgets and plans </w:t>
      </w:r>
      <w:r w:rsidRPr="008B68A9">
        <w:rPr>
          <w:rFonts w:ascii="Calibri" w:hAnsi="Calibri" w:cs="Calibri"/>
        </w:rPr>
        <w:t xml:space="preserve">in the guise of </w:t>
      </w:r>
      <w:r w:rsidR="004E1E34" w:rsidRPr="008B68A9">
        <w:rPr>
          <w:rFonts w:ascii="Calibri" w:hAnsi="Calibri" w:cs="Calibri"/>
        </w:rPr>
        <w:t xml:space="preserve">manging </w:t>
      </w:r>
      <w:r w:rsidRPr="008B68A9">
        <w:rPr>
          <w:rFonts w:ascii="Calibri" w:hAnsi="Calibri" w:cs="Calibri"/>
        </w:rPr>
        <w:t>risk, probity and possibly of image too within a context of austerity.</w:t>
      </w:r>
    </w:p>
    <w:p w14:paraId="44F9F83E" w14:textId="4A666A4D" w:rsidR="00595B8D" w:rsidRPr="008B68A9" w:rsidRDefault="00595B8D" w:rsidP="002F0FD7">
      <w:pPr>
        <w:pStyle w:val="5arangedleft"/>
      </w:pPr>
      <w:r w:rsidRPr="008B68A9">
        <w:t>A comprehensive battery of measures includ</w:t>
      </w:r>
      <w:r w:rsidR="00A765B7" w:rsidRPr="008B68A9">
        <w:t>ing</w:t>
      </w:r>
      <w:r w:rsidRPr="008B68A9">
        <w:t xml:space="preserve"> care-related quality of life indicators (perceived health and well-being scales) were employed</w:t>
      </w:r>
      <w:r w:rsidR="00A765B7" w:rsidRPr="008B68A9">
        <w:t>,</w:t>
      </w:r>
      <w:r w:rsidRPr="008B68A9">
        <w:t xml:space="preserve"> as were quality of life tools gauging underlying health conditions.</w:t>
      </w:r>
      <w:r w:rsidR="00415741" w:rsidRPr="008B68A9">
        <w:t xml:space="preserve"> </w:t>
      </w:r>
      <w:r w:rsidRPr="008B68A9">
        <w:t xml:space="preserve">Psychological wellbeing and affective disorder screening tools were employed as well as the POETs measure (Waters and Hatton </w:t>
      </w:r>
      <w:r w:rsidR="009A62E8" w:rsidRPr="008B68A9">
        <w:t>2014</w:t>
      </w:r>
      <w:r w:rsidRPr="008B68A9">
        <w:t>).</w:t>
      </w:r>
      <w:r w:rsidR="00415741" w:rsidRPr="008B68A9">
        <w:t xml:space="preserve"> </w:t>
      </w:r>
      <w:r w:rsidRPr="008B68A9">
        <w:t xml:space="preserve">The study tested </w:t>
      </w:r>
      <w:r w:rsidRPr="008B68A9">
        <w:rPr>
          <w:szCs w:val="21"/>
        </w:rPr>
        <w:t>five personal budget deployment models which ranged from those most closely aligned to the principles of self-direction, where upfront resources were known to</w:t>
      </w:r>
      <w:r w:rsidR="00A765B7" w:rsidRPr="008B68A9">
        <w:rPr>
          <w:szCs w:val="21"/>
        </w:rPr>
        <w:t xml:space="preserve"> the</w:t>
      </w:r>
      <w:r w:rsidRPr="008B68A9">
        <w:rPr>
          <w:szCs w:val="21"/>
        </w:rPr>
        <w:t xml:space="preserve"> patient and could be flexibility spent, to fixed budgets which were offered via a menu of service options or combinations thereof.</w:t>
      </w:r>
      <w:r w:rsidR="00415741" w:rsidRPr="008B68A9">
        <w:rPr>
          <w:szCs w:val="21"/>
        </w:rPr>
        <w:t xml:space="preserve"> </w:t>
      </w:r>
      <w:r w:rsidRPr="008B68A9">
        <w:t>This was an important study representing the most detailed trial attempting to generate evidence of the effect and viability of personalisation in English healthcare</w:t>
      </w:r>
      <w:r w:rsidR="00A765B7" w:rsidRPr="008B68A9">
        <w:t>,</w:t>
      </w:r>
      <w:r w:rsidRPr="008B68A9">
        <w:t xml:space="preserve"> at a time when the arbitrary divisions between health and social care for certain conditions were centre stage with the publishing of the Health and Social Care </w:t>
      </w:r>
      <w:r w:rsidR="00A765B7" w:rsidRPr="008B68A9">
        <w:t>A</w:t>
      </w:r>
      <w:r w:rsidRPr="008B68A9">
        <w:t>ct (</w:t>
      </w:r>
      <w:r w:rsidR="00B546BE" w:rsidRPr="008B68A9">
        <w:t>DH</w:t>
      </w:r>
      <w:r w:rsidRPr="008B68A9">
        <w:t xml:space="preserve"> 2012).</w:t>
      </w:r>
      <w:r w:rsidR="00415741" w:rsidRPr="008B68A9">
        <w:t xml:space="preserve"> </w:t>
      </w:r>
      <w:r w:rsidRPr="008B68A9">
        <w:t>The outcomes demonstrated that in the main, no benefits in clinical health terms were found.</w:t>
      </w:r>
      <w:r w:rsidR="00415741" w:rsidRPr="008B68A9">
        <w:t xml:space="preserve"> </w:t>
      </w:r>
      <w:r w:rsidRPr="008B68A9">
        <w:t>For most personal health budget recipients</w:t>
      </w:r>
      <w:r w:rsidR="00A765B7" w:rsidRPr="008B68A9">
        <w:t>,</w:t>
      </w:r>
      <w:r w:rsidRPr="008B68A9">
        <w:t xml:space="preserve"> however, as with other personalisation evaluations (Doty </w:t>
      </w:r>
      <w:r w:rsidR="00AC06A3" w:rsidRPr="008B68A9">
        <w:rPr>
          <w:i/>
        </w:rPr>
        <w:t>et al.</w:t>
      </w:r>
      <w:r w:rsidRPr="008B68A9">
        <w:t xml:space="preserve"> </w:t>
      </w:r>
      <w:r w:rsidR="009A62E8" w:rsidRPr="008B68A9">
        <w:t>2007</w:t>
      </w:r>
      <w:r w:rsidRPr="008B68A9">
        <w:t xml:space="preserve">, Glendinning </w:t>
      </w:r>
      <w:r w:rsidR="00AC06A3" w:rsidRPr="008B68A9">
        <w:rPr>
          <w:i/>
        </w:rPr>
        <w:t>et al.</w:t>
      </w:r>
      <w:r w:rsidRPr="008B68A9">
        <w:t xml:space="preserve"> 2008, Cook </w:t>
      </w:r>
      <w:r w:rsidR="00AC06A3" w:rsidRPr="008B68A9">
        <w:rPr>
          <w:i/>
        </w:rPr>
        <w:t>et al.</w:t>
      </w:r>
      <w:r w:rsidRPr="008B68A9">
        <w:t xml:space="preserve"> 2008</w:t>
      </w:r>
      <w:r w:rsidR="00A765B7" w:rsidRPr="008B68A9">
        <w:t>,</w:t>
      </w:r>
      <w:r w:rsidRPr="008B68A9">
        <w:t xml:space="preserve"> and others), PHB users experienced greater satisfaction than those using traditional services.</w:t>
      </w:r>
      <w:r w:rsidR="00415741" w:rsidRPr="008B68A9">
        <w:t xml:space="preserve"> </w:t>
      </w:r>
      <w:r w:rsidRPr="008B68A9">
        <w:t xml:space="preserve">Larger </w:t>
      </w:r>
      <w:r w:rsidR="00A765B7" w:rsidRPr="008B68A9">
        <w:t>b</w:t>
      </w:r>
      <w:r w:rsidRPr="008B68A9">
        <w:t>udgets, as opposed to ones of £1000 or less</w:t>
      </w:r>
      <w:r w:rsidR="00A765B7" w:rsidRPr="008B68A9">
        <w:t>,</w:t>
      </w:r>
      <w:r w:rsidRPr="008B68A9">
        <w:t xml:space="preserve"> were more effective.</w:t>
      </w:r>
      <w:r w:rsidR="00415741" w:rsidRPr="008B68A9">
        <w:t xml:space="preserve"> </w:t>
      </w:r>
      <w:r w:rsidRPr="008B68A9">
        <w:t xml:space="preserve">Forder </w:t>
      </w:r>
      <w:r w:rsidR="00AC06A3" w:rsidRPr="008B68A9">
        <w:rPr>
          <w:i/>
        </w:rPr>
        <w:t>et al.</w:t>
      </w:r>
      <w:r w:rsidRPr="008B68A9">
        <w:t xml:space="preserve"> (2012) suggest </w:t>
      </w:r>
      <w:r w:rsidR="00016B03" w:rsidRPr="008B68A9">
        <w:t xml:space="preserve">that </w:t>
      </w:r>
      <w:r w:rsidRPr="008B68A9">
        <w:t xml:space="preserve">larger budgets used by people with more complex needs </w:t>
      </w:r>
      <w:r w:rsidR="00016B03" w:rsidRPr="008B68A9">
        <w:t xml:space="preserve">and </w:t>
      </w:r>
      <w:r w:rsidRPr="008B68A9">
        <w:t>whose care necessitated</w:t>
      </w:r>
      <w:r w:rsidR="00016B03" w:rsidRPr="008B68A9">
        <w:t xml:space="preserve"> more agencies involvement were paradoxically</w:t>
      </w:r>
      <w:r w:rsidRPr="008B68A9">
        <w:t xml:space="preserve"> better able to control who, when and how </w:t>
      </w:r>
      <w:r w:rsidR="00016B03" w:rsidRPr="008B68A9">
        <w:t>their service was provided</w:t>
      </w:r>
      <w:r w:rsidRPr="008B68A9">
        <w:t>; similar findings were found in some US studies with people with long term need</w:t>
      </w:r>
      <w:r w:rsidR="00A765B7" w:rsidRPr="008B68A9">
        <w:t>s</w:t>
      </w:r>
      <w:r w:rsidRPr="008B68A9">
        <w:t xml:space="preserve"> (Foster </w:t>
      </w:r>
      <w:r w:rsidR="00AC06A3" w:rsidRPr="008B68A9">
        <w:rPr>
          <w:i/>
        </w:rPr>
        <w:t>et al.</w:t>
      </w:r>
      <w:r w:rsidRPr="008B68A9">
        <w:t xml:space="preserve"> </w:t>
      </w:r>
      <w:r w:rsidR="009A62E8" w:rsidRPr="008B68A9">
        <w:t>2003</w:t>
      </w:r>
      <w:r w:rsidRPr="008B68A9">
        <w:t xml:space="preserve">, Doty </w:t>
      </w:r>
      <w:r w:rsidR="00AC06A3" w:rsidRPr="008B68A9">
        <w:rPr>
          <w:i/>
        </w:rPr>
        <w:t>et al.</w:t>
      </w:r>
      <w:r w:rsidRPr="008B68A9">
        <w:t xml:space="preserve"> 2007).</w:t>
      </w:r>
    </w:p>
    <w:p w14:paraId="4992AAD2" w14:textId="77777777" w:rsidR="00E53180" w:rsidRPr="008B68A9" w:rsidRDefault="00E53180" w:rsidP="002F0FD7">
      <w:pPr>
        <w:pStyle w:val="5arangedleft"/>
        <w:rPr>
          <w:szCs w:val="21"/>
        </w:rPr>
      </w:pPr>
    </w:p>
    <w:p w14:paraId="44B52AE7" w14:textId="133535D7" w:rsidR="00595B8D" w:rsidRPr="008B68A9" w:rsidRDefault="00595B8D" w:rsidP="006B4701">
      <w:pPr>
        <w:pStyle w:val="8unnumberedcross-head"/>
      </w:pPr>
      <w:r w:rsidRPr="008B68A9">
        <w:lastRenderedPageBreak/>
        <w:t xml:space="preserve">Mental health </w:t>
      </w:r>
      <w:r w:rsidR="0029282D" w:rsidRPr="008B68A9">
        <w:t xml:space="preserve">sample in the </w:t>
      </w:r>
      <w:r w:rsidR="006B4701" w:rsidRPr="008B68A9">
        <w:t>P</w:t>
      </w:r>
      <w:r w:rsidR="0029282D" w:rsidRPr="008B68A9">
        <w:t xml:space="preserve">ersonal </w:t>
      </w:r>
      <w:r w:rsidR="006B4701" w:rsidRPr="008B68A9">
        <w:t>H</w:t>
      </w:r>
      <w:r w:rsidR="0029282D" w:rsidRPr="008B68A9">
        <w:t xml:space="preserve">ealth </w:t>
      </w:r>
      <w:r w:rsidR="006B4701" w:rsidRPr="008B68A9">
        <w:t>B</w:t>
      </w:r>
      <w:r w:rsidR="0029282D" w:rsidRPr="008B68A9">
        <w:t>udget study</w:t>
      </w:r>
      <w:r w:rsidR="00C10C6A" w:rsidRPr="008B68A9">
        <w:t xml:space="preserve"> </w:t>
      </w:r>
    </w:p>
    <w:p w14:paraId="753BCB96" w14:textId="19B044FF" w:rsidR="00595B8D" w:rsidRPr="008B68A9" w:rsidRDefault="00595B8D" w:rsidP="002F0FD7">
      <w:pPr>
        <w:pStyle w:val="5arangedleft"/>
      </w:pPr>
      <w:r w:rsidRPr="008B68A9">
        <w:t>People with mental health issues accessing personal health budgets (n=234), reported good satisfaction and improvements in psychological wellbeing, suggesting that personal health budgets were cost-effective for mental health and should be extended.</w:t>
      </w:r>
      <w:r w:rsidR="00415741" w:rsidRPr="008B68A9">
        <w:t xml:space="preserve"> </w:t>
      </w:r>
      <w:r w:rsidRPr="008B68A9">
        <w:t xml:space="preserve">However as the Forder </w:t>
      </w:r>
      <w:r w:rsidR="00AC06A3" w:rsidRPr="008B68A9">
        <w:rPr>
          <w:i/>
        </w:rPr>
        <w:t>et al.</w:t>
      </w:r>
      <w:r w:rsidR="006B4701" w:rsidRPr="008B68A9">
        <w:t xml:space="preserve"> study</w:t>
      </w:r>
      <w:r w:rsidRPr="008B68A9">
        <w:t xml:space="preserve"> (2012) showed, whilst larger budgets and more complex </w:t>
      </w:r>
      <w:r w:rsidR="0029282D" w:rsidRPr="008B68A9">
        <w:t xml:space="preserve">physical </w:t>
      </w:r>
      <w:r w:rsidRPr="008B68A9">
        <w:t xml:space="preserve">need produced the </w:t>
      </w:r>
      <w:r w:rsidR="0029282D" w:rsidRPr="008B68A9">
        <w:t>most significant measurable</w:t>
      </w:r>
      <w:r w:rsidR="00273C2F" w:rsidRPr="008B68A9">
        <w:t xml:space="preserve"> </w:t>
      </w:r>
      <w:r w:rsidRPr="008B68A9">
        <w:t xml:space="preserve">effect, </w:t>
      </w:r>
      <w:r w:rsidR="0029282D" w:rsidRPr="008B68A9">
        <w:t xml:space="preserve">I suggest that </w:t>
      </w:r>
      <w:r w:rsidR="00273C2F" w:rsidRPr="008B68A9">
        <w:t>c</w:t>
      </w:r>
      <w:r w:rsidRPr="008B68A9">
        <w:t xml:space="preserve">omplexity in mental health may not </w:t>
      </w:r>
      <w:r w:rsidR="0029282D" w:rsidRPr="008B68A9">
        <w:t>be similar</w:t>
      </w:r>
      <w:r w:rsidRPr="008B68A9">
        <w:t xml:space="preserve"> to</w:t>
      </w:r>
      <w:r w:rsidR="0029282D" w:rsidRPr="008B68A9">
        <w:t xml:space="preserve"> supporting </w:t>
      </w:r>
      <w:r w:rsidRPr="008B68A9">
        <w:t xml:space="preserve">stable and predictable conditions </w:t>
      </w:r>
      <w:r w:rsidR="0029282D" w:rsidRPr="008B68A9">
        <w:t>such as</w:t>
      </w:r>
      <w:r w:rsidRPr="008B68A9">
        <w:t xml:space="preserve"> for people with continuing health care need.</w:t>
      </w:r>
      <w:r w:rsidR="00415741" w:rsidRPr="008B68A9">
        <w:t xml:space="preserve"> </w:t>
      </w:r>
      <w:r w:rsidRPr="008B68A9">
        <w:t>Therefore translating personal health budgets into mental health settings may require a more nuanced approach</w:t>
      </w:r>
      <w:r w:rsidR="006B4701" w:rsidRPr="008B68A9">
        <w:t>,</w:t>
      </w:r>
      <w:r w:rsidRPr="008B68A9">
        <w:t xml:space="preserve"> as the transient nature of mental health presents unique challenges for a personalised system of care</w:t>
      </w:r>
      <w:r w:rsidR="006B4701" w:rsidRPr="008B68A9">
        <w:t>:</w:t>
      </w:r>
      <w:r w:rsidRPr="008B68A9">
        <w:t xml:space="preserve"> when </w:t>
      </w:r>
      <w:r w:rsidR="006B4701" w:rsidRPr="008B68A9">
        <w:t xml:space="preserve">a </w:t>
      </w:r>
      <w:r w:rsidRPr="008B68A9">
        <w:t>crisis occur</w:t>
      </w:r>
      <w:r w:rsidR="006B4701" w:rsidRPr="008B68A9">
        <w:t>s,</w:t>
      </w:r>
      <w:r w:rsidRPr="008B68A9">
        <w:t xml:space="preserve"> capacity may diminish and levels of intervention may rise.</w:t>
      </w:r>
      <w:r w:rsidR="00415741" w:rsidRPr="008B68A9">
        <w:t xml:space="preserve"> </w:t>
      </w:r>
    </w:p>
    <w:p w14:paraId="11FE3A5F" w14:textId="2286096B" w:rsidR="00595B8D" w:rsidRPr="008B68A9" w:rsidRDefault="00595B8D" w:rsidP="002F0FD7">
      <w:pPr>
        <w:pStyle w:val="5arangedleft"/>
      </w:pPr>
      <w:r w:rsidRPr="008B68A9">
        <w:t>Men</w:t>
      </w:r>
      <w:r w:rsidR="00F530D2" w:rsidRPr="008B68A9">
        <w:t>tal health budget users in my study</w:t>
      </w:r>
      <w:r w:rsidRPr="008B68A9">
        <w:t xml:space="preserve"> spent most </w:t>
      </w:r>
      <w:r w:rsidR="00F530D2" w:rsidRPr="008B68A9">
        <w:t xml:space="preserve">of their allocated budgets </w:t>
      </w:r>
      <w:r w:rsidRPr="008B68A9">
        <w:t xml:space="preserve">on what </w:t>
      </w:r>
      <w:r w:rsidR="00F530D2" w:rsidRPr="008B68A9">
        <w:t>might</w:t>
      </w:r>
      <w:r w:rsidRPr="008B68A9">
        <w:t xml:space="preserve"> be categorised as social care purchases, often small but important items for their recovery</w:t>
      </w:r>
      <w:r w:rsidR="00F530D2" w:rsidRPr="008B68A9">
        <w:t xml:space="preserve"> journeys</w:t>
      </w:r>
      <w:r w:rsidRPr="008B68A9">
        <w:t xml:space="preserve">, something seen in other studies (Brookes </w:t>
      </w:r>
      <w:r w:rsidR="00AC06A3" w:rsidRPr="008B68A9">
        <w:rPr>
          <w:i/>
        </w:rPr>
        <w:t>et al.</w:t>
      </w:r>
      <w:r w:rsidR="00F13432" w:rsidRPr="008B68A9">
        <w:t xml:space="preserve"> 2013</w:t>
      </w:r>
      <w:r w:rsidRPr="008B68A9">
        <w:t xml:space="preserve">, Croft and Parish 2016). Boundaries between health </w:t>
      </w:r>
      <w:r w:rsidR="00273C2F" w:rsidRPr="008B68A9">
        <w:t>and</w:t>
      </w:r>
      <w:r w:rsidRPr="008B68A9">
        <w:t xml:space="preserve"> social care</w:t>
      </w:r>
      <w:r w:rsidR="00273C2F" w:rsidRPr="008B68A9">
        <w:t xml:space="preserve"> needs</w:t>
      </w:r>
      <w:r w:rsidRPr="008B68A9">
        <w:t xml:space="preserve"> are often grey (Gadsby </w:t>
      </w:r>
      <w:r w:rsidR="00AC06A3" w:rsidRPr="008B68A9">
        <w:rPr>
          <w:i/>
        </w:rPr>
        <w:t>et al.</w:t>
      </w:r>
      <w:r w:rsidRPr="008B68A9">
        <w:t xml:space="preserve"> 2013), disputed or contestable with little to guide service commissioners other than arbitrary policy divides (Baker 2014). </w:t>
      </w:r>
      <w:r w:rsidR="00273C2F" w:rsidRPr="008B68A9">
        <w:t xml:space="preserve">The </w:t>
      </w:r>
      <w:r w:rsidRPr="008B68A9">
        <w:t xml:space="preserve">Forder </w:t>
      </w:r>
      <w:r w:rsidR="00AC06A3" w:rsidRPr="008B68A9">
        <w:rPr>
          <w:i/>
        </w:rPr>
        <w:t>et al.</w:t>
      </w:r>
      <w:r w:rsidRPr="008B68A9">
        <w:t xml:space="preserve"> (2012) study impacted </w:t>
      </w:r>
      <w:r w:rsidR="007D2FBE" w:rsidRPr="008B68A9">
        <w:t>g</w:t>
      </w:r>
      <w:r w:rsidRPr="008B68A9">
        <w:t xml:space="preserve">overnment policy even before </w:t>
      </w:r>
      <w:r w:rsidR="00F530D2" w:rsidRPr="008B68A9">
        <w:t>the results</w:t>
      </w:r>
      <w:r w:rsidRPr="008B68A9">
        <w:t xml:space="preserve"> release in autumn 2012</w:t>
      </w:r>
      <w:r w:rsidR="007D2FBE" w:rsidRPr="008B68A9">
        <w:t>,</w:t>
      </w:r>
      <w:r w:rsidRPr="008B68A9">
        <w:t xml:space="preserve"> with the then Care and Support minister Norman Lamb affirm</w:t>
      </w:r>
      <w:r w:rsidR="007D2FBE" w:rsidRPr="008B68A9">
        <w:t>ing</w:t>
      </w:r>
      <w:r w:rsidRPr="008B68A9">
        <w:t xml:space="preserve"> his commitment to the expansion of </w:t>
      </w:r>
      <w:r w:rsidR="007D2FBE" w:rsidRPr="008B68A9">
        <w:t>PHBs</w:t>
      </w:r>
      <w:r w:rsidRPr="008B68A9">
        <w:t xml:space="preserve"> a month after Forder </w:t>
      </w:r>
      <w:r w:rsidR="00AC06A3" w:rsidRPr="008B68A9">
        <w:rPr>
          <w:i/>
        </w:rPr>
        <w:t>et al.</w:t>
      </w:r>
      <w:r w:rsidRPr="008B68A9">
        <w:t xml:space="preserve"> published their final report</w:t>
      </w:r>
      <w:r w:rsidR="002B7FB5" w:rsidRPr="008B68A9">
        <w:t>,</w:t>
      </w:r>
      <w:r w:rsidRPr="008B68A9">
        <w:t xml:space="preserve"> stating, “Independent analysis has now shown that personal health budgets can put people back in control of their care and make a significant difference to their quality of life” (Lamb 2012), </w:t>
      </w:r>
      <w:r w:rsidR="002B7FB5" w:rsidRPr="008B68A9">
        <w:t xml:space="preserve">and </w:t>
      </w:r>
      <w:r w:rsidRPr="008B68A9">
        <w:t>declaring that everyone should have the right to a personal budget, something later enshrined in the Care Act (2014).</w:t>
      </w:r>
      <w:r w:rsidR="00415741" w:rsidRPr="008B68A9">
        <w:t xml:space="preserve"> </w:t>
      </w:r>
      <w:r w:rsidRPr="008B68A9">
        <w:t xml:space="preserve">Critics </w:t>
      </w:r>
      <w:r w:rsidR="00F530D2" w:rsidRPr="008B68A9">
        <w:t xml:space="preserve">of expanding personalisation such as </w:t>
      </w:r>
      <w:r w:rsidR="008C2F30" w:rsidRPr="008B68A9">
        <w:t xml:space="preserve">Mathews-King </w:t>
      </w:r>
      <w:r w:rsidR="00F530D2" w:rsidRPr="008B68A9">
        <w:t>(</w:t>
      </w:r>
      <w:r w:rsidR="008C2F30" w:rsidRPr="008B68A9">
        <w:t>2014</w:t>
      </w:r>
      <w:r w:rsidRPr="008B68A9">
        <w:t xml:space="preserve">) cite the government’s enthusiasm exceeded the evidential basis provided by the personal health budget evaluation. No significant evidence of improvement in clinical outcomes or measurable </w:t>
      </w:r>
      <w:r w:rsidR="00EC722C" w:rsidRPr="008B68A9">
        <w:t>health gains could be reported,</w:t>
      </w:r>
      <w:r w:rsidRPr="008B68A9">
        <w:t xml:space="preserve"> though </w:t>
      </w:r>
      <w:r w:rsidR="007D2FBE" w:rsidRPr="008B68A9">
        <w:t xml:space="preserve">the </w:t>
      </w:r>
      <w:r w:rsidRPr="008B68A9">
        <w:t xml:space="preserve">suspicion </w:t>
      </w:r>
      <w:r w:rsidR="00F530D2" w:rsidRPr="008B68A9">
        <w:t xml:space="preserve">of Slasberg </w:t>
      </w:r>
      <w:r w:rsidR="00F530D2" w:rsidRPr="008B68A9">
        <w:rPr>
          <w:i/>
        </w:rPr>
        <w:t>et al.</w:t>
      </w:r>
      <w:r w:rsidR="00F530D2" w:rsidRPr="008B68A9">
        <w:t xml:space="preserve"> (2014) </w:t>
      </w:r>
      <w:r w:rsidRPr="008B68A9">
        <w:t xml:space="preserve">by that time </w:t>
      </w:r>
      <w:r w:rsidR="007D2FBE" w:rsidRPr="008B68A9">
        <w:t xml:space="preserve">was </w:t>
      </w:r>
      <w:r w:rsidRPr="008B68A9">
        <w:t xml:space="preserve">that personalisation was more than a policy restoring rights to societally disadvantaged groups, </w:t>
      </w:r>
      <w:r w:rsidR="00F530D2" w:rsidRPr="008B68A9">
        <w:t xml:space="preserve">but one </w:t>
      </w:r>
      <w:r w:rsidRPr="008B68A9">
        <w:t>represent</w:t>
      </w:r>
      <w:r w:rsidR="007D2FBE" w:rsidRPr="008B68A9">
        <w:t>ing</w:t>
      </w:r>
      <w:r w:rsidRPr="008B68A9">
        <w:t xml:space="preserve"> a means </w:t>
      </w:r>
      <w:r w:rsidRPr="008B68A9">
        <w:lastRenderedPageBreak/>
        <w:t>of enacting austerity measures</w:t>
      </w:r>
      <w:r w:rsidR="007D2FBE" w:rsidRPr="008B68A9">
        <w:t xml:space="preserve"> and </w:t>
      </w:r>
      <w:r w:rsidRPr="008B68A9">
        <w:t xml:space="preserve">pursuing a political idea of personal responsibility </w:t>
      </w:r>
      <w:r w:rsidR="002B7FB5" w:rsidRPr="008B68A9">
        <w:t xml:space="preserve">in preference to a </w:t>
      </w:r>
      <w:r w:rsidRPr="008B68A9">
        <w:t>government maintain</w:t>
      </w:r>
      <w:r w:rsidR="002B7FB5" w:rsidRPr="008B68A9">
        <w:t>ed</w:t>
      </w:r>
      <w:r w:rsidRPr="008B68A9">
        <w:t xml:space="preserve"> culture of dependence.</w:t>
      </w:r>
    </w:p>
    <w:p w14:paraId="6112122C" w14:textId="3EFF2543" w:rsidR="00595B8D" w:rsidRPr="008B68A9" w:rsidRDefault="00595B8D" w:rsidP="002F0FD7">
      <w:pPr>
        <w:pStyle w:val="5arangedleft"/>
      </w:pPr>
      <w:r w:rsidRPr="008B68A9">
        <w:t xml:space="preserve">The movement </w:t>
      </w:r>
      <w:r w:rsidR="002B7FB5" w:rsidRPr="008B68A9">
        <w:t xml:space="preserve">toward </w:t>
      </w:r>
      <w:r w:rsidRPr="008B68A9">
        <w:t>increased control and self-direction is not limited to the United Kingdom</w:t>
      </w:r>
      <w:r w:rsidR="002B7FB5" w:rsidRPr="008B68A9">
        <w:t>,</w:t>
      </w:r>
      <w:r w:rsidRPr="008B68A9">
        <w:t xml:space="preserve"> </w:t>
      </w:r>
      <w:r w:rsidR="002B7FB5" w:rsidRPr="008B68A9">
        <w:t>and</w:t>
      </w:r>
      <w:r w:rsidRPr="008B68A9">
        <w:t xml:space="preserve"> has been growing since the turn of this century (Glasby and Littlechild </w:t>
      </w:r>
      <w:r w:rsidR="00F7087A" w:rsidRPr="008B68A9">
        <w:t>2009</w:t>
      </w:r>
      <w:r w:rsidRPr="008B68A9">
        <w:t>).</w:t>
      </w:r>
      <w:r w:rsidR="00415741" w:rsidRPr="008B68A9">
        <w:t xml:space="preserve"> </w:t>
      </w:r>
      <w:r w:rsidRPr="008B68A9">
        <w:t xml:space="preserve">This chapter will turn now to the experience of personalisation in European countries as they have sought to manage the tension </w:t>
      </w:r>
      <w:r w:rsidR="002B7FB5" w:rsidRPr="008B68A9">
        <w:t xml:space="preserve">of </w:t>
      </w:r>
      <w:r w:rsidRPr="008B68A9">
        <w:t xml:space="preserve">meeting </w:t>
      </w:r>
      <w:r w:rsidR="002B7FB5" w:rsidRPr="008B68A9">
        <w:t xml:space="preserve">the </w:t>
      </w:r>
      <w:r w:rsidRPr="008B68A9">
        <w:t xml:space="preserve">increasing cost of health and social care whilst </w:t>
      </w:r>
      <w:r w:rsidR="008A6BD5" w:rsidRPr="008B68A9">
        <w:t xml:space="preserve">responding to the call of </w:t>
      </w:r>
      <w:r w:rsidRPr="008B68A9">
        <w:t>providing people</w:t>
      </w:r>
      <w:r w:rsidR="008A6BD5" w:rsidRPr="008B68A9">
        <w:t xml:space="preserve"> using services</w:t>
      </w:r>
      <w:r w:rsidRPr="008B68A9">
        <w:t xml:space="preserve"> with greater choice, control and autonomy.</w:t>
      </w:r>
    </w:p>
    <w:p w14:paraId="0D4FFCA7" w14:textId="4D5C32A0" w:rsidR="00595B8D" w:rsidRPr="008B68A9" w:rsidRDefault="00595B8D" w:rsidP="00DA13FA">
      <w:pPr>
        <w:pStyle w:val="2L2header"/>
      </w:pPr>
      <w:bookmarkStart w:id="49" w:name="_Toc413827380"/>
      <w:bookmarkStart w:id="50" w:name="_Toc466800292"/>
      <w:r w:rsidRPr="008B68A9">
        <w:t>3.4 International perspectives of persona</w:t>
      </w:r>
      <w:bookmarkEnd w:id="49"/>
      <w:r w:rsidRPr="008B68A9">
        <w:t>lisation</w:t>
      </w:r>
      <w:bookmarkEnd w:id="50"/>
      <w:r w:rsidR="002B7FB5" w:rsidRPr="008B68A9">
        <w:t xml:space="preserve"> </w:t>
      </w:r>
    </w:p>
    <w:p w14:paraId="509C3DE7" w14:textId="77777777" w:rsidR="00595B8D" w:rsidRPr="008B68A9" w:rsidRDefault="00595B8D" w:rsidP="006B4701">
      <w:pPr>
        <w:pStyle w:val="8unnumberedcross-head"/>
      </w:pPr>
      <w:bookmarkStart w:id="51" w:name="_Toc413827384"/>
      <w:r w:rsidRPr="008B68A9">
        <w:t>Europe</w:t>
      </w:r>
      <w:bookmarkEnd w:id="51"/>
    </w:p>
    <w:p w14:paraId="14FF9958" w14:textId="55F52B56" w:rsidR="00595B8D" w:rsidRPr="008B68A9" w:rsidRDefault="00595B8D" w:rsidP="002F0FD7">
      <w:pPr>
        <w:pStyle w:val="5arangedleft"/>
      </w:pPr>
      <w:r w:rsidRPr="008B68A9">
        <w:t>The development of self-determination</w:t>
      </w:r>
      <w:r w:rsidR="008A6BD5" w:rsidRPr="008B68A9">
        <w:t xml:space="preserve"> or personalisation</w:t>
      </w:r>
      <w:r w:rsidRPr="008B68A9">
        <w:t xml:space="preserve"> </w:t>
      </w:r>
      <w:r w:rsidR="00762E86" w:rsidRPr="008B68A9">
        <w:t xml:space="preserve">in states </w:t>
      </w:r>
      <w:r w:rsidRPr="008B68A9">
        <w:t xml:space="preserve">within the European region </w:t>
      </w:r>
      <w:r w:rsidR="008A6BD5" w:rsidRPr="008B68A9">
        <w:t xml:space="preserve">have </w:t>
      </w:r>
      <w:r w:rsidRPr="008B68A9">
        <w:t>many features</w:t>
      </w:r>
      <w:r w:rsidR="008A6BD5" w:rsidRPr="008B68A9">
        <w:t xml:space="preserve"> in common</w:t>
      </w:r>
      <w:r w:rsidR="009F4496" w:rsidRPr="008B68A9">
        <w:t>,</w:t>
      </w:r>
      <w:r w:rsidRPr="008B68A9">
        <w:t xml:space="preserve"> though </w:t>
      </w:r>
      <w:r w:rsidR="009F4496" w:rsidRPr="008B68A9">
        <w:t xml:space="preserve">they </w:t>
      </w:r>
      <w:r w:rsidR="008A6BD5" w:rsidRPr="008B68A9">
        <w:t>have adhered</w:t>
      </w:r>
      <w:r w:rsidRPr="008B68A9">
        <w:t xml:space="preserve"> </w:t>
      </w:r>
      <w:r w:rsidR="008A6BD5" w:rsidRPr="008B68A9">
        <w:t xml:space="preserve">to one of two broad categories described by </w:t>
      </w:r>
      <w:r w:rsidRPr="008B68A9">
        <w:t xml:space="preserve">Alakeson </w:t>
      </w:r>
      <w:r w:rsidR="008A6BD5" w:rsidRPr="008B68A9">
        <w:t>(</w:t>
      </w:r>
      <w:r w:rsidRPr="008B68A9">
        <w:t xml:space="preserve">2010), as either open, where </w:t>
      </w:r>
      <w:r w:rsidR="008A6BD5" w:rsidRPr="008B68A9">
        <w:t xml:space="preserve">there are relatively </w:t>
      </w:r>
      <w:r w:rsidR="009F4496" w:rsidRPr="008B68A9">
        <w:t>“</w:t>
      </w:r>
      <w:r w:rsidRPr="008B68A9">
        <w:t>few strings are attached</w:t>
      </w:r>
      <w:r w:rsidR="009F4496" w:rsidRPr="008B68A9">
        <w:t>”</w:t>
      </w:r>
      <w:r w:rsidRPr="008B68A9">
        <w:t xml:space="preserve"> (p.</w:t>
      </w:r>
      <w:r w:rsidR="009F4496" w:rsidRPr="008B68A9">
        <w:t xml:space="preserve"> </w:t>
      </w:r>
      <w:r w:rsidRPr="008B68A9">
        <w:t xml:space="preserve">3) to the budget, </w:t>
      </w:r>
      <w:r w:rsidR="008A6BD5" w:rsidRPr="008B68A9">
        <w:t>and</w:t>
      </w:r>
      <w:r w:rsidRPr="008B68A9">
        <w:t xml:space="preserve"> planned budgeted</w:t>
      </w:r>
      <w:r w:rsidRPr="008B68A9">
        <w:rPr>
          <w:i/>
        </w:rPr>
        <w:t xml:space="preserve"> </w:t>
      </w:r>
      <w:r w:rsidRPr="008B68A9">
        <w:t xml:space="preserve">systems, where tighter and more clearly defined restrictions </w:t>
      </w:r>
      <w:r w:rsidR="008A6BD5" w:rsidRPr="008B68A9">
        <w:t>are exerted</w:t>
      </w:r>
      <w:r w:rsidRPr="008B68A9">
        <w:t xml:space="preserve"> between budget users’ need and services purchased.</w:t>
      </w:r>
      <w:r w:rsidR="00415741" w:rsidRPr="008B68A9">
        <w:t xml:space="preserve"> </w:t>
      </w:r>
      <w:r w:rsidRPr="008B68A9">
        <w:t xml:space="preserve">Open systems </w:t>
      </w:r>
      <w:r w:rsidR="00A85738" w:rsidRPr="008B68A9">
        <w:t>are found</w:t>
      </w:r>
      <w:r w:rsidRPr="008B68A9">
        <w:t xml:space="preserve"> </w:t>
      </w:r>
      <w:r w:rsidR="00A85738" w:rsidRPr="008B68A9">
        <w:t>in</w:t>
      </w:r>
      <w:r w:rsidRPr="008B68A9">
        <w:t xml:space="preserve"> Germany (Arntz </w:t>
      </w:r>
      <w:r w:rsidR="00F7087A" w:rsidRPr="008B68A9">
        <w:t>and Thomsen</w:t>
      </w:r>
      <w:r w:rsidRPr="008B68A9">
        <w:t xml:space="preserve"> </w:t>
      </w:r>
      <w:r w:rsidR="00F7087A" w:rsidRPr="008B68A9">
        <w:t>2008</w:t>
      </w:r>
      <w:r w:rsidRPr="008B68A9">
        <w:t>, 2010)</w:t>
      </w:r>
      <w:r w:rsidR="009F4496" w:rsidRPr="008B68A9">
        <w:t>;</w:t>
      </w:r>
      <w:r w:rsidRPr="008B68A9">
        <w:t xml:space="preserve"> Austria (European </w:t>
      </w:r>
      <w:r w:rsidR="009F4496" w:rsidRPr="008B68A9">
        <w:t>P</w:t>
      </w:r>
      <w:r w:rsidRPr="008B68A9">
        <w:t xml:space="preserve">latform for </w:t>
      </w:r>
      <w:r w:rsidR="009F4496" w:rsidRPr="008B68A9">
        <w:t>R</w:t>
      </w:r>
      <w:r w:rsidRPr="008B68A9">
        <w:t>ehabilitation 2010, Gadsby 2013)</w:t>
      </w:r>
      <w:r w:rsidR="009F4496" w:rsidRPr="008B68A9">
        <w:t>;</w:t>
      </w:r>
      <w:r w:rsidRPr="008B68A9">
        <w:t xml:space="preserve"> and Italy (Carr 2011</w:t>
      </w:r>
      <w:r w:rsidR="00095039" w:rsidRPr="008B68A9">
        <w:t>b</w:t>
      </w:r>
      <w:r w:rsidRPr="008B68A9">
        <w:t>).</w:t>
      </w:r>
      <w:r w:rsidR="00415741" w:rsidRPr="008B68A9">
        <w:t xml:space="preserve"> </w:t>
      </w:r>
      <w:r w:rsidRPr="008B68A9">
        <w:t xml:space="preserve">Planned or budgeted approaches can be seen in </w:t>
      </w:r>
      <w:r w:rsidR="009F4496" w:rsidRPr="008B68A9">
        <w:t xml:space="preserve">the </w:t>
      </w:r>
      <w:r w:rsidRPr="008B68A9">
        <w:t>Netherlands (Kremer 2006), Finland (Eriksson 2014), and Belgium (Gadsby 2013).</w:t>
      </w:r>
      <w:r w:rsidR="00415741" w:rsidRPr="008B68A9">
        <w:t xml:space="preserve"> </w:t>
      </w:r>
      <w:r w:rsidRPr="008B68A9">
        <w:t xml:space="preserve">Da Roit and Le Bihan (2010) identify </w:t>
      </w:r>
      <w:r w:rsidR="009247B1" w:rsidRPr="008B68A9">
        <w:t xml:space="preserve">that </w:t>
      </w:r>
      <w:r w:rsidR="00A85738" w:rsidRPr="008B68A9">
        <w:t>th</w:t>
      </w:r>
      <w:r w:rsidR="009247B1" w:rsidRPr="008B68A9">
        <w:t>e</w:t>
      </w:r>
      <w:r w:rsidRPr="008B68A9">
        <w:t xml:space="preserve"> </w:t>
      </w:r>
      <w:r w:rsidR="009247B1" w:rsidRPr="008B68A9">
        <w:t xml:space="preserve">different </w:t>
      </w:r>
      <w:r w:rsidRPr="008B68A9">
        <w:t>expression</w:t>
      </w:r>
      <w:r w:rsidR="009247B1" w:rsidRPr="008B68A9">
        <w:t>s</w:t>
      </w:r>
      <w:r w:rsidRPr="008B68A9">
        <w:t xml:space="preserve"> of choice in self-direction can in part be understood </w:t>
      </w:r>
      <w:r w:rsidR="00A85738" w:rsidRPr="008B68A9">
        <w:t>by</w:t>
      </w:r>
      <w:r w:rsidRPr="008B68A9">
        <w:t xml:space="preserve"> </w:t>
      </w:r>
      <w:r w:rsidR="00762E86" w:rsidRPr="008B68A9">
        <w:t xml:space="preserve">the each state’s </w:t>
      </w:r>
      <w:r w:rsidRPr="008B68A9">
        <w:t>pre-existing service provision.</w:t>
      </w:r>
      <w:r w:rsidR="00415741" w:rsidRPr="008B68A9">
        <w:t xml:space="preserve"> </w:t>
      </w:r>
      <w:r w:rsidRPr="008B68A9">
        <w:t>Systems of self-determination are according to Alakeson (2013</w:t>
      </w:r>
      <w:r w:rsidR="00F7087A" w:rsidRPr="008B68A9">
        <w:t>a</w:t>
      </w:r>
      <w:r w:rsidRPr="008B68A9">
        <w:t>)</w:t>
      </w:r>
      <w:r w:rsidR="00A85738" w:rsidRPr="008B68A9">
        <w:t xml:space="preserve"> however </w:t>
      </w:r>
      <w:r w:rsidRPr="008B68A9">
        <w:t xml:space="preserve">converging towards planned </w:t>
      </w:r>
      <w:r w:rsidR="00A85738" w:rsidRPr="008B68A9">
        <w:t xml:space="preserve">or budgeted </w:t>
      </w:r>
      <w:r w:rsidRPr="008B68A9">
        <w:t>approach</w:t>
      </w:r>
      <w:r w:rsidR="00A85738" w:rsidRPr="008B68A9">
        <w:t>es. We might suggest that m</w:t>
      </w:r>
      <w:r w:rsidRPr="008B68A9">
        <w:t>atching mon</w:t>
      </w:r>
      <w:r w:rsidR="009247B1" w:rsidRPr="008B68A9">
        <w:t>e</w:t>
      </w:r>
      <w:r w:rsidRPr="008B68A9">
        <w:t>t</w:t>
      </w:r>
      <w:r w:rsidR="009247B1" w:rsidRPr="008B68A9">
        <w:t>a</w:t>
      </w:r>
      <w:r w:rsidRPr="008B68A9">
        <w:t>ry allocation with t</w:t>
      </w:r>
      <w:r w:rsidR="00A85738" w:rsidRPr="008B68A9">
        <w:t>he service or activity provided possibly reflects</w:t>
      </w:r>
      <w:r w:rsidRPr="008B68A9">
        <w:t xml:space="preserve"> a greater emphasis on cost reduction of long term care in those countries</w:t>
      </w:r>
      <w:r w:rsidR="009247B1" w:rsidRPr="008B68A9">
        <w:t>,</w:t>
      </w:r>
      <w:r w:rsidRPr="008B68A9">
        <w:t xml:space="preserve"> rather than the pursuit of self-determination and inclusive citizenship.</w:t>
      </w:r>
      <w:r w:rsidR="00415741" w:rsidRPr="008B68A9">
        <w:t xml:space="preserve"> </w:t>
      </w:r>
      <w:r w:rsidRPr="008B68A9">
        <w:t>However</w:t>
      </w:r>
      <w:r w:rsidR="009247B1" w:rsidRPr="008B68A9">
        <w:t>,</w:t>
      </w:r>
      <w:r w:rsidRPr="008B68A9">
        <w:t xml:space="preserve"> </w:t>
      </w:r>
      <w:r w:rsidR="009247B1" w:rsidRPr="008B68A9">
        <w:t xml:space="preserve">in planned approaches </w:t>
      </w:r>
      <w:r w:rsidRPr="008B68A9">
        <w:t>the emphasis lies with an agreement on levels of need</w:t>
      </w:r>
      <w:r w:rsidR="009247B1" w:rsidRPr="008B68A9">
        <w:t>,</w:t>
      </w:r>
      <w:r w:rsidRPr="008B68A9">
        <w:t xml:space="preserve"> and in the identification of suitable outcomes and budgetary spend to meet those needs.</w:t>
      </w:r>
      <w:r w:rsidR="00415741" w:rsidRPr="008B68A9">
        <w:t xml:space="preserve"> </w:t>
      </w:r>
      <w:r w:rsidR="009247B1" w:rsidRPr="008B68A9">
        <w:t>T</w:t>
      </w:r>
      <w:r w:rsidRPr="008B68A9">
        <w:t xml:space="preserve">he evaluations </w:t>
      </w:r>
      <w:r w:rsidR="007E7DE6" w:rsidRPr="008B68A9">
        <w:t xml:space="preserve">however are </w:t>
      </w:r>
      <w:r w:rsidRPr="008B68A9">
        <w:t xml:space="preserve">less clear </w:t>
      </w:r>
      <w:r w:rsidR="007E7DE6" w:rsidRPr="008B68A9">
        <w:t>which activities or approach</w:t>
      </w:r>
      <w:r w:rsidRPr="008B68A9">
        <w:t xml:space="preserve"> facilitate </w:t>
      </w:r>
      <w:r w:rsidR="007E7DE6" w:rsidRPr="008B68A9">
        <w:t>self-</w:t>
      </w:r>
      <w:r w:rsidR="007E7DE6" w:rsidRPr="008B68A9">
        <w:lastRenderedPageBreak/>
        <w:t>determination</w:t>
      </w:r>
      <w:r w:rsidRPr="008B68A9">
        <w:t xml:space="preserve">, </w:t>
      </w:r>
      <w:r w:rsidR="007E7DE6" w:rsidRPr="008B68A9">
        <w:t>or</w:t>
      </w:r>
      <w:r w:rsidRPr="008B68A9">
        <w:t xml:space="preserve"> whether </w:t>
      </w:r>
      <w:r w:rsidR="007E7DE6" w:rsidRPr="008B68A9">
        <w:t>are traditional practitioners</w:t>
      </w:r>
      <w:r w:rsidRPr="008B68A9">
        <w:t xml:space="preserve"> equipped to undertake them.</w:t>
      </w:r>
    </w:p>
    <w:p w14:paraId="2CAA70F4" w14:textId="4FCCDF92" w:rsidR="00595B8D" w:rsidRPr="008B68A9" w:rsidRDefault="00595B8D" w:rsidP="002F0FD7">
      <w:pPr>
        <w:pStyle w:val="5arangedleft"/>
      </w:pPr>
      <w:r w:rsidRPr="008B68A9">
        <w:t xml:space="preserve">Personal budgets have been piloted in France as </w:t>
      </w:r>
      <w:r w:rsidRPr="008B68A9">
        <w:rPr>
          <w:i/>
        </w:rPr>
        <w:t>L’allocation personnalisée à l’autonomie</w:t>
      </w:r>
      <w:r w:rsidRPr="008B68A9">
        <w:t xml:space="preserve"> (APA</w:t>
      </w:r>
      <w:r w:rsidR="00762E86" w:rsidRPr="008B68A9">
        <w:t xml:space="preserve">); </w:t>
      </w:r>
      <w:r w:rsidRPr="008B68A9">
        <w:t>in Germany from 1994, to drive down costs in el</w:t>
      </w:r>
      <w:r w:rsidR="009C0AB4" w:rsidRPr="008B68A9">
        <w:t>dercare (Arntz and Thomsen 2010)</w:t>
      </w:r>
      <w:r w:rsidR="00762E86" w:rsidRPr="008B68A9">
        <w:t>;</w:t>
      </w:r>
      <w:r w:rsidRPr="008B68A9">
        <w:t xml:space="preserve"> </w:t>
      </w:r>
      <w:r w:rsidR="00762E86" w:rsidRPr="008B68A9">
        <w:t xml:space="preserve">and </w:t>
      </w:r>
      <w:r w:rsidRPr="008B68A9">
        <w:t>in Italy, as a welfare grant (Carr 2011</w:t>
      </w:r>
      <w:r w:rsidR="00095039" w:rsidRPr="008B68A9">
        <w:t>b</w:t>
      </w:r>
      <w:r w:rsidRPr="008B68A9">
        <w:t>).</w:t>
      </w:r>
      <w:r w:rsidR="00415741" w:rsidRPr="008B68A9">
        <w:t xml:space="preserve"> </w:t>
      </w:r>
      <w:r w:rsidRPr="008B68A9">
        <w:t xml:space="preserve">Within the variations of personalisation in Europe, it is the Dutch experience that stands out. Known as </w:t>
      </w:r>
      <w:r w:rsidRPr="008B68A9">
        <w:rPr>
          <w:i/>
        </w:rPr>
        <w:t>persoonsgebondenbudget</w:t>
      </w:r>
      <w:r w:rsidRPr="008B68A9">
        <w:t xml:space="preserve"> (PGBs), </w:t>
      </w:r>
      <w:r w:rsidR="00762E86" w:rsidRPr="008B68A9">
        <w:t xml:space="preserve">it </w:t>
      </w:r>
      <w:r w:rsidRPr="008B68A9">
        <w:t>originat</w:t>
      </w:r>
      <w:r w:rsidR="00762E86" w:rsidRPr="008B68A9">
        <w:t>ed</w:t>
      </w:r>
      <w:r w:rsidRPr="008B68A9">
        <w:t xml:space="preserve"> in 1995 with an initial uptake </w:t>
      </w:r>
      <w:r w:rsidR="00390F88" w:rsidRPr="008B68A9">
        <w:t>by</w:t>
      </w:r>
      <w:r w:rsidRPr="008B68A9">
        <w:t xml:space="preserve"> 5,401</w:t>
      </w:r>
      <w:r w:rsidR="00390F88" w:rsidRPr="008B68A9">
        <w:t xml:space="preserve"> people</w:t>
      </w:r>
      <w:r w:rsidRPr="008B68A9">
        <w:t>, whi</w:t>
      </w:r>
      <w:r w:rsidR="005B68AE" w:rsidRPr="008B68A9">
        <w:t>ch rose to 65,000 by 2003 (Kre</w:t>
      </w:r>
      <w:r w:rsidRPr="008B68A9">
        <w:t>mer 2006)</w:t>
      </w:r>
      <w:r w:rsidR="00EC722C" w:rsidRPr="008B68A9">
        <w:t>,</w:t>
      </w:r>
      <w:r w:rsidRPr="008B68A9">
        <w:t xml:space="preserve"> and to over 123,000 by 2010 (White 2011), with reportedly over 13,000 </w:t>
      </w:r>
      <w:r w:rsidR="00762E86" w:rsidRPr="008B68A9">
        <w:t xml:space="preserve">on a </w:t>
      </w:r>
      <w:r w:rsidRPr="008B68A9">
        <w:t>waiting list to join the scheme.</w:t>
      </w:r>
      <w:r w:rsidR="00415741" w:rsidRPr="008B68A9">
        <w:t xml:space="preserve"> </w:t>
      </w:r>
      <w:r w:rsidRPr="008B68A9">
        <w:t xml:space="preserve">The unanticipated demand has been described as the </w:t>
      </w:r>
      <w:r w:rsidR="00390F88" w:rsidRPr="008B68A9">
        <w:t>“</w:t>
      </w:r>
      <w:r w:rsidRPr="008B68A9">
        <w:t>woodwork effect</w:t>
      </w:r>
      <w:r w:rsidR="00390F88" w:rsidRPr="008B68A9">
        <w:t>”</w:t>
      </w:r>
      <w:r w:rsidRPr="008B68A9">
        <w:t xml:space="preserve"> by Gadsby (2013</w:t>
      </w:r>
      <w:r w:rsidR="00792B02" w:rsidRPr="008B68A9">
        <w:t xml:space="preserve">, </w:t>
      </w:r>
      <w:r w:rsidR="008C21AD" w:rsidRPr="008B68A9">
        <w:t>p.24</w:t>
      </w:r>
      <w:r w:rsidRPr="008B68A9">
        <w:t xml:space="preserve">), or </w:t>
      </w:r>
      <w:r w:rsidR="00390F88" w:rsidRPr="008B68A9">
        <w:t>“</w:t>
      </w:r>
      <w:r w:rsidRPr="008B68A9">
        <w:t>initiative affect</w:t>
      </w:r>
      <w:r w:rsidR="00390F88" w:rsidRPr="008B68A9">
        <w:t>”</w:t>
      </w:r>
      <w:r w:rsidRPr="008B68A9">
        <w:t xml:space="preserve"> (Sadiraj </w:t>
      </w:r>
      <w:r w:rsidR="00AC06A3" w:rsidRPr="008B68A9">
        <w:rPr>
          <w:i/>
        </w:rPr>
        <w:t>et al.</w:t>
      </w:r>
      <w:r w:rsidRPr="008B68A9">
        <w:t xml:space="preserve"> 2011</w:t>
      </w:r>
      <w:r w:rsidR="00762E86" w:rsidRPr="008B68A9">
        <w:t>,</w:t>
      </w:r>
      <w:r w:rsidRPr="008B68A9">
        <w:t xml:space="preserve"> p.</w:t>
      </w:r>
      <w:r w:rsidR="00762E86" w:rsidRPr="008B68A9">
        <w:t xml:space="preserve"> </w:t>
      </w:r>
      <w:r w:rsidRPr="008B68A9">
        <w:t xml:space="preserve">59), and </w:t>
      </w:r>
      <w:r w:rsidR="00762E86" w:rsidRPr="008B68A9">
        <w:t xml:space="preserve">it is </w:t>
      </w:r>
      <w:r w:rsidRPr="008B68A9">
        <w:t>suggested by White (2011) that PGBs may have been creating a demand rather than meeting a need.</w:t>
      </w:r>
      <w:r w:rsidR="00415741" w:rsidRPr="008B68A9">
        <w:t xml:space="preserve"> </w:t>
      </w:r>
      <w:r w:rsidRPr="008B68A9">
        <w:t xml:space="preserve">To date PGBs have supported approximately 200,000 people </w:t>
      </w:r>
      <w:r w:rsidR="00390F88" w:rsidRPr="008B68A9">
        <w:t xml:space="preserve">using </w:t>
      </w:r>
      <w:r w:rsidRPr="008B68A9">
        <w:t>an annual budget of €2.5Bn</w:t>
      </w:r>
      <w:r w:rsidR="00762E86" w:rsidRPr="008B68A9">
        <w:t>,</w:t>
      </w:r>
      <w:r w:rsidRPr="008B68A9">
        <w:t xml:space="preserve"> and continue to offer support</w:t>
      </w:r>
      <w:r w:rsidR="00762E86" w:rsidRPr="008B68A9">
        <w:t>,</w:t>
      </w:r>
      <w:r w:rsidRPr="008B68A9">
        <w:t xml:space="preserve"> though in common with other European economies the impact of austerity has mean</w:t>
      </w:r>
      <w:r w:rsidR="00762E86" w:rsidRPr="008B68A9">
        <w:t>t that</w:t>
      </w:r>
      <w:r w:rsidRPr="008B68A9">
        <w:t xml:space="preserve"> in the words of the head of PGBs, more</w:t>
      </w:r>
      <w:r w:rsidR="00B44E2A" w:rsidRPr="008B68A9">
        <w:t xml:space="preserve"> will have to be done with less which is seen by the scheme closing to new applications and the levels of support being lowered (</w:t>
      </w:r>
      <w:r w:rsidR="006F3330" w:rsidRPr="008B68A9">
        <w:t>Gadsby 2013).  The Netherlands use of personal budgets allows comparisons between UK initiatives and the success of PGBs as the relative attractiveness of increased choice and control for public service users will be appealing.  However the same pressures of austerity policies mean that potential cuts in available resources may paradoxically limit the choices the policy is designed to enhance.</w:t>
      </w:r>
    </w:p>
    <w:p w14:paraId="21BC0C05" w14:textId="3B0095A6" w:rsidR="00595B8D" w:rsidRPr="008B68A9" w:rsidRDefault="00595B8D" w:rsidP="002F0FD7">
      <w:pPr>
        <w:pStyle w:val="5arangedleft"/>
      </w:pPr>
      <w:r w:rsidRPr="008B68A9">
        <w:t>PGBs as with most European self-direction schemes have f</w:t>
      </w:r>
      <w:r w:rsidR="0055728D" w:rsidRPr="008B68A9">
        <w:t>ocused on people with physical</w:t>
      </w:r>
      <w:r w:rsidRPr="008B68A9">
        <w:rPr>
          <w:b/>
        </w:rPr>
        <w:t xml:space="preserve"> </w:t>
      </w:r>
      <w:r w:rsidRPr="008B68A9">
        <w:t xml:space="preserve">or </w:t>
      </w:r>
      <w:r w:rsidR="00C82338" w:rsidRPr="008B68A9">
        <w:t>intellectual</w:t>
      </w:r>
      <w:r w:rsidRPr="008B68A9">
        <w:t xml:space="preserve"> impairments (Kremer, 2006, Erik</w:t>
      </w:r>
      <w:r w:rsidR="001757A3" w:rsidRPr="008B68A9">
        <w:t>s</w:t>
      </w:r>
      <w:r w:rsidRPr="008B68A9">
        <w:t>son 2014)</w:t>
      </w:r>
      <w:r w:rsidR="00F77762" w:rsidRPr="008B68A9">
        <w:t xml:space="preserve"> and</w:t>
      </w:r>
      <w:r w:rsidRPr="008B68A9">
        <w:t xml:space="preserve"> the elderly (Arntz </w:t>
      </w:r>
      <w:r w:rsidR="005A1A72" w:rsidRPr="008B68A9">
        <w:t>and Thomsen</w:t>
      </w:r>
      <w:r w:rsidRPr="008B68A9">
        <w:t xml:space="preserve"> 2010), though de Boer </w:t>
      </w:r>
      <w:r w:rsidR="00AC06A3" w:rsidRPr="008B68A9">
        <w:rPr>
          <w:i/>
        </w:rPr>
        <w:t>et al.</w:t>
      </w:r>
      <w:r w:rsidRPr="008B68A9">
        <w:t xml:space="preserve"> (2010) claim that around 30% of PGB recipients had psychological difficulties </w:t>
      </w:r>
      <w:r w:rsidR="00F77762" w:rsidRPr="008B68A9">
        <w:t xml:space="preserve">and were </w:t>
      </w:r>
      <w:r w:rsidRPr="008B68A9">
        <w:t>receiving mental health care</w:t>
      </w:r>
      <w:r w:rsidR="00F77762" w:rsidRPr="008B68A9">
        <w:t>,</w:t>
      </w:r>
      <w:r w:rsidRPr="008B68A9">
        <w:t xml:space="preserve"> this population </w:t>
      </w:r>
      <w:r w:rsidR="00C152FF" w:rsidRPr="008B68A9">
        <w:t>however was</w:t>
      </w:r>
      <w:r w:rsidRPr="008B68A9">
        <w:t xml:space="preserve"> aggregated from sample data and is therefore difficult to separate.</w:t>
      </w:r>
      <w:r w:rsidR="00415741" w:rsidRPr="008B68A9">
        <w:t xml:space="preserve"> </w:t>
      </w:r>
      <w:r w:rsidRPr="008B68A9">
        <w:t>It can be assumed that many of the budget users in the European studies have experienced comorbidity of mental health problems and that the impact of increased choice, autonomy, control and satisfaction reported in generic studies may have pertinence for people with mental health problems</w:t>
      </w:r>
      <w:r w:rsidR="00F77762" w:rsidRPr="008B68A9">
        <w:t>.</w:t>
      </w:r>
    </w:p>
    <w:p w14:paraId="4625EB51" w14:textId="40547E3C" w:rsidR="00595B8D" w:rsidRPr="008B68A9" w:rsidRDefault="00595B8D" w:rsidP="002F0FD7">
      <w:pPr>
        <w:pStyle w:val="5arangedleft"/>
      </w:pPr>
      <w:r w:rsidRPr="008B68A9">
        <w:lastRenderedPageBreak/>
        <w:t>The argument that individual budgets in whatever form will lead to an increase in choice and autonomy, in which consumer choice creates new markets of care, thereby delaying the use of formal or statutory care options</w:t>
      </w:r>
      <w:r w:rsidR="00772907" w:rsidRPr="008B68A9">
        <w:t>,</w:t>
      </w:r>
      <w:r w:rsidRPr="008B68A9">
        <w:t xml:space="preserve"> is a</w:t>
      </w:r>
      <w:r w:rsidR="00033C74" w:rsidRPr="008B68A9">
        <w:t>s</w:t>
      </w:r>
      <w:r w:rsidRPr="008B68A9">
        <w:t xml:space="preserve"> </w:t>
      </w:r>
      <w:r w:rsidR="00033C74" w:rsidRPr="008B68A9">
        <w:t xml:space="preserve">Gadsby </w:t>
      </w:r>
      <w:r w:rsidR="00033C74" w:rsidRPr="008B68A9">
        <w:rPr>
          <w:i/>
        </w:rPr>
        <w:t>et al</w:t>
      </w:r>
      <w:r w:rsidR="00033C74" w:rsidRPr="008B68A9">
        <w:t xml:space="preserve"> (2013) state a </w:t>
      </w:r>
      <w:r w:rsidRPr="008B68A9">
        <w:t>potentially powerful one, and one that opponents of neo-liberal ideas fear.</w:t>
      </w:r>
      <w:r w:rsidR="00415741" w:rsidRPr="008B68A9">
        <w:t xml:space="preserve"> </w:t>
      </w:r>
      <w:r w:rsidRPr="008B68A9">
        <w:t xml:space="preserve">Governments recognise the rising demand </w:t>
      </w:r>
      <w:r w:rsidR="00772907" w:rsidRPr="008B68A9">
        <w:t xml:space="preserve">for </w:t>
      </w:r>
      <w:r w:rsidRPr="008B68A9">
        <w:t xml:space="preserve">long term care </w:t>
      </w:r>
      <w:r w:rsidR="00772907" w:rsidRPr="008B68A9">
        <w:t xml:space="preserve">in </w:t>
      </w:r>
      <w:r w:rsidRPr="008B68A9">
        <w:t>an ag</w:t>
      </w:r>
      <w:r w:rsidR="00772907" w:rsidRPr="008B68A9">
        <w:t>e</w:t>
      </w:r>
      <w:r w:rsidRPr="008B68A9">
        <w:t>ing population creates pressure on publicly funded services</w:t>
      </w:r>
      <w:r w:rsidR="00772907" w:rsidRPr="008B68A9">
        <w:t>,</w:t>
      </w:r>
      <w:r w:rsidRPr="008B68A9">
        <w:t xml:space="preserve"> which personalisation may lessen through expanding care markets fuelled by consumer choices</w:t>
      </w:r>
      <w:r w:rsidR="00174B11" w:rsidRPr="008B68A9">
        <w:t>;</w:t>
      </w:r>
      <w:r w:rsidRPr="008B68A9">
        <w:t xml:space="preserve"> Power (2014) identifies</w:t>
      </w:r>
      <w:r w:rsidR="00174B11" w:rsidRPr="008B68A9">
        <w:t xml:space="preserve"> this</w:t>
      </w:r>
      <w:r w:rsidRPr="008B68A9">
        <w:t xml:space="preserve"> as central to the ordering of national and local government neo-lib</w:t>
      </w:r>
      <w:r w:rsidR="00EC722C" w:rsidRPr="008B68A9">
        <w:t>eral economies.</w:t>
      </w:r>
      <w:r w:rsidR="00415741" w:rsidRPr="008B68A9">
        <w:t xml:space="preserve"> </w:t>
      </w:r>
      <w:r w:rsidR="00772907" w:rsidRPr="008B68A9">
        <w:t xml:space="preserve">As previously observed </w:t>
      </w:r>
      <w:r w:rsidR="00EC722C" w:rsidRPr="008B68A9">
        <w:t>Arntz and Thom</w:t>
      </w:r>
      <w:r w:rsidRPr="008B68A9">
        <w:t xml:space="preserve">sen (2010) </w:t>
      </w:r>
      <w:r w:rsidR="00772907" w:rsidRPr="008B68A9">
        <w:t>warn</w:t>
      </w:r>
      <w:r w:rsidRPr="008B68A9">
        <w:t xml:space="preserve">, as do others (Daly and Woolham </w:t>
      </w:r>
      <w:r w:rsidR="005A1A72" w:rsidRPr="008B68A9">
        <w:t>2010</w:t>
      </w:r>
      <w:r w:rsidRPr="008B68A9">
        <w:t xml:space="preserve">), of </w:t>
      </w:r>
      <w:r w:rsidR="00033C74" w:rsidRPr="008B68A9">
        <w:t>p</w:t>
      </w:r>
      <w:r w:rsidRPr="008B68A9">
        <w:t>ersonal budgets commodifying informal care</w:t>
      </w:r>
      <w:r w:rsidR="00772907" w:rsidRPr="008B68A9">
        <w:t>,</w:t>
      </w:r>
      <w:r w:rsidRPr="008B68A9">
        <w:t xml:space="preserve"> replacing what was once given freely by family, community</w:t>
      </w:r>
      <w:r w:rsidR="00033C74" w:rsidRPr="008B68A9">
        <w:t xml:space="preserve"> and friends with paid-</w:t>
      </w:r>
      <w:r w:rsidRPr="008B68A9">
        <w:t>for support</w:t>
      </w:r>
      <w:r w:rsidR="008D2465" w:rsidRPr="008B68A9">
        <w:t xml:space="preserve"> –r</w:t>
      </w:r>
      <w:r w:rsidRPr="008B68A9">
        <w:t>eplacing ‘a relational logic of care with a logic of choice’</w:t>
      </w:r>
      <w:r w:rsidR="008D2465" w:rsidRPr="008B68A9">
        <w:t xml:space="preserve"> (Mol 2008, cited in Needham 2013</w:t>
      </w:r>
      <w:r w:rsidR="005A1A72" w:rsidRPr="008B68A9">
        <w:t>b</w:t>
      </w:r>
      <w:r w:rsidR="00792B02" w:rsidRPr="008B68A9">
        <w:t>,</w:t>
      </w:r>
      <w:r w:rsidR="008D2465" w:rsidRPr="008B68A9">
        <w:t xml:space="preserve"> p. 118).</w:t>
      </w:r>
    </w:p>
    <w:p w14:paraId="37C1518D" w14:textId="28BB2634" w:rsidR="00595B8D" w:rsidRPr="008B68A9" w:rsidRDefault="00595B8D" w:rsidP="002F0FD7">
      <w:pPr>
        <w:pStyle w:val="5arangedleft"/>
      </w:pPr>
      <w:r w:rsidRPr="008B68A9">
        <w:t>Choice and self-determination might be defined as one and the same by the user movement and the originators of personalisation, whereas policy makers may hold other construct</w:t>
      </w:r>
      <w:r w:rsidR="00033C74" w:rsidRPr="008B68A9">
        <w:t>s</w:t>
      </w:r>
      <w:r w:rsidRPr="008B68A9">
        <w:t xml:space="preserve"> of choice</w:t>
      </w:r>
      <w:r w:rsidR="00033C74" w:rsidRPr="008B68A9">
        <w:t xml:space="preserve"> that</w:t>
      </w:r>
      <w:r w:rsidRPr="008B68A9">
        <w:t xml:space="preserve"> </w:t>
      </w:r>
      <w:r w:rsidR="00033C74" w:rsidRPr="008B68A9">
        <w:t>focus</w:t>
      </w:r>
      <w:r w:rsidR="00174B11" w:rsidRPr="008B68A9">
        <w:t xml:space="preserve"> on </w:t>
      </w:r>
      <w:r w:rsidRPr="008B68A9">
        <w:t>cost reduction</w:t>
      </w:r>
      <w:r w:rsidR="00C04BA0" w:rsidRPr="008B68A9">
        <w:t xml:space="preserve"> and lessened professional power</w:t>
      </w:r>
      <w:r w:rsidRPr="008B68A9">
        <w:t>.</w:t>
      </w:r>
      <w:r w:rsidR="00415741" w:rsidRPr="008B68A9">
        <w:t xml:space="preserve"> </w:t>
      </w:r>
      <w:r w:rsidRPr="008B68A9">
        <w:t xml:space="preserve">The danger of personalisation during austerity </w:t>
      </w:r>
      <w:r w:rsidR="00B542BE" w:rsidRPr="008B68A9">
        <w:t>has been</w:t>
      </w:r>
      <w:r w:rsidRPr="008B68A9">
        <w:t xml:space="preserve"> discussed </w:t>
      </w:r>
      <w:r w:rsidR="00B542BE" w:rsidRPr="008B68A9">
        <w:t>in chapter 2</w:t>
      </w:r>
      <w:r w:rsidR="00174B11" w:rsidRPr="008B68A9">
        <w:t>;</w:t>
      </w:r>
      <w:r w:rsidRPr="008B68A9">
        <w:t xml:space="preserve"> but it is worth noting </w:t>
      </w:r>
      <w:r w:rsidR="00B542BE" w:rsidRPr="008B68A9">
        <w:t xml:space="preserve">as Beresford (2014a) has, </w:t>
      </w:r>
      <w:r w:rsidRPr="008B68A9">
        <w:t>that the early optimism for self-determination</w:t>
      </w:r>
      <w:r w:rsidR="00174B11" w:rsidRPr="008B68A9">
        <w:t>,</w:t>
      </w:r>
      <w:r w:rsidRPr="008B68A9">
        <w:t xml:space="preserve"> user</w:t>
      </w:r>
      <w:r w:rsidR="00AB0F10" w:rsidRPr="008B68A9">
        <w:t>-</w:t>
      </w:r>
      <w:r w:rsidRPr="008B68A9">
        <w:t xml:space="preserve">led citizenship and human rights </w:t>
      </w:r>
      <w:r w:rsidR="00174B11" w:rsidRPr="008B68A9">
        <w:t xml:space="preserve">is </w:t>
      </w:r>
      <w:r w:rsidRPr="008B68A9">
        <w:t>fading in the light of cost reduction of public liabilities.</w:t>
      </w:r>
      <w:r w:rsidR="00C04BA0" w:rsidRPr="008B68A9">
        <w:t xml:space="preserve"> European nations are not alone in their attempts to re-order care relationships and the balance of power and responsibility between states and service users. Australia has also been a part of personalisation of statutory services.  This chapter now explores the studies from Australia and their attempts to balance personal power and control in a context of global austerity.</w:t>
      </w:r>
    </w:p>
    <w:p w14:paraId="5FACA1A4" w14:textId="77777777" w:rsidR="00B542BE" w:rsidRPr="008B68A9" w:rsidRDefault="00B542BE" w:rsidP="00B542BE">
      <w:pPr>
        <w:pStyle w:val="8unnumberedcross-head"/>
      </w:pPr>
      <w:bookmarkStart w:id="52" w:name="_Toc413827385"/>
      <w:r w:rsidRPr="008B68A9">
        <w:t xml:space="preserve">Australia </w:t>
      </w:r>
    </w:p>
    <w:p w14:paraId="0E6260DF" w14:textId="3A60EC58" w:rsidR="00595B8D" w:rsidRPr="008B68A9" w:rsidRDefault="00595B8D" w:rsidP="002F0FD7">
      <w:pPr>
        <w:pStyle w:val="5arangedleft"/>
      </w:pPr>
      <w:r w:rsidRPr="008B68A9">
        <w:t>In economies where the policy of consumer</w:t>
      </w:r>
      <w:r w:rsidR="00AB0F10" w:rsidRPr="008B68A9">
        <w:t>-</w:t>
      </w:r>
      <w:r w:rsidRPr="008B68A9">
        <w:t>led services has taken root</w:t>
      </w:r>
      <w:r w:rsidR="00743AA6" w:rsidRPr="008B68A9">
        <w:t>,</w:t>
      </w:r>
      <w:r w:rsidRPr="008B68A9">
        <w:t xml:space="preserve"> similar issues of cost reduction versus entitlement are being seen (Cook</w:t>
      </w:r>
      <w:r w:rsidR="00743AA6" w:rsidRPr="008B68A9">
        <w:t>,</w:t>
      </w:r>
      <w:r w:rsidRPr="008B68A9">
        <w:t xml:space="preserve"> in press).</w:t>
      </w:r>
      <w:r w:rsidR="00415741" w:rsidRPr="008B68A9">
        <w:t xml:space="preserve"> </w:t>
      </w:r>
      <w:r w:rsidRPr="008B68A9">
        <w:t>Australia</w:t>
      </w:r>
      <w:bookmarkEnd w:id="52"/>
      <w:r w:rsidRPr="008B68A9">
        <w:t xml:space="preserve"> has for some years used Consumer Directed Care (CDC), with monies paid directly to individuals or held by third parties.</w:t>
      </w:r>
      <w:r w:rsidR="00415741" w:rsidRPr="008B68A9">
        <w:t xml:space="preserve"> </w:t>
      </w:r>
      <w:r w:rsidRPr="008B68A9">
        <w:t xml:space="preserve">These payments have enabled people with physical or </w:t>
      </w:r>
      <w:r w:rsidR="00C82338" w:rsidRPr="008B68A9">
        <w:t>intellectual</w:t>
      </w:r>
      <w:r w:rsidRPr="008B68A9">
        <w:t xml:space="preserve"> impairments to live with support in their own homes</w:t>
      </w:r>
      <w:r w:rsidR="00743AA6" w:rsidRPr="008B68A9">
        <w:t>,</w:t>
      </w:r>
      <w:r w:rsidRPr="008B68A9">
        <w:t xml:space="preserve"> in the way that direct payments have in the United Kingdom.</w:t>
      </w:r>
      <w:r w:rsidR="00415741" w:rsidRPr="008B68A9">
        <w:t xml:space="preserve"> </w:t>
      </w:r>
      <w:r w:rsidRPr="008B68A9">
        <w:t xml:space="preserve">The adoption of personalised </w:t>
      </w:r>
      <w:r w:rsidRPr="008B68A9">
        <w:lastRenderedPageBreak/>
        <w:t xml:space="preserve">approaches in Australia, as elsewhere, has been borne out of the disability movement and a demand for increased user choice and autonomy, as well as recognition of the rising cost of health and social care </w:t>
      </w:r>
      <w:r w:rsidR="00743AA6" w:rsidRPr="008B68A9">
        <w:t>to</w:t>
      </w:r>
      <w:r w:rsidR="008328BA" w:rsidRPr="008B68A9">
        <w:t xml:space="preserve"> state and government and their ability to afford traditional systems (</w:t>
      </w:r>
      <w:r w:rsidRPr="008B68A9">
        <w:t>Laragy and Ottmann 2011).</w:t>
      </w:r>
    </w:p>
    <w:p w14:paraId="61745BEE" w14:textId="4D6F213D" w:rsidR="00595B8D" w:rsidRPr="008B68A9" w:rsidRDefault="00595B8D" w:rsidP="002F0FD7">
      <w:pPr>
        <w:pStyle w:val="5arangedleft"/>
      </w:pPr>
      <w:r w:rsidRPr="008B68A9">
        <w:t>The evidential base for personalisation</w:t>
      </w:r>
      <w:r w:rsidR="008328BA" w:rsidRPr="008B68A9">
        <w:t xml:space="preserve"> in Australia</w:t>
      </w:r>
      <w:r w:rsidRPr="008B68A9">
        <w:t xml:space="preserve"> is small</w:t>
      </w:r>
      <w:r w:rsidR="006978B4" w:rsidRPr="008B68A9">
        <w:t>,</w:t>
      </w:r>
      <w:r w:rsidRPr="008B68A9">
        <w:t xml:space="preserve"> developed in the main through studies and reviews </w:t>
      </w:r>
      <w:r w:rsidR="00B82D65" w:rsidRPr="008B68A9">
        <w:t xml:space="preserve">of </w:t>
      </w:r>
      <w:r w:rsidRPr="008B68A9">
        <w:t xml:space="preserve">families </w:t>
      </w:r>
      <w:r w:rsidR="006978B4" w:rsidRPr="008B68A9">
        <w:t xml:space="preserve">who support </w:t>
      </w:r>
      <w:r w:rsidRPr="008B68A9">
        <w:t xml:space="preserve">a member with intellectual disabilities. Ottmann </w:t>
      </w:r>
      <w:r w:rsidR="00AC06A3" w:rsidRPr="008B68A9">
        <w:rPr>
          <w:i/>
        </w:rPr>
        <w:t>et al.</w:t>
      </w:r>
      <w:r w:rsidRPr="008B68A9">
        <w:t xml:space="preserve"> (</w:t>
      </w:r>
      <w:r w:rsidR="00686B3A" w:rsidRPr="008B68A9">
        <w:t>2013</w:t>
      </w:r>
      <w:r w:rsidRPr="008B68A9">
        <w:t>)</w:t>
      </w:r>
      <w:r w:rsidR="006978B4" w:rsidRPr="008B68A9">
        <w:t xml:space="preserve"> discussed</w:t>
      </w:r>
      <w:r w:rsidRPr="008B68A9">
        <w:t xml:space="preserve"> two small C</w:t>
      </w:r>
      <w:r w:rsidR="00EC722C" w:rsidRPr="008B68A9">
        <w:t xml:space="preserve">DC longitudinal studies </w:t>
      </w:r>
      <w:r w:rsidR="00B82D65" w:rsidRPr="008B68A9">
        <w:t xml:space="preserve">which </w:t>
      </w:r>
      <w:r w:rsidR="00EC722C" w:rsidRPr="008B68A9">
        <w:t>provide</w:t>
      </w:r>
      <w:r w:rsidRPr="008B68A9">
        <w:t xml:space="preserve"> a background to personalisation that is consistent wi</w:t>
      </w:r>
      <w:r w:rsidR="008328BA" w:rsidRPr="008B68A9">
        <w:t xml:space="preserve">th other international studies such as </w:t>
      </w:r>
      <w:r w:rsidRPr="008B68A9">
        <w:t xml:space="preserve">Doty </w:t>
      </w:r>
      <w:r w:rsidR="00AC06A3" w:rsidRPr="008B68A9">
        <w:rPr>
          <w:i/>
        </w:rPr>
        <w:t>et al.</w:t>
      </w:r>
      <w:r w:rsidRPr="008B68A9">
        <w:t xml:space="preserve"> </w:t>
      </w:r>
      <w:r w:rsidR="008328BA" w:rsidRPr="008B68A9">
        <w:t>(</w:t>
      </w:r>
      <w:r w:rsidR="00686B3A" w:rsidRPr="008B68A9">
        <w:t>2007</w:t>
      </w:r>
      <w:r w:rsidRPr="008B68A9">
        <w:t>).</w:t>
      </w:r>
      <w:r w:rsidR="00415741" w:rsidRPr="008B68A9">
        <w:t xml:space="preserve"> </w:t>
      </w:r>
      <w:r w:rsidRPr="008B68A9">
        <w:t>Families</w:t>
      </w:r>
      <w:r w:rsidR="008328BA" w:rsidRPr="008B68A9">
        <w:t xml:space="preserve"> in Ottmann e</w:t>
      </w:r>
      <w:r w:rsidR="008328BA" w:rsidRPr="008B68A9">
        <w:rPr>
          <w:i/>
        </w:rPr>
        <w:t>t al</w:t>
      </w:r>
      <w:r w:rsidR="008328BA" w:rsidRPr="008B68A9">
        <w:t xml:space="preserve"> (2013) study</w:t>
      </w:r>
      <w:r w:rsidRPr="008B68A9">
        <w:t xml:space="preserve"> reported increased opportunities for their child and a greater transparency</w:t>
      </w:r>
      <w:r w:rsidR="00B82D65" w:rsidRPr="008B68A9">
        <w:t xml:space="preserve"> which resulted in</w:t>
      </w:r>
      <w:r w:rsidRPr="008B68A9">
        <w:t xml:space="preserve"> </w:t>
      </w:r>
      <w:r w:rsidR="008328BA" w:rsidRPr="008B68A9">
        <w:t xml:space="preserve">them </w:t>
      </w:r>
      <w:r w:rsidRPr="008B68A9">
        <w:t xml:space="preserve">knowing how </w:t>
      </w:r>
      <w:r w:rsidR="008328BA" w:rsidRPr="008B68A9">
        <w:t xml:space="preserve">their child’s </w:t>
      </w:r>
      <w:r w:rsidRPr="008B68A9">
        <w:t>need equated to the budget.</w:t>
      </w:r>
      <w:r w:rsidR="00415741" w:rsidRPr="008B68A9">
        <w:t xml:space="preserve"> </w:t>
      </w:r>
      <w:r w:rsidR="00B82D65" w:rsidRPr="008B68A9">
        <w:t>H</w:t>
      </w:r>
      <w:r w:rsidRPr="008B68A9">
        <w:t>aving a few trusted providers supporting their family member meant a great deal, highlighting the importance of relationships with providers</w:t>
      </w:r>
      <w:r w:rsidR="00E06E77" w:rsidRPr="008B68A9">
        <w:t xml:space="preserve"> in ways that other studies had not</w:t>
      </w:r>
      <w:r w:rsidRPr="008B68A9">
        <w:t>.</w:t>
      </w:r>
      <w:r w:rsidR="00415741" w:rsidRPr="008B68A9">
        <w:t xml:space="preserve"> </w:t>
      </w:r>
      <w:r w:rsidRPr="008B68A9">
        <w:t xml:space="preserve">Taking on </w:t>
      </w:r>
      <w:r w:rsidR="00E06E77" w:rsidRPr="008B68A9">
        <w:t xml:space="preserve">the </w:t>
      </w:r>
      <w:r w:rsidRPr="008B68A9">
        <w:t>responsibility for self-determination meant performing administrative role</w:t>
      </w:r>
      <w:r w:rsidR="00E06E77" w:rsidRPr="008B68A9">
        <w:t>s and</w:t>
      </w:r>
      <w:r w:rsidRPr="008B68A9">
        <w:t xml:space="preserve"> managing the budget</w:t>
      </w:r>
      <w:r w:rsidR="00B82D65" w:rsidRPr="008B68A9">
        <w:t>,</w:t>
      </w:r>
      <w:r w:rsidRPr="008B68A9">
        <w:t xml:space="preserve"> </w:t>
      </w:r>
      <w:r w:rsidR="00B82D65" w:rsidRPr="008B68A9">
        <w:t xml:space="preserve">for </w:t>
      </w:r>
      <w:r w:rsidRPr="008B68A9">
        <w:t>which</w:t>
      </w:r>
      <w:r w:rsidR="00E06E77" w:rsidRPr="008B68A9">
        <w:t xml:space="preserve"> for some</w:t>
      </w:r>
      <w:r w:rsidRPr="008B68A9">
        <w:t xml:space="preserve"> families </w:t>
      </w:r>
      <w:r w:rsidR="00E06E77" w:rsidRPr="008B68A9">
        <w:t xml:space="preserve">meant they </w:t>
      </w:r>
      <w:r w:rsidRPr="008B68A9">
        <w:t>were prepared to exchange on average between 10%</w:t>
      </w:r>
      <w:r w:rsidR="00B82D65" w:rsidRPr="008B68A9">
        <w:t xml:space="preserve"> and </w:t>
      </w:r>
      <w:r w:rsidRPr="008B68A9">
        <w:t xml:space="preserve">14% of their budgetary resource (Fisher </w:t>
      </w:r>
      <w:r w:rsidR="00AC06A3" w:rsidRPr="008B68A9">
        <w:rPr>
          <w:i/>
        </w:rPr>
        <w:t>et al.</w:t>
      </w:r>
      <w:r w:rsidRPr="008B68A9">
        <w:t xml:space="preserve"> 2010).</w:t>
      </w:r>
    </w:p>
    <w:p w14:paraId="47F7B086" w14:textId="5ABCC7CA" w:rsidR="00595B8D" w:rsidRPr="008B68A9" w:rsidRDefault="00595B8D" w:rsidP="002F0FD7">
      <w:pPr>
        <w:pStyle w:val="5arangedleft"/>
      </w:pPr>
      <w:r w:rsidRPr="008B68A9">
        <w:t>Laragy and Ottmann (2011) similarly reported a small</w:t>
      </w:r>
      <w:r w:rsidR="00B82D65" w:rsidRPr="008B68A9">
        <w:t>-</w:t>
      </w:r>
      <w:r w:rsidRPr="008B68A9">
        <w:t>scale study of 27 families over a four year period from 2003</w:t>
      </w:r>
      <w:r w:rsidR="00B82D65" w:rsidRPr="008B68A9">
        <w:t>,</w:t>
      </w:r>
      <w:r w:rsidRPr="008B68A9">
        <w:t xml:space="preserve"> </w:t>
      </w:r>
      <w:r w:rsidR="00E06E77" w:rsidRPr="008B68A9">
        <w:t>which provided</w:t>
      </w:r>
      <w:r w:rsidRPr="008B68A9">
        <w:t xml:space="preserve"> rich insights of the merits and demerits of the personal budget framed within Bronfenbrenner’s (1979)</w:t>
      </w:r>
      <w:r w:rsidR="00B82D65" w:rsidRPr="008B68A9">
        <w:t xml:space="preserve"> </w:t>
      </w:r>
      <w:r w:rsidRPr="008B68A9">
        <w:t>ecological systems model.</w:t>
      </w:r>
      <w:r w:rsidR="00415741" w:rsidRPr="008B68A9">
        <w:t xml:space="preserve"> </w:t>
      </w:r>
      <w:r w:rsidRPr="008B68A9">
        <w:t>The participants reported increased choice, control and support as positive elements</w:t>
      </w:r>
      <w:r w:rsidR="00B82D65" w:rsidRPr="008B68A9">
        <w:t>,</w:t>
      </w:r>
      <w:r w:rsidRPr="008B68A9">
        <w:t xml:space="preserve"> as were increased creativity </w:t>
      </w:r>
      <w:r w:rsidR="00E06E77" w:rsidRPr="008B68A9">
        <w:t>and developing</w:t>
      </w:r>
      <w:r w:rsidRPr="008B68A9">
        <w:t xml:space="preserve"> non-traditional options for care. Laragy and Ottmann’s recommendations </w:t>
      </w:r>
      <w:r w:rsidR="00E06E77" w:rsidRPr="008B68A9">
        <w:t>reflect</w:t>
      </w:r>
      <w:r w:rsidR="005009D7" w:rsidRPr="008B68A9">
        <w:t xml:space="preserve"> </w:t>
      </w:r>
      <w:r w:rsidRPr="008B68A9">
        <w:t xml:space="preserve">United Kingdom studies (Glendinning </w:t>
      </w:r>
      <w:r w:rsidR="00AC06A3" w:rsidRPr="008B68A9">
        <w:rPr>
          <w:i/>
        </w:rPr>
        <w:t>et al.</w:t>
      </w:r>
      <w:r w:rsidRPr="008B68A9">
        <w:t xml:space="preserve"> 2008), ca</w:t>
      </w:r>
      <w:r w:rsidR="00E06E77" w:rsidRPr="008B68A9">
        <w:t xml:space="preserve">lling for greater co-production, </w:t>
      </w:r>
      <w:r w:rsidRPr="008B68A9">
        <w:t xml:space="preserve">engagement, inclusive trust and collaboration. </w:t>
      </w:r>
      <w:r w:rsidR="00347B0B" w:rsidRPr="008B68A9">
        <w:t>Laragy and Ottmann’s (2008)</w:t>
      </w:r>
      <w:r w:rsidRPr="008B68A9">
        <w:t xml:space="preserve"> study makes the </w:t>
      </w:r>
      <w:r w:rsidR="004B0643" w:rsidRPr="008B68A9">
        <w:t xml:space="preserve">point </w:t>
      </w:r>
      <w:r w:rsidRPr="008B68A9">
        <w:t xml:space="preserve">that building </w:t>
      </w:r>
      <w:r w:rsidR="00347B0B" w:rsidRPr="008B68A9">
        <w:t xml:space="preserve">families </w:t>
      </w:r>
      <w:r w:rsidRPr="008B68A9">
        <w:t xml:space="preserve">capacity </w:t>
      </w:r>
      <w:r w:rsidR="00347B0B" w:rsidRPr="008B68A9">
        <w:t xml:space="preserve">and their resource capital, </w:t>
      </w:r>
      <w:r w:rsidRPr="008B68A9">
        <w:t xml:space="preserve">similar to </w:t>
      </w:r>
      <w:r w:rsidR="00B82D65" w:rsidRPr="008B68A9">
        <w:t xml:space="preserve">the </w:t>
      </w:r>
      <w:r w:rsidRPr="008B68A9">
        <w:t>real wealth co</w:t>
      </w:r>
      <w:r w:rsidR="00AC5E89" w:rsidRPr="008B68A9">
        <w:t>ncept of Murray and Duffy (2011</w:t>
      </w:r>
      <w:r w:rsidRPr="008B68A9">
        <w:t xml:space="preserve">), </w:t>
      </w:r>
      <w:r w:rsidR="00347B0B" w:rsidRPr="008B68A9">
        <w:t>as well as</w:t>
      </w:r>
      <w:r w:rsidR="00B82D65" w:rsidRPr="008B68A9">
        <w:t xml:space="preserve"> </w:t>
      </w:r>
      <w:r w:rsidRPr="008B68A9">
        <w:t>building the community’s capacity (as</w:t>
      </w:r>
      <w:r w:rsidR="00C4285C" w:rsidRPr="008B68A9">
        <w:t xml:space="preserve"> in Duffy and Fulton 2010</w:t>
      </w:r>
      <w:r w:rsidRPr="008B68A9">
        <w:t>),</w:t>
      </w:r>
      <w:r w:rsidR="00347B0B" w:rsidRPr="008B68A9">
        <w:t xml:space="preserve"> to support</w:t>
      </w:r>
      <w:r w:rsidRPr="008B68A9">
        <w:t xml:space="preserve"> were important.</w:t>
      </w:r>
      <w:r w:rsidR="00415741" w:rsidRPr="008B68A9">
        <w:t xml:space="preserve"> </w:t>
      </w:r>
      <w:r w:rsidRPr="008B68A9">
        <w:t>Finally</w:t>
      </w:r>
      <w:r w:rsidR="004B0643" w:rsidRPr="008B68A9">
        <w:t>,</w:t>
      </w:r>
      <w:r w:rsidRPr="008B68A9">
        <w:t xml:space="preserve"> </w:t>
      </w:r>
      <w:r w:rsidR="00347B0B" w:rsidRPr="008B68A9">
        <w:t xml:space="preserve">what was termed </w:t>
      </w:r>
      <w:r w:rsidRPr="008B68A9">
        <w:t xml:space="preserve">organisational buy-in was </w:t>
      </w:r>
      <w:r w:rsidR="005009D7" w:rsidRPr="008B68A9">
        <w:t>important</w:t>
      </w:r>
      <w:r w:rsidRPr="008B68A9">
        <w:t xml:space="preserve"> for successful </w:t>
      </w:r>
      <w:r w:rsidR="00A9171A" w:rsidRPr="008B68A9">
        <w:t>C</w:t>
      </w:r>
      <w:r w:rsidR="00347B0B" w:rsidRPr="008B68A9">
        <w:t>DC</w:t>
      </w:r>
      <w:r w:rsidRPr="008B68A9">
        <w:t>.</w:t>
      </w:r>
      <w:r w:rsidR="00415741" w:rsidRPr="008B68A9">
        <w:t xml:space="preserve"> </w:t>
      </w:r>
      <w:r w:rsidRPr="008B68A9">
        <w:t xml:space="preserve">Neither study </w:t>
      </w:r>
      <w:r w:rsidR="00347B0B" w:rsidRPr="008B68A9">
        <w:t xml:space="preserve">however </w:t>
      </w:r>
      <w:r w:rsidRPr="008B68A9">
        <w:t xml:space="preserve">examined the roles of professionals as they negotiated changed role and professional identity, though Ottmann and Laragy (2011) challenge service systems </w:t>
      </w:r>
      <w:r w:rsidRPr="008B68A9">
        <w:lastRenderedPageBreak/>
        <w:t xml:space="preserve">to “mediate power differentials” within self-directed support similar to </w:t>
      </w:r>
      <w:r w:rsidR="00347B0B" w:rsidRPr="008B68A9">
        <w:t xml:space="preserve">Leadbeater’s (2004) </w:t>
      </w:r>
      <w:r w:rsidRPr="008B68A9">
        <w:t>professional asymmetry.</w:t>
      </w:r>
    </w:p>
    <w:p w14:paraId="043BD036" w14:textId="12B1F1A6" w:rsidR="00595B8D" w:rsidRPr="008B68A9" w:rsidRDefault="00A9171A" w:rsidP="002F0FD7">
      <w:pPr>
        <w:pStyle w:val="5arangedleft"/>
      </w:pPr>
      <w:r w:rsidRPr="008B68A9">
        <w:t>A</w:t>
      </w:r>
      <w:r w:rsidR="005009D7" w:rsidRPr="008B68A9">
        <w:t xml:space="preserve"> </w:t>
      </w:r>
      <w:r w:rsidR="00595B8D" w:rsidRPr="008B68A9">
        <w:t xml:space="preserve">policy analysis </w:t>
      </w:r>
      <w:r w:rsidR="005009D7" w:rsidRPr="008B68A9">
        <w:t xml:space="preserve">of Fisher </w:t>
      </w:r>
      <w:r w:rsidR="005009D7" w:rsidRPr="008B68A9">
        <w:rPr>
          <w:i/>
        </w:rPr>
        <w:t>et al.</w:t>
      </w:r>
      <w:r w:rsidR="005009D7" w:rsidRPr="008B68A9">
        <w:t xml:space="preserve"> (2010) </w:t>
      </w:r>
      <w:r w:rsidR="00595B8D" w:rsidRPr="008B68A9">
        <w:t xml:space="preserve">reviewed the scope and range of </w:t>
      </w:r>
      <w:r w:rsidRPr="008B68A9">
        <w:t>CDC</w:t>
      </w:r>
      <w:r w:rsidR="00595B8D" w:rsidRPr="008B68A9">
        <w:t xml:space="preserve"> examining secondary data from state records</w:t>
      </w:r>
      <w:r w:rsidR="005009D7" w:rsidRPr="008B68A9">
        <w:t>,</w:t>
      </w:r>
      <w:r w:rsidR="00595B8D" w:rsidRPr="008B68A9">
        <w:t xml:space="preserve"> as well as primary interviews and questionnaire data (n=120) with key stakeholder providers (n=12)</w:t>
      </w:r>
      <w:r w:rsidR="00EC722C" w:rsidRPr="008B68A9">
        <w:t>,</w:t>
      </w:r>
      <w:r w:rsidR="00595B8D" w:rsidRPr="008B68A9">
        <w:t xml:space="preserve"> and budget users (n=22).</w:t>
      </w:r>
      <w:r w:rsidR="00415741" w:rsidRPr="008B68A9">
        <w:t xml:space="preserve"> </w:t>
      </w:r>
      <w:r w:rsidRPr="008B68A9">
        <w:t>CDC</w:t>
      </w:r>
      <w:r w:rsidR="00595B8D" w:rsidRPr="008B68A9">
        <w:t xml:space="preserve"> </w:t>
      </w:r>
      <w:r w:rsidRPr="008B68A9">
        <w:t>has focused</w:t>
      </w:r>
      <w:r w:rsidR="00595B8D" w:rsidRPr="008B68A9">
        <w:t xml:space="preserve"> on the implementation of personalised approaches to care delivery for th</w:t>
      </w:r>
      <w:r w:rsidRPr="008B68A9">
        <w:t>e older population in Australia.</w:t>
      </w:r>
      <w:r w:rsidR="00415741" w:rsidRPr="008B68A9">
        <w:t xml:space="preserve"> </w:t>
      </w:r>
      <w:r w:rsidR="00595B8D" w:rsidRPr="008B68A9">
        <w:t xml:space="preserve">This is </w:t>
      </w:r>
      <w:r w:rsidR="005009D7" w:rsidRPr="008B68A9">
        <w:t xml:space="preserve">a </w:t>
      </w:r>
      <w:r w:rsidR="00595B8D" w:rsidRPr="008B68A9">
        <w:t>departure from much of the international literature, as forms of individual budgets for this population have seen poor uptake</w:t>
      </w:r>
      <w:r w:rsidR="005009D7" w:rsidRPr="008B68A9">
        <w:t xml:space="preserve">, </w:t>
      </w:r>
      <w:r w:rsidR="00595B8D" w:rsidRPr="008B68A9">
        <w:t xml:space="preserve">suggesting self-direction with older people may need a different approach to that used by younger people (Netten </w:t>
      </w:r>
      <w:r w:rsidR="00AC06A3" w:rsidRPr="008B68A9">
        <w:rPr>
          <w:i/>
        </w:rPr>
        <w:t>et al.</w:t>
      </w:r>
      <w:r w:rsidR="00595B8D" w:rsidRPr="008B68A9">
        <w:t xml:space="preserve"> 2012, Manthorpe and Samsi 2013).</w:t>
      </w:r>
    </w:p>
    <w:p w14:paraId="05AF5EB2" w14:textId="69DCE197" w:rsidR="00595B8D" w:rsidRPr="008B68A9" w:rsidRDefault="00595B8D" w:rsidP="002F0FD7">
      <w:pPr>
        <w:pStyle w:val="5arangedleft"/>
      </w:pPr>
      <w:r w:rsidRPr="008B68A9">
        <w:t>The largest CDC study in Australia evaluated 500 packages for older people with a range of care need</w:t>
      </w:r>
      <w:r w:rsidR="005009D7" w:rsidRPr="008B68A9">
        <w:t>s</w:t>
      </w:r>
      <w:r w:rsidRPr="008B68A9">
        <w:t>, including dementia</w:t>
      </w:r>
      <w:r w:rsidR="00EC722C" w:rsidRPr="008B68A9">
        <w:t xml:space="preserve"> </w:t>
      </w:r>
      <w:r w:rsidRPr="008B68A9">
        <w:t xml:space="preserve">(Gordon </w:t>
      </w:r>
      <w:r w:rsidR="00AC06A3" w:rsidRPr="008B68A9">
        <w:rPr>
          <w:i/>
        </w:rPr>
        <w:t>et al.</w:t>
      </w:r>
      <w:r w:rsidRPr="008B68A9">
        <w:t xml:space="preserve"> 2012).</w:t>
      </w:r>
      <w:r w:rsidR="00415741" w:rsidRPr="008B68A9">
        <w:t xml:space="preserve"> </w:t>
      </w:r>
      <w:r w:rsidR="00370840" w:rsidRPr="008B68A9">
        <w:t xml:space="preserve">This mixed methods </w:t>
      </w:r>
      <w:r w:rsidRPr="008B68A9">
        <w:t>evaluation centred on whether CDC enhanced community care, was person centred and represented value for money.</w:t>
      </w:r>
      <w:r w:rsidR="00415741" w:rsidRPr="008B68A9">
        <w:t xml:space="preserve"> </w:t>
      </w:r>
      <w:r w:rsidRPr="008B68A9">
        <w:t xml:space="preserve">Gordon </w:t>
      </w:r>
      <w:r w:rsidR="00AC06A3" w:rsidRPr="008B68A9">
        <w:rPr>
          <w:i/>
        </w:rPr>
        <w:t>et al.</w:t>
      </w:r>
      <w:r w:rsidRPr="008B68A9">
        <w:t xml:space="preserve"> (2012) suggest ways of </w:t>
      </w:r>
      <w:r w:rsidR="00A9171A" w:rsidRPr="008B68A9">
        <w:t>advancing</w:t>
      </w:r>
      <w:r w:rsidRPr="008B68A9">
        <w:t xml:space="preserve"> personalisation for people with dementia which </w:t>
      </w:r>
      <w:r w:rsidR="00A9171A" w:rsidRPr="008B68A9">
        <w:t>currently cause</w:t>
      </w:r>
      <w:r w:rsidRPr="008B68A9">
        <w:t xml:space="preserve"> concerns for many</w:t>
      </w:r>
      <w:r w:rsidR="00370840" w:rsidRPr="008B68A9">
        <w:t xml:space="preserve"> in the UK</w:t>
      </w:r>
      <w:r w:rsidRPr="008B68A9">
        <w:t xml:space="preserve"> (</w:t>
      </w:r>
      <w:r w:rsidR="00217142" w:rsidRPr="008B68A9">
        <w:t>Mental Health Network 2011</w:t>
      </w:r>
      <w:r w:rsidRPr="008B68A9">
        <w:t>), challenging safeguarding processes (</w:t>
      </w:r>
      <w:r w:rsidR="00164B1F" w:rsidRPr="008B68A9">
        <w:t>DH 2010e</w:t>
      </w:r>
      <w:r w:rsidR="00370840" w:rsidRPr="008B68A9">
        <w:t>,</w:t>
      </w:r>
      <w:r w:rsidR="00164B1F" w:rsidRPr="008B68A9">
        <w:t xml:space="preserve"> </w:t>
      </w:r>
      <w:r w:rsidRPr="008B68A9">
        <w:t xml:space="preserve">Manthorpe and Samsi </w:t>
      </w:r>
      <w:r w:rsidR="00217142" w:rsidRPr="008B68A9">
        <w:t>2013</w:t>
      </w:r>
      <w:r w:rsidRPr="008B68A9">
        <w:t xml:space="preserve">), </w:t>
      </w:r>
      <w:r w:rsidR="0006750B" w:rsidRPr="008B68A9">
        <w:t>low uptake of personal budgets and challenges for brokers (Zamfir 2013)</w:t>
      </w:r>
      <w:r w:rsidR="00370840" w:rsidRPr="008B68A9">
        <w:t>,</w:t>
      </w:r>
      <w:r w:rsidR="0006750B" w:rsidRPr="008B68A9">
        <w:rPr>
          <w:b/>
        </w:rPr>
        <w:t xml:space="preserve"> </w:t>
      </w:r>
      <w:r w:rsidRPr="008B68A9">
        <w:t xml:space="preserve">and delay for policy makers and services alike across different countries (Knapp </w:t>
      </w:r>
      <w:r w:rsidR="00AC06A3" w:rsidRPr="008B68A9">
        <w:rPr>
          <w:i/>
        </w:rPr>
        <w:t>et al.</w:t>
      </w:r>
      <w:r w:rsidRPr="008B68A9">
        <w:t xml:space="preserve"> </w:t>
      </w:r>
      <w:r w:rsidR="00130910" w:rsidRPr="008B68A9">
        <w:t>2012</w:t>
      </w:r>
      <w:r w:rsidRPr="008B68A9">
        <w:t>).</w:t>
      </w:r>
      <w:r w:rsidR="00415741" w:rsidRPr="008B68A9">
        <w:t xml:space="preserve"> </w:t>
      </w:r>
      <w:r w:rsidRPr="008B68A9">
        <w:t>The CDC evaluation was bold, demonstrating that self-directed services for people with complex need</w:t>
      </w:r>
      <w:r w:rsidR="00370840" w:rsidRPr="008B68A9">
        <w:t>s</w:t>
      </w:r>
      <w:r w:rsidRPr="008B68A9">
        <w:t xml:space="preserve"> such as dementia can be managed within reasonable risk parameters and to good effect.</w:t>
      </w:r>
    </w:p>
    <w:p w14:paraId="33D0732F" w14:textId="74942275" w:rsidR="00595B8D" w:rsidRPr="008B68A9" w:rsidRDefault="00595B8D" w:rsidP="002F0FD7">
      <w:pPr>
        <w:pStyle w:val="5arangedleft"/>
      </w:pPr>
      <w:r w:rsidRPr="008B68A9">
        <w:t>In keeping with many other countries</w:t>
      </w:r>
      <w:r w:rsidR="00DD2211" w:rsidRPr="008B68A9">
        <w:t>,</w:t>
      </w:r>
      <w:r w:rsidRPr="008B68A9">
        <w:t xml:space="preserve"> Australia has to a large extent accepted the binding principles of personalisation and increased public involvement in the delivery of health and social care services.</w:t>
      </w:r>
      <w:r w:rsidR="00415741" w:rsidRPr="008B68A9">
        <w:t xml:space="preserve"> </w:t>
      </w:r>
      <w:r w:rsidRPr="008B68A9">
        <w:t>Whilst their evidence may</w:t>
      </w:r>
      <w:r w:rsidR="00DD2211" w:rsidRPr="008B68A9">
        <w:t xml:space="preserve"> </w:t>
      </w:r>
      <w:r w:rsidRPr="008B68A9">
        <w:t xml:space="preserve">be equivocal, requiring more research and evaluation, the argument of listening to the users’ voice when deciding what is best </w:t>
      </w:r>
      <w:r w:rsidR="001D3EFE" w:rsidRPr="008B68A9">
        <w:t>with</w:t>
      </w:r>
      <w:r w:rsidRPr="008B68A9">
        <w:t xml:space="preserve"> </w:t>
      </w:r>
      <w:r w:rsidR="001D3EFE" w:rsidRPr="008B68A9">
        <w:t>them</w:t>
      </w:r>
      <w:r w:rsidRPr="008B68A9">
        <w:t xml:space="preserve"> has become overwhelming </w:t>
      </w:r>
      <w:r w:rsidR="00DD2211" w:rsidRPr="008B68A9">
        <w:t>(</w:t>
      </w:r>
      <w:r w:rsidRPr="008B68A9">
        <w:t xml:space="preserve">Ottmann </w:t>
      </w:r>
      <w:r w:rsidR="00AC06A3" w:rsidRPr="008B68A9">
        <w:rPr>
          <w:i/>
        </w:rPr>
        <w:t>et al.</w:t>
      </w:r>
      <w:r w:rsidR="00EC722C" w:rsidRPr="008B68A9">
        <w:t>,</w:t>
      </w:r>
      <w:r w:rsidRPr="008B68A9">
        <w:t xml:space="preserve"> 2013). The question of what constitutes the most effective </w:t>
      </w:r>
      <w:r w:rsidR="00C152FF" w:rsidRPr="008B68A9">
        <w:t>way</w:t>
      </w:r>
      <w:r w:rsidRPr="008B68A9">
        <w:t xml:space="preserve"> to implement </w:t>
      </w:r>
      <w:r w:rsidR="00C152FF" w:rsidRPr="008B68A9">
        <w:t>personalisation</w:t>
      </w:r>
      <w:r w:rsidRPr="008B68A9">
        <w:t xml:space="preserve"> policy </w:t>
      </w:r>
      <w:r w:rsidR="001D3EFE" w:rsidRPr="008B68A9">
        <w:t xml:space="preserve">therefore </w:t>
      </w:r>
      <w:r w:rsidRPr="008B68A9">
        <w:t>becomes more pertinent</w:t>
      </w:r>
      <w:r w:rsidR="00C152FF" w:rsidRPr="008B68A9">
        <w:t xml:space="preserve"> and </w:t>
      </w:r>
      <w:r w:rsidRPr="008B68A9">
        <w:t xml:space="preserve">Ottmann </w:t>
      </w:r>
      <w:r w:rsidR="00AC06A3" w:rsidRPr="008B68A9">
        <w:rPr>
          <w:i/>
        </w:rPr>
        <w:t>et al.</w:t>
      </w:r>
      <w:r w:rsidRPr="008B68A9">
        <w:t xml:space="preserve"> </w:t>
      </w:r>
      <w:r w:rsidR="00C152FF" w:rsidRPr="008B68A9">
        <w:t xml:space="preserve">(2013) </w:t>
      </w:r>
      <w:r w:rsidRPr="008B68A9">
        <w:lastRenderedPageBreak/>
        <w:t xml:space="preserve">suggest </w:t>
      </w:r>
      <w:r w:rsidR="00A1282E" w:rsidRPr="008B68A9">
        <w:t xml:space="preserve">one answer </w:t>
      </w:r>
      <w:r w:rsidRPr="008B68A9">
        <w:t>should be locally developed formats responding to local needs of the people using the services</w:t>
      </w:r>
      <w:r w:rsidR="001D3EFE" w:rsidRPr="008B68A9">
        <w:t xml:space="preserve"> as opposed to nationally mandated formats</w:t>
      </w:r>
      <w:r w:rsidRPr="008B68A9">
        <w:t>.</w:t>
      </w:r>
      <w:r w:rsidR="00415741" w:rsidRPr="008B68A9">
        <w:t xml:space="preserve"> </w:t>
      </w:r>
    </w:p>
    <w:p w14:paraId="09957105" w14:textId="3292D26D" w:rsidR="00EA097F" w:rsidRPr="008B68A9" w:rsidRDefault="00EA097F" w:rsidP="002F0FD7">
      <w:pPr>
        <w:pStyle w:val="5arangedleft"/>
      </w:pPr>
      <w:r w:rsidRPr="008B68A9">
        <w:t>Following th</w:t>
      </w:r>
      <w:r w:rsidR="00FC548A" w:rsidRPr="008B68A9">
        <w:t>e success of C</w:t>
      </w:r>
      <w:r w:rsidRPr="008B68A9">
        <w:t>DC in Australia legislation through the National Disability Insurance Scheme (NDIA Act 2013) has mandated support and individualised funding for all disabled Australians.  The act is designed to provide “funding for persons or entities to enable them to assist people with disability to participate in economic and social life and … individual plans under which reasonable and necessary supports will be funded for certain people” (p.2). The act and subsequent evaluation, which is ongoing as of 2016, appears to foc</w:t>
      </w:r>
      <w:r w:rsidR="00FC548A" w:rsidRPr="008B68A9">
        <w:t>us as has much of the previous C</w:t>
      </w:r>
      <w:r w:rsidRPr="008B68A9">
        <w:t>DC work on people with disability and not on people with mental health issues.  There will be citizens with mental health problems who will under the terms of the legislation benefit, though these will be minor in terms of the overall population.</w:t>
      </w:r>
    </w:p>
    <w:p w14:paraId="65D76F27" w14:textId="568F35B2" w:rsidR="003F2885" w:rsidRPr="008B68A9" w:rsidRDefault="00595B8D" w:rsidP="002F0FD7">
      <w:pPr>
        <w:pStyle w:val="5arangedleft"/>
      </w:pPr>
      <w:r w:rsidRPr="008B68A9">
        <w:t>In Europe</w:t>
      </w:r>
      <w:r w:rsidR="00533650" w:rsidRPr="008B68A9">
        <w:t>an nations as well as in</w:t>
      </w:r>
      <w:r w:rsidRPr="008B68A9">
        <w:t xml:space="preserve"> the United Kingdom</w:t>
      </w:r>
      <w:r w:rsidR="00A1282E" w:rsidRPr="008B68A9">
        <w:t>,</w:t>
      </w:r>
      <w:r w:rsidRPr="008B68A9">
        <w:t xml:space="preserve"> there is little empirical evidence to support scaling up </w:t>
      </w:r>
      <w:r w:rsidR="001D3EFE" w:rsidRPr="008B68A9">
        <w:t>personalisation</w:t>
      </w:r>
      <w:r w:rsidR="00A1282E" w:rsidRPr="008B68A9">
        <w:t>;</w:t>
      </w:r>
      <w:r w:rsidRPr="008B68A9">
        <w:t xml:space="preserve"> in Australia</w:t>
      </w:r>
      <w:r w:rsidR="00A1282E" w:rsidRPr="008B68A9">
        <w:t>,</w:t>
      </w:r>
      <w:r w:rsidRPr="008B68A9">
        <w:t xml:space="preserve"> however, </w:t>
      </w:r>
      <w:r w:rsidR="00FC548A" w:rsidRPr="008B68A9">
        <w:t xml:space="preserve">CDC’s </w:t>
      </w:r>
      <w:r w:rsidRPr="008B68A9">
        <w:t xml:space="preserve">momentum is great. It seems that consumer satisfaction and perceptions of greater autonomy and quality of life </w:t>
      </w:r>
      <w:r w:rsidR="00A1282E" w:rsidRPr="008B68A9">
        <w:t xml:space="preserve">are </w:t>
      </w:r>
      <w:r w:rsidRPr="008B68A9">
        <w:t>sufficient</w:t>
      </w:r>
      <w:r w:rsidR="001D3EFE" w:rsidRPr="008B68A9">
        <w:t xml:space="preserve"> in themselves to warrant wide scale adoption</w:t>
      </w:r>
      <w:r w:rsidRPr="008B68A9">
        <w:t>.</w:t>
      </w:r>
      <w:r w:rsidR="00415741" w:rsidRPr="008B68A9">
        <w:t xml:space="preserve"> </w:t>
      </w:r>
      <w:r w:rsidRPr="008B68A9">
        <w:t xml:space="preserve">Critics </w:t>
      </w:r>
      <w:r w:rsidR="0074727D" w:rsidRPr="008B68A9">
        <w:t xml:space="preserve">such as Daly (2012) </w:t>
      </w:r>
      <w:r w:rsidRPr="008B68A9">
        <w:t xml:space="preserve">argue that pursuing personalisation in lieu of evidence risks creating greater inequalities and unnecessarily exposing vulnerable populations to </w:t>
      </w:r>
      <w:r w:rsidR="00FC548A" w:rsidRPr="008B68A9">
        <w:t>risk;</w:t>
      </w:r>
      <w:r w:rsidR="00415741" w:rsidRPr="008B68A9">
        <w:t xml:space="preserve"> </w:t>
      </w:r>
      <w:r w:rsidRPr="008B68A9">
        <w:t xml:space="preserve">whilst </w:t>
      </w:r>
      <w:r w:rsidR="0074727D" w:rsidRPr="008B68A9">
        <w:t xml:space="preserve">Gadsby </w:t>
      </w:r>
      <w:r w:rsidR="0074727D" w:rsidRPr="008B68A9">
        <w:rPr>
          <w:i/>
        </w:rPr>
        <w:t>et al.</w:t>
      </w:r>
      <w:r w:rsidR="0074727D" w:rsidRPr="008B68A9">
        <w:t xml:space="preserve"> (2013) </w:t>
      </w:r>
      <w:r w:rsidRPr="008B68A9">
        <w:t xml:space="preserve">suggest that the rising exposure of governments to increasing financial liability for the cost of care </w:t>
      </w:r>
      <w:r w:rsidR="00E13CDB" w:rsidRPr="008B68A9">
        <w:t xml:space="preserve">of </w:t>
      </w:r>
      <w:r w:rsidRPr="008B68A9">
        <w:t xml:space="preserve">an ageing population </w:t>
      </w:r>
      <w:r w:rsidR="001D3EFE" w:rsidRPr="008B68A9">
        <w:t>creates</w:t>
      </w:r>
      <w:r w:rsidRPr="008B68A9">
        <w:t xml:space="preserve"> their policy enthusiasm.</w:t>
      </w:r>
      <w:r w:rsidR="00415741" w:rsidRPr="008B68A9">
        <w:t xml:space="preserve"> </w:t>
      </w:r>
      <w:r w:rsidRPr="008B68A9">
        <w:t xml:space="preserve">Others </w:t>
      </w:r>
      <w:r w:rsidR="00A62CF6" w:rsidRPr="008B68A9">
        <w:t xml:space="preserve">such as Spandler and Vick (2004) and Carr (2011a) </w:t>
      </w:r>
      <w:r w:rsidRPr="008B68A9">
        <w:t>suggest that neoliberal</w:t>
      </w:r>
      <w:r w:rsidR="00DB54A3" w:rsidRPr="008B68A9">
        <w:t xml:space="preserve"> ideas</w:t>
      </w:r>
      <w:r w:rsidRPr="008B68A9">
        <w:t xml:space="preserve"> and the marketi</w:t>
      </w:r>
      <w:r w:rsidR="00DB54A3" w:rsidRPr="008B68A9">
        <w:t>s</w:t>
      </w:r>
      <w:r w:rsidRPr="008B68A9">
        <w:t>ation of care are also important in the drive towards in</w:t>
      </w:r>
      <w:r w:rsidR="00A62CF6" w:rsidRPr="008B68A9">
        <w:t>creasingly individualised care</w:t>
      </w:r>
      <w:r w:rsidRPr="008B68A9">
        <w:t>.</w:t>
      </w:r>
      <w:r w:rsidR="00415741" w:rsidRPr="008B68A9">
        <w:t xml:space="preserve"> </w:t>
      </w:r>
      <w:r w:rsidRPr="008B68A9">
        <w:t>These concerns might appear peculiar to Europe</w:t>
      </w:r>
      <w:r w:rsidR="0074727D" w:rsidRPr="008B68A9">
        <w:t>an nation states</w:t>
      </w:r>
      <w:r w:rsidRPr="008B68A9">
        <w:t>, Australasia</w:t>
      </w:r>
      <w:r w:rsidR="0074727D" w:rsidRPr="008B68A9">
        <w:t xml:space="preserve"> as well as here in the UK</w:t>
      </w:r>
      <w:r w:rsidR="00DB54A3" w:rsidRPr="008B68A9">
        <w:t>,</w:t>
      </w:r>
      <w:r w:rsidRPr="008B68A9">
        <w:t xml:space="preserve"> whereas in </w:t>
      </w:r>
      <w:r w:rsidR="00DB54A3" w:rsidRPr="008B68A9">
        <w:t xml:space="preserve">the </w:t>
      </w:r>
      <w:r w:rsidRPr="008B68A9">
        <w:t>US markets</w:t>
      </w:r>
      <w:r w:rsidR="0074727D" w:rsidRPr="008B68A9">
        <w:t xml:space="preserve"> and consumer choice</w:t>
      </w:r>
      <w:r w:rsidRPr="008B68A9">
        <w:t xml:space="preserve"> have been culturally dominant</w:t>
      </w:r>
      <w:r w:rsidR="0074727D" w:rsidRPr="008B68A9">
        <w:t xml:space="preserve"> since the early twentieth century</w:t>
      </w:r>
      <w:r w:rsidRPr="008B68A9">
        <w:t>.</w:t>
      </w:r>
      <w:r w:rsidR="00415741" w:rsidRPr="008B68A9">
        <w:t xml:space="preserve"> </w:t>
      </w:r>
      <w:r w:rsidR="00A62CF6" w:rsidRPr="008B68A9">
        <w:t>S</w:t>
      </w:r>
      <w:r w:rsidRPr="008B68A9">
        <w:t xml:space="preserve">elf-directed care </w:t>
      </w:r>
      <w:r w:rsidR="00A62CF6" w:rsidRPr="008B68A9">
        <w:t>as a</w:t>
      </w:r>
      <w:r w:rsidRPr="008B68A9">
        <w:t xml:space="preserve"> </w:t>
      </w:r>
      <w:r w:rsidR="00A62CF6" w:rsidRPr="008B68A9">
        <w:t xml:space="preserve">recognisable </w:t>
      </w:r>
      <w:r w:rsidRPr="008B68A9">
        <w:t xml:space="preserve">form </w:t>
      </w:r>
      <w:r w:rsidR="00A62CF6" w:rsidRPr="008B68A9">
        <w:t xml:space="preserve">of personalisation </w:t>
      </w:r>
      <w:r w:rsidRPr="008B68A9">
        <w:t>had its origins in the US</w:t>
      </w:r>
      <w:r w:rsidR="00DB54A3" w:rsidRPr="008B68A9">
        <w:t>,</w:t>
      </w:r>
      <w:r w:rsidRPr="008B68A9">
        <w:t xml:space="preserve"> </w:t>
      </w:r>
      <w:r w:rsidR="0074727D" w:rsidRPr="008B68A9">
        <w:t xml:space="preserve">to </w:t>
      </w:r>
      <w:r w:rsidR="00DB54A3" w:rsidRPr="008B68A9">
        <w:t xml:space="preserve">which </w:t>
      </w:r>
      <w:r w:rsidRPr="008B68A9">
        <w:t>this chapter now turns.</w:t>
      </w:r>
    </w:p>
    <w:p w14:paraId="345FCB39" w14:textId="77777777" w:rsidR="00792AC2" w:rsidRPr="008B68A9" w:rsidRDefault="00792AC2" w:rsidP="00792AC2">
      <w:pPr>
        <w:pStyle w:val="8unnumberedcross-head"/>
      </w:pPr>
      <w:bookmarkStart w:id="53" w:name="_Toc413827378"/>
      <w:bookmarkStart w:id="54" w:name="_Toc413827379"/>
      <w:r w:rsidRPr="008B68A9">
        <w:lastRenderedPageBreak/>
        <w:t xml:space="preserve">United States of America </w:t>
      </w:r>
    </w:p>
    <w:p w14:paraId="5A0410AA" w14:textId="49EA5332" w:rsidR="00792AC2" w:rsidRPr="008B68A9" w:rsidRDefault="00792AC2" w:rsidP="002F0FD7">
      <w:pPr>
        <w:pStyle w:val="5arangedleft"/>
      </w:pPr>
      <w:r w:rsidRPr="008B68A9">
        <w:t xml:space="preserve">Modern personalisation can be traced to the United States of America </w:t>
      </w:r>
      <w:r w:rsidR="00CD6809" w:rsidRPr="008B68A9">
        <w:t xml:space="preserve">according to </w:t>
      </w:r>
      <w:r w:rsidRPr="008B68A9">
        <w:t xml:space="preserve">Alakeson </w:t>
      </w:r>
      <w:r w:rsidR="00CD6809" w:rsidRPr="008B68A9">
        <w:t>(</w:t>
      </w:r>
      <w:r w:rsidRPr="008B68A9">
        <w:t>2007)</w:t>
      </w:r>
      <w:r w:rsidRPr="008B68A9">
        <w:rPr>
          <w:b/>
        </w:rPr>
        <w:t>,</w:t>
      </w:r>
      <w:r w:rsidRPr="008B68A9">
        <w:t xml:space="preserve"> where the Centre for Independent Living model signalled the start of the challenge to a powerful hegemony of professionals (Zukas 1975). Following key legislative and policy directives around the </w:t>
      </w:r>
      <w:r w:rsidR="00A62CF6" w:rsidRPr="008B68A9">
        <w:t xml:space="preserve">mid nineteen nineties reported by </w:t>
      </w:r>
      <w:r w:rsidRPr="008B68A9">
        <w:t xml:space="preserve">Doty </w:t>
      </w:r>
      <w:r w:rsidR="00A62CF6" w:rsidRPr="008B68A9">
        <w:t>(</w:t>
      </w:r>
      <w:r w:rsidRPr="008B68A9">
        <w:t>2000</w:t>
      </w:r>
      <w:r w:rsidR="00A62CF6" w:rsidRPr="008B68A9">
        <w:t>) and</w:t>
      </w:r>
      <w:r w:rsidRPr="008B68A9">
        <w:t xml:space="preserve"> Mahoney </w:t>
      </w:r>
      <w:r w:rsidRPr="008B68A9">
        <w:rPr>
          <w:i/>
        </w:rPr>
        <w:t>et al.</w:t>
      </w:r>
      <w:r w:rsidRPr="008B68A9">
        <w:t xml:space="preserve"> </w:t>
      </w:r>
      <w:r w:rsidR="00A62CF6" w:rsidRPr="008B68A9">
        <w:t>(</w:t>
      </w:r>
      <w:r w:rsidRPr="008B68A9">
        <w:t>2007), self-direction</w:t>
      </w:r>
      <w:r w:rsidRPr="008B68A9">
        <w:rPr>
          <w:b/>
        </w:rPr>
        <w:t xml:space="preserve"> </w:t>
      </w:r>
      <w:r w:rsidRPr="008B68A9">
        <w:t>began within Monadnoc</w:t>
      </w:r>
      <w:r w:rsidR="00A62CF6" w:rsidRPr="008B68A9">
        <w:t xml:space="preserve">k learning disability services reported by </w:t>
      </w:r>
      <w:r w:rsidRPr="008B68A9">
        <w:t xml:space="preserve">Conroy and Yuskauskas </w:t>
      </w:r>
      <w:r w:rsidR="00A62CF6" w:rsidRPr="008B68A9">
        <w:t>(</w:t>
      </w:r>
      <w:r w:rsidRPr="008B68A9">
        <w:t>1996</w:t>
      </w:r>
      <w:r w:rsidR="00A62CF6" w:rsidRPr="008B68A9">
        <w:t>). However s</w:t>
      </w:r>
      <w:r w:rsidRPr="008B68A9">
        <w:t xml:space="preserve">elf-direction in mental health has grown more slowly (Doty </w:t>
      </w:r>
      <w:r w:rsidRPr="008B68A9">
        <w:rPr>
          <w:i/>
        </w:rPr>
        <w:t>et al.</w:t>
      </w:r>
      <w:r w:rsidRPr="008B68A9">
        <w:t xml:space="preserve"> 2007, Alakeson 2013b) from relatively small</w:t>
      </w:r>
      <w:r w:rsidR="00A62CF6" w:rsidRPr="008B68A9">
        <w:t xml:space="preserve"> programmes</w:t>
      </w:r>
      <w:r w:rsidRPr="008B68A9">
        <w:t xml:space="preserve"> in Oregon, Iowa, Florida, Michigan, Texas and Maryland (Alakeson 2007), to </w:t>
      </w:r>
      <w:r w:rsidR="00A62CF6" w:rsidRPr="008B68A9">
        <w:t>the current</w:t>
      </w:r>
      <w:r w:rsidRPr="008B68A9">
        <w:t xml:space="preserve"> position where large scale demonstration projects are underway in many states</w:t>
      </w:r>
      <w:r w:rsidRPr="008B68A9">
        <w:rPr>
          <w:b/>
        </w:rPr>
        <w:t xml:space="preserve"> </w:t>
      </w:r>
      <w:r w:rsidRPr="008B68A9">
        <w:t xml:space="preserve">(Robert Wood Johnson Foundation 2013). Differences between the schemes are </w:t>
      </w:r>
      <w:r w:rsidR="00C152FF" w:rsidRPr="008B68A9">
        <w:t xml:space="preserve">determined </w:t>
      </w:r>
      <w:r w:rsidRPr="008B68A9">
        <w:t xml:space="preserve">mainly </w:t>
      </w:r>
      <w:r w:rsidR="00CD6809" w:rsidRPr="008B68A9">
        <w:t>by</w:t>
      </w:r>
      <w:r w:rsidR="00C152FF" w:rsidRPr="008B68A9">
        <w:t xml:space="preserve"> the funding sources, </w:t>
      </w:r>
      <w:r w:rsidRPr="008B68A9">
        <w:t xml:space="preserve">whether federal, state revenue or grants based (Mahoney 2007, Robert Wood Johnson Foundation 2013). Funding aside, each programme adheres to four </w:t>
      </w:r>
      <w:r w:rsidRPr="008B68A9">
        <w:rPr>
          <w:iCs/>
        </w:rPr>
        <w:t xml:space="preserve">tenets of self-directed care which </w:t>
      </w:r>
      <w:r w:rsidRPr="008B68A9">
        <w:t xml:space="preserve">Cook </w:t>
      </w:r>
      <w:r w:rsidRPr="008B68A9">
        <w:rPr>
          <w:i/>
        </w:rPr>
        <w:t>et al.</w:t>
      </w:r>
      <w:r w:rsidRPr="008B68A9">
        <w:t xml:space="preserve"> (2008) state are: “Participant control; participant responsibility; participant choice; and avoidance of conflict of interest” (p. 137).</w:t>
      </w:r>
    </w:p>
    <w:p w14:paraId="6900241F" w14:textId="14FC6A52" w:rsidR="00792AC2" w:rsidRPr="008B68A9" w:rsidRDefault="00792AC2" w:rsidP="002F0FD7">
      <w:pPr>
        <w:pStyle w:val="5arangedleft"/>
      </w:pPr>
      <w:r w:rsidRPr="008B68A9">
        <w:t>The programmes do not have the same open or planned formats of European approaches to personal budget management that Alakeson (2010) describes; instead they share strict limits and rules that guide the programme’s operation. Florida self-directed care (the longest established mental health self-directed care scheme in the US) has developed a tightly regulated structure with many explicit exemptions and restrictions of allowable services (Spaulding-Givens and Lacasse 2015); whereas Oregon Empowerment Initiatives, a peer-led ser</w:t>
      </w:r>
      <w:r w:rsidR="00FC7E94" w:rsidRPr="008B68A9">
        <w:t>vice, reported by Sullivan (2006) is liberal by comparison, (Cook in press</w:t>
      </w:r>
      <w:r w:rsidR="005C33E9" w:rsidRPr="008B68A9">
        <w:t>). The programme permits</w:t>
      </w:r>
      <w:r w:rsidR="00FC7E94" w:rsidRPr="008B68A9">
        <w:t xml:space="preserve"> a</w:t>
      </w:r>
      <w:r w:rsidRPr="008B68A9">
        <w:t xml:space="preserve"> greater use of </w:t>
      </w:r>
      <w:r w:rsidR="00FC7E94" w:rsidRPr="008B68A9">
        <w:t>flexibility in the budgets’ use;</w:t>
      </w:r>
      <w:r w:rsidRPr="008B68A9">
        <w:t xml:space="preserve"> for instance personal sex-aids (Hlebechuk 2009). Critics of more liberal </w:t>
      </w:r>
      <w:r w:rsidR="00FC7E94" w:rsidRPr="008B68A9">
        <w:t xml:space="preserve">SDC </w:t>
      </w:r>
      <w:r w:rsidRPr="008B68A9">
        <w:t>programmes liken the distribution of funds to an anti-poverty scheme with little linking acquisitions to planned focused recovery interventions (Cook and Mueser 2015, Croft and Parish 2016)</w:t>
      </w:r>
      <w:r w:rsidR="00FC7E94" w:rsidRPr="008B68A9">
        <w:t>, rather the monies make up in part a shortfall in overall individual or family income</w:t>
      </w:r>
      <w:r w:rsidRPr="008B68A9">
        <w:t>.</w:t>
      </w:r>
    </w:p>
    <w:p w14:paraId="45769559" w14:textId="5AA8E8F3" w:rsidR="00792AC2" w:rsidRPr="008B68A9" w:rsidRDefault="00792AC2" w:rsidP="002F0FD7">
      <w:pPr>
        <w:pStyle w:val="5arangedleft"/>
      </w:pPr>
      <w:r w:rsidRPr="008B68A9">
        <w:lastRenderedPageBreak/>
        <w:t xml:space="preserve">Self-direction reflects </w:t>
      </w:r>
      <w:r w:rsidR="00FC7E94" w:rsidRPr="008B68A9">
        <w:t>an</w:t>
      </w:r>
      <w:r w:rsidRPr="008B68A9">
        <w:t xml:space="preserve"> aspiration for a new discourse about and for people receiving support and care </w:t>
      </w:r>
      <w:r w:rsidR="00FC7E94" w:rsidRPr="008B68A9">
        <w:t>through</w:t>
      </w:r>
      <w:r w:rsidRPr="008B68A9">
        <w:t xml:space="preserve"> state and federal </w:t>
      </w:r>
      <w:r w:rsidR="006B4D96" w:rsidRPr="008B68A9">
        <w:t>programmes, which emphasise</w:t>
      </w:r>
      <w:r w:rsidRPr="008B68A9">
        <w:t xml:space="preserve"> control and self-direction, signalling users’ journeys from passive recipients to active participants in the design and delivery of their support. </w:t>
      </w:r>
    </w:p>
    <w:p w14:paraId="714C5A3C" w14:textId="1CFD9915" w:rsidR="00792AC2" w:rsidRPr="008B68A9" w:rsidRDefault="00792AC2" w:rsidP="002F0FD7">
      <w:pPr>
        <w:pStyle w:val="5arangedleft"/>
      </w:pPr>
      <w:r w:rsidRPr="008B68A9">
        <w:t xml:space="preserve">The potential for self-direction to become widespread grew </w:t>
      </w:r>
      <w:r w:rsidR="006B4D96" w:rsidRPr="008B68A9">
        <w:t xml:space="preserve">on the basis of early studies </w:t>
      </w:r>
      <w:r w:rsidRPr="008B68A9">
        <w:t xml:space="preserve">and funding was obtained for trial programmes from the Robert Wood Johnson Foundation and the Department of Human Health Services (DHHS) (Mahoney </w:t>
      </w:r>
      <w:r w:rsidRPr="008B68A9">
        <w:rPr>
          <w:i/>
        </w:rPr>
        <w:t>et al.</w:t>
      </w:r>
      <w:r w:rsidRPr="008B68A9">
        <w:t xml:space="preserve"> 2007, Alakeson 2007), leading to mental health specific SD programmes.  The President’s New Freedom Commission on Mental Health (PNFC) report (2003) became the key driver and turning point for self-directed support, creating principles upon which relationships between the individual and providers should be based. The commission stated: “…</w:t>
      </w:r>
      <w:r w:rsidRPr="008B68A9">
        <w:rPr>
          <w:rFonts w:cs="MetaBook-Roman"/>
        </w:rPr>
        <w:t>funding to follow consumers, incentives will shift toward a system of learning, self-monitoring and accountability</w:t>
      </w:r>
      <w:r w:rsidRPr="008B68A9">
        <w:rPr>
          <w:rFonts w:cs="MetaBook-Roman"/>
          <w:i/>
        </w:rPr>
        <w:t>”</w:t>
      </w:r>
      <w:r w:rsidRPr="008B68A9">
        <w:rPr>
          <w:rFonts w:cs="MetaBook-Roman"/>
        </w:rPr>
        <w:t xml:space="preserve"> (</w:t>
      </w:r>
      <w:r w:rsidRPr="008B68A9">
        <w:t xml:space="preserve">Cook &amp; Shore 2010 </w:t>
      </w:r>
      <w:r w:rsidRPr="008B68A9">
        <w:rPr>
          <w:rFonts w:cs="MetaBook-Roman"/>
        </w:rPr>
        <w:t>p. 143).</w:t>
      </w:r>
    </w:p>
    <w:p w14:paraId="192EA703" w14:textId="77777777" w:rsidR="00792AC2" w:rsidRPr="008B68A9" w:rsidRDefault="00792AC2" w:rsidP="002F0FD7">
      <w:pPr>
        <w:pStyle w:val="5arangedleft"/>
        <w:rPr>
          <w:color w:val="000000"/>
        </w:rPr>
      </w:pPr>
      <w:r w:rsidRPr="008B68A9">
        <w:t>Alakeson (2008) stated that whilst the opportunities for people with mental health problems to develop self-direction increased following the New Freedom Commission report, by 2008 only 400 individuals in the US had used self-direction</w:t>
      </w:r>
      <w:r w:rsidRPr="008B68A9">
        <w:rPr>
          <w:color w:val="000000"/>
        </w:rPr>
        <w:t xml:space="preserve">. There is an echo here of the slow uptake in direct payments for people with mental health difficulties in the UK (Spandler 2004, Glasby and Littlechild 2009), mirrored today in the UK uptake of personal budgets. Alakeson (2008) notes the reticence of traditional service providers to support </w:t>
      </w:r>
      <w:r w:rsidRPr="008B68A9">
        <w:t xml:space="preserve">self-direction’s </w:t>
      </w:r>
      <w:r w:rsidRPr="008B68A9">
        <w:rPr>
          <w:color w:val="000000"/>
        </w:rPr>
        <w:t xml:space="preserve">use, reported in a number of accounts and studies (Cook </w:t>
      </w:r>
      <w:r w:rsidRPr="008B68A9">
        <w:rPr>
          <w:i/>
          <w:color w:val="000000"/>
        </w:rPr>
        <w:t>et al.</w:t>
      </w:r>
      <w:r w:rsidRPr="008B68A9">
        <w:rPr>
          <w:color w:val="000000"/>
        </w:rPr>
        <w:t xml:space="preserve"> 2008, Robert Wood Johnson Foundation 2013, Alakeson 2013b), as traditional mental health systems questioned the appropriateness of </w:t>
      </w:r>
      <w:r w:rsidRPr="008B68A9">
        <w:t xml:space="preserve">self-direction </w:t>
      </w:r>
      <w:r w:rsidRPr="008B68A9">
        <w:rPr>
          <w:color w:val="000000"/>
        </w:rPr>
        <w:t>for people with mental health problems: services “…demanded little of them and made it difficult for them to be involved in their own care, in part reflecting a view that they were incapable of taking control", suggesting paternalistic attitudes and self-fulfilling prophesy in care (Alakeson 2008, p. 23).</w:t>
      </w:r>
    </w:p>
    <w:p w14:paraId="1AB01F5F" w14:textId="77777777" w:rsidR="00E53180" w:rsidRPr="008B68A9" w:rsidRDefault="00E53180" w:rsidP="002F0FD7">
      <w:pPr>
        <w:pStyle w:val="5arangedleft"/>
      </w:pPr>
    </w:p>
    <w:p w14:paraId="2DC9D144" w14:textId="77777777" w:rsidR="00792AC2" w:rsidRPr="008B68A9" w:rsidRDefault="00792AC2" w:rsidP="00792AC2">
      <w:pPr>
        <w:pStyle w:val="8unnumberedcross-head"/>
        <w:rPr>
          <w:i/>
        </w:rPr>
      </w:pPr>
      <w:bookmarkStart w:id="55" w:name="_Toc413827382"/>
      <w:r w:rsidRPr="008B68A9">
        <w:rPr>
          <w:i/>
        </w:rPr>
        <w:lastRenderedPageBreak/>
        <w:t>Cash and Counseling</w:t>
      </w:r>
      <w:bookmarkEnd w:id="55"/>
      <w:r w:rsidRPr="008B68A9">
        <w:rPr>
          <w:i/>
        </w:rPr>
        <w:t xml:space="preserve"> </w:t>
      </w:r>
    </w:p>
    <w:p w14:paraId="326DF9DE" w14:textId="47E67632" w:rsidR="00792AC2" w:rsidRPr="008B68A9" w:rsidRDefault="00792AC2" w:rsidP="002F0FD7">
      <w:pPr>
        <w:pStyle w:val="5arangedleft"/>
      </w:pPr>
      <w:r w:rsidRPr="008B68A9">
        <w:t xml:space="preserve">One of the first and </w:t>
      </w:r>
      <w:r w:rsidR="006B4D96" w:rsidRPr="008B68A9">
        <w:t xml:space="preserve">still </w:t>
      </w:r>
      <w:r w:rsidRPr="008B68A9">
        <w:t xml:space="preserve">largest evaluations of SD examined the </w:t>
      </w:r>
      <w:r w:rsidRPr="008B68A9">
        <w:rPr>
          <w:i/>
        </w:rPr>
        <w:t>Cash and Counseling</w:t>
      </w:r>
      <w:r w:rsidRPr="008B68A9">
        <w:t xml:space="preserve"> consumer-led programmes in Arkansas (Dale </w:t>
      </w:r>
      <w:r w:rsidRPr="008B68A9">
        <w:rPr>
          <w:i/>
        </w:rPr>
        <w:t>et al.</w:t>
      </w:r>
      <w:r w:rsidRPr="008B68A9">
        <w:t xml:space="preserve"> 2004), Florida and New Jersey (Carlson </w:t>
      </w:r>
      <w:r w:rsidRPr="008B68A9">
        <w:rPr>
          <w:i/>
        </w:rPr>
        <w:t>et al.</w:t>
      </w:r>
      <w:r w:rsidRPr="008B68A9">
        <w:t xml:space="preserve"> 2007), and Pennsylvania (De Milto 2013); this was jointly funded by the Robert Wood Johnston Foundation, and the Department of Health and Human Services (DHHS), with between $693,457 and $765,696 per state from October 1996 to June 2003 (Robert Wood-Johnston Foundation 2013). </w:t>
      </w:r>
      <w:r w:rsidRPr="008B68A9">
        <w:rPr>
          <w:i/>
        </w:rPr>
        <w:t>Cash and Counseling</w:t>
      </w:r>
      <w:r w:rsidRPr="008B68A9">
        <w:t xml:space="preserve"> combined the principles of choice, autonomy and flexibility to address lifespan needs for people with age related, psychological and developmental difficulties: in </w:t>
      </w:r>
      <w:r w:rsidRPr="008B68A9">
        <w:rPr>
          <w:rFonts w:cs="AdvBasBE-R"/>
        </w:rPr>
        <w:t xml:space="preserve">the words of Carlson </w:t>
      </w:r>
      <w:r w:rsidRPr="008B68A9">
        <w:rPr>
          <w:rFonts w:cs="AdvBasBE-R"/>
          <w:i/>
        </w:rPr>
        <w:t>et al</w:t>
      </w:r>
      <w:r w:rsidRPr="008B68A9">
        <w:rPr>
          <w:rFonts w:cs="AdvBasBE-R"/>
        </w:rPr>
        <w:t xml:space="preserve"> (2007):</w:t>
      </w:r>
    </w:p>
    <w:p w14:paraId="40177D29" w14:textId="77777777" w:rsidR="00792AC2" w:rsidRPr="008B68A9" w:rsidRDefault="00792AC2" w:rsidP="002F0FD7">
      <w:pPr>
        <w:pStyle w:val="6ablockquoteroman"/>
      </w:pPr>
      <w:r w:rsidRPr="008B68A9">
        <w:t>…allowing consumers the freedom to use their allowance to purchase household appliances, modify their homes or cars, set the wage rate of workers they hire, hire relatives as their workers, hire workers to perform a wide range of household activities as well as personal care... (p. 468)</w:t>
      </w:r>
    </w:p>
    <w:p w14:paraId="60295A9F" w14:textId="67075CA2" w:rsidR="00792AC2" w:rsidRPr="008B68A9" w:rsidRDefault="00792AC2" w:rsidP="002F0FD7">
      <w:pPr>
        <w:pStyle w:val="5arangedleft"/>
      </w:pPr>
      <w:r w:rsidRPr="008B68A9">
        <w:t xml:space="preserve">The flexibility suggests a liberal approach </w:t>
      </w:r>
      <w:r w:rsidR="001D3EFE" w:rsidRPr="008B68A9">
        <w:t>to</w:t>
      </w:r>
      <w:r w:rsidRPr="008B68A9">
        <w:t xml:space="preserve"> consumer choice, though may represent an attempt to challenge the care industry and their dominance of provision (Tilly </w:t>
      </w:r>
      <w:r w:rsidRPr="008B68A9">
        <w:rPr>
          <w:i/>
        </w:rPr>
        <w:t>et al.</w:t>
      </w:r>
      <w:r w:rsidR="001D3EFE" w:rsidRPr="008B68A9">
        <w:t xml:space="preserve"> 2000, Weiner 2007)</w:t>
      </w:r>
      <w:r w:rsidRPr="008B68A9">
        <w:t xml:space="preserve">. Power (2014) </w:t>
      </w:r>
      <w:r w:rsidR="001D3EFE" w:rsidRPr="008B68A9">
        <w:t>however cautions</w:t>
      </w:r>
      <w:r w:rsidRPr="008B68A9">
        <w:t xml:space="preserve"> </w:t>
      </w:r>
      <w:r w:rsidR="005300B2" w:rsidRPr="008B68A9">
        <w:t xml:space="preserve">that self-direction </w:t>
      </w:r>
      <w:r w:rsidR="001D3EFE" w:rsidRPr="008B68A9">
        <w:t xml:space="preserve">may signal </w:t>
      </w:r>
      <w:r w:rsidRPr="008B68A9">
        <w:t xml:space="preserve">a move from local </w:t>
      </w:r>
      <w:r w:rsidR="00ED7B61" w:rsidRPr="008B68A9">
        <w:t xml:space="preserve">arrangements of </w:t>
      </w:r>
      <w:r w:rsidRPr="008B68A9">
        <w:t>reciprocal support into</w:t>
      </w:r>
      <w:r w:rsidR="00ED7B61" w:rsidRPr="008B68A9">
        <w:t xml:space="preserve"> more </w:t>
      </w:r>
      <w:r w:rsidRPr="008B68A9">
        <w:t xml:space="preserve">professionalised forms, </w:t>
      </w:r>
      <w:r w:rsidR="005300B2" w:rsidRPr="008B68A9">
        <w:t>where the</w:t>
      </w:r>
      <w:r w:rsidRPr="008B68A9">
        <w:t xml:space="preserve"> presence and creation of </w:t>
      </w:r>
      <w:r w:rsidR="005300B2" w:rsidRPr="008B68A9">
        <w:t xml:space="preserve">new </w:t>
      </w:r>
      <w:r w:rsidRPr="008B68A9">
        <w:t xml:space="preserve">care markets </w:t>
      </w:r>
      <w:r w:rsidR="00D13967" w:rsidRPr="008B68A9">
        <w:t xml:space="preserve">may demand regulation with a consequence of </w:t>
      </w:r>
      <w:r w:rsidRPr="008B68A9">
        <w:t>driving up care cos</w:t>
      </w:r>
      <w:r w:rsidR="00D13967" w:rsidRPr="008B68A9">
        <w:t>ts and thereby reducing the overall spending power of individual budgets.</w:t>
      </w:r>
    </w:p>
    <w:p w14:paraId="2D865F9A" w14:textId="77777777" w:rsidR="00792AC2" w:rsidRPr="008B68A9" w:rsidRDefault="00792AC2" w:rsidP="00792AC2">
      <w:pPr>
        <w:pStyle w:val="8unnumberedcross-head"/>
      </w:pPr>
      <w:bookmarkStart w:id="56" w:name="_Toc413827383"/>
      <w:r w:rsidRPr="008B68A9">
        <w:t>SD for people with mental health problems in the US</w:t>
      </w:r>
      <w:bookmarkEnd w:id="56"/>
    </w:p>
    <w:p w14:paraId="170E689F" w14:textId="6865214D" w:rsidR="00792AC2" w:rsidRPr="008B68A9" w:rsidRDefault="00792AC2" w:rsidP="002F0FD7">
      <w:pPr>
        <w:pStyle w:val="5arangedleft"/>
      </w:pPr>
      <w:r w:rsidRPr="008B68A9">
        <w:t xml:space="preserve">Most of the self-direction studies in the US, as in the United Kingdom, focus on people with long term physical conditions, older persons (Dale and Brown 2006), and people with intellectual disabilities. The few studies examining self-direction for people with mental health problems show similar outcomes to the wider self-direction literature, though barriers to adopting self-direction differ. </w:t>
      </w:r>
      <w:r w:rsidRPr="008B68A9">
        <w:rPr>
          <w:rFonts w:cs="Times New Roman"/>
          <w:bCs/>
        </w:rPr>
        <w:t xml:space="preserve">O’Brien </w:t>
      </w:r>
      <w:r w:rsidRPr="008B68A9">
        <w:rPr>
          <w:rFonts w:cs="Times New Roman"/>
          <w:bCs/>
          <w:i/>
        </w:rPr>
        <w:t>et al.</w:t>
      </w:r>
      <w:r w:rsidRPr="008B68A9">
        <w:rPr>
          <w:rFonts w:cs="Times New Roman"/>
          <w:bCs/>
        </w:rPr>
        <w:t xml:space="preserve"> (2005) identify barriers for people with mental health problems realising control and autonomy through existing care and support arrangements: “…within the mental health system, self-determination is viewed as a privilege to be earned (generally through treatment compliance) rather than a basic human right” (p. 74). </w:t>
      </w:r>
      <w:r w:rsidR="003F3BB4" w:rsidRPr="008B68A9">
        <w:rPr>
          <w:rFonts w:cs="Times New Roman"/>
          <w:bCs/>
        </w:rPr>
        <w:lastRenderedPageBreak/>
        <w:t>The</w:t>
      </w:r>
      <w:r w:rsidRPr="008B68A9">
        <w:rPr>
          <w:rFonts w:cs="Times New Roman"/>
          <w:bCs/>
        </w:rPr>
        <w:t xml:space="preserve"> notion of ‘learn and earn’ is reported by Power (2014</w:t>
      </w:r>
      <w:r w:rsidR="00772A5B" w:rsidRPr="008B68A9">
        <w:rPr>
          <w:rFonts w:cs="Times New Roman"/>
          <w:bCs/>
        </w:rPr>
        <w:t>)</w:t>
      </w:r>
      <w:r w:rsidRPr="008B68A9">
        <w:rPr>
          <w:rFonts w:cs="Times New Roman"/>
          <w:bCs/>
        </w:rPr>
        <w:t xml:space="preserve">, where service users are accorded more as progress towards specified </w:t>
      </w:r>
      <w:r w:rsidR="003F3BB4" w:rsidRPr="008B68A9">
        <w:rPr>
          <w:rFonts w:cs="Times New Roman"/>
          <w:bCs/>
        </w:rPr>
        <w:t>goals or behaviours is observed which clearly demonstrate professionals maintaining their grip on power and control until they deem users sufficiently competent.</w:t>
      </w:r>
    </w:p>
    <w:p w14:paraId="1ED04ECA" w14:textId="124551AC" w:rsidR="00792AC2" w:rsidRPr="008B68A9" w:rsidRDefault="00792AC2" w:rsidP="002F0FD7">
      <w:pPr>
        <w:pStyle w:val="5arangedleft"/>
      </w:pPr>
      <w:r w:rsidRPr="008B68A9">
        <w:t xml:space="preserve">Sullivan’s (2006) evaluation </w:t>
      </w:r>
      <w:r w:rsidR="00A62CF6" w:rsidRPr="008B68A9">
        <w:t xml:space="preserve">of Oregon’s self-direction programme </w:t>
      </w:r>
      <w:r w:rsidRPr="008B68A9">
        <w:t xml:space="preserve">(n=26) showed enhanced levels of client choice and self-direction, matching recovery goals under six categories (environment, hobby development, spirituality, relationships, personal health and productivity). The programme permitted a liberal spending range as previously stated, with monthly spends from $2.53 to $703.00 across diverse needs, including ID cards, acupuncture, fishing licences, computers, items of clothing and driving lessons (Zulick 2009). </w:t>
      </w:r>
      <w:r w:rsidR="00A62CF6" w:rsidRPr="008B68A9">
        <w:t xml:space="preserve">Cook </w:t>
      </w:r>
      <w:r w:rsidR="00A62CF6" w:rsidRPr="008B68A9">
        <w:rPr>
          <w:i/>
        </w:rPr>
        <w:t>et al</w:t>
      </w:r>
      <w:r w:rsidR="00A62CF6" w:rsidRPr="008B68A9">
        <w:t xml:space="preserve"> (2008) reported s</w:t>
      </w:r>
      <w:r w:rsidRPr="008B68A9">
        <w:t xml:space="preserve">imilar </w:t>
      </w:r>
      <w:r w:rsidR="00A62CF6" w:rsidRPr="008B68A9">
        <w:t xml:space="preserve">spend patterns in Florida, where </w:t>
      </w:r>
      <w:r w:rsidRPr="008B68A9">
        <w:rPr>
          <w:rFonts w:cs="Times New Roman"/>
          <w:bCs/>
        </w:rPr>
        <w:t xml:space="preserve">Weight Watchers fees, tai chi classes, sound studio time, massage therapy, home modifications and self-help materials were purchased. </w:t>
      </w:r>
      <w:r w:rsidR="00A62CF6" w:rsidRPr="008B68A9">
        <w:rPr>
          <w:rFonts w:cs="Times New Roman"/>
          <w:bCs/>
        </w:rPr>
        <w:t>Florida imposed lengthy guidelines identifying proscribed purchases</w:t>
      </w:r>
      <w:r w:rsidR="00C5245E" w:rsidRPr="008B68A9">
        <w:rPr>
          <w:rFonts w:cs="Times New Roman"/>
          <w:bCs/>
        </w:rPr>
        <w:t xml:space="preserve"> available through SD which </w:t>
      </w:r>
      <w:r w:rsidR="00A62CF6" w:rsidRPr="008B68A9">
        <w:rPr>
          <w:rFonts w:cs="Times New Roman"/>
          <w:bCs/>
        </w:rPr>
        <w:t xml:space="preserve">may reflect </w:t>
      </w:r>
      <w:r w:rsidRPr="008B68A9">
        <w:rPr>
          <w:rFonts w:cs="Times New Roman"/>
          <w:bCs/>
        </w:rPr>
        <w:t xml:space="preserve">the </w:t>
      </w:r>
      <w:r w:rsidR="00A62CF6" w:rsidRPr="008B68A9">
        <w:rPr>
          <w:rFonts w:cs="Times New Roman"/>
          <w:bCs/>
        </w:rPr>
        <w:t xml:space="preserve">republican state legislature </w:t>
      </w:r>
      <w:r w:rsidRPr="008B68A9">
        <w:rPr>
          <w:rFonts w:cs="Times New Roman"/>
          <w:bCs/>
        </w:rPr>
        <w:t>the</w:t>
      </w:r>
      <w:r w:rsidR="00C5245E" w:rsidRPr="008B68A9">
        <w:rPr>
          <w:rFonts w:cs="Times New Roman"/>
          <w:bCs/>
        </w:rPr>
        <w:t>re.</w:t>
      </w:r>
      <w:r w:rsidRPr="008B68A9">
        <w:rPr>
          <w:rFonts w:cs="Times New Roman"/>
          <w:bCs/>
        </w:rPr>
        <w:t xml:space="preserve"> </w:t>
      </w:r>
      <w:r w:rsidR="00C5245E" w:rsidRPr="008B68A9">
        <w:rPr>
          <w:rFonts w:cs="Times New Roman"/>
          <w:bCs/>
        </w:rPr>
        <w:t xml:space="preserve">Croft and Parish (2016) suggest that </w:t>
      </w:r>
      <w:r w:rsidRPr="008B68A9">
        <w:rPr>
          <w:rFonts w:cs="Times New Roman"/>
          <w:bCs/>
        </w:rPr>
        <w:t xml:space="preserve">SD users budgets </w:t>
      </w:r>
      <w:r w:rsidR="00C5245E" w:rsidRPr="008B68A9">
        <w:rPr>
          <w:rFonts w:cs="Times New Roman"/>
          <w:bCs/>
        </w:rPr>
        <w:t xml:space="preserve">have </w:t>
      </w:r>
      <w:r w:rsidRPr="008B68A9">
        <w:rPr>
          <w:rFonts w:cs="Times New Roman"/>
          <w:bCs/>
        </w:rPr>
        <w:t xml:space="preserve">a supplementary welfare </w:t>
      </w:r>
      <w:r w:rsidR="00C5245E" w:rsidRPr="008B68A9">
        <w:rPr>
          <w:rFonts w:cs="Times New Roman"/>
          <w:bCs/>
        </w:rPr>
        <w:t>function used to</w:t>
      </w:r>
      <w:r w:rsidRPr="008B68A9">
        <w:rPr>
          <w:rFonts w:cs="Times New Roman"/>
          <w:bCs/>
        </w:rPr>
        <w:t xml:space="preserve"> </w:t>
      </w:r>
      <w:r w:rsidR="00C5245E" w:rsidRPr="008B68A9">
        <w:rPr>
          <w:rFonts w:cs="Times New Roman"/>
          <w:bCs/>
        </w:rPr>
        <w:t>purchase</w:t>
      </w:r>
      <w:r w:rsidRPr="008B68A9">
        <w:rPr>
          <w:rFonts w:cs="Times New Roman"/>
          <w:bCs/>
        </w:rPr>
        <w:t xml:space="preserve"> everyday needs, rather than</w:t>
      </w:r>
      <w:r w:rsidR="00C5245E" w:rsidRPr="008B68A9">
        <w:rPr>
          <w:rFonts w:cs="Times New Roman"/>
          <w:bCs/>
        </w:rPr>
        <w:t xml:space="preserve"> used for</w:t>
      </w:r>
      <w:r w:rsidRPr="008B68A9">
        <w:rPr>
          <w:rFonts w:cs="Times New Roman"/>
          <w:bCs/>
        </w:rPr>
        <w:t xml:space="preserve"> traditional mental health spends, medications and counselling therapies</w:t>
      </w:r>
      <w:r w:rsidR="00070203" w:rsidRPr="008B68A9">
        <w:rPr>
          <w:rFonts w:cs="Times New Roman"/>
          <w:bCs/>
        </w:rPr>
        <w:t>.</w:t>
      </w:r>
    </w:p>
    <w:p w14:paraId="386B699C" w14:textId="77777777" w:rsidR="00792AC2" w:rsidRPr="008B68A9" w:rsidRDefault="00792AC2" w:rsidP="002F0FD7">
      <w:pPr>
        <w:pStyle w:val="5arangedleft"/>
      </w:pPr>
      <w:r w:rsidRPr="008B68A9">
        <w:t xml:space="preserve">Shen </w:t>
      </w:r>
      <w:r w:rsidRPr="008B68A9">
        <w:rPr>
          <w:i/>
        </w:rPr>
        <w:t>et al.</w:t>
      </w:r>
      <w:r w:rsidRPr="008B68A9">
        <w:t xml:space="preserve"> (2008) analysed data from the New Jersey </w:t>
      </w:r>
      <w:r w:rsidRPr="008B68A9">
        <w:rPr>
          <w:i/>
        </w:rPr>
        <w:t>Cash and Counseling</w:t>
      </w:r>
      <w:r w:rsidRPr="008B68A9">
        <w:t xml:space="preserve"> Demonstration and Evaluation (CCDE) programme, covering adult Medicaid users with mental health difficulties. Using quantitative measures taken on baseline and nine-month follow-up, they examined the experiences of self-direction participants (n=109) compared with users of traditional services (n=119). The study found participants reported improved paid caregiver attitude and a lowering of their unmet needs. Additionally they reported no adverse ill-effect on mental health or well-being when using self-direction, concluding that self-direction is appropriate for people with a diagnosis of mental ill-health.</w:t>
      </w:r>
    </w:p>
    <w:p w14:paraId="0BBF516E" w14:textId="5CE90D03" w:rsidR="00792AC2" w:rsidRPr="008B68A9" w:rsidRDefault="00792AC2" w:rsidP="002F0FD7">
      <w:pPr>
        <w:pStyle w:val="5arangedleft"/>
      </w:pPr>
      <w:r w:rsidRPr="008B68A9">
        <w:t xml:space="preserve">American literature offers the most comprehensive data and arguably the most progress in implementing personalisation for people with mental health problems. The work undertaken through </w:t>
      </w:r>
      <w:r w:rsidRPr="008B68A9">
        <w:rPr>
          <w:i/>
        </w:rPr>
        <w:t>Cash and Counseling</w:t>
      </w:r>
      <w:r w:rsidRPr="008B68A9">
        <w:t xml:space="preserve"> programmes in the past (Doty </w:t>
      </w:r>
      <w:r w:rsidRPr="008B68A9">
        <w:rPr>
          <w:i/>
        </w:rPr>
        <w:lastRenderedPageBreak/>
        <w:t>et al.</w:t>
      </w:r>
      <w:r w:rsidRPr="008B68A9">
        <w:t xml:space="preserve">, 2007), and demonstration sites such as Florida Self-Directed Care (Cook </w:t>
      </w:r>
      <w:r w:rsidRPr="008B68A9">
        <w:rPr>
          <w:i/>
        </w:rPr>
        <w:t>et al.</w:t>
      </w:r>
      <w:r w:rsidRPr="008B68A9">
        <w:t xml:space="preserve"> 2008) and Texas (Cook, in press), show that personalisation in mental health services can be effective, safe and – even for people with complex and enduring needs – appropriate to their continued care and recovery journey. Challenges to self-direction for people with mental health problems lie in the entrenched positions of traditional service providers (National Mental Health Association (NMHA) 2005). </w:t>
      </w:r>
    </w:p>
    <w:p w14:paraId="45A38E93" w14:textId="558A3D3C" w:rsidR="00792AC2" w:rsidRPr="008B68A9" w:rsidRDefault="00792AC2" w:rsidP="002F0FD7">
      <w:pPr>
        <w:pStyle w:val="5arangedleft"/>
      </w:pPr>
      <w:r w:rsidRPr="008B68A9">
        <w:t xml:space="preserve">In US SDC studies the role of brokers or intermediaries is commonplace, forming an integral part of planning and facilitation, and in some aspects fulfilling supervisory functions. There is separation between agencies and self-directed care support, and therefore most brokers are independent: as recovery coaches, hired by SDC users in the case of Florida; or in Texas as SDC advisors who may be peers or trained counsellors, working within the SD service itself (Cook and Shore 2010). In Oregon SD is facilitated through peer workers who support budget users in all aspects of support planning and budget organisation (Sullivan 2006). Their partnership suggests ways of working that align more closely to the tenets of self-direction, based on the choice and preference of the budget users, and which are unencumbered </w:t>
      </w:r>
      <w:r w:rsidR="00C5245E" w:rsidRPr="008B68A9">
        <w:t>by</w:t>
      </w:r>
      <w:r w:rsidRPr="008B68A9">
        <w:t xml:space="preserve"> professional boundaries</w:t>
      </w:r>
    </w:p>
    <w:p w14:paraId="2EA17E49" w14:textId="7CEA4D17" w:rsidR="00792AC2" w:rsidRPr="008B68A9" w:rsidRDefault="00792AC2" w:rsidP="002F0FD7">
      <w:pPr>
        <w:pStyle w:val="5arangedleft"/>
      </w:pPr>
      <w:r w:rsidRPr="008B68A9">
        <w:t xml:space="preserve">From </w:t>
      </w:r>
      <w:r w:rsidR="00386097" w:rsidRPr="008B68A9">
        <w:t>different</w:t>
      </w:r>
      <w:r w:rsidRPr="008B68A9">
        <w:t xml:space="preserve"> beginnings, the consumer-led movement in US human services has almost attained a mainstream status (Alakeson 2013b). Owing to </w:t>
      </w:r>
      <w:r w:rsidR="00386097" w:rsidRPr="008B68A9">
        <w:t>Medicaid services waiver regulations</w:t>
      </w:r>
      <w:r w:rsidRPr="008B68A9">
        <w:t xml:space="preserve">, Supreme Court rulings and the groundswell created by the President’s New Freedom Commission (2003), the United States has responded to demands from their constituents </w:t>
      </w:r>
      <w:r w:rsidR="00386097" w:rsidRPr="008B68A9">
        <w:t>with</w:t>
      </w:r>
      <w:r w:rsidRPr="008B68A9">
        <w:t xml:space="preserve"> increased self-direction. Evidence from large-scale studies (</w:t>
      </w:r>
      <w:r w:rsidR="00386097" w:rsidRPr="008B68A9">
        <w:t xml:space="preserve">such as </w:t>
      </w:r>
      <w:r w:rsidRPr="008B68A9">
        <w:t xml:space="preserve">Dale </w:t>
      </w:r>
      <w:r w:rsidRPr="008B68A9">
        <w:rPr>
          <w:i/>
        </w:rPr>
        <w:t>et al.</w:t>
      </w:r>
      <w:r w:rsidRPr="008B68A9">
        <w:t xml:space="preserve"> 2004, Doty 2000 Doty </w:t>
      </w:r>
      <w:r w:rsidRPr="008B68A9">
        <w:rPr>
          <w:i/>
        </w:rPr>
        <w:t>et al 2007</w:t>
      </w:r>
      <w:r w:rsidRPr="008B68A9">
        <w:t xml:space="preserve">, Carlson </w:t>
      </w:r>
      <w:r w:rsidRPr="008B68A9">
        <w:rPr>
          <w:i/>
        </w:rPr>
        <w:t>et al.</w:t>
      </w:r>
      <w:r w:rsidRPr="008B68A9">
        <w:t xml:space="preserve"> 2007, Cook </w:t>
      </w:r>
      <w:r w:rsidRPr="008B68A9">
        <w:rPr>
          <w:i/>
        </w:rPr>
        <w:t>et al.</w:t>
      </w:r>
      <w:r w:rsidRPr="008B68A9">
        <w:t xml:space="preserve"> 2012) has demonstrated that the impact of self-direction is mostly positive. These data support the assertion that whilst significant health improvement though SD may still be negligible, indicators of greater satisfaction, well-being, and quality of life are significantly improved, and no deterioration of health or associated risks is reported. </w:t>
      </w:r>
    </w:p>
    <w:p w14:paraId="71B03442" w14:textId="77777777" w:rsidR="00E53180" w:rsidRPr="008B68A9" w:rsidRDefault="00E53180" w:rsidP="002F0FD7">
      <w:pPr>
        <w:pStyle w:val="5arangedleft"/>
      </w:pPr>
    </w:p>
    <w:p w14:paraId="335C1A7D" w14:textId="2DDA2584" w:rsidR="00C5245E" w:rsidRPr="008B68A9" w:rsidRDefault="001B5E84" w:rsidP="002F0FD7">
      <w:pPr>
        <w:pStyle w:val="5arangedleft"/>
        <w:rPr>
          <w:b/>
        </w:rPr>
      </w:pPr>
      <w:r w:rsidRPr="008B68A9">
        <w:rPr>
          <w:b/>
        </w:rPr>
        <w:lastRenderedPageBreak/>
        <w:t>Conclusion</w:t>
      </w:r>
    </w:p>
    <w:p w14:paraId="5DE218DF" w14:textId="5C55241F" w:rsidR="00D46DD8" w:rsidRPr="008B68A9" w:rsidRDefault="00305037" w:rsidP="002F0FD7">
      <w:pPr>
        <w:pStyle w:val="5arangedleft"/>
      </w:pPr>
      <w:r w:rsidRPr="008B68A9">
        <w:t>I</w:t>
      </w:r>
      <w:r w:rsidR="00D46DD8" w:rsidRPr="008B68A9">
        <w:t>nternational</w:t>
      </w:r>
      <w:r w:rsidRPr="008B68A9">
        <w:t xml:space="preserve"> studies </w:t>
      </w:r>
      <w:r w:rsidR="00386097" w:rsidRPr="008B68A9">
        <w:t xml:space="preserve">consistently show that personalisation in whatever form those countries have chosen lead to a greater sense of control and of satisfaction in those countries services.  Choice and involvement </w:t>
      </w:r>
      <w:r w:rsidR="00D95100" w:rsidRPr="008B68A9">
        <w:t>in the process of care planning and delivery are important in fostering collaborative working arrangements between users and professionals.  Most studies confirm that whist many of the claims made on behalf of personalisation in terms of cost savings, improved health outcomes and the reordering of public service consumer relationships are largely unmet, there is nevertheless a reasonably strong argument for personalisation in whatever form to continue.</w:t>
      </w:r>
      <w:r w:rsidR="008E65DC" w:rsidRPr="008B68A9">
        <w:t xml:space="preserve"> Most studies report that the gains achieved by personalisation approaches are beneficial to users and their families and some studies have had success with previously challenging groups such as supporting people with dementia, (Foster 2012). Some studies however raise concerns about unintended consequences </w:t>
      </w:r>
      <w:r w:rsidR="001B5E84" w:rsidRPr="008B68A9">
        <w:t xml:space="preserve">of personalisation </w:t>
      </w:r>
      <w:r w:rsidR="008E65DC" w:rsidRPr="008B68A9">
        <w:t>such as</w:t>
      </w:r>
      <w:r w:rsidR="001B5E84" w:rsidRPr="008B68A9">
        <w:t xml:space="preserve"> the</w:t>
      </w:r>
      <w:r w:rsidR="008E65DC" w:rsidRPr="008B68A9">
        <w:t xml:space="preserve"> commodification of naturalist care support, (Arntz and </w:t>
      </w:r>
      <w:r w:rsidR="001B5E84" w:rsidRPr="008B68A9">
        <w:t>Thompson</w:t>
      </w:r>
      <w:r w:rsidR="008E65DC" w:rsidRPr="008B68A9">
        <w:t xml:space="preserve"> 2010), exploitation of care providers in unregulated services, (</w:t>
      </w:r>
      <w:r w:rsidR="001B5E84" w:rsidRPr="008B68A9">
        <w:t>Tilley</w:t>
      </w:r>
      <w:r w:rsidR="005C06D3" w:rsidRPr="008B68A9">
        <w:t xml:space="preserve"> </w:t>
      </w:r>
      <w:r w:rsidR="005C06D3" w:rsidRPr="008B68A9">
        <w:rPr>
          <w:i/>
        </w:rPr>
        <w:t xml:space="preserve">et al </w:t>
      </w:r>
      <w:r w:rsidR="005C06D3" w:rsidRPr="008B68A9">
        <w:t>2000</w:t>
      </w:r>
      <w:r w:rsidR="008E65DC" w:rsidRPr="008B68A9">
        <w:t xml:space="preserve"> and We</w:t>
      </w:r>
      <w:r w:rsidR="005C06D3" w:rsidRPr="008B68A9">
        <w:t>iner 2007</w:t>
      </w:r>
      <w:r w:rsidR="001B5E84" w:rsidRPr="008B68A9">
        <w:t>) and inadequate training or preparation</w:t>
      </w:r>
      <w:r w:rsidR="005C06D3" w:rsidRPr="008B68A9">
        <w:t xml:space="preserve"> for carers, (Dot</w:t>
      </w:r>
      <w:r w:rsidR="001B5E84" w:rsidRPr="008B68A9">
        <w:t>y</w:t>
      </w:r>
      <w:r w:rsidR="005C06D3" w:rsidRPr="008B68A9">
        <w:t xml:space="preserve"> </w:t>
      </w:r>
      <w:r w:rsidR="005C06D3" w:rsidRPr="008B68A9">
        <w:rPr>
          <w:i/>
        </w:rPr>
        <w:t>et al</w:t>
      </w:r>
      <w:r w:rsidR="001B5E84" w:rsidRPr="008B68A9">
        <w:t xml:space="preserve"> 2007)</w:t>
      </w:r>
      <w:r w:rsidR="005C06D3" w:rsidRPr="008B68A9">
        <w:t xml:space="preserve"> may compromise the efficacy of personalisation</w:t>
      </w:r>
      <w:r w:rsidR="001B5E84" w:rsidRPr="008B68A9">
        <w:t>.</w:t>
      </w:r>
    </w:p>
    <w:p w14:paraId="5126B55C" w14:textId="20BC4D3B" w:rsidR="00A104E4" w:rsidRPr="008B68A9" w:rsidRDefault="00A104E4" w:rsidP="002F0FD7">
      <w:pPr>
        <w:pStyle w:val="5arangedleft"/>
      </w:pPr>
      <w:r w:rsidRPr="008B68A9">
        <w:t xml:space="preserve">Few studies explored the nature </w:t>
      </w:r>
      <w:r w:rsidR="00144D1D" w:rsidRPr="008B68A9">
        <w:t>of</w:t>
      </w:r>
      <w:r w:rsidRPr="008B68A9">
        <w:t xml:space="preserve"> relationships between users and state providers, nor the challenges to professionals’’ identity that personalisation brought about. Providers appeared to retain a level of control redolent of professional asymmetry (Leadbeater 2008) wherever </w:t>
      </w:r>
      <w:r w:rsidR="00144D1D" w:rsidRPr="008B68A9">
        <w:t xml:space="preserve">the study was undertaken.  This thesis focuses on the relationships between stakeholders in mental health settings in the UK and whilst the international literature demonstrates personalisation’s reach in a global setting, the context of the UK is sufficiently different </w:t>
      </w:r>
      <w:r w:rsidR="0013587C" w:rsidRPr="008B68A9">
        <w:t>due</w:t>
      </w:r>
      <w:r w:rsidR="00144D1D" w:rsidRPr="008B68A9">
        <w:t xml:space="preserve"> </w:t>
      </w:r>
      <w:r w:rsidR="0013587C" w:rsidRPr="008B68A9">
        <w:t>to</w:t>
      </w:r>
      <w:r w:rsidR="00144D1D" w:rsidRPr="008B68A9">
        <w:t xml:space="preserve"> </w:t>
      </w:r>
      <w:r w:rsidR="0013587C" w:rsidRPr="008B68A9">
        <w:t>a</w:t>
      </w:r>
      <w:r w:rsidR="00144D1D" w:rsidRPr="008B68A9">
        <w:t xml:space="preserve"> change </w:t>
      </w:r>
      <w:r w:rsidR="0013587C" w:rsidRPr="008B68A9">
        <w:t>in</w:t>
      </w:r>
      <w:r w:rsidR="00144D1D" w:rsidRPr="008B68A9">
        <w:t xml:space="preserve"> administration</w:t>
      </w:r>
      <w:r w:rsidR="0013587C" w:rsidRPr="008B68A9">
        <w:t xml:space="preserve"> in 2010</w:t>
      </w:r>
      <w:r w:rsidR="00144D1D" w:rsidRPr="008B68A9">
        <w:t>, austerity and the relationship between health and social care services</w:t>
      </w:r>
      <w:r w:rsidR="0013587C" w:rsidRPr="008B68A9">
        <w:t xml:space="preserve">, that this chapter now explores literature from a UK and mental health context. </w:t>
      </w:r>
    </w:p>
    <w:p w14:paraId="510F15DC" w14:textId="77777777" w:rsidR="00E53180" w:rsidRPr="008B68A9" w:rsidRDefault="00E53180" w:rsidP="002F0FD7">
      <w:pPr>
        <w:pStyle w:val="5arangedleft"/>
      </w:pPr>
    </w:p>
    <w:p w14:paraId="04768B0B" w14:textId="593CA436" w:rsidR="00792AC2" w:rsidRPr="008B68A9" w:rsidRDefault="00792AC2" w:rsidP="00792AC2">
      <w:pPr>
        <w:pStyle w:val="2L2header"/>
      </w:pPr>
      <w:bookmarkStart w:id="57" w:name="_Toc466800293"/>
      <w:r w:rsidRPr="008B68A9">
        <w:lastRenderedPageBreak/>
        <w:t xml:space="preserve">3.5 </w:t>
      </w:r>
      <w:r w:rsidR="00126F8B" w:rsidRPr="008B68A9">
        <w:t xml:space="preserve">Personalisation </w:t>
      </w:r>
      <w:r w:rsidR="00221A0F" w:rsidRPr="008B68A9">
        <w:t>and</w:t>
      </w:r>
      <w:r w:rsidR="00126F8B" w:rsidRPr="008B68A9">
        <w:t xml:space="preserve"> m</w:t>
      </w:r>
      <w:r w:rsidRPr="008B68A9">
        <w:t>ental health</w:t>
      </w:r>
      <w:r w:rsidR="00221A0F" w:rsidRPr="008B68A9">
        <w:t xml:space="preserve">: </w:t>
      </w:r>
      <w:r w:rsidR="00126F8B" w:rsidRPr="008B68A9">
        <w:t xml:space="preserve">the UK </w:t>
      </w:r>
      <w:r w:rsidR="00221A0F" w:rsidRPr="008B68A9">
        <w:t>literature</w:t>
      </w:r>
      <w:bookmarkEnd w:id="57"/>
    </w:p>
    <w:p w14:paraId="4A9C72DF" w14:textId="3662C00A" w:rsidR="00792AC2" w:rsidRPr="008B68A9" w:rsidRDefault="00792AC2" w:rsidP="002F0FD7">
      <w:pPr>
        <w:pStyle w:val="5arangedleft"/>
      </w:pPr>
      <w:r w:rsidRPr="008B68A9">
        <w:t xml:space="preserve">Personalisation appears to benefit users accessing mental health services as studies highlight moderate increases in service satisfaction and control (Glendinning </w:t>
      </w:r>
      <w:r w:rsidRPr="008B68A9">
        <w:rPr>
          <w:i/>
        </w:rPr>
        <w:t>et al.</w:t>
      </w:r>
      <w:r w:rsidRPr="008B68A9">
        <w:t xml:space="preserve"> 2008, Webber 2014), as well as improved perceptions of health and wellbeing (Forder </w:t>
      </w:r>
      <w:r w:rsidRPr="008B68A9">
        <w:rPr>
          <w:i/>
        </w:rPr>
        <w:t>et al.</w:t>
      </w:r>
      <w:r w:rsidRPr="008B68A9">
        <w:t xml:space="preserve"> 2012). However, within the personalisation literature mental health service users have mostly been sub-sets of heterogeneous sample populations, with very few studies focusing on people accessing mental health services. This section analyses papers from published sources and grey literature of self-determination in</w:t>
      </w:r>
      <w:r w:rsidR="008C41D4" w:rsidRPr="008B68A9">
        <w:t xml:space="preserve"> UK</w:t>
      </w:r>
      <w:r w:rsidRPr="008B68A9">
        <w:t xml:space="preserve"> mental health settings, highlighting difficulties the policy creates, and exploring the demands on professionals as they attempt to work within a changed practice arena. </w:t>
      </w:r>
    </w:p>
    <w:p w14:paraId="6EEFAF00" w14:textId="0F999716" w:rsidR="00792AC2" w:rsidRPr="008B68A9" w:rsidRDefault="00B42B87" w:rsidP="002F0FD7">
      <w:pPr>
        <w:pStyle w:val="5arangedleft"/>
      </w:pPr>
      <w:r w:rsidRPr="008B68A9">
        <w:t>The</w:t>
      </w:r>
      <w:r w:rsidR="00792AC2" w:rsidRPr="008B68A9">
        <w:t xml:space="preserve"> collaboration between the McPin Foundation, Birmingham and Kings</w:t>
      </w:r>
      <w:r w:rsidR="008C41D4" w:rsidRPr="008B68A9">
        <w:t xml:space="preserve"> College </w:t>
      </w:r>
      <w:r w:rsidRPr="008B68A9">
        <w:t>universities</w:t>
      </w:r>
      <w:r w:rsidR="008C41D4" w:rsidRPr="008B68A9">
        <w:t xml:space="preserve"> resulted in </w:t>
      </w:r>
      <w:r w:rsidR="00792AC2" w:rsidRPr="008B68A9">
        <w:t xml:space="preserve">the longitudinal three year </w:t>
      </w:r>
      <w:r w:rsidR="00792AC2" w:rsidRPr="008B68A9">
        <w:rPr>
          <w:i/>
        </w:rPr>
        <w:t>People Project</w:t>
      </w:r>
      <w:r w:rsidR="00792AC2" w:rsidRPr="008B68A9">
        <w:t xml:space="preserve">. Seven publications have been produced, reporting on processes of integration and comparing personalisation in mental health teams in England (Larsen </w:t>
      </w:r>
      <w:r w:rsidR="00792AC2" w:rsidRPr="008B68A9">
        <w:rPr>
          <w:i/>
        </w:rPr>
        <w:t>et al.</w:t>
      </w:r>
      <w:r w:rsidR="00792AC2" w:rsidRPr="008B68A9">
        <w:t xml:space="preserve"> 2013, Hamilton </w:t>
      </w:r>
      <w:r w:rsidR="00792AC2" w:rsidRPr="008B68A9">
        <w:rPr>
          <w:i/>
        </w:rPr>
        <w:t>et al.</w:t>
      </w:r>
      <w:r w:rsidR="00792AC2" w:rsidRPr="008B68A9">
        <w:t xml:space="preserve"> 2015a): family members and their relationships with professionals and budget holders (Hamilton </w:t>
      </w:r>
      <w:r w:rsidR="00792AC2" w:rsidRPr="008B68A9">
        <w:rPr>
          <w:i/>
        </w:rPr>
        <w:t>et al.</w:t>
      </w:r>
      <w:r w:rsidR="00792AC2" w:rsidRPr="008B68A9">
        <w:t xml:space="preserve"> 2015b); issues of choice, power and control between participants and users using budgets (Hamilton </w:t>
      </w:r>
      <w:r w:rsidR="00792AC2" w:rsidRPr="008B68A9">
        <w:rPr>
          <w:i/>
        </w:rPr>
        <w:t>et al.</w:t>
      </w:r>
      <w:r w:rsidR="00792AC2" w:rsidRPr="008B68A9">
        <w:t xml:space="preserve"> 2015c); exploring budget review and cessation (Clewett </w:t>
      </w:r>
      <w:r w:rsidR="00792AC2" w:rsidRPr="008B68A9">
        <w:rPr>
          <w:i/>
        </w:rPr>
        <w:t>et al.</w:t>
      </w:r>
      <w:r w:rsidR="00792AC2" w:rsidRPr="008B68A9">
        <w:t xml:space="preserve"> 2015); working to an outcomes based approach from the user’s experience (Larsen </w:t>
      </w:r>
      <w:r w:rsidR="00792AC2" w:rsidRPr="008B68A9">
        <w:rPr>
          <w:i/>
        </w:rPr>
        <w:t>et al.</w:t>
      </w:r>
      <w:r w:rsidR="00792AC2" w:rsidRPr="008B68A9">
        <w:t xml:space="preserve"> 2015); and budgets as a vehicle for recovery in mental health (Tew </w:t>
      </w:r>
      <w:r w:rsidR="00792AC2" w:rsidRPr="008B68A9">
        <w:rPr>
          <w:i/>
        </w:rPr>
        <w:t>et al.</w:t>
      </w:r>
      <w:r w:rsidR="00792AC2" w:rsidRPr="008B68A9">
        <w:t xml:space="preserve"> 2015). Rather than deal with the seven papers separately, the significance and application of the study will be dealt with as a whole as the data reported originated within the same interview dataset.</w:t>
      </w:r>
    </w:p>
    <w:p w14:paraId="7C19729B" w14:textId="0AF22FCF" w:rsidR="00792AC2" w:rsidRPr="008B68A9" w:rsidRDefault="00792AC2" w:rsidP="002F0FD7">
      <w:pPr>
        <w:pStyle w:val="5arangedleft"/>
      </w:pPr>
      <w:r w:rsidRPr="008B68A9">
        <w:t xml:space="preserve">The McPin collaboration drew on a sample of 54 budget users with severe and enduring mental health problems, 20 of their family members, and 30 frontline keyworkers in three and four local authorities in different English regions. The study used qualitative interviews and Ritchie and Spencer’s (1994) interpretive framework analysis, similar to the Forder </w:t>
      </w:r>
      <w:r w:rsidRPr="008B68A9">
        <w:rPr>
          <w:i/>
        </w:rPr>
        <w:t>et al.</w:t>
      </w:r>
      <w:r w:rsidRPr="008B68A9">
        <w:t xml:space="preserve"> (2012) method and others (Simpson </w:t>
      </w:r>
      <w:r w:rsidRPr="008B68A9">
        <w:rPr>
          <w:i/>
        </w:rPr>
        <w:t>et al.</w:t>
      </w:r>
      <w:r w:rsidRPr="008B68A9">
        <w:t xml:space="preserve"> 2015), and its conclusions concord with previously published papers (Glendinning </w:t>
      </w:r>
      <w:r w:rsidRPr="008B68A9">
        <w:rPr>
          <w:i/>
        </w:rPr>
        <w:t>et al.</w:t>
      </w:r>
      <w:r w:rsidRPr="008B68A9">
        <w:t xml:space="preserve"> 2008, Forder </w:t>
      </w:r>
      <w:r w:rsidRPr="008B68A9">
        <w:rPr>
          <w:i/>
        </w:rPr>
        <w:t>et al.</w:t>
      </w:r>
      <w:r w:rsidRPr="008B68A9">
        <w:t xml:space="preserve"> 2012), that personalisation improved users’ </w:t>
      </w:r>
      <w:r w:rsidRPr="008B68A9">
        <w:lastRenderedPageBreak/>
        <w:t xml:space="preserve">sense of choice, control and wellbeing. The McPin </w:t>
      </w:r>
      <w:r w:rsidRPr="008B68A9">
        <w:rPr>
          <w:i/>
        </w:rPr>
        <w:t>et al.</w:t>
      </w:r>
      <w:r w:rsidRPr="008B68A9">
        <w:t xml:space="preserve"> study group produced data in support of US and Australasian research findings (Doty 2000, Doty 2007, Cook 2012, Ottmann </w:t>
      </w:r>
      <w:r w:rsidRPr="008B68A9">
        <w:rPr>
          <w:i/>
        </w:rPr>
        <w:t>et al.</w:t>
      </w:r>
      <w:r w:rsidRPr="008B68A9">
        <w:t xml:space="preserve"> 2013), where predictably a perceived increase in budget holder satisfaction and autonomy was found. </w:t>
      </w:r>
      <w:r w:rsidR="008C41D4" w:rsidRPr="008B68A9">
        <w:t xml:space="preserve">However </w:t>
      </w:r>
      <w:r w:rsidRPr="008B68A9">
        <w:t xml:space="preserve">Larsen </w:t>
      </w:r>
      <w:r w:rsidRPr="008B68A9">
        <w:rPr>
          <w:i/>
        </w:rPr>
        <w:t>et al.</w:t>
      </w:r>
      <w:r w:rsidRPr="008B68A9">
        <w:t xml:space="preserve"> (2015) </w:t>
      </w:r>
      <w:r w:rsidR="008C41D4" w:rsidRPr="008B68A9">
        <w:t>found</w:t>
      </w:r>
      <w:r w:rsidRPr="008B68A9">
        <w:t xml:space="preserve"> that for some people managing</w:t>
      </w:r>
      <w:r w:rsidR="008C41D4" w:rsidRPr="008B68A9">
        <w:t xml:space="preserve"> their</w:t>
      </w:r>
      <w:r w:rsidRPr="008B68A9">
        <w:t xml:space="preserve"> individual budgets created </w:t>
      </w:r>
      <w:r w:rsidR="008C41D4" w:rsidRPr="008B68A9">
        <w:t xml:space="preserve">both </w:t>
      </w:r>
      <w:r w:rsidRPr="008B68A9">
        <w:t>stress and dissatisfaction, and older people seemed less likely to use personal budgets</w:t>
      </w:r>
      <w:r w:rsidR="00C40D76" w:rsidRPr="008B68A9">
        <w:t xml:space="preserve"> something that my thesis also supports in a small way</w:t>
      </w:r>
      <w:r w:rsidRPr="008B68A9">
        <w:t xml:space="preserve">. </w:t>
      </w:r>
    </w:p>
    <w:p w14:paraId="1DBC9657" w14:textId="6B29B22D" w:rsidR="00792AC2" w:rsidRPr="008B68A9" w:rsidRDefault="00792AC2" w:rsidP="002F0FD7">
      <w:pPr>
        <w:pStyle w:val="5arangedleft"/>
      </w:pPr>
      <w:r w:rsidRPr="008B68A9">
        <w:t xml:space="preserve">Hamilton </w:t>
      </w:r>
      <w:r w:rsidRPr="008B68A9">
        <w:rPr>
          <w:i/>
        </w:rPr>
        <w:t>et al.</w:t>
      </w:r>
      <w:r w:rsidRPr="008B68A9">
        <w:t xml:space="preserve"> (2015c), addresses issues of power and control between budget users and mental health community staff. The paper explores socially negotiated relationships between traditional community mental health teams and budget users, and hints at the opportunity for personalisation to represent more than another procedural way of working or</w:t>
      </w:r>
      <w:r w:rsidR="008C41D4" w:rsidRPr="008B68A9">
        <w:t xml:space="preserve"> space for contested identity. </w:t>
      </w:r>
      <w:r w:rsidRPr="008B68A9">
        <w:t xml:space="preserve">Their study continues the discourse of power and choice and </w:t>
      </w:r>
      <w:r w:rsidR="00156B7F" w:rsidRPr="008B68A9">
        <w:t>the</w:t>
      </w:r>
      <w:r w:rsidRPr="008B68A9">
        <w:t xml:space="preserve"> transfer of responsibi</w:t>
      </w:r>
      <w:r w:rsidR="00156B7F" w:rsidRPr="008B68A9">
        <w:t>lities within negotiated spaces</w:t>
      </w:r>
      <w:r w:rsidRPr="008B68A9">
        <w:t xml:space="preserve"> applied to mental health. Power and choice discourses were discussed in relation to mental health and </w:t>
      </w:r>
      <w:r w:rsidR="00156B7F" w:rsidRPr="008B68A9">
        <w:t xml:space="preserve">direct payments some years ago by </w:t>
      </w:r>
      <w:r w:rsidRPr="008B68A9">
        <w:t xml:space="preserve">Spandler and Vick </w:t>
      </w:r>
      <w:r w:rsidR="00156B7F" w:rsidRPr="008B68A9">
        <w:t>(</w:t>
      </w:r>
      <w:r w:rsidRPr="008B68A9">
        <w:t xml:space="preserve">2005); though more than a decade ago, the issues of professional values and attitudes remain salient within current personalisation debates. The McPin group’s paper suggests that some professionals maintained control throughout the budget setting process, whereas others demonstrated </w:t>
      </w:r>
      <w:r w:rsidR="00156B7F" w:rsidRPr="008B68A9">
        <w:t>a</w:t>
      </w:r>
      <w:r w:rsidRPr="008B68A9">
        <w:t xml:space="preserve"> willingness to support the budget user to take responsibility and to lead in the work. A third group negotiated </w:t>
      </w:r>
      <w:r w:rsidR="00156B7F" w:rsidRPr="008B68A9">
        <w:t xml:space="preserve">such </w:t>
      </w:r>
      <w:r w:rsidRPr="008B68A9">
        <w:t xml:space="preserve">control throughout, with professionals taking the lead at times, while at others the budget user took charge. How the negotiation was undertaken suggests some practitioners’ values demonstrated a keen appreciation of the rights and capacities of the budget user, listening to when the budget user reported their sense of struggle with processes of planning. However, the work does not discuss how or where brokerage might have supported the budget users’ planning and minimised opportunities for professionals dominating the support planning process. </w:t>
      </w:r>
    </w:p>
    <w:p w14:paraId="66E0535B" w14:textId="082EB3CD" w:rsidR="00792AC2" w:rsidRPr="008B68A9" w:rsidRDefault="00792AC2" w:rsidP="002F0FD7">
      <w:pPr>
        <w:pStyle w:val="5arangedleft"/>
      </w:pPr>
      <w:r w:rsidRPr="008B68A9">
        <w:t>Personalisation is consistent with emancipatory rhetoric within the disability movement, but also of the neo-liberal marketisation of social care; however, Lymbery offer</w:t>
      </w:r>
      <w:r w:rsidR="000B6D7A" w:rsidRPr="008B68A9">
        <w:t>s</w:t>
      </w:r>
      <w:r w:rsidRPr="008B68A9">
        <w:t xml:space="preserve"> a third perspective</w:t>
      </w:r>
      <w:r w:rsidR="000B6D7A" w:rsidRPr="008B68A9">
        <w:t>:</w:t>
      </w:r>
      <w:r w:rsidRPr="008B68A9">
        <w:t xml:space="preserve"> that austerity and reduction of the care budget </w:t>
      </w:r>
      <w:r w:rsidRPr="008B68A9">
        <w:lastRenderedPageBreak/>
        <w:t xml:space="preserve">is the greater threat (Lymbery 2011). Where practitioners are placed in the situation of </w:t>
      </w:r>
      <w:r w:rsidR="000B6D7A" w:rsidRPr="008B68A9">
        <w:t xml:space="preserve">both </w:t>
      </w:r>
      <w:r w:rsidRPr="008B68A9">
        <w:t xml:space="preserve">leading the budget planning and </w:t>
      </w:r>
      <w:r w:rsidR="000B6D7A" w:rsidRPr="008B68A9">
        <w:t xml:space="preserve">of </w:t>
      </w:r>
      <w:r w:rsidRPr="008B68A9">
        <w:t xml:space="preserve">fiscal control of diminished resources, an inherent conflict of interests arises. It is not to say that social workers or psychiatric nurses </w:t>
      </w:r>
      <w:r w:rsidR="000B6D7A" w:rsidRPr="008B68A9">
        <w:t>are</w:t>
      </w:r>
      <w:r w:rsidRPr="008B68A9">
        <w:t xml:space="preserve"> unable to separate their role functions, but financial gatekeeping and co-production may not be wholly compatible. As in the </w:t>
      </w:r>
      <w:r w:rsidR="000B6D7A" w:rsidRPr="008B68A9">
        <w:t>other countries using brokerage roles, (see section 3.4)</w:t>
      </w:r>
      <w:r w:rsidRPr="008B68A9">
        <w:t>, a third party actor fulfilling a brokerage role with a remit to support and co-facilitate might have reduced the potential for role blurring, maintaining a separation of roles and responsibilities, and facilitating co-production.</w:t>
      </w:r>
    </w:p>
    <w:p w14:paraId="46EABC66" w14:textId="51ED6131" w:rsidR="00792AC2" w:rsidRPr="008B68A9" w:rsidRDefault="00792AC2" w:rsidP="002F0FD7">
      <w:pPr>
        <w:pStyle w:val="5arangedleft"/>
      </w:pPr>
      <w:r w:rsidRPr="008B68A9">
        <w:t xml:space="preserve">This author’s </w:t>
      </w:r>
      <w:r w:rsidR="00070203" w:rsidRPr="008B68A9">
        <w:t xml:space="preserve">published </w:t>
      </w:r>
      <w:r w:rsidR="005968CC" w:rsidRPr="008B68A9">
        <w:t>paper</w:t>
      </w:r>
      <w:r w:rsidR="00070203" w:rsidRPr="008B68A9">
        <w:t xml:space="preserve"> (Coyle 2011) of the </w:t>
      </w:r>
      <w:r w:rsidRPr="008B68A9">
        <w:t>first</w:t>
      </w:r>
      <w:r w:rsidR="00070203" w:rsidRPr="008B68A9">
        <w:t xml:space="preserve"> of the</w:t>
      </w:r>
      <w:r w:rsidRPr="008B68A9">
        <w:t xml:space="preserve"> </w:t>
      </w:r>
      <w:r w:rsidR="00070203" w:rsidRPr="008B68A9">
        <w:t>North West Personalisation studies</w:t>
      </w:r>
      <w:r w:rsidR="005968CC" w:rsidRPr="008B68A9">
        <w:t>, (where the project is described in chapter 5),</w:t>
      </w:r>
      <w:r w:rsidRPr="008B68A9">
        <w:t xml:space="preserve"> </w:t>
      </w:r>
      <w:r w:rsidR="005968CC" w:rsidRPr="008B68A9">
        <w:t>outlines</w:t>
      </w:r>
      <w:r w:rsidRPr="008B68A9">
        <w:t xml:space="preserve"> the impact of</w:t>
      </w:r>
      <w:r w:rsidR="005968CC" w:rsidRPr="008B68A9">
        <w:t xml:space="preserve"> independent brokerage support</w:t>
      </w:r>
      <w:r w:rsidRPr="008B68A9">
        <w:t xml:space="preserve"> planning in mental health services and the users’ perceptions of choice, autonomy and social inclusion</w:t>
      </w:r>
      <w:r w:rsidR="00070203" w:rsidRPr="008B68A9">
        <w:t>.</w:t>
      </w:r>
      <w:r w:rsidRPr="008B68A9">
        <w:t xml:space="preserve"> Using narrative methodology,</w:t>
      </w:r>
      <w:r w:rsidR="005968CC" w:rsidRPr="008B68A9">
        <w:t xml:space="preserve"> the evaluation described</w:t>
      </w:r>
      <w:r w:rsidRPr="008B68A9">
        <w:t xml:space="preserve"> user and staff experiences of individual recovery budgets (IRBs) during the planning and following of budget allocation. </w:t>
      </w:r>
      <w:r w:rsidR="005968CC" w:rsidRPr="008B68A9">
        <w:t>Coyle (2011)</w:t>
      </w:r>
      <w:r w:rsidRPr="008B68A9">
        <w:t xml:space="preserve"> highlighted the potential of support planning as budget users reported positive changes in their lives through progressive narrative trajectories (Gergen and Gergen 1983). The professional staff group </w:t>
      </w:r>
      <w:r w:rsidR="005968CC" w:rsidRPr="008B68A9">
        <w:t xml:space="preserve">however </w:t>
      </w:r>
      <w:r w:rsidRPr="008B68A9">
        <w:t>struggled in part to work with budgets outside their existing role perception, attempting</w:t>
      </w:r>
      <w:r w:rsidR="005968CC" w:rsidRPr="008B68A9">
        <w:t xml:space="preserve"> instead</w:t>
      </w:r>
      <w:r w:rsidRPr="008B68A9">
        <w:t xml:space="preserve"> to maintain work roles</w:t>
      </w:r>
      <w:r w:rsidR="000B6D7A" w:rsidRPr="008B68A9">
        <w:t>,</w:t>
      </w:r>
      <w:r w:rsidRPr="008B68A9">
        <w:t xml:space="preserve"> albeit with additional financial resources. Hamilton </w:t>
      </w:r>
      <w:r w:rsidRPr="008B68A9">
        <w:rPr>
          <w:i/>
        </w:rPr>
        <w:t>et al.</w:t>
      </w:r>
      <w:r w:rsidRPr="008B68A9">
        <w:t xml:space="preserve"> (2015b) </w:t>
      </w:r>
      <w:r w:rsidR="005968CC" w:rsidRPr="008B68A9">
        <w:t xml:space="preserve">also </w:t>
      </w:r>
      <w:r w:rsidRPr="008B68A9">
        <w:t xml:space="preserve">noted that mental health teams medicalised their role, citing primary functions as the maintenance of mental health and avoidance of crisis, interpreting personalisation as something that social workers did. </w:t>
      </w:r>
      <w:r w:rsidR="005968CC" w:rsidRPr="008B68A9">
        <w:t>Coyle’s (2011)</w:t>
      </w:r>
      <w:r w:rsidRPr="008B68A9">
        <w:t xml:space="preserve"> IRB study showed similar role delineation with planning activities</w:t>
      </w:r>
      <w:r w:rsidR="005968CC" w:rsidRPr="008B68A9">
        <w:t xml:space="preserve"> and budget negotiation</w:t>
      </w:r>
      <w:r w:rsidRPr="008B68A9">
        <w:t xml:space="preserve"> </w:t>
      </w:r>
      <w:r w:rsidR="005968CC" w:rsidRPr="008B68A9">
        <w:t>left</w:t>
      </w:r>
      <w:r w:rsidRPr="008B68A9">
        <w:t xml:space="preserve"> to the broker.</w:t>
      </w:r>
    </w:p>
    <w:p w14:paraId="364A75F0" w14:textId="77777777" w:rsidR="00792AC2" w:rsidRPr="008B68A9" w:rsidRDefault="00792AC2" w:rsidP="002F0FD7">
      <w:pPr>
        <w:pStyle w:val="5arangedleft"/>
      </w:pPr>
      <w:r w:rsidRPr="008B68A9">
        <w:t xml:space="preserve">Webber </w:t>
      </w:r>
      <w:r w:rsidRPr="008B68A9">
        <w:rPr>
          <w:i/>
        </w:rPr>
        <w:t>et al.</w:t>
      </w:r>
      <w:r w:rsidRPr="008B68A9">
        <w:t xml:space="preserve"> (2014) systematically reviewed 15 original pieces of research in the mental health personalisation literature, reporting seven to have potentially high bias and a weaker utility. However, most of the studies were said to have methodological issues weakening their reliability to inform large-scale policy change, demonstrating a paucity of evaluative work centred on the impact of personalisation on people with mental health problems. Lessons and comparisons </w:t>
      </w:r>
      <w:r w:rsidRPr="008B68A9">
        <w:lastRenderedPageBreak/>
        <w:t xml:space="preserve">from direct payments in mental health show the potential for growth in personalisation in mental health services may be great, though it remains relatively small (Webber </w:t>
      </w:r>
      <w:r w:rsidRPr="008B68A9">
        <w:rPr>
          <w:i/>
        </w:rPr>
        <w:t>et al.</w:t>
      </w:r>
      <w:r w:rsidRPr="008B68A9">
        <w:t xml:space="preserve"> 2014). The slow uptake of increased user control with direct payments in mental health services has been witnessed before (Spandler 2004, Glasby and Littlechild 2009), and there should be little surprise in professional practice lagging behind policy enactments.</w:t>
      </w:r>
    </w:p>
    <w:p w14:paraId="619B4CB4" w14:textId="78721811" w:rsidR="00792AC2" w:rsidRPr="008B68A9" w:rsidRDefault="00792AC2" w:rsidP="002F0FD7">
      <w:pPr>
        <w:pStyle w:val="5arangedleft"/>
      </w:pPr>
      <w:r w:rsidRPr="008B68A9">
        <w:t xml:space="preserve">The boundaries between health care and social care in the United Kingdom are arbitrary, created by government as a </w:t>
      </w:r>
      <w:r w:rsidR="00FC0294" w:rsidRPr="008B68A9">
        <w:t xml:space="preserve">means to organise prioritise and distribute </w:t>
      </w:r>
      <w:r w:rsidRPr="008B68A9">
        <w:t>of public resources</w:t>
      </w:r>
      <w:r w:rsidR="000B6D7A" w:rsidRPr="008B68A9">
        <w:t xml:space="preserve"> </w:t>
      </w:r>
      <w:r w:rsidR="001A3571" w:rsidRPr="008B68A9">
        <w:t>between</w:t>
      </w:r>
      <w:r w:rsidR="000B6D7A" w:rsidRPr="008B68A9">
        <w:t xml:space="preserve"> social care and the </w:t>
      </w:r>
      <w:r w:rsidR="00EC4686" w:rsidRPr="008B68A9">
        <w:t>National Health Service</w:t>
      </w:r>
      <w:r w:rsidRPr="008B68A9">
        <w:t>. This has meant that, for decades, separation of health responsibility and that which falls within local authority remit has resulted in tensions and complexity</w:t>
      </w:r>
      <w:r w:rsidR="001A3571" w:rsidRPr="008B68A9">
        <w:t xml:space="preserve"> between local authority and health providers</w:t>
      </w:r>
      <w:r w:rsidRPr="008B68A9">
        <w:t xml:space="preserve">. Social care is relatively easy to define, as is health need; but such divisions appear </w:t>
      </w:r>
      <w:r w:rsidR="001A3571" w:rsidRPr="008B68A9">
        <w:t>less clear</w:t>
      </w:r>
      <w:r w:rsidRPr="008B68A9">
        <w:t xml:space="preserve"> when applied to peopl</w:t>
      </w:r>
      <w:r w:rsidR="00EC4686" w:rsidRPr="008B68A9">
        <w:t>e with mental health problems. In the context of the literature t</w:t>
      </w:r>
      <w:r w:rsidRPr="008B68A9">
        <w:t xml:space="preserve">he findings from </w:t>
      </w:r>
      <w:r w:rsidR="001A3571" w:rsidRPr="008B68A9">
        <w:t xml:space="preserve">Coyle (2011) and Forder </w:t>
      </w:r>
      <w:r w:rsidR="001A3571" w:rsidRPr="008B68A9">
        <w:rPr>
          <w:i/>
        </w:rPr>
        <w:t>et al.</w:t>
      </w:r>
      <w:r w:rsidR="001A3571" w:rsidRPr="008B68A9">
        <w:t xml:space="preserve"> (2012), </w:t>
      </w:r>
      <w:r w:rsidRPr="008B68A9">
        <w:t xml:space="preserve">personalisation studies </w:t>
      </w:r>
      <w:r w:rsidR="001A3571" w:rsidRPr="008B68A9">
        <w:t xml:space="preserve">for people with mental health problems </w:t>
      </w:r>
      <w:r w:rsidRPr="008B68A9">
        <w:t xml:space="preserve">show that many of the budgets were spent </w:t>
      </w:r>
      <w:r w:rsidR="001A3571" w:rsidRPr="008B68A9">
        <w:t>on</w:t>
      </w:r>
      <w:r w:rsidRPr="008B68A9">
        <w:t xml:space="preserve"> what might be termed as soci</w:t>
      </w:r>
      <w:r w:rsidR="001A3571" w:rsidRPr="008B68A9">
        <w:t xml:space="preserve">al care or </w:t>
      </w:r>
      <w:r w:rsidRPr="008B68A9">
        <w:t>to pur</w:t>
      </w:r>
      <w:r w:rsidR="001A3571" w:rsidRPr="008B68A9">
        <w:t xml:space="preserve">chase essentials of daily life as </w:t>
      </w:r>
      <w:r w:rsidRPr="008B68A9">
        <w:t xml:space="preserve">Croft and Parish </w:t>
      </w:r>
      <w:r w:rsidR="001A3571" w:rsidRPr="008B68A9">
        <w:t>(2016) reported</w:t>
      </w:r>
      <w:r w:rsidRPr="008B68A9">
        <w:t xml:space="preserve">. </w:t>
      </w:r>
      <w:r w:rsidR="00EC4686" w:rsidRPr="008B68A9">
        <w:t>Additionally t</w:t>
      </w:r>
      <w:r w:rsidRPr="008B68A9">
        <w:t>he Health and Social Care Act (DH 2012) sought to create a parity of esteem between physical and mental health,</w:t>
      </w:r>
      <w:r w:rsidR="00EC4686" w:rsidRPr="008B68A9">
        <w:t xml:space="preserve"> which further challenges </w:t>
      </w:r>
      <w:r w:rsidRPr="008B68A9">
        <w:t>the divisions betwee</w:t>
      </w:r>
      <w:r w:rsidR="001A3571" w:rsidRPr="008B68A9">
        <w:t>n mental health and social care</w:t>
      </w:r>
      <w:r w:rsidR="00EC4686" w:rsidRPr="008B68A9">
        <w:t>. The literature evaluating personalisation does not examine how such a divide might</w:t>
      </w:r>
      <w:r w:rsidR="001A3571" w:rsidRPr="008B68A9">
        <w:t xml:space="preserve"> be resolved </w:t>
      </w:r>
      <w:r w:rsidR="00EC4686" w:rsidRPr="008B68A9">
        <w:t xml:space="preserve">and therefore </w:t>
      </w:r>
      <w:r w:rsidRPr="008B68A9">
        <w:t>remain</w:t>
      </w:r>
      <w:r w:rsidR="00EC4686" w:rsidRPr="008B68A9">
        <w:t>s</w:t>
      </w:r>
      <w:r w:rsidRPr="008B68A9">
        <w:t xml:space="preserve"> contested.</w:t>
      </w:r>
    </w:p>
    <w:p w14:paraId="37B9D043" w14:textId="72430A54" w:rsidR="00963B32" w:rsidRPr="008B68A9" w:rsidRDefault="00963B32" w:rsidP="002F0FD7">
      <w:pPr>
        <w:pStyle w:val="5arangedleft"/>
      </w:pPr>
      <w:r w:rsidRPr="008B68A9">
        <w:t xml:space="preserve">Personalisation in mental health within the UK has some evidence (Webber </w:t>
      </w:r>
      <w:r w:rsidRPr="008B68A9">
        <w:rPr>
          <w:i/>
        </w:rPr>
        <w:t>et al.</w:t>
      </w:r>
      <w:r w:rsidRPr="008B68A9">
        <w:t xml:space="preserve"> 2014) to support the policy as well as </w:t>
      </w:r>
      <w:r w:rsidR="008E1C41" w:rsidRPr="008B68A9">
        <w:t>backing</w:t>
      </w:r>
      <w:r w:rsidRPr="008B68A9">
        <w:t xml:space="preserve"> from important stakeholder groups (Royal Psychological Society 2012, Royal College of Psychiatrists &amp; Association of Assistant Directors of Social Services 2013, </w:t>
      </w:r>
      <w:r w:rsidRPr="008B68A9">
        <w:rPr>
          <w:rFonts w:eastAsia="Calibri" w:cs="Times New Roman"/>
        </w:rPr>
        <w:t xml:space="preserve">National Health Service Confederation 2015). Personalisation in whatever form provides </w:t>
      </w:r>
      <w:r w:rsidR="008E1C41" w:rsidRPr="008B68A9">
        <w:rPr>
          <w:rFonts w:eastAsia="Calibri" w:cs="Times New Roman"/>
        </w:rPr>
        <w:t>an opportunity</w:t>
      </w:r>
      <w:r w:rsidRPr="008B68A9">
        <w:rPr>
          <w:rFonts w:eastAsia="Calibri" w:cs="Times New Roman"/>
        </w:rPr>
        <w:t xml:space="preserve"> for users to identify </w:t>
      </w:r>
      <w:r w:rsidR="008110D7" w:rsidRPr="008B68A9">
        <w:rPr>
          <w:rFonts w:eastAsia="Calibri" w:cs="Times New Roman"/>
        </w:rPr>
        <w:t xml:space="preserve">objectives that support their individual recovery journeys beyond the strictures </w:t>
      </w:r>
      <w:r w:rsidR="008E1C41" w:rsidRPr="008B68A9">
        <w:rPr>
          <w:rFonts w:eastAsia="Calibri" w:cs="Times New Roman"/>
        </w:rPr>
        <w:t>of traditional service offers. Such</w:t>
      </w:r>
      <w:r w:rsidR="008110D7" w:rsidRPr="008B68A9">
        <w:rPr>
          <w:rFonts w:eastAsia="Calibri" w:cs="Times New Roman"/>
        </w:rPr>
        <w:t xml:space="preserve"> opportunity extends to practitioners to find new ways of working which although may be challenging, hold </w:t>
      </w:r>
      <w:r w:rsidR="008E1C41" w:rsidRPr="008B68A9">
        <w:rPr>
          <w:rFonts w:eastAsia="Calibri" w:cs="Times New Roman"/>
        </w:rPr>
        <w:t>a</w:t>
      </w:r>
      <w:r w:rsidR="008110D7" w:rsidRPr="008B68A9">
        <w:rPr>
          <w:rFonts w:eastAsia="Calibri" w:cs="Times New Roman"/>
        </w:rPr>
        <w:t xml:space="preserve"> potential to create fulfilling partnerships.  The literature points to empirical deficits in research </w:t>
      </w:r>
      <w:r w:rsidR="008110D7" w:rsidRPr="008B68A9">
        <w:rPr>
          <w:rFonts w:eastAsia="Calibri" w:cs="Times New Roman"/>
        </w:rPr>
        <w:lastRenderedPageBreak/>
        <w:t xml:space="preserve">design with often small scale studies producing non-generalisable findings.  Webber </w:t>
      </w:r>
      <w:r w:rsidR="008110D7" w:rsidRPr="008B68A9">
        <w:rPr>
          <w:rFonts w:eastAsia="Calibri" w:cs="Times New Roman"/>
          <w:i/>
        </w:rPr>
        <w:t>et al.</w:t>
      </w:r>
      <w:r w:rsidR="008110D7" w:rsidRPr="008B68A9">
        <w:rPr>
          <w:rFonts w:eastAsia="Calibri" w:cs="Times New Roman"/>
        </w:rPr>
        <w:t xml:space="preserve"> (2014) call for larger more well-funded studies to generate outcomes that might influence policy. My argument is that the policy of personalisation is happening, and like Power (2015) the issue is more about policy pull than creating research in support of efficacy. Issues remain as do questions around the enactment of personalisation.</w:t>
      </w:r>
    </w:p>
    <w:bookmarkEnd w:id="53"/>
    <w:bookmarkEnd w:id="54"/>
    <w:p w14:paraId="415B51D9" w14:textId="1B014F7C" w:rsidR="00792AC2" w:rsidRPr="008B68A9" w:rsidRDefault="00792AC2" w:rsidP="002F0FD7">
      <w:pPr>
        <w:pStyle w:val="5arangedleft"/>
      </w:pPr>
      <w:r w:rsidRPr="008B68A9">
        <w:t xml:space="preserve">Beyond improved satisfaction, expression of choice, and a greater sense of </w:t>
      </w:r>
      <w:r w:rsidR="008110D7" w:rsidRPr="008B68A9">
        <w:t>control</w:t>
      </w:r>
      <w:r w:rsidRPr="008B68A9">
        <w:t xml:space="preserve"> and opportunity, there is little evidential basis for the wholesale adoption of the personalisation </w:t>
      </w:r>
      <w:r w:rsidR="00963B32" w:rsidRPr="008B68A9">
        <w:t>as policy and practice</w:t>
      </w:r>
      <w:r w:rsidRPr="008B68A9">
        <w:t xml:space="preserve">. The growth in individualised planning and funding is policy driven, and whilst the heritage of personalisation has its origins in the self-determination and citizenship disability movements in the US and Canada, its </w:t>
      </w:r>
      <w:r w:rsidR="00963B32" w:rsidRPr="008B68A9">
        <w:t xml:space="preserve">current place in neo-liberal </w:t>
      </w:r>
      <w:r w:rsidR="008E1C41" w:rsidRPr="008B68A9">
        <w:t>economies</w:t>
      </w:r>
      <w:r w:rsidRPr="008B68A9">
        <w:t xml:space="preserve"> has been due to the growth of individualism, choice and the commodification of care. </w:t>
      </w:r>
      <w:r w:rsidR="008E1C41" w:rsidRPr="008B68A9">
        <w:t>R</w:t>
      </w:r>
      <w:r w:rsidRPr="008B68A9">
        <w:t xml:space="preserve">ooted </w:t>
      </w:r>
      <w:r w:rsidR="008E1C41" w:rsidRPr="008B68A9">
        <w:t xml:space="preserve">initially </w:t>
      </w:r>
      <w:r w:rsidRPr="008B68A9">
        <w:t>in social care public services and now seen in the NHS, personalisation has come to represent a power for service transformation with the possibility of individual’s lives being improved. Competing interests of individual service user choice and citizenship have met the narratives of austerity and marketisation of public service provision. Professional workers in health and social care face challenges to their traditional knowledge and expertise from individual budget users, resulting in discourse between individual choice and empowerment questioning professional authority to determine what is best.</w:t>
      </w:r>
    </w:p>
    <w:p w14:paraId="675FD988" w14:textId="0C5CDEC5" w:rsidR="00792AC2" w:rsidRPr="008B68A9" w:rsidRDefault="00792AC2" w:rsidP="002F0FD7">
      <w:pPr>
        <w:pStyle w:val="5arangedleft"/>
      </w:pPr>
      <w:r w:rsidRPr="008B68A9">
        <w:t>Tensions between professional accountability and the wellbeing of users have resulted in mixed accounts of the benefits and demerits of personalisation in UK health and social care settings. The belief or trope that personalisation makes people’s lives better and that they</w:t>
      </w:r>
      <w:r w:rsidR="007F1CB6" w:rsidRPr="008B68A9">
        <w:t xml:space="preserve"> themselves</w:t>
      </w:r>
      <w:r w:rsidRPr="008B68A9">
        <w:t xml:space="preserve"> are best placed to dete</w:t>
      </w:r>
      <w:r w:rsidR="007F1CB6" w:rsidRPr="008B68A9">
        <w:t xml:space="preserve">rmine care has been identified by </w:t>
      </w:r>
      <w:r w:rsidRPr="008B68A9">
        <w:t xml:space="preserve">Needham </w:t>
      </w:r>
      <w:r w:rsidR="007F1CB6" w:rsidRPr="008B68A9">
        <w:t>(</w:t>
      </w:r>
      <w:r w:rsidRPr="008B68A9">
        <w:t>2011b), and whilst evidence is lacking beyond a personal satisfaction narrative, personalisation</w:t>
      </w:r>
      <w:r w:rsidR="007F1CB6" w:rsidRPr="008B68A9">
        <w:t xml:space="preserve"> as both policy and aspiration</w:t>
      </w:r>
      <w:r w:rsidRPr="008B68A9">
        <w:t xml:space="preserve"> continues. </w:t>
      </w:r>
    </w:p>
    <w:p w14:paraId="63291F3B" w14:textId="7E0CF91F" w:rsidR="00792AC2" w:rsidRPr="008B68A9" w:rsidRDefault="008110D7" w:rsidP="00792AC2">
      <w:pPr>
        <w:pStyle w:val="2L2header"/>
      </w:pPr>
      <w:bookmarkStart w:id="58" w:name="_Toc466800294"/>
      <w:r w:rsidRPr="008B68A9">
        <w:lastRenderedPageBreak/>
        <w:t>3.6</w:t>
      </w:r>
      <w:r w:rsidR="00792AC2" w:rsidRPr="008B68A9">
        <w:t xml:space="preserve"> Conclusion</w:t>
      </w:r>
      <w:bookmarkEnd w:id="58"/>
    </w:p>
    <w:p w14:paraId="3B9FF8B2" w14:textId="5F418F3A" w:rsidR="00792AC2" w:rsidRPr="008B68A9" w:rsidRDefault="00792AC2" w:rsidP="002F0FD7">
      <w:pPr>
        <w:pStyle w:val="5arangedleft"/>
      </w:pPr>
      <w:r w:rsidRPr="008B68A9">
        <w:t xml:space="preserve">The rhetoric for personalisation in public service policy can be found in many documents (Poll </w:t>
      </w:r>
      <w:r w:rsidRPr="008B68A9">
        <w:rPr>
          <w:i/>
        </w:rPr>
        <w:t>et al</w:t>
      </w:r>
      <w:r w:rsidRPr="008B68A9">
        <w:t xml:space="preserve"> 2006, HM Government 2010b, TLAP 2014, DH 2010c, DH 2010d, DH 2012) and in UK law (Care Act 2014), though the crucial element of providing a vision close to that of Leadbeater’s (2004) call to change public service and public engagement remains largely unchanged. Gadsby </w:t>
      </w:r>
      <w:r w:rsidRPr="008B68A9">
        <w:rPr>
          <w:i/>
        </w:rPr>
        <w:t>et al.</w:t>
      </w:r>
      <w:r w:rsidRPr="008B68A9">
        <w:t xml:space="preserve"> (2013) identifies key drivers for personalisation in health and social care were intended to increase user choice about the care/services they received, and develop a wider range of care options and new markets; the work of personalisation is, “…to improve outcomes (particularly satisfaction, quality of life and health); [and] to reduce expenditure within the health and social care systems" (p. 18). If mental health service users are to have the opportunities and potential benefits of personalisation </w:t>
      </w:r>
      <w:r w:rsidR="00944D0C" w:rsidRPr="008B68A9">
        <w:t xml:space="preserve">that is in theory </w:t>
      </w:r>
      <w:r w:rsidRPr="008B68A9">
        <w:t xml:space="preserve">available to people with physical impairment, continuing healthcare needs and learning disabilities, questions about how personalisation translates into care managed mental health services should be explored. </w:t>
      </w:r>
    </w:p>
    <w:p w14:paraId="576C2CEF" w14:textId="7D6B492A" w:rsidR="00792AC2" w:rsidRPr="008B68A9" w:rsidRDefault="00792AC2" w:rsidP="00DD155C">
      <w:pPr>
        <w:pStyle w:val="5arangedleft"/>
      </w:pPr>
      <w:r w:rsidRPr="008B68A9">
        <w:t>Mental health service users may experience transient episodes of crisis, preceded and followed by stable and functional life, which is in many ways unlike people with long-term health conditions or learning disabilities. The evidence for supporting personalisation for mental health usually excludes crisis or acute mental health services from personalisation programmes</w:t>
      </w:r>
      <w:r w:rsidR="007F1CB6" w:rsidRPr="008B68A9">
        <w:t xml:space="preserve"> (Cook </w:t>
      </w:r>
      <w:r w:rsidR="007F1CB6" w:rsidRPr="008B68A9">
        <w:rPr>
          <w:i/>
        </w:rPr>
        <w:t>et al.</w:t>
      </w:r>
      <w:r w:rsidR="007F1CB6" w:rsidRPr="008B68A9">
        <w:t xml:space="preserve"> 2008)</w:t>
      </w:r>
      <w:r w:rsidRPr="008B68A9">
        <w:t xml:space="preserve">, which </w:t>
      </w:r>
      <w:r w:rsidR="007F1CB6" w:rsidRPr="008B68A9">
        <w:t>raises</w:t>
      </w:r>
      <w:r w:rsidRPr="008B68A9">
        <w:t xml:space="preserve"> </w:t>
      </w:r>
      <w:r w:rsidR="007F1CB6" w:rsidRPr="008B68A9">
        <w:t>questions</w:t>
      </w:r>
      <w:r w:rsidRPr="008B68A9">
        <w:t xml:space="preserve"> about the kind of support people with mental health difficulties need to access and manage personalisation </w:t>
      </w:r>
      <w:r w:rsidR="00D4201F" w:rsidRPr="008B68A9">
        <w:t>(</w:t>
      </w:r>
      <w:r w:rsidRPr="008B68A9">
        <w:t xml:space="preserve">Webber </w:t>
      </w:r>
      <w:r w:rsidRPr="008B68A9">
        <w:rPr>
          <w:i/>
        </w:rPr>
        <w:t>et al.</w:t>
      </w:r>
      <w:r w:rsidRPr="008B68A9">
        <w:t xml:space="preserve"> 2014, Larsen </w:t>
      </w:r>
      <w:r w:rsidRPr="008B68A9">
        <w:rPr>
          <w:i/>
        </w:rPr>
        <w:t>et al.</w:t>
      </w:r>
      <w:r w:rsidRPr="008B68A9">
        <w:t xml:space="preserve"> 2015). </w:t>
      </w:r>
    </w:p>
    <w:p w14:paraId="418208A1" w14:textId="7FE71CFB" w:rsidR="00792AC2" w:rsidRPr="008B68A9" w:rsidRDefault="00E53180" w:rsidP="00E53180">
      <w:pPr>
        <w:pStyle w:val="5arangedleft"/>
        <w:sectPr w:rsidR="00792AC2" w:rsidRPr="008B68A9" w:rsidSect="001B1BD3">
          <w:footerReference w:type="default" r:id="rId10"/>
          <w:pgSz w:w="11906" w:h="16838"/>
          <w:pgMar w:top="1440" w:right="1558" w:bottom="1440" w:left="2268" w:header="709" w:footer="709" w:gutter="0"/>
          <w:cols w:space="708"/>
          <w:docGrid w:linePitch="360"/>
        </w:sectPr>
      </w:pPr>
      <w:r w:rsidRPr="008B68A9">
        <w:t>My</w:t>
      </w:r>
      <w:r w:rsidR="00D4201F" w:rsidRPr="008B68A9">
        <w:t xml:space="preserve"> </w:t>
      </w:r>
      <w:r w:rsidRPr="008B68A9">
        <w:t>study</w:t>
      </w:r>
      <w:r w:rsidR="00D4201F" w:rsidRPr="008B68A9">
        <w:t xml:space="preserve"> </w:t>
      </w:r>
      <w:r w:rsidR="00792AC2" w:rsidRPr="008B68A9">
        <w:t xml:space="preserve">explores </w:t>
      </w:r>
      <w:r w:rsidR="00D4201F" w:rsidRPr="008B68A9">
        <w:t>identity and power</w:t>
      </w:r>
      <w:r w:rsidR="00792AC2" w:rsidRPr="008B68A9">
        <w:t xml:space="preserve"> issues </w:t>
      </w:r>
      <w:r w:rsidR="00133C39" w:rsidRPr="008B68A9">
        <w:t>shown through</w:t>
      </w:r>
      <w:r w:rsidR="00792AC2" w:rsidRPr="008B68A9">
        <w:t xml:space="preserve"> </w:t>
      </w:r>
      <w:r w:rsidR="00133C39" w:rsidRPr="008B68A9">
        <w:t>an analysis of qualitative interview data taken from four studies undertaken from 2008 to 2011. Na</w:t>
      </w:r>
      <w:r w:rsidR="00792AC2" w:rsidRPr="008B68A9">
        <w:t>rrative</w:t>
      </w:r>
      <w:r w:rsidR="00133C39" w:rsidRPr="008B68A9">
        <w:t xml:space="preserve"> methodology and </w:t>
      </w:r>
      <w:r w:rsidR="007F62C0" w:rsidRPr="008B68A9">
        <w:t xml:space="preserve">social </w:t>
      </w:r>
      <w:r w:rsidR="00133C39" w:rsidRPr="008B68A9">
        <w:t>constructionism</w:t>
      </w:r>
      <w:r w:rsidR="00792AC2" w:rsidRPr="008B68A9">
        <w:t xml:space="preserve"> </w:t>
      </w:r>
      <w:r w:rsidR="007F62C0" w:rsidRPr="008B68A9">
        <w:t>r</w:t>
      </w:r>
      <w:r w:rsidR="00133C39" w:rsidRPr="008B68A9">
        <w:t>eport</w:t>
      </w:r>
      <w:r w:rsidR="00792AC2" w:rsidRPr="008B68A9">
        <w:t xml:space="preserve"> the stories of individual budget users, brokers and professionals, representing </w:t>
      </w:r>
      <w:r w:rsidR="00133C39" w:rsidRPr="008B68A9">
        <w:t xml:space="preserve">health and social care services. </w:t>
      </w:r>
      <w:r w:rsidR="00792AC2" w:rsidRPr="008B68A9">
        <w:t xml:space="preserve">The next chapter describes and contextualises </w:t>
      </w:r>
      <w:r w:rsidR="00133C39" w:rsidRPr="008B68A9">
        <w:t>my</w:t>
      </w:r>
      <w:r w:rsidR="00792AC2" w:rsidRPr="008B68A9">
        <w:t xml:space="preserve"> research </w:t>
      </w:r>
      <w:r w:rsidRPr="008B68A9">
        <w:t>methods</w:t>
      </w:r>
      <w:r w:rsidR="00133C39" w:rsidRPr="008B68A9">
        <w:t>, providing a rationale and critique in my use of these</w:t>
      </w:r>
      <w:r w:rsidR="00792AC2" w:rsidRPr="008B68A9">
        <w:t>.</w:t>
      </w:r>
    </w:p>
    <w:p w14:paraId="3491D9DD" w14:textId="5FE69F52" w:rsidR="00792AC2" w:rsidRPr="008B68A9" w:rsidRDefault="00792AC2" w:rsidP="00792AC2">
      <w:pPr>
        <w:pStyle w:val="1L1header"/>
      </w:pPr>
      <w:bookmarkStart w:id="59" w:name="_Toc466800295"/>
      <w:r w:rsidRPr="008B68A9">
        <w:lastRenderedPageBreak/>
        <w:t>Chapter 4: Methodology</w:t>
      </w:r>
      <w:bookmarkEnd w:id="59"/>
    </w:p>
    <w:p w14:paraId="5A5FB0CD" w14:textId="01D78AB0" w:rsidR="00792AC2" w:rsidRPr="008B68A9" w:rsidRDefault="00792AC2" w:rsidP="00792AC2">
      <w:pPr>
        <w:pStyle w:val="2L2header"/>
      </w:pPr>
      <w:bookmarkStart w:id="60" w:name="_Toc466800296"/>
      <w:r w:rsidRPr="008B68A9">
        <w:t>4.1 Introduction</w:t>
      </w:r>
      <w:bookmarkEnd w:id="60"/>
    </w:p>
    <w:p w14:paraId="240E872F" w14:textId="22E33785" w:rsidR="00792AC2" w:rsidRPr="008B68A9" w:rsidRDefault="00792AC2" w:rsidP="002F0FD7">
      <w:pPr>
        <w:pStyle w:val="5arangedleft"/>
      </w:pPr>
      <w:r w:rsidRPr="008B68A9">
        <w:t xml:space="preserve">This chapter </w:t>
      </w:r>
      <w:r w:rsidR="000106C0" w:rsidRPr="008B68A9">
        <w:t>will set out</w:t>
      </w:r>
      <w:r w:rsidRPr="008B68A9">
        <w:t xml:space="preserve"> the methodological approaches that have influenced </w:t>
      </w:r>
      <w:r w:rsidR="00133C39" w:rsidRPr="008B68A9">
        <w:t>my</w:t>
      </w:r>
      <w:r w:rsidRPr="008B68A9">
        <w:t xml:space="preserve"> study and the choice of methods used in analysis. The chapter begins with a critical discussion of social constructionism and the stance that </w:t>
      </w:r>
      <w:r w:rsidR="00AD4E5C" w:rsidRPr="008B68A9">
        <w:t>I have</w:t>
      </w:r>
      <w:r w:rsidRPr="008B68A9">
        <w:t xml:space="preserve"> taken. </w:t>
      </w:r>
      <w:r w:rsidR="00AD4E5C" w:rsidRPr="008B68A9">
        <w:t>S</w:t>
      </w:r>
      <w:r w:rsidRPr="008B68A9">
        <w:t xml:space="preserve">ocial constructionism is complex and broad in its interpretation (Burr 2015), </w:t>
      </w:r>
      <w:r w:rsidR="00AD4E5C" w:rsidRPr="008B68A9">
        <w:t>therefore</w:t>
      </w:r>
      <w:r w:rsidRPr="008B68A9">
        <w:t xml:space="preserve"> </w:t>
      </w:r>
      <w:r w:rsidR="00AD4E5C" w:rsidRPr="008B68A9">
        <w:t>I believe it</w:t>
      </w:r>
      <w:r w:rsidRPr="008B68A9">
        <w:t xml:space="preserve"> necessary to identify </w:t>
      </w:r>
      <w:r w:rsidR="00AD4E5C" w:rsidRPr="008B68A9">
        <w:t>what I have understood</w:t>
      </w:r>
      <w:r w:rsidRPr="008B68A9">
        <w:t xml:space="preserve"> </w:t>
      </w:r>
      <w:r w:rsidR="00AD4E5C" w:rsidRPr="008B68A9">
        <w:t xml:space="preserve">as </w:t>
      </w:r>
      <w:r w:rsidRPr="008B68A9">
        <w:t xml:space="preserve">social constructionism. The rationale for the use of stories, or narratives, as </w:t>
      </w:r>
      <w:r w:rsidR="00AD4E5C" w:rsidRPr="008B68A9">
        <w:t>my</w:t>
      </w:r>
      <w:r w:rsidRPr="008B68A9">
        <w:t xml:space="preserve"> primary form of </w:t>
      </w:r>
      <w:r w:rsidR="00AD4E5C" w:rsidRPr="008B68A9">
        <w:t>data</w:t>
      </w:r>
      <w:r w:rsidRPr="008B68A9">
        <w:t xml:space="preserve"> in this study will also be made clear. Social constructionism </w:t>
      </w:r>
      <w:r w:rsidR="00AD4E5C" w:rsidRPr="008B68A9">
        <w:t>through Gergen’s (1989) conventions of warrant</w:t>
      </w:r>
      <w:r w:rsidR="00133C39" w:rsidRPr="008B68A9">
        <w:t>,</w:t>
      </w:r>
      <w:r w:rsidR="00AD4E5C" w:rsidRPr="008B68A9">
        <w:t xml:space="preserve"> which focus on </w:t>
      </w:r>
      <w:r w:rsidR="00AD4E5C" w:rsidRPr="008B68A9">
        <w:rPr>
          <w:color w:val="000000"/>
          <w:szCs w:val="19"/>
        </w:rPr>
        <w:t>competing legitimacy of voice</w:t>
      </w:r>
      <w:r w:rsidR="00133C39" w:rsidRPr="008B68A9">
        <w:rPr>
          <w:color w:val="000000"/>
          <w:szCs w:val="19"/>
        </w:rPr>
        <w:t>,</w:t>
      </w:r>
      <w:r w:rsidR="00AD4E5C" w:rsidRPr="008B68A9">
        <w:t xml:space="preserve"> will be</w:t>
      </w:r>
      <w:r w:rsidRPr="008B68A9">
        <w:t xml:space="preserve"> shown </w:t>
      </w:r>
      <w:r w:rsidR="00AD4E5C" w:rsidRPr="008B68A9">
        <w:t xml:space="preserve">to be </w:t>
      </w:r>
      <w:r w:rsidRPr="008B68A9">
        <w:t xml:space="preserve">central </w:t>
      </w:r>
      <w:r w:rsidR="00AD4E5C" w:rsidRPr="008B68A9">
        <w:t>to</w:t>
      </w:r>
      <w:r w:rsidRPr="008B68A9">
        <w:t xml:space="preserve"> concept of mental health identity in this study</w:t>
      </w:r>
      <w:r w:rsidR="003F6E7A" w:rsidRPr="008B68A9">
        <w:rPr>
          <w:color w:val="000000"/>
          <w:szCs w:val="19"/>
        </w:rPr>
        <w:t>.</w:t>
      </w:r>
    </w:p>
    <w:p w14:paraId="5C64E054" w14:textId="3B4B2B98" w:rsidR="00792AC2" w:rsidRPr="008B68A9" w:rsidRDefault="00792AC2" w:rsidP="002F0FD7">
      <w:pPr>
        <w:pStyle w:val="5arangedleft"/>
      </w:pPr>
      <w:r w:rsidRPr="008B68A9">
        <w:t xml:space="preserve">The chapter </w:t>
      </w:r>
      <w:r w:rsidR="00AD4E5C" w:rsidRPr="008B68A9">
        <w:t>discusses how</w:t>
      </w:r>
      <w:r w:rsidRPr="008B68A9">
        <w:t xml:space="preserve"> collective case study (Stake 2000) </w:t>
      </w:r>
      <w:r w:rsidR="00AD4E5C" w:rsidRPr="008B68A9">
        <w:t xml:space="preserve">is </w:t>
      </w:r>
      <w:r w:rsidRPr="008B68A9">
        <w:t xml:space="preserve">applied to a sample of semi-structured interview data drawn from four personalisation studies (detailed in chapter 5). </w:t>
      </w:r>
      <w:r w:rsidR="00AD4E5C" w:rsidRPr="008B68A9">
        <w:t>The methods of n</w:t>
      </w:r>
      <w:r w:rsidRPr="008B68A9">
        <w:t>arrative as a representation of the storied nature of human experience (Sarbin 1986) is discussed as</w:t>
      </w:r>
      <w:r w:rsidR="00AD4E5C" w:rsidRPr="008B68A9">
        <w:t xml:space="preserve"> are</w:t>
      </w:r>
      <w:r w:rsidRPr="008B68A9">
        <w:t xml:space="preserve"> the way</w:t>
      </w:r>
      <w:r w:rsidR="00AD4E5C" w:rsidRPr="008B68A9">
        <w:t>s that</w:t>
      </w:r>
      <w:r w:rsidRPr="008B68A9">
        <w:t xml:space="preserve"> individuals perform acts of identity and achieve conventions of warrant (Gergen and Gergen 1986). Narrative trajectory </w:t>
      </w:r>
      <w:r w:rsidR="003F6E7A" w:rsidRPr="008B68A9">
        <w:t>(Gergen and Gergen 1</w:t>
      </w:r>
      <w:r w:rsidRPr="008B68A9">
        <w:t>986) is discussed as a way to conceptualise process</w:t>
      </w:r>
      <w:r w:rsidR="00133C39" w:rsidRPr="008B68A9">
        <w:t>es</w:t>
      </w:r>
      <w:r w:rsidRPr="008B68A9">
        <w:t xml:space="preserve"> of identity change in </w:t>
      </w:r>
      <w:r w:rsidR="00133C39" w:rsidRPr="008B68A9">
        <w:t>my study’s participants.</w:t>
      </w:r>
    </w:p>
    <w:p w14:paraId="24FED095" w14:textId="25016117" w:rsidR="00792AC2" w:rsidRPr="008B68A9" w:rsidRDefault="003F6E7A" w:rsidP="002F0FD7">
      <w:pPr>
        <w:pStyle w:val="5arangedleft"/>
      </w:pPr>
      <w:r w:rsidRPr="008B68A9">
        <w:t>T</w:t>
      </w:r>
      <w:r w:rsidR="00792AC2" w:rsidRPr="008B68A9">
        <w:t xml:space="preserve">he concept of positioning in social relations (Harré and Langenhove 1999), is used to articulate positioning (Van Langenhove and Harré 2010) between budget users, brokers and professional. Finally, the chapter addresses some of the challenges encountered </w:t>
      </w:r>
      <w:r w:rsidRPr="008B68A9">
        <w:t>combining</w:t>
      </w:r>
      <w:r w:rsidR="00792AC2" w:rsidRPr="008B68A9">
        <w:t xml:space="preserve"> narrative methods and social constructionism, as the</w:t>
      </w:r>
      <w:r w:rsidR="00AD4E5C" w:rsidRPr="008B68A9">
        <w:t>se are not without controversy. Through a</w:t>
      </w:r>
      <w:r w:rsidR="00792AC2" w:rsidRPr="008B68A9">
        <w:t xml:space="preserve"> process of reflexivity </w:t>
      </w:r>
      <w:r w:rsidR="00AD4E5C" w:rsidRPr="008B68A9">
        <w:t>my</w:t>
      </w:r>
      <w:r w:rsidR="00792AC2" w:rsidRPr="008B68A9">
        <w:t xml:space="preserve"> study</w:t>
      </w:r>
      <w:r w:rsidR="00AD4E5C" w:rsidRPr="008B68A9">
        <w:t>’s methods</w:t>
      </w:r>
      <w:r w:rsidR="00792AC2" w:rsidRPr="008B68A9">
        <w:t xml:space="preserve"> </w:t>
      </w:r>
      <w:r w:rsidR="00AD4E5C" w:rsidRPr="008B68A9">
        <w:t>will be</w:t>
      </w:r>
      <w:r w:rsidR="00792AC2" w:rsidRPr="008B68A9">
        <w:t xml:space="preserve"> discussed </w:t>
      </w:r>
      <w:r w:rsidR="00AD4E5C" w:rsidRPr="008B68A9">
        <w:t>to</w:t>
      </w:r>
      <w:r w:rsidR="00792AC2" w:rsidRPr="008B68A9">
        <w:t xml:space="preserve"> addres</w:t>
      </w:r>
      <w:r w:rsidR="00AD4E5C" w:rsidRPr="008B68A9">
        <w:t>s</w:t>
      </w:r>
      <w:r w:rsidR="00792AC2" w:rsidRPr="008B68A9">
        <w:t xml:space="preserve"> the d</w:t>
      </w:r>
      <w:r w:rsidR="00AD4E5C" w:rsidRPr="008B68A9">
        <w:t>ifficulties of power imbalances,</w:t>
      </w:r>
      <w:r w:rsidR="00792AC2" w:rsidRPr="008B68A9">
        <w:t xml:space="preserve"> and responding to the constitutive nature of interview and other talk.</w:t>
      </w:r>
    </w:p>
    <w:p w14:paraId="4DD43724" w14:textId="77777777" w:rsidR="00133C39" w:rsidRPr="008B68A9" w:rsidRDefault="00133C39" w:rsidP="002F0FD7">
      <w:pPr>
        <w:pStyle w:val="5arangedleft"/>
      </w:pPr>
    </w:p>
    <w:p w14:paraId="5E94A457" w14:textId="120A1D7A" w:rsidR="00792AC2" w:rsidRPr="008B68A9" w:rsidRDefault="00792AC2" w:rsidP="00792AC2">
      <w:pPr>
        <w:pStyle w:val="3L3header"/>
      </w:pPr>
      <w:bookmarkStart w:id="61" w:name="_Toc413827392"/>
      <w:bookmarkStart w:id="62" w:name="_Toc466800297"/>
      <w:r w:rsidRPr="008B68A9">
        <w:lastRenderedPageBreak/>
        <w:t xml:space="preserve">4.1.1 The socially constructed nature of </w:t>
      </w:r>
      <w:bookmarkEnd w:id="61"/>
      <w:r w:rsidRPr="008B68A9">
        <w:t>things</w:t>
      </w:r>
      <w:bookmarkEnd w:id="62"/>
    </w:p>
    <w:p w14:paraId="07719100" w14:textId="0D52B412" w:rsidR="00792AC2" w:rsidRPr="008B68A9" w:rsidRDefault="00792AC2" w:rsidP="002F0FD7">
      <w:pPr>
        <w:pStyle w:val="5arangedleft"/>
      </w:pPr>
      <w:r w:rsidRPr="008B68A9">
        <w:t xml:space="preserve">The starting point for selecting the methodology and overall position of inquiry for </w:t>
      </w:r>
      <w:r w:rsidR="009E7AA0" w:rsidRPr="008B68A9">
        <w:t>my</w:t>
      </w:r>
      <w:r w:rsidRPr="008B68A9">
        <w:t xml:space="preserve"> study was an acceptance of the socially constructed nature of human interaction (Gergen 1985, 1989, Burr 2015). Social constructionism is predicated on a number of broadly defined assumptions about the world and human knowledge within it. Burr (1995 p. 3) states, “…a critical stance towards our taken-for-granted ways of understanding the world, (including ourselves)” is required, challenging the assumption that what is experienced is pre-existing without our interacting with it. There is an invitation through social constructionism to question the conventional understanding of human behaviour and norms between people as something not</w:t>
      </w:r>
      <w:r w:rsidR="009E7AA0" w:rsidRPr="008B68A9">
        <w:t xml:space="preserve"> as</w:t>
      </w:r>
      <w:r w:rsidRPr="008B68A9">
        <w:t xml:space="preserve"> an objective reality, “not self-evident, stable and waiting to be discovered” (Rogers and Pilgrim 2014, p. 15). </w:t>
      </w:r>
    </w:p>
    <w:p w14:paraId="2AD455FD" w14:textId="01EA808C" w:rsidR="00792AC2" w:rsidRPr="008B68A9" w:rsidRDefault="00792AC2" w:rsidP="002F0FD7">
      <w:pPr>
        <w:pStyle w:val="5arangedleft"/>
      </w:pPr>
      <w:r w:rsidRPr="008B68A9">
        <w:t>Two elements of social constructionism should be highlighted here. Firstly, the approach eschews a positivistic or mechanistic paradigm of knowledge where what can be known is mediated through our senses, and that language we use c</w:t>
      </w:r>
      <w:r w:rsidR="00966739" w:rsidRPr="008B68A9">
        <w:t>reates the meaning of things (</w:t>
      </w:r>
      <w:r w:rsidRPr="008B68A9">
        <w:t>Burr 2015). The approach is anti-realist in that truth as an idea can only be constructed as knowledge</w:t>
      </w:r>
      <w:r w:rsidR="009E7AA0" w:rsidRPr="008B68A9">
        <w:t xml:space="preserve"> </w:t>
      </w:r>
      <w:r w:rsidRPr="008B68A9">
        <w:t xml:space="preserve">gained by viewing the world from one perspective or another. The world in social constructionism is built though social interaction, and is not </w:t>
      </w:r>
      <w:r w:rsidR="009E7AA0" w:rsidRPr="008B68A9">
        <w:t>pre-existing objective fact;</w:t>
      </w:r>
      <w:r w:rsidRPr="008B68A9">
        <w:t xml:space="preserve"> </w:t>
      </w:r>
      <w:r w:rsidR="009E7AA0" w:rsidRPr="008B68A9">
        <w:t>therefore</w:t>
      </w:r>
      <w:r w:rsidRPr="008B68A9">
        <w:t xml:space="preserve"> individuals create </w:t>
      </w:r>
      <w:r w:rsidR="009E7AA0" w:rsidRPr="008B68A9">
        <w:t xml:space="preserve">their </w:t>
      </w:r>
      <w:r w:rsidRPr="008B68A9">
        <w:t>perspectives of reality. Burr (1995, p. 6) makes the point that the perspective</w:t>
      </w:r>
      <w:r w:rsidR="009E7AA0" w:rsidRPr="008B68A9">
        <w:t xml:space="preserve">s are </w:t>
      </w:r>
      <w:r w:rsidRPr="008B68A9">
        <w:t>usually in the “service of some interests rather than others”, which alludes to the nature of relationships and power between people, and the roles adopted therein.</w:t>
      </w:r>
    </w:p>
    <w:p w14:paraId="2EF38C19" w14:textId="09C705EB" w:rsidR="00792AC2" w:rsidRPr="008B68A9" w:rsidRDefault="00792AC2" w:rsidP="002F0FD7">
      <w:pPr>
        <w:pStyle w:val="5arangedleft"/>
      </w:pPr>
      <w:r w:rsidRPr="008B68A9">
        <w:t xml:space="preserve">Social constructionism </w:t>
      </w:r>
      <w:r w:rsidR="003F6E7A" w:rsidRPr="008B68A9">
        <w:t xml:space="preserve">applied to mental health raises </w:t>
      </w:r>
      <w:r w:rsidR="009E7AA0" w:rsidRPr="008B68A9">
        <w:t xml:space="preserve">certain </w:t>
      </w:r>
      <w:r w:rsidR="003F6E7A" w:rsidRPr="008B68A9">
        <w:t>challenges</w:t>
      </w:r>
      <w:r w:rsidRPr="008B68A9">
        <w:t>, as biological or psychologically mechanistic view</w:t>
      </w:r>
      <w:r w:rsidR="003F6E7A" w:rsidRPr="008B68A9">
        <w:t>s</w:t>
      </w:r>
      <w:r w:rsidRPr="008B68A9">
        <w:t xml:space="preserve"> of the individual and their </w:t>
      </w:r>
      <w:r w:rsidR="003F6E7A" w:rsidRPr="008B68A9">
        <w:t>diagnosed</w:t>
      </w:r>
      <w:r w:rsidRPr="008B68A9">
        <w:t xml:space="preserve"> condition </w:t>
      </w:r>
      <w:r w:rsidR="009E7AA0" w:rsidRPr="008B68A9">
        <w:t>are</w:t>
      </w:r>
      <w:r w:rsidRPr="008B68A9">
        <w:t xml:space="preserve"> contested by constructionism. Social constructionism is difficult to define, though the tenets or questions that underpin its use give an idea of what it legitimately explores and what meaning such exploration might yield for the reader. Burr (1995 p. 27) uses the vehicle of personality to challenge what she terms common sense understanding. She says that personality and the attributes invoked when discussing the concept should be seen “as existing not with people but </w:t>
      </w:r>
      <w:r w:rsidRPr="008B68A9">
        <w:lastRenderedPageBreak/>
        <w:t xml:space="preserve">between them”. By this, the taken-for-granted attributes or qualities of personality do not reside within an individual, they are given existence through interaction with others and through a medium of signs or language. Social constructionism </w:t>
      </w:r>
      <w:r w:rsidR="009E7AA0" w:rsidRPr="008B68A9">
        <w:t xml:space="preserve">therefore </w:t>
      </w:r>
      <w:r w:rsidRPr="008B68A9">
        <w:t>challenges the essence of something that is pre-existent and waiting to be named; rather, the naming of that knowledge gives existence to the construct.</w:t>
      </w:r>
    </w:p>
    <w:p w14:paraId="505275F8" w14:textId="08771FBD" w:rsidR="00792AC2" w:rsidRPr="008B68A9" w:rsidRDefault="00792AC2" w:rsidP="002F0FD7">
      <w:pPr>
        <w:pStyle w:val="5arangedleft"/>
      </w:pPr>
      <w:r w:rsidRPr="008B68A9">
        <w:t>In relation to mental health</w:t>
      </w:r>
      <w:r w:rsidR="009E7AA0" w:rsidRPr="008B68A9">
        <w:t xml:space="preserve"> </w:t>
      </w:r>
      <w:r w:rsidRPr="008B68A9">
        <w:t xml:space="preserve">social processes frame </w:t>
      </w:r>
      <w:r w:rsidR="009E7AA0" w:rsidRPr="008B68A9">
        <w:t xml:space="preserve">individuals’ </w:t>
      </w:r>
      <w:r w:rsidRPr="008B68A9">
        <w:t xml:space="preserve">experiences and behaviours as well or unwell; </w:t>
      </w:r>
      <w:r w:rsidR="009E7AA0" w:rsidRPr="008B68A9">
        <w:t>behaviours and experiences</w:t>
      </w:r>
      <w:r w:rsidRPr="008B68A9">
        <w:t xml:space="preserve"> are not </w:t>
      </w:r>
      <w:r w:rsidR="009E7AA0" w:rsidRPr="008B68A9">
        <w:t xml:space="preserve">derived </w:t>
      </w:r>
      <w:r w:rsidRPr="008B68A9">
        <w:t xml:space="preserve">from an </w:t>
      </w:r>
      <w:r w:rsidRPr="008B68A9">
        <w:rPr>
          <w:i/>
        </w:rPr>
        <w:t xml:space="preserve">a priori </w:t>
      </w:r>
      <w:r w:rsidRPr="008B68A9">
        <w:t xml:space="preserve">disease or condition. History and culture </w:t>
      </w:r>
      <w:r w:rsidR="009E7AA0" w:rsidRPr="008B68A9">
        <w:t>are important</w:t>
      </w:r>
      <w:r w:rsidRPr="008B68A9">
        <w:t xml:space="preserve"> in determining </w:t>
      </w:r>
      <w:r w:rsidR="0080737A" w:rsidRPr="008B68A9">
        <w:t>whether</w:t>
      </w:r>
      <w:r w:rsidRPr="008B68A9">
        <w:t xml:space="preserve"> an individual’s behaviour conforms to </w:t>
      </w:r>
      <w:r w:rsidR="0080737A" w:rsidRPr="008B68A9">
        <w:t>expectations</w:t>
      </w:r>
      <w:r w:rsidRPr="008B68A9">
        <w:t xml:space="preserve"> of </w:t>
      </w:r>
      <w:r w:rsidR="009E7AA0" w:rsidRPr="008B68A9">
        <w:t xml:space="preserve">mental health (Scull 2015). </w:t>
      </w:r>
      <w:r w:rsidR="0080737A" w:rsidRPr="008B68A9">
        <w:t>These have been subject to changing</w:t>
      </w:r>
      <w:r w:rsidR="009E7AA0" w:rsidRPr="008B68A9">
        <w:t xml:space="preserve"> constructions since the earliest civilisations. </w:t>
      </w:r>
      <w:r w:rsidR="0080737A" w:rsidRPr="008B68A9">
        <w:t>Medical interpretation of mental health</w:t>
      </w:r>
      <w:r w:rsidR="009E7AA0" w:rsidRPr="008B68A9">
        <w:t xml:space="preserve"> locate </w:t>
      </w:r>
      <w:r w:rsidR="0080737A" w:rsidRPr="008B68A9">
        <w:t xml:space="preserve">causality </w:t>
      </w:r>
      <w:r w:rsidR="009E7AA0" w:rsidRPr="008B68A9">
        <w:t xml:space="preserve">within the individual and not </w:t>
      </w:r>
      <w:r w:rsidR="003C7649" w:rsidRPr="008B68A9">
        <w:t>a part of</w:t>
      </w:r>
      <w:r w:rsidR="009E7AA0" w:rsidRPr="008B68A9">
        <w:t xml:space="preserve"> wider society. The individual is ill, I rather than we, </w:t>
      </w:r>
      <w:r w:rsidR="0080737A" w:rsidRPr="008B68A9">
        <w:t>which for</w:t>
      </w:r>
      <w:r w:rsidR="009E7AA0" w:rsidRPr="008B68A9">
        <w:t xml:space="preserve"> social constructionists </w:t>
      </w:r>
      <w:r w:rsidR="0080737A" w:rsidRPr="008B68A9">
        <w:t>creates a problem</w:t>
      </w:r>
      <w:r w:rsidR="009E7AA0" w:rsidRPr="008B68A9">
        <w:t xml:space="preserve"> </w:t>
      </w:r>
      <w:r w:rsidR="0080737A" w:rsidRPr="008B68A9">
        <w:t xml:space="preserve">as </w:t>
      </w:r>
      <w:r w:rsidR="009E7AA0" w:rsidRPr="008B68A9">
        <w:t>the notion of ‘individual’ in this context</w:t>
      </w:r>
      <w:r w:rsidR="0080737A" w:rsidRPr="008B68A9">
        <w:t xml:space="preserve"> is essentialism. I have taken the view t</w:t>
      </w:r>
      <w:r w:rsidR="009E7AA0" w:rsidRPr="008B68A9">
        <w:t>hat mental health manifests though interaction with others, and should be named as such.</w:t>
      </w:r>
      <w:r w:rsidR="0080737A" w:rsidRPr="008B68A9">
        <w:t xml:space="preserve"> </w:t>
      </w:r>
    </w:p>
    <w:p w14:paraId="06849199" w14:textId="3520B64C" w:rsidR="00792AC2" w:rsidRPr="008B68A9" w:rsidRDefault="00792AC2" w:rsidP="002F0FD7">
      <w:pPr>
        <w:pStyle w:val="5arangedleft"/>
      </w:pPr>
      <w:r w:rsidRPr="008B68A9">
        <w:t xml:space="preserve">Burr (1995) offers a social constructionist </w:t>
      </w:r>
      <w:r w:rsidR="00174F41" w:rsidRPr="008B68A9">
        <w:t>account</w:t>
      </w:r>
      <w:r w:rsidRPr="008B68A9">
        <w:t xml:space="preserve"> </w:t>
      </w:r>
      <w:r w:rsidR="00174F41" w:rsidRPr="008B68A9">
        <w:t>demonstrating how by changing part of a construction, the interpretation of the whole is affected. W</w:t>
      </w:r>
      <w:r w:rsidR="00ED7B61" w:rsidRPr="008B68A9">
        <w:t xml:space="preserve">hat was termed </w:t>
      </w:r>
      <w:r w:rsidR="00174F41" w:rsidRPr="008B68A9">
        <w:t>chronic drunkenness,</w:t>
      </w:r>
      <w:r w:rsidRPr="008B68A9">
        <w:t xml:space="preserve"> primarily assigned to </w:t>
      </w:r>
      <w:r w:rsidR="00174F41" w:rsidRPr="008B68A9">
        <w:t xml:space="preserve">individual </w:t>
      </w:r>
      <w:r w:rsidRPr="008B68A9">
        <w:t xml:space="preserve">fecklessness, with </w:t>
      </w:r>
      <w:r w:rsidR="00174F41" w:rsidRPr="008B68A9">
        <w:t>the</w:t>
      </w:r>
      <w:r w:rsidRPr="008B68A9">
        <w:t xml:space="preserve"> corrective response of gaol</w:t>
      </w:r>
      <w:r w:rsidR="00174F41" w:rsidRPr="008B68A9">
        <w:t xml:space="preserve"> is now termed a</w:t>
      </w:r>
      <w:r w:rsidRPr="008B68A9">
        <w:t xml:space="preserve">lcoholism, regarded as part of an addiction continuum, and treated quite differently. Those affected are </w:t>
      </w:r>
      <w:r w:rsidR="00174F41" w:rsidRPr="008B68A9">
        <w:t xml:space="preserve">seen </w:t>
      </w:r>
      <w:r w:rsidRPr="008B68A9">
        <w:t>as suffering from a medical disorder and no longer bear sole responsibility, thus avoiding society’s moral judgement or opprobrium; instead, they require treatment and support.</w:t>
      </w:r>
    </w:p>
    <w:p w14:paraId="26D260A4" w14:textId="02C4E40C" w:rsidR="00792AC2" w:rsidRPr="008B68A9" w:rsidRDefault="00792AC2" w:rsidP="002F0FD7">
      <w:pPr>
        <w:pStyle w:val="5arangedleft"/>
      </w:pPr>
      <w:r w:rsidRPr="008B68A9">
        <w:t xml:space="preserve">Social construction relies on </w:t>
      </w:r>
      <w:r w:rsidR="00174F41" w:rsidRPr="008B68A9">
        <w:t>the</w:t>
      </w:r>
      <w:r w:rsidRPr="008B68A9">
        <w:t xml:space="preserve"> understanding that interaction creates and maintains knowledge of things for individuals and</w:t>
      </w:r>
      <w:r w:rsidR="00174F41" w:rsidRPr="008B68A9">
        <w:t xml:space="preserve"> the societies in which we live</w:t>
      </w:r>
      <w:r w:rsidRPr="008B68A9">
        <w:t xml:space="preserve">. The social processes, or constitutive acts, that create understanding of the way things are, have an impact on how individuals and societies organise roles and functions. Burr (1995) emphasises the role interaction and social practices have in determining our understanding of what constitutes knowledge, whereas traditional approaches </w:t>
      </w:r>
      <w:r w:rsidRPr="008B68A9">
        <w:lastRenderedPageBreak/>
        <w:t xml:space="preserve">to science and social psychology look at the formations of attitudes and motivations residing in the individual. </w:t>
      </w:r>
    </w:p>
    <w:p w14:paraId="6FD2470C" w14:textId="505766DB" w:rsidR="00792AC2" w:rsidRPr="008B68A9" w:rsidRDefault="00792AC2" w:rsidP="002F0FD7">
      <w:pPr>
        <w:pStyle w:val="5arangedleft"/>
      </w:pPr>
      <w:r w:rsidRPr="008B68A9">
        <w:t xml:space="preserve">Theories of social </w:t>
      </w:r>
      <w:r w:rsidR="008D4321" w:rsidRPr="008B68A9">
        <w:t>construction</w:t>
      </w:r>
      <w:r w:rsidRPr="008B68A9">
        <w:t xml:space="preserve">ism cannot be traced to a single source or scholar (Burr 1995), but to a number of significant contributions from social science academics. One of the originators of social constructionism dates back 70 years to the work of Mead (1935) whose work on the interdependent relationship between the self and others, and the proposition that: “…the social nature of things arises out of its emergence” (p. 47), led to Blumer’s </w:t>
      </w:r>
      <w:r w:rsidR="00174F41" w:rsidRPr="008B68A9">
        <w:t>work on symbolic interactionism</w:t>
      </w:r>
      <w:r w:rsidRPr="008B68A9">
        <w:t xml:space="preserve">. Social constructionism centres on social processes of readjustment between actors which are achieved though interpreting signs (through talk, symbols or other signs), which are learned and acted </w:t>
      </w:r>
      <w:r w:rsidR="00174F41" w:rsidRPr="008B68A9">
        <w:t>on</w:t>
      </w:r>
      <w:r w:rsidRPr="008B68A9">
        <w:t xml:space="preserve">. By which </w:t>
      </w:r>
      <w:r w:rsidR="00174F41" w:rsidRPr="008B68A9">
        <w:t>I mean</w:t>
      </w:r>
      <w:r w:rsidRPr="008B68A9">
        <w:t xml:space="preserve"> that what constitutes reality is </w:t>
      </w:r>
      <w:r w:rsidR="00174F41" w:rsidRPr="008B68A9">
        <w:t xml:space="preserve">therefore </w:t>
      </w:r>
      <w:r w:rsidRPr="008B68A9">
        <w:t xml:space="preserve">mediated through interaction between individuals and their social environment. Mead (1935) </w:t>
      </w:r>
      <w:r w:rsidR="00174F41" w:rsidRPr="008B68A9">
        <w:t>stated</w:t>
      </w:r>
      <w:r w:rsidRPr="008B68A9">
        <w:t>:</w:t>
      </w:r>
    </w:p>
    <w:p w14:paraId="70FC7E88" w14:textId="77777777" w:rsidR="00792AC2" w:rsidRPr="008B68A9" w:rsidRDefault="00792AC2" w:rsidP="002F0FD7">
      <w:pPr>
        <w:pStyle w:val="6ablockquoteroman"/>
      </w:pPr>
      <w:r w:rsidRPr="008B68A9">
        <w:t xml:space="preserve">Knowledge is a process in conduct that so organizes the field of action that delayed and inhibited responses may take place. The test of the success of the process of knowledge, that is, the test of truth, is found in the discovery or construction of such objects as will mediate our conflicting and checked activities and allow conduct to proceed. Knowledge is inferential and always implies that a datum is involved in the inference. (p. 68). </w:t>
      </w:r>
    </w:p>
    <w:p w14:paraId="218F2C42" w14:textId="417994A6" w:rsidR="00792AC2" w:rsidRPr="008B68A9" w:rsidRDefault="00792AC2" w:rsidP="002F0FD7">
      <w:pPr>
        <w:pStyle w:val="5arangedleft"/>
      </w:pPr>
      <w:r w:rsidRPr="008B68A9">
        <w:t>Social constructionism and personal identity therefore become shared assumptions and knowledge of society. Identity or sense of self is achieved through interaction, and the individual’s acts of identity work occur thr</w:t>
      </w:r>
      <w:r w:rsidR="00174F41" w:rsidRPr="008B68A9">
        <w:t>ough social interactions. Knowledge</w:t>
      </w:r>
      <w:r w:rsidRPr="008B68A9">
        <w:t xml:space="preserve"> </w:t>
      </w:r>
      <w:r w:rsidR="00174F41" w:rsidRPr="008B68A9">
        <w:t>is</w:t>
      </w:r>
      <w:r w:rsidRPr="008B68A9">
        <w:t xml:space="preserve"> culturally determined, shaped and re-shaped within and because of our interactions with the world around us:</w:t>
      </w:r>
    </w:p>
    <w:p w14:paraId="0CA19567" w14:textId="77777777" w:rsidR="00792AC2" w:rsidRPr="008B68A9" w:rsidRDefault="00792AC2" w:rsidP="002F0FD7">
      <w:pPr>
        <w:pStyle w:val="6ablockquoteroman"/>
      </w:pPr>
      <w:r w:rsidRPr="008B68A9">
        <w:t xml:space="preserve">For each of us, then, a multitude of discourses is constantly at work constructing and producing our identity. Our identity there originates not from inside the person, but from the social realm, where people swim in a sea of language and other signs, a sea that is invisible to us because it is the very medium of our existence as social beings. (Burr 1995, p. 53) </w:t>
      </w:r>
    </w:p>
    <w:p w14:paraId="2DED5774" w14:textId="463C4D3F" w:rsidR="00792AC2" w:rsidRPr="008B68A9" w:rsidRDefault="00792AC2" w:rsidP="002F0FD7">
      <w:pPr>
        <w:pStyle w:val="5arangedleft"/>
        <w:rPr>
          <w:color w:val="000000"/>
        </w:rPr>
      </w:pPr>
      <w:r w:rsidRPr="008B68A9">
        <w:t xml:space="preserve">Berger and Luckmann, </w:t>
      </w:r>
      <w:r w:rsidR="00174F41" w:rsidRPr="008B68A9">
        <w:t>began</w:t>
      </w:r>
      <w:r w:rsidRPr="008B68A9">
        <w:t xml:space="preserve"> </w:t>
      </w:r>
      <w:r w:rsidR="00174F41" w:rsidRPr="008B68A9">
        <w:t>modern</w:t>
      </w:r>
      <w:r w:rsidRPr="008B68A9">
        <w:t xml:space="preserve"> social constructionism (Burr 1995), their treatise on reality outlined a position that knowledge is personal and separate from positivist knowledge. They rejected an essentialist perspective, that an individual has an essence or </w:t>
      </w:r>
      <w:r w:rsidR="00821A02" w:rsidRPr="008B68A9">
        <w:t>discoverable pre-existing self, instead</w:t>
      </w:r>
      <w:r w:rsidRPr="008B68A9">
        <w:t xml:space="preserve"> that an individual </w:t>
      </w:r>
      <w:r w:rsidRPr="008B68A9">
        <w:lastRenderedPageBreak/>
        <w:t xml:space="preserve">constructs their reality though social action (they can also experience that construction as fixed and pre-defined). Therefore as a starting point I have approached a method that posits reality </w:t>
      </w:r>
      <w:r w:rsidR="00821A02" w:rsidRPr="008B68A9">
        <w:t>as</w:t>
      </w:r>
      <w:r w:rsidRPr="008B68A9">
        <w:t xml:space="preserve"> generated through interpretation, and therefore what constitu</w:t>
      </w:r>
      <w:r w:rsidR="00821A02" w:rsidRPr="008B68A9">
        <w:t>tes personal understanding is</w:t>
      </w:r>
      <w:r w:rsidRPr="008B68A9">
        <w:t xml:space="preserve"> interpretive: “</w:t>
      </w:r>
      <w:r w:rsidRPr="008B68A9">
        <w:rPr>
          <w:color w:val="000000"/>
        </w:rPr>
        <w:t>Man is biologically predestined to construct and to inhabit a world with others. This world becomes for him the dominant and definite reality” (Berger and Luckmann 1966 p. 204).</w:t>
      </w:r>
    </w:p>
    <w:p w14:paraId="0540B81D" w14:textId="268D32E7" w:rsidR="00792AC2" w:rsidRPr="008B68A9" w:rsidRDefault="00792AC2" w:rsidP="00792AC2">
      <w:pPr>
        <w:pStyle w:val="3L3header"/>
      </w:pPr>
      <w:bookmarkStart w:id="63" w:name="_Toc466800298"/>
      <w:r w:rsidRPr="008B68A9">
        <w:t>4.1.2 Navigating social constructionism</w:t>
      </w:r>
      <w:bookmarkEnd w:id="63"/>
    </w:p>
    <w:p w14:paraId="1EE3E224" w14:textId="77777777" w:rsidR="00792AC2" w:rsidRPr="008B68A9" w:rsidRDefault="00792AC2" w:rsidP="002F0FD7">
      <w:pPr>
        <w:pStyle w:val="5arangedleft"/>
      </w:pPr>
      <w:r w:rsidRPr="008B68A9">
        <w:rPr>
          <w:color w:val="000000"/>
        </w:rPr>
        <w:t xml:space="preserve">Throughout this chapter and across the thesis, the terms </w:t>
      </w:r>
      <w:r w:rsidRPr="008B68A9">
        <w:t>social constructionism and social constructivism will be used interchangeably. I am aware that to some, according to Burr (1995), a precise reading of the term social constructivism relates specifically to the Piagetian theory of perception with its own set of particular constructs. However, for the purposes of readability both terms will be assumed to share the same meaning.</w:t>
      </w:r>
    </w:p>
    <w:p w14:paraId="27673BFF" w14:textId="214040DD" w:rsidR="00792AC2" w:rsidRPr="008B68A9" w:rsidRDefault="00792AC2" w:rsidP="002F0FD7">
      <w:pPr>
        <w:pStyle w:val="5arangedleft"/>
      </w:pPr>
      <w:r w:rsidRPr="008B68A9">
        <w:t xml:space="preserve">There are many difficulties </w:t>
      </w:r>
      <w:r w:rsidR="00821A02" w:rsidRPr="008B68A9">
        <w:t>arising</w:t>
      </w:r>
      <w:r w:rsidRPr="008B68A9">
        <w:t xml:space="preserve"> with the use of social constructionism, and a continuum exists within</w:t>
      </w:r>
      <w:r w:rsidR="00821A02" w:rsidRPr="008B68A9">
        <w:t xml:space="preserve"> constructionism</w:t>
      </w:r>
      <w:r w:rsidRPr="008B68A9">
        <w:t xml:space="preserve"> theories, ranging from those that allow an essence of pre-existing self through psychodynamic analysis, structuralist top-down perspectives, post-structuralist bottom-up language analysis, discourse analysis, Foucauldian critical discourse analysis, and relativism. Each perspective addresses a problem with constructionist methods, but in doing so creates others. It is not </w:t>
      </w:r>
      <w:r w:rsidR="00821A02" w:rsidRPr="008B68A9">
        <w:t>my</w:t>
      </w:r>
      <w:r w:rsidRPr="008B68A9">
        <w:t xml:space="preserve"> intention to exhaustively list the difficulties of each approach; instead, my</w:t>
      </w:r>
      <w:r w:rsidR="008D4321" w:rsidRPr="008B68A9">
        <w:t xml:space="preserve"> position and use of construction</w:t>
      </w:r>
      <w:r w:rsidRPr="008B68A9">
        <w:t>ism</w:t>
      </w:r>
      <w:r w:rsidR="008D4321" w:rsidRPr="008B68A9">
        <w:t xml:space="preserve"> will be outlined</w:t>
      </w:r>
      <w:r w:rsidRPr="008B68A9">
        <w:t xml:space="preserve">, recognising that some will point out that my use of theory contains inconsistencies with </w:t>
      </w:r>
      <w:r w:rsidR="00821A02" w:rsidRPr="008B68A9">
        <w:t>their</w:t>
      </w:r>
      <w:r w:rsidRPr="008B68A9">
        <w:t xml:space="preserve"> pure form of method. </w:t>
      </w:r>
    </w:p>
    <w:p w14:paraId="3E7572F7" w14:textId="6683E2B6" w:rsidR="00792AC2" w:rsidRPr="008B68A9" w:rsidRDefault="00792AC2" w:rsidP="002F0FD7">
      <w:pPr>
        <w:pStyle w:val="5arangedleft"/>
      </w:pPr>
      <w:r w:rsidRPr="008B68A9">
        <w:t xml:space="preserve">If individual construction of our world leads to an almost infinite number of potential realities, which ones should have precedence and how would decisions be taken on this? Burr (1995, p. 14) argues that the liberating nature of social constructionism </w:t>
      </w:r>
      <w:r w:rsidR="00821A02" w:rsidRPr="008B68A9">
        <w:t>requires for some to</w:t>
      </w:r>
      <w:r w:rsidRPr="008B68A9">
        <w:t xml:space="preserve"> accept what she terms extreme relativist </w:t>
      </w:r>
      <w:r w:rsidR="00821A02" w:rsidRPr="008B68A9">
        <w:t>positions resulting</w:t>
      </w:r>
      <w:r w:rsidRPr="008B68A9">
        <w:t xml:space="preserve"> in both “social and personal paralysis”. Truth is lost in relativism through </w:t>
      </w:r>
      <w:r w:rsidR="00821A02" w:rsidRPr="008B68A9">
        <w:t>the</w:t>
      </w:r>
      <w:r w:rsidRPr="008B68A9">
        <w:t xml:space="preserve"> multiplicity of </w:t>
      </w:r>
      <w:r w:rsidR="00821A02" w:rsidRPr="008B68A9">
        <w:t xml:space="preserve">equally </w:t>
      </w:r>
      <w:r w:rsidRPr="008B68A9">
        <w:t xml:space="preserve">valid perspectives, and personal agency becomes little more than a language game. The difficulties presented by attempting change, </w:t>
      </w:r>
      <w:r w:rsidRPr="008B68A9">
        <w:lastRenderedPageBreak/>
        <w:t xml:space="preserve">whether at personal or societal levels, </w:t>
      </w:r>
      <w:r w:rsidR="00821A02" w:rsidRPr="008B68A9">
        <w:t>become</w:t>
      </w:r>
      <w:r w:rsidRPr="008B68A9">
        <w:t xml:space="preserve"> problematic as personal represents an ‘I’ which is reliant on the social to exist, so if change disturbs the status quo, then a discourse of power and control emerges. Societal change such as equal rights for others creates the problem of deciding which group or construction is given privilege over another and given social voice. </w:t>
      </w:r>
    </w:p>
    <w:p w14:paraId="57671F04" w14:textId="25C4CBEB" w:rsidR="00821A02" w:rsidRPr="008B68A9" w:rsidRDefault="00792AC2" w:rsidP="002F0FD7">
      <w:pPr>
        <w:pStyle w:val="5arangedleft"/>
      </w:pPr>
      <w:r w:rsidRPr="008B68A9">
        <w:t>If, as relativist constructionism suggests, there is no objective reality, no pre-existing structures other than th</w:t>
      </w:r>
      <w:r w:rsidR="009C0C10" w:rsidRPr="008B68A9">
        <w:t>ose constructed, nor as</w:t>
      </w:r>
      <w:r w:rsidRPr="008B68A9">
        <w:t xml:space="preserve"> I or me as an individual, only a sense of me which emerges through interaction with others, and that we cannot see a world outside of our own culture and historical frames, how can a decision be taken as to what is right? Burr (1995) suggests that the relativist stance diminishes social construc</w:t>
      </w:r>
      <w:r w:rsidR="00821A02" w:rsidRPr="008B68A9">
        <w:t>tionism to the role of observer and commentator</w:t>
      </w:r>
      <w:r w:rsidRPr="008B68A9">
        <w:t xml:space="preserve">, offering no direction for enacting change. Realist perspectives on the other hand do not rely on </w:t>
      </w:r>
      <w:r w:rsidR="00E31841" w:rsidRPr="008B68A9">
        <w:t>the exigence</w:t>
      </w:r>
      <w:r w:rsidRPr="008B68A9">
        <w:t xml:space="preserve"> that they exist “independent of human efforts to experience it or know it” (p. 18). She proposes a sense of pragmatism be applied to realist and relativist dichotomies, stating “…that the way out of this problem is to transcend these three misleading dichotomies so that we can talk of things being at one and the time socially constructed </w:t>
      </w:r>
      <w:r w:rsidRPr="008B68A9">
        <w:rPr>
          <w:i/>
        </w:rPr>
        <w:t>and</w:t>
      </w:r>
      <w:r w:rsidRPr="008B68A9">
        <w:t xml:space="preserve"> real” (p. 23).</w:t>
      </w:r>
    </w:p>
    <w:p w14:paraId="3AC83297" w14:textId="3F4A709C" w:rsidR="00792AC2" w:rsidRPr="008B68A9" w:rsidRDefault="00792AC2" w:rsidP="002F0FD7">
      <w:pPr>
        <w:pStyle w:val="5arangedleft"/>
      </w:pPr>
      <w:r w:rsidRPr="008B68A9">
        <w:t xml:space="preserve">This </w:t>
      </w:r>
      <w:r w:rsidR="00011B5E" w:rsidRPr="008B68A9">
        <w:t>thesis</w:t>
      </w:r>
      <w:r w:rsidRPr="008B68A9">
        <w:t xml:space="preserve"> acknowledges that Gergen an</w:t>
      </w:r>
      <w:r w:rsidR="00011B5E" w:rsidRPr="008B68A9">
        <w:t>d Gergen (1983, 1989) represent</w:t>
      </w:r>
      <w:r w:rsidRPr="008B68A9">
        <w:t xml:space="preserve"> a relativist position</w:t>
      </w:r>
      <w:r w:rsidR="00011B5E" w:rsidRPr="008B68A9">
        <w:t xml:space="preserve"> in terms of constructionism and</w:t>
      </w:r>
      <w:r w:rsidRPr="008B68A9">
        <w:t>, arguably at the more extrem</w:t>
      </w:r>
      <w:r w:rsidR="00821A02" w:rsidRPr="008B68A9">
        <w:t>e end of the continuum. Gergen</w:t>
      </w:r>
      <w:r w:rsidRPr="008B68A9">
        <w:t xml:space="preserve"> </w:t>
      </w:r>
      <w:r w:rsidR="00821A02" w:rsidRPr="008B68A9">
        <w:t>has</w:t>
      </w:r>
      <w:r w:rsidR="00011B5E" w:rsidRPr="008B68A9">
        <w:t xml:space="preserve"> been used </w:t>
      </w:r>
      <w:r w:rsidRPr="008B68A9">
        <w:t xml:space="preserve">in a partial way, countered by Burr’s pragmatism, </w:t>
      </w:r>
      <w:r w:rsidR="00821A02" w:rsidRPr="008B68A9">
        <w:t>providing</w:t>
      </w:r>
      <w:r w:rsidRPr="008B68A9">
        <w:t xml:space="preserve"> a basis for appreciating a way of things and</w:t>
      </w:r>
      <w:r w:rsidR="00821A02" w:rsidRPr="008B68A9">
        <w:t xml:space="preserve"> maintaining</w:t>
      </w:r>
      <w:r w:rsidRPr="008B68A9">
        <w:t xml:space="preserve"> an ability to act within them.</w:t>
      </w:r>
      <w:r w:rsidR="00011B5E" w:rsidRPr="008B68A9">
        <w:t xml:space="preserve"> Burr (2015) is not alone in applying a pragmatism to reconcile relativist and realist perspectives in constructionism as Shakespeare (1994</w:t>
      </w:r>
      <w:r w:rsidR="008713B0" w:rsidRPr="008B68A9">
        <w:t>, p. 178</w:t>
      </w:r>
      <w:r w:rsidR="00011B5E" w:rsidRPr="008B68A9">
        <w:t xml:space="preserve">) also argues, </w:t>
      </w:r>
      <w:r w:rsidR="008713B0" w:rsidRPr="008B68A9">
        <w:t xml:space="preserve">that social constructionism and biological determinism can “be made to mean whatever the proponents mean them to.” He goes on to suggest that rhetorical use of constructionism that can be both enlightened and lifelike, meaning that social constructionism “speaks to personal experiences or impairment, sex and so forth, while exploring the way that social implication of these personal </w:t>
      </w:r>
      <w:r w:rsidR="00E17007" w:rsidRPr="008B68A9">
        <w:t>attributes</w:t>
      </w:r>
      <w:r w:rsidR="008713B0" w:rsidRPr="008B68A9">
        <w:t xml:space="preserve"> are </w:t>
      </w:r>
      <w:r w:rsidR="00E17007" w:rsidRPr="008B68A9">
        <w:t>sociohistorical</w:t>
      </w:r>
      <w:r w:rsidR="008713B0" w:rsidRPr="008B68A9">
        <w:t xml:space="preserve"> and hence challengeable</w:t>
      </w:r>
      <w:r w:rsidR="00E17007" w:rsidRPr="008B68A9">
        <w:t>.” (p. 178-179).</w:t>
      </w:r>
      <w:r w:rsidR="00821A02" w:rsidRPr="008B68A9">
        <w:t xml:space="preserve"> </w:t>
      </w:r>
    </w:p>
    <w:p w14:paraId="2D49A1EC" w14:textId="78BE547F" w:rsidR="00792AC2" w:rsidRPr="008B68A9" w:rsidRDefault="00792AC2" w:rsidP="00792AC2">
      <w:pPr>
        <w:pStyle w:val="3L3header"/>
      </w:pPr>
      <w:bookmarkStart w:id="64" w:name="_Toc466800299"/>
      <w:r w:rsidRPr="008B68A9">
        <w:lastRenderedPageBreak/>
        <w:t>4.1.3 Drawing on Gergen and Gergen’s narrative of self</w:t>
      </w:r>
      <w:bookmarkEnd w:id="64"/>
    </w:p>
    <w:p w14:paraId="7CD5B71E" w14:textId="7558E539" w:rsidR="00792AC2" w:rsidRPr="008B68A9" w:rsidRDefault="00792AC2" w:rsidP="002F0FD7">
      <w:pPr>
        <w:pStyle w:val="5arangedleft"/>
        <w:rPr>
          <w:bCs/>
        </w:rPr>
      </w:pPr>
      <w:r w:rsidRPr="008B68A9">
        <w:t>Gergen and Gergen (1983) used the terms ‘mechanistic’ and ‘synchronic’</w:t>
      </w:r>
      <w:r w:rsidRPr="008B68A9">
        <w:rPr>
          <w:i/>
        </w:rPr>
        <w:t xml:space="preserve"> </w:t>
      </w:r>
      <w:r w:rsidRPr="008B68A9">
        <w:t xml:space="preserve">to describe what they saw as inadequacies that </w:t>
      </w:r>
      <w:r w:rsidR="00821A02" w:rsidRPr="008B68A9">
        <w:t>characterise</w:t>
      </w:r>
      <w:r w:rsidRPr="008B68A9">
        <w:t xml:space="preserve"> traditional forms of human enquiry on identity. They argued that mechanistic forms of questioning portray an </w:t>
      </w:r>
      <w:r w:rsidRPr="008B68A9">
        <w:rPr>
          <w:bCs/>
        </w:rPr>
        <w:t xml:space="preserve">individual’s perception as originating from </w:t>
      </w:r>
      <w:r w:rsidR="00821A02" w:rsidRPr="008B68A9">
        <w:rPr>
          <w:bCs/>
        </w:rPr>
        <w:t xml:space="preserve">passive </w:t>
      </w:r>
      <w:r w:rsidRPr="008B68A9">
        <w:rPr>
          <w:bCs/>
        </w:rPr>
        <w:t>internal structures of understanding, wai</w:t>
      </w:r>
      <w:r w:rsidR="00821A02" w:rsidRPr="008B68A9">
        <w:rPr>
          <w:bCs/>
        </w:rPr>
        <w:t>ting to be confirmed or changed</w:t>
      </w:r>
      <w:r w:rsidRPr="008B68A9">
        <w:rPr>
          <w:bCs/>
        </w:rPr>
        <w:t>. ‘Passive’, to Gergen and Gergen</w:t>
      </w:r>
      <w:r w:rsidR="00966739" w:rsidRPr="008B68A9">
        <w:rPr>
          <w:bCs/>
        </w:rPr>
        <w:t xml:space="preserve"> </w:t>
      </w:r>
      <w:r w:rsidR="00966739" w:rsidRPr="008B68A9">
        <w:t>(1983)</w:t>
      </w:r>
      <w:r w:rsidRPr="008B68A9">
        <w:rPr>
          <w:bCs/>
        </w:rPr>
        <w:t xml:space="preserve">, refers to holding preformed constructs of self that only become present or known when interacting with external events within social surroundings. ‘Synchronic’ </w:t>
      </w:r>
      <w:r w:rsidR="00821A02" w:rsidRPr="008B68A9">
        <w:rPr>
          <w:bCs/>
        </w:rPr>
        <w:t>to Gergen and Gergen</w:t>
      </w:r>
      <w:r w:rsidR="00966739" w:rsidRPr="008B68A9">
        <w:rPr>
          <w:bCs/>
        </w:rPr>
        <w:t xml:space="preserve"> </w:t>
      </w:r>
      <w:r w:rsidR="00966739" w:rsidRPr="008B68A9">
        <w:t>(1983)</w:t>
      </w:r>
      <w:r w:rsidRPr="008B68A9">
        <w:rPr>
          <w:bCs/>
        </w:rPr>
        <w:t xml:space="preserve"> refers to </w:t>
      </w:r>
      <w:r w:rsidR="00821A02" w:rsidRPr="008B68A9">
        <w:rPr>
          <w:bCs/>
        </w:rPr>
        <w:t xml:space="preserve">formed and defined </w:t>
      </w:r>
      <w:r w:rsidRPr="008B68A9">
        <w:rPr>
          <w:bCs/>
        </w:rPr>
        <w:t>identity within temporal moment</w:t>
      </w:r>
      <w:r w:rsidR="00821A02" w:rsidRPr="008B68A9">
        <w:rPr>
          <w:bCs/>
        </w:rPr>
        <w:t>s</w:t>
      </w:r>
      <w:r w:rsidRPr="008B68A9">
        <w:rPr>
          <w:bCs/>
        </w:rPr>
        <w:t xml:space="preserve">, akin to </w:t>
      </w:r>
      <w:r w:rsidR="00821A02" w:rsidRPr="008B68A9">
        <w:rPr>
          <w:bCs/>
        </w:rPr>
        <w:t>the</w:t>
      </w:r>
      <w:r w:rsidRPr="008B68A9">
        <w:rPr>
          <w:bCs/>
        </w:rPr>
        <w:t xml:space="preserve"> gestalt </w:t>
      </w:r>
      <w:r w:rsidR="00821A02" w:rsidRPr="008B68A9">
        <w:rPr>
          <w:bCs/>
        </w:rPr>
        <w:t>of</w:t>
      </w:r>
      <w:r w:rsidRPr="008B68A9">
        <w:rPr>
          <w:bCs/>
        </w:rPr>
        <w:t xml:space="preserve"> understanding comprehended as a whole, rather than through a progressive temporal sequence. </w:t>
      </w:r>
    </w:p>
    <w:p w14:paraId="2DDEF8AE" w14:textId="793F69ED" w:rsidR="00792AC2" w:rsidRPr="008B68A9" w:rsidRDefault="00792AC2" w:rsidP="002F0FD7">
      <w:pPr>
        <w:pStyle w:val="5arangedleft"/>
      </w:pPr>
      <w:r w:rsidRPr="008B68A9">
        <w:t xml:space="preserve">Gergen and Gergen </w:t>
      </w:r>
      <w:r w:rsidR="00966739" w:rsidRPr="008B68A9">
        <w:t xml:space="preserve">(1983) </w:t>
      </w:r>
      <w:r w:rsidRPr="008B68A9">
        <w:t xml:space="preserve">argue that, as opposed to mechanistic or synchronic </w:t>
      </w:r>
      <w:r w:rsidR="00A00995" w:rsidRPr="008B68A9">
        <w:t>self-perception, reflexivit</w:t>
      </w:r>
      <w:r w:rsidRPr="008B68A9">
        <w:t xml:space="preserve">y can be used to create understanding from fragmentary occurrences through temporal moments “as a historically emerging being” (p. 255). They term diachronic </w:t>
      </w:r>
      <w:r w:rsidR="00395603" w:rsidRPr="008B68A9">
        <w:t xml:space="preserve">as a </w:t>
      </w:r>
      <w:r w:rsidRPr="008B68A9">
        <w:t xml:space="preserve">process </w:t>
      </w:r>
      <w:r w:rsidR="00395603" w:rsidRPr="008B68A9">
        <w:t>of</w:t>
      </w:r>
      <w:r w:rsidRPr="008B68A9">
        <w:t xml:space="preserve"> self-perception, something shaped and reshaped within interactions over time. Further, Gergen and Gergen assert that </w:t>
      </w:r>
      <w:r w:rsidR="00395603" w:rsidRPr="008B68A9">
        <w:t xml:space="preserve">diachronic </w:t>
      </w:r>
      <w:r w:rsidRPr="008B68A9">
        <w:t xml:space="preserve">self-construction </w:t>
      </w:r>
      <w:r w:rsidR="00395603" w:rsidRPr="008B68A9">
        <w:t xml:space="preserve">can be represented by a </w:t>
      </w:r>
      <w:r w:rsidRPr="008B68A9">
        <w:t xml:space="preserve">sine wave, with upward and downward arcs </w:t>
      </w:r>
      <w:r w:rsidR="00395603" w:rsidRPr="008B68A9">
        <w:t xml:space="preserve">reflecting </w:t>
      </w:r>
      <w:r w:rsidRPr="008B68A9">
        <w:t xml:space="preserve">over time regressive and progressive trajectories. </w:t>
      </w:r>
      <w:r w:rsidR="00395603" w:rsidRPr="008B68A9">
        <w:t>My</w:t>
      </w:r>
      <w:r w:rsidRPr="008B68A9">
        <w:t xml:space="preserve"> study uses </w:t>
      </w:r>
      <w:r w:rsidR="00395603" w:rsidRPr="008B68A9">
        <w:t>Gergen and Gergen (1983)</w:t>
      </w:r>
      <w:r w:rsidRPr="008B68A9">
        <w:t xml:space="preserve"> diachronic model to </w:t>
      </w:r>
      <w:r w:rsidR="00395603" w:rsidRPr="008B68A9">
        <w:t>analyse</w:t>
      </w:r>
      <w:r w:rsidRPr="008B68A9">
        <w:t xml:space="preserve"> participants’ trajectories of narrative change </w:t>
      </w:r>
      <w:r w:rsidR="00395603" w:rsidRPr="008B68A9">
        <w:t>having using</w:t>
      </w:r>
      <w:r w:rsidRPr="008B68A9">
        <w:t xml:space="preserve"> personalisation as a service delivery approach.</w:t>
      </w:r>
    </w:p>
    <w:p w14:paraId="5DF6EB93" w14:textId="6AC1A553" w:rsidR="00792AC2" w:rsidRPr="008B68A9" w:rsidRDefault="00792AC2" w:rsidP="002F0FD7">
      <w:pPr>
        <w:pStyle w:val="5arangedleft"/>
      </w:pPr>
      <w:r w:rsidRPr="008B68A9">
        <w:t>I have taken Gergen and Gergen</w:t>
      </w:r>
      <w:r w:rsidR="00395603" w:rsidRPr="008B68A9">
        <w:t>’s</w:t>
      </w:r>
      <w:r w:rsidRPr="008B68A9">
        <w:t xml:space="preserve"> (1983) </w:t>
      </w:r>
      <w:r w:rsidR="00395603" w:rsidRPr="008B68A9">
        <w:t xml:space="preserve">view </w:t>
      </w:r>
      <w:r w:rsidRPr="008B68A9">
        <w:t xml:space="preserve">that construction of self is concerned with states of active becoming, rather than of passive being, reflecting an individual’s identity as a continual process. </w:t>
      </w:r>
      <w:r w:rsidR="00395603" w:rsidRPr="008B68A9">
        <w:t>W</w:t>
      </w:r>
      <w:r w:rsidRPr="008B68A9">
        <w:t>hether individuals acting in a co-constructed social world we can have agency; as Ricoeur (1987) stated</w:t>
      </w:r>
      <w:r w:rsidR="00395603" w:rsidRPr="008B68A9">
        <w:t>,</w:t>
      </w:r>
      <w:r w:rsidRPr="008B68A9">
        <w:t xml:space="preserve"> we may “…learn to become the narrator of our own story without completely becoming the author of our life” (p.437) </w:t>
      </w:r>
      <w:r w:rsidR="00395603" w:rsidRPr="008B68A9">
        <w:t>can lead social constructionists into difficult arguments of agency (Burr 1995). However, t</w:t>
      </w:r>
      <w:r w:rsidRPr="008B68A9">
        <w:t xml:space="preserve">he sense in which I take </w:t>
      </w:r>
      <w:r w:rsidR="00395603" w:rsidRPr="008B68A9">
        <w:t xml:space="preserve">the </w:t>
      </w:r>
      <w:r w:rsidRPr="008B68A9">
        <w:t xml:space="preserve">notion of active becoming refers to how experience is understood, remembered and contributes to identity, becomes more than just, “one damn thing after another” (Gergen and </w:t>
      </w:r>
      <w:r w:rsidRPr="008B68A9">
        <w:lastRenderedPageBreak/>
        <w:t xml:space="preserve">Gergen 1983, p. 255). Rather, </w:t>
      </w:r>
      <w:r w:rsidR="00395603" w:rsidRPr="008B68A9">
        <w:t>my</w:t>
      </w:r>
      <w:r w:rsidRPr="008B68A9">
        <w:t xml:space="preserve"> view is that individual</w:t>
      </w:r>
      <w:r w:rsidR="00395603" w:rsidRPr="008B68A9">
        <w:t>s attempt</w:t>
      </w:r>
      <w:r w:rsidRPr="008B68A9">
        <w:t xml:space="preserve"> to understand their unfolding life, making sense of their experience across temporality through their social interactions.</w:t>
      </w:r>
    </w:p>
    <w:p w14:paraId="0BB07A42" w14:textId="68B503B0" w:rsidR="00792AC2" w:rsidRPr="008B68A9" w:rsidRDefault="00792AC2" w:rsidP="002F0FD7">
      <w:pPr>
        <w:pStyle w:val="5arangedleft"/>
      </w:pPr>
      <w:r w:rsidRPr="008B68A9">
        <w:t>The question of one thing because of another is important when applied to mental health; as Gergen and Gergen state, “</w:t>
      </w:r>
      <w:r w:rsidRPr="008B68A9">
        <w:rPr>
          <w:color w:val="000000"/>
        </w:rPr>
        <w:t>One's present identity is thus not a sudden and mysterious event, but a sensible result of a life story."</w:t>
      </w:r>
      <w:r w:rsidRPr="008B68A9">
        <w:t xml:space="preserve"> Fragmentary events within the lived world are combined within a recognisable sequence (temporality), </w:t>
      </w:r>
      <w:r w:rsidR="00395603" w:rsidRPr="008B68A9">
        <w:t>creating</w:t>
      </w:r>
      <w:r w:rsidRPr="008B68A9">
        <w:t xml:space="preserve"> coherent explanatory narratives for both narrator and </w:t>
      </w:r>
      <w:r w:rsidR="00395603" w:rsidRPr="008B68A9">
        <w:t>observer</w:t>
      </w:r>
      <w:r w:rsidRPr="008B68A9">
        <w:t xml:space="preserve"> alike. Gergen and Gergen’s (1983) </w:t>
      </w:r>
      <w:r w:rsidR="00395603" w:rsidRPr="008B68A9">
        <w:t>self-narrative work</w:t>
      </w:r>
      <w:r w:rsidRPr="008B68A9">
        <w:t xml:space="preserve"> has been applied in </w:t>
      </w:r>
      <w:r w:rsidR="00395603" w:rsidRPr="008B68A9">
        <w:t>my</w:t>
      </w:r>
      <w:r w:rsidRPr="008B68A9">
        <w:t xml:space="preserve"> study to </w:t>
      </w:r>
      <w:r w:rsidR="00395603" w:rsidRPr="008B68A9">
        <w:t>show</w:t>
      </w:r>
      <w:r w:rsidRPr="008B68A9">
        <w:t xml:space="preserve"> a process </w:t>
      </w:r>
      <w:r w:rsidR="00395603" w:rsidRPr="008B68A9">
        <w:t>of</w:t>
      </w:r>
      <w:r w:rsidRPr="008B68A9">
        <w:t xml:space="preserve"> individuals’ sense-making of their past, whilst simultaneously shaping their present </w:t>
      </w:r>
      <w:r w:rsidRPr="008B68A9">
        <w:rPr>
          <w:rStyle w:val="apple-converted-space"/>
          <w:color w:val="000000"/>
          <w:szCs w:val="20"/>
        </w:rPr>
        <w:t>“…</w:t>
      </w:r>
      <w:r w:rsidRPr="008B68A9">
        <w:rPr>
          <w:color w:val="000000"/>
          <w:szCs w:val="20"/>
        </w:rPr>
        <w:t>to structure events in such a way that they demonstrate, first, a connectedness or coherence, and second, a sense of movement or direction through time</w:t>
      </w:r>
      <w:r w:rsidRPr="008B68A9">
        <w:rPr>
          <w:rStyle w:val="apple-converted-space"/>
          <w:color w:val="000000"/>
          <w:szCs w:val="20"/>
        </w:rPr>
        <w:t xml:space="preserve">” (p. 25). </w:t>
      </w:r>
      <w:r w:rsidR="000C4492" w:rsidRPr="008B68A9">
        <w:t xml:space="preserve">Gergen and Gergen (1983) diachronic processes </w:t>
      </w:r>
      <w:r w:rsidR="00EA5789" w:rsidRPr="008B68A9">
        <w:t>of s</w:t>
      </w:r>
      <w:r w:rsidRPr="008B68A9">
        <w:t xml:space="preserve">uch identity-work </w:t>
      </w:r>
      <w:r w:rsidR="000C4492" w:rsidRPr="008B68A9">
        <w:t>as</w:t>
      </w:r>
      <w:r w:rsidRPr="008B68A9">
        <w:t xml:space="preserve"> </w:t>
      </w:r>
      <w:r w:rsidR="00A00995" w:rsidRPr="008B68A9">
        <w:t>a</w:t>
      </w:r>
      <w:r w:rsidRPr="008B68A9">
        <w:t xml:space="preserve"> sine wave </w:t>
      </w:r>
      <w:r w:rsidR="00EA5789" w:rsidRPr="008B68A9">
        <w:t xml:space="preserve">regressive </w:t>
      </w:r>
      <w:r w:rsidR="004C49E9" w:rsidRPr="008B68A9">
        <w:t xml:space="preserve">narrative trajectory </w:t>
      </w:r>
      <w:r w:rsidR="00EA5789" w:rsidRPr="008B68A9">
        <w:t xml:space="preserve">followed </w:t>
      </w:r>
      <w:r w:rsidR="004C49E9" w:rsidRPr="008B68A9">
        <w:t>an</w:t>
      </w:r>
      <w:r w:rsidR="00EA5789" w:rsidRPr="008B68A9">
        <w:t xml:space="preserve"> arc of sine to progressive trajectory</w:t>
      </w:r>
      <w:r w:rsidRPr="008B68A9">
        <w:t xml:space="preserve">. </w:t>
      </w:r>
      <w:r w:rsidRPr="008B68A9">
        <w:rPr>
          <w:rStyle w:val="apple-converted-space"/>
          <w:color w:val="000000"/>
          <w:szCs w:val="20"/>
        </w:rPr>
        <w:t xml:space="preserve">The participants’ ability to recount their past life and experiences of mental ill-health through narrative identity talk was an integral </w:t>
      </w:r>
      <w:r w:rsidR="004C49E9" w:rsidRPr="008B68A9">
        <w:rPr>
          <w:rStyle w:val="apple-converted-space"/>
          <w:color w:val="000000"/>
          <w:szCs w:val="20"/>
        </w:rPr>
        <w:t>part</w:t>
      </w:r>
      <w:r w:rsidRPr="008B68A9">
        <w:rPr>
          <w:rStyle w:val="apple-converted-space"/>
          <w:color w:val="000000"/>
          <w:szCs w:val="20"/>
        </w:rPr>
        <w:t xml:space="preserve"> of the interview narratives within </w:t>
      </w:r>
      <w:r w:rsidR="004C49E9" w:rsidRPr="008B68A9">
        <w:rPr>
          <w:rStyle w:val="apple-converted-space"/>
          <w:color w:val="000000"/>
          <w:szCs w:val="20"/>
        </w:rPr>
        <w:t>my</w:t>
      </w:r>
      <w:r w:rsidRPr="008B68A9">
        <w:rPr>
          <w:rStyle w:val="apple-converted-space"/>
          <w:color w:val="000000"/>
          <w:szCs w:val="20"/>
        </w:rPr>
        <w:t xml:space="preserve"> study, </w:t>
      </w:r>
      <w:r w:rsidR="004C49E9" w:rsidRPr="008B68A9">
        <w:rPr>
          <w:rStyle w:val="apple-converted-space"/>
          <w:color w:val="000000"/>
          <w:szCs w:val="20"/>
        </w:rPr>
        <w:t>and will be outlined in section 4.2 and in detail in chapter six</w:t>
      </w:r>
      <w:r w:rsidRPr="008B68A9">
        <w:rPr>
          <w:rStyle w:val="apple-converted-space"/>
          <w:color w:val="000000"/>
          <w:szCs w:val="20"/>
        </w:rPr>
        <w:t>.</w:t>
      </w:r>
    </w:p>
    <w:p w14:paraId="0C4EF7EB" w14:textId="241574C5" w:rsidR="00792AC2" w:rsidRPr="008B68A9" w:rsidRDefault="00792AC2" w:rsidP="00792AC2">
      <w:pPr>
        <w:pStyle w:val="3L3header"/>
      </w:pPr>
      <w:bookmarkStart w:id="65" w:name="_Toc413827393"/>
      <w:bookmarkStart w:id="66" w:name="_Toc466800300"/>
      <w:r w:rsidRPr="008B68A9">
        <w:t xml:space="preserve">4.1.4 Constructing </w:t>
      </w:r>
      <w:bookmarkEnd w:id="65"/>
      <w:r w:rsidRPr="008B68A9">
        <w:t>mental health</w:t>
      </w:r>
      <w:bookmarkEnd w:id="66"/>
    </w:p>
    <w:p w14:paraId="4C899FDA" w14:textId="43B5BA12" w:rsidR="00792AC2" w:rsidRPr="008B68A9" w:rsidRDefault="004C49E9" w:rsidP="002F0FD7">
      <w:pPr>
        <w:pStyle w:val="5arangedleft"/>
      </w:pPr>
      <w:r w:rsidRPr="008B68A9">
        <w:t xml:space="preserve">Using constructionism as the starting point for my study is at odds with many in mainstream mental health and psychiatry. </w:t>
      </w:r>
      <w:r w:rsidR="00792AC2" w:rsidRPr="008B68A9">
        <w:t xml:space="preserve">Diagnosis of serious mental health </w:t>
      </w:r>
      <w:r w:rsidRPr="008B68A9">
        <w:t>disorder</w:t>
      </w:r>
      <w:r w:rsidR="00792AC2" w:rsidRPr="008B68A9">
        <w:t xml:space="preserve"> is a contested space (Frances and Widiger 2011), where divergent ideas of what constitutes mental health and ill-health are </w:t>
      </w:r>
      <w:r w:rsidRPr="008B68A9">
        <w:t>argued for</w:t>
      </w:r>
      <w:r w:rsidR="00792AC2" w:rsidRPr="008B68A9">
        <w:t xml:space="preserve"> by disparate participants, each claiming </w:t>
      </w:r>
      <w:r w:rsidRPr="008B68A9">
        <w:t xml:space="preserve">the correctness of </w:t>
      </w:r>
      <w:r w:rsidR="00792AC2" w:rsidRPr="008B68A9">
        <w:t>their view (Read 2005, S</w:t>
      </w:r>
      <w:r w:rsidRPr="008B68A9">
        <w:t xml:space="preserve">cull 2015). Biological accounts </w:t>
      </w:r>
      <w:r w:rsidR="00792AC2" w:rsidRPr="008B68A9">
        <w:t xml:space="preserve">of aetiological and maintaining factors </w:t>
      </w:r>
      <w:r w:rsidRPr="008B68A9">
        <w:t>contributory to</w:t>
      </w:r>
      <w:r w:rsidR="00792AC2" w:rsidRPr="008B68A9">
        <w:t xml:space="preserve"> mental ill-health are</w:t>
      </w:r>
      <w:r w:rsidRPr="008B68A9">
        <w:t xml:space="preserve"> however</w:t>
      </w:r>
      <w:r w:rsidR="00792AC2" w:rsidRPr="008B68A9">
        <w:t xml:space="preserve"> proposed</w:t>
      </w:r>
      <w:r w:rsidR="00966739" w:rsidRPr="008B68A9">
        <w:t xml:space="preserve"> by </w:t>
      </w:r>
      <w:r w:rsidRPr="008B68A9">
        <w:t xml:space="preserve">many eminent </w:t>
      </w:r>
      <w:r w:rsidR="00966739" w:rsidRPr="008B68A9">
        <w:t xml:space="preserve">medical practitioners such as Nobel </w:t>
      </w:r>
      <w:r w:rsidRPr="008B68A9">
        <w:t>Prize</w:t>
      </w:r>
      <w:r w:rsidR="00966739" w:rsidRPr="008B68A9">
        <w:t xml:space="preserve"> winner Eric </w:t>
      </w:r>
      <w:r w:rsidR="00792AC2" w:rsidRPr="008B68A9">
        <w:t xml:space="preserve">Kandel </w:t>
      </w:r>
      <w:r w:rsidR="00966739" w:rsidRPr="008B68A9">
        <w:t>(</w:t>
      </w:r>
      <w:r w:rsidRPr="008B68A9">
        <w:t>1998); though</w:t>
      </w:r>
      <w:r w:rsidR="00792AC2" w:rsidRPr="008B68A9">
        <w:t xml:space="preserve"> antithetical arguments are </w:t>
      </w:r>
      <w:r w:rsidRPr="008B68A9">
        <w:t xml:space="preserve">as </w:t>
      </w:r>
      <w:r w:rsidR="00792AC2" w:rsidRPr="008B68A9">
        <w:t>vigorously held by others (Bentall 2009</w:t>
      </w:r>
      <w:r w:rsidRPr="008B68A9">
        <w:t>, Kinderman 2014). The process</w:t>
      </w:r>
      <w:r w:rsidR="00792AC2" w:rsidRPr="008B68A9">
        <w:t xml:space="preserve"> of creating and managing what constitutes mental health and ill-health are open to interpretation, defended and refuted across professional disciplines (Bentall 2004, </w:t>
      </w:r>
      <w:r w:rsidR="00792AC2" w:rsidRPr="008B68A9">
        <w:lastRenderedPageBreak/>
        <w:t>2009), as well as from within the g</w:t>
      </w:r>
      <w:r w:rsidRPr="008B68A9">
        <w:t>eneral population (Foster 2007).</w:t>
      </w:r>
      <w:r w:rsidR="00792AC2" w:rsidRPr="008B68A9">
        <w:t xml:space="preserve"> </w:t>
      </w:r>
      <w:r w:rsidRPr="008B68A9">
        <w:t xml:space="preserve">The </w:t>
      </w:r>
      <w:r w:rsidR="00792AC2" w:rsidRPr="008B68A9">
        <w:t>resulting broad and</w:t>
      </w:r>
      <w:r w:rsidRPr="008B68A9">
        <w:t xml:space="preserve"> often </w:t>
      </w:r>
      <w:r w:rsidR="00A465D9" w:rsidRPr="008B68A9">
        <w:t>incompatible construct</w:t>
      </w:r>
      <w:r w:rsidR="00792AC2" w:rsidRPr="008B68A9">
        <w:t xml:space="preserve"> </w:t>
      </w:r>
      <w:r w:rsidR="00A465D9" w:rsidRPr="008B68A9">
        <w:t>of</w:t>
      </w:r>
      <w:r w:rsidR="00792AC2" w:rsidRPr="008B68A9">
        <w:t xml:space="preserve"> mental health disorder</w:t>
      </w:r>
      <w:r w:rsidRPr="008B68A9">
        <w:t xml:space="preserve"> allow on one hand, a liberating degree of variety yet on the other, a struggle for dominance which has resulted in one paradigm asserting </w:t>
      </w:r>
      <w:r w:rsidR="00A465D9" w:rsidRPr="008B68A9">
        <w:t xml:space="preserve">authority over others. </w:t>
      </w:r>
    </w:p>
    <w:p w14:paraId="70B0FB30" w14:textId="42D9967F" w:rsidR="00ED7B61" w:rsidRPr="008B68A9" w:rsidRDefault="00792AC2" w:rsidP="002F0FD7">
      <w:pPr>
        <w:pStyle w:val="5arangedleft"/>
      </w:pPr>
      <w:r w:rsidRPr="008B68A9">
        <w:t>Medically</w:t>
      </w:r>
      <w:r w:rsidR="00A465D9" w:rsidRPr="008B68A9">
        <w:t xml:space="preserve"> dominated and pharmaceutically</w:t>
      </w:r>
      <w:r w:rsidRPr="008B68A9">
        <w:t xml:space="preserve"> constructions of mental health services are founded upon a poor evidential basis (as the term evidence </w:t>
      </w:r>
      <w:r w:rsidR="00CB7346" w:rsidRPr="008B68A9">
        <w:t>is</w:t>
      </w:r>
      <w:r w:rsidRPr="008B68A9">
        <w:t xml:space="preserve"> used by a scientific orthodoxy) (Kinderman 2014), and fail to recognise where evidence for psychological di</w:t>
      </w:r>
      <w:r w:rsidR="00ED7B61" w:rsidRPr="008B68A9">
        <w:t xml:space="preserve">stress is strongest (Read 2005). </w:t>
      </w:r>
      <w:r w:rsidR="00A465D9" w:rsidRPr="008B68A9">
        <w:t>Additionally</w:t>
      </w:r>
      <w:r w:rsidRPr="008B68A9">
        <w:t xml:space="preserve"> pharmaceutical industry’s pre</w:t>
      </w:r>
      <w:r w:rsidR="00A465D9" w:rsidRPr="008B68A9">
        <w:t xml:space="preserve">-eminence in mental healthcare according to </w:t>
      </w:r>
      <w:r w:rsidRPr="008B68A9">
        <w:t xml:space="preserve">Healy </w:t>
      </w:r>
      <w:r w:rsidR="00A465D9" w:rsidRPr="008B68A9">
        <w:t>(</w:t>
      </w:r>
      <w:r w:rsidRPr="008B68A9">
        <w:t>2013)</w:t>
      </w:r>
      <w:r w:rsidR="00A465D9" w:rsidRPr="008B68A9">
        <w:t xml:space="preserve"> and others maintains an unhealthy dominance in psychiatry</w:t>
      </w:r>
      <w:r w:rsidRPr="008B68A9">
        <w:t xml:space="preserve">. </w:t>
      </w:r>
      <w:r w:rsidR="00A465D9" w:rsidRPr="008B68A9">
        <w:t>The</w:t>
      </w:r>
      <w:r w:rsidRPr="008B68A9">
        <w:t xml:space="preserve"> </w:t>
      </w:r>
      <w:r w:rsidR="00A465D9" w:rsidRPr="008B68A9">
        <w:t>lack of reliable</w:t>
      </w:r>
      <w:r w:rsidRPr="008B68A9">
        <w:t xml:space="preserve"> psychiatric diagnosis </w:t>
      </w:r>
      <w:r w:rsidR="00A465D9" w:rsidRPr="008B68A9">
        <w:t>is</w:t>
      </w:r>
      <w:r w:rsidRPr="008B68A9">
        <w:t xml:space="preserve"> held up </w:t>
      </w:r>
      <w:r w:rsidR="00A465D9" w:rsidRPr="008B68A9">
        <w:t>as evidence exposing</w:t>
      </w:r>
      <w:r w:rsidRPr="008B68A9">
        <w:t xml:space="preserve"> medical </w:t>
      </w:r>
      <w:r w:rsidR="00A465D9" w:rsidRPr="008B68A9">
        <w:t xml:space="preserve">diagnosis </w:t>
      </w:r>
      <w:r w:rsidRPr="008B68A9">
        <w:t>of mental health disorder as</w:t>
      </w:r>
      <w:r w:rsidR="00A465D9" w:rsidRPr="008B68A9">
        <w:t xml:space="preserve"> being</w:t>
      </w:r>
      <w:r w:rsidRPr="008B68A9">
        <w:t xml:space="preserve"> predicated on interpretive opinion (Szasz 200</w:t>
      </w:r>
      <w:r w:rsidR="00ED7B61" w:rsidRPr="008B68A9">
        <w:t xml:space="preserve">1, Crossley 2004, Ronson, 2012). </w:t>
      </w:r>
      <w:r w:rsidR="00A465D9" w:rsidRPr="008B68A9">
        <w:t>Further, that d</w:t>
      </w:r>
      <w:r w:rsidR="00ED7B61" w:rsidRPr="008B68A9">
        <w:t xml:space="preserve">iagnosis </w:t>
      </w:r>
      <w:r w:rsidR="00A465D9" w:rsidRPr="008B68A9">
        <w:t>r</w:t>
      </w:r>
      <w:r w:rsidR="00F56981" w:rsidRPr="008B68A9">
        <w:t>elying</w:t>
      </w:r>
      <w:r w:rsidR="00A465D9" w:rsidRPr="008B68A9">
        <w:t xml:space="preserve"> on</w:t>
      </w:r>
      <w:r w:rsidR="00ED7B61" w:rsidRPr="008B68A9">
        <w:t xml:space="preserve"> a top-down approach</w:t>
      </w:r>
      <w:r w:rsidR="00A465D9" w:rsidRPr="008B68A9">
        <w:t xml:space="preserve"> of diagnostic classification </w:t>
      </w:r>
      <w:r w:rsidR="00F56981" w:rsidRPr="008B68A9">
        <w:t>fails to understand</w:t>
      </w:r>
      <w:r w:rsidR="00ED7B61" w:rsidRPr="008B68A9">
        <w:t xml:space="preserve"> </w:t>
      </w:r>
      <w:r w:rsidRPr="008B68A9">
        <w:t xml:space="preserve">the individual and their circumstance (Royal Psychological Society 2012). </w:t>
      </w:r>
    </w:p>
    <w:p w14:paraId="56C651D9" w14:textId="63D9FE6F" w:rsidR="00792AC2" w:rsidRPr="008B68A9" w:rsidRDefault="00F56981" w:rsidP="002F0FD7">
      <w:pPr>
        <w:pStyle w:val="5arangedleft"/>
      </w:pPr>
      <w:r w:rsidRPr="008B68A9">
        <w:t>Many theories have sought to explain mental ill health in recent times, s</w:t>
      </w:r>
      <w:r w:rsidR="00792AC2" w:rsidRPr="008B68A9">
        <w:t xml:space="preserve">ocial (Szasz 2010), behavioural (Lewinsohn 1986), cognitive (Beck </w:t>
      </w:r>
      <w:r w:rsidR="00792AC2" w:rsidRPr="008B68A9">
        <w:rPr>
          <w:i/>
        </w:rPr>
        <w:t>et al.</w:t>
      </w:r>
      <w:r w:rsidRPr="008B68A9">
        <w:t xml:space="preserve"> 1979), each has competed</w:t>
      </w:r>
      <w:r w:rsidR="00792AC2" w:rsidRPr="008B68A9">
        <w:t xml:space="preserve"> for dominance</w:t>
      </w:r>
      <w:r w:rsidRPr="008B68A9">
        <w:t xml:space="preserve"> in mental health</w:t>
      </w:r>
      <w:r w:rsidR="00792AC2" w:rsidRPr="008B68A9">
        <w:t>, none wholly addressing mental health and wellbeing</w:t>
      </w:r>
      <w:r w:rsidRPr="008B68A9">
        <w:t>, but each offering a perspective</w:t>
      </w:r>
      <w:r w:rsidR="00792AC2" w:rsidRPr="008B68A9">
        <w:t>. The construction of mental health and ill health cannot, it seems, be neatly resolved, although by examining the relationship between the individual, their experience and facets of the mental health establishment, a useful perspective may emerge.</w:t>
      </w:r>
    </w:p>
    <w:p w14:paraId="113EE201" w14:textId="110158B3" w:rsidR="00792AC2" w:rsidRPr="008B68A9" w:rsidRDefault="00792AC2" w:rsidP="002F0FD7">
      <w:pPr>
        <w:pStyle w:val="5arangedleft"/>
      </w:pPr>
      <w:r w:rsidRPr="008B68A9">
        <w:t>Through processes and functions of language, the existence or absence of mental health and disorder are conveyed, and experiences of self and others become almost one and the same (</w:t>
      </w:r>
      <w:r w:rsidRPr="008B68A9">
        <w:rPr>
          <w:rFonts w:ascii="Calibri" w:eastAsia="Calibri" w:hAnsi="Calibri" w:cs="Times New Roman"/>
        </w:rPr>
        <w:t>Schirato</w:t>
      </w:r>
      <w:r w:rsidRPr="008B68A9" w:rsidDel="00A835E5">
        <w:t xml:space="preserve"> </w:t>
      </w:r>
      <w:r w:rsidRPr="008B68A9">
        <w:rPr>
          <w:i/>
        </w:rPr>
        <w:t>et al.</w:t>
      </w:r>
      <w:r w:rsidRPr="008B68A9">
        <w:t xml:space="preserve"> 2010). Whilst language and signs and signifiers may in themselves belong to separate fields within social constructionism (Burr 1995), the field of mental health and ill-health is unusually placed in social science. Constructs of self and their relationship with others and societal structures mean that, through interpretation of behaviour alone, an individual may encounter medical psychiatry as a patient, much in a similar way that acute appendicitis signal</w:t>
      </w:r>
      <w:r w:rsidR="00CB7346" w:rsidRPr="008B68A9">
        <w:t>s</w:t>
      </w:r>
      <w:r w:rsidRPr="008B68A9">
        <w:t xml:space="preserve"> </w:t>
      </w:r>
      <w:r w:rsidRPr="008B68A9">
        <w:lastRenderedPageBreak/>
        <w:t>an entry into the world of hospitals and surgery. Laing (1986), whose legacy as the anti-psychiatrist’s psychiatrist</w:t>
      </w:r>
      <w:r w:rsidR="00F56981" w:rsidRPr="008B68A9">
        <w:t xml:space="preserve"> remains</w:t>
      </w:r>
      <w:r w:rsidRPr="008B68A9">
        <w:t xml:space="preserve">, articulated </w:t>
      </w:r>
      <w:r w:rsidR="00F56981" w:rsidRPr="008B68A9">
        <w:t xml:space="preserve">psychiatry’s </w:t>
      </w:r>
      <w:r w:rsidRPr="008B68A9">
        <w:t xml:space="preserve">unique position: “…It is the only branch of medicine that treats people physically in the absence of any known physical pathology. It is the only branch of medicine that ‘treats’ conduct alone in the absence of symptoms and signs of health of the usual kind” (pp. 2-3). </w:t>
      </w:r>
    </w:p>
    <w:p w14:paraId="3470F09E" w14:textId="08D1D506" w:rsidR="00792AC2" w:rsidRPr="008B68A9" w:rsidRDefault="00792AC2" w:rsidP="002F0FD7">
      <w:pPr>
        <w:pStyle w:val="5arangedleft"/>
      </w:pPr>
      <w:r w:rsidRPr="008B68A9">
        <w:t xml:space="preserve">Mental health is not alone in </w:t>
      </w:r>
      <w:r w:rsidR="00CC04CE" w:rsidRPr="008B68A9">
        <w:t>having</w:t>
      </w:r>
      <w:r w:rsidRPr="008B68A9">
        <w:t xml:space="preserve"> culturally determined criteria of identification, as </w:t>
      </w:r>
      <w:r w:rsidR="00CC04CE" w:rsidRPr="008B68A9">
        <w:t>other</w:t>
      </w:r>
      <w:r w:rsidRPr="008B68A9">
        <w:t xml:space="preserve"> conditions hold </w:t>
      </w:r>
      <w:r w:rsidR="00CC04CE" w:rsidRPr="008B68A9">
        <w:t>conflicting</w:t>
      </w:r>
      <w:r w:rsidRPr="008B68A9">
        <w:t xml:space="preserve"> meanings between a medical model and a social constructionist viewpoint. According to Conrad and Barker (2010), medical diagnosis assumes consistency and universality although individuals who experience often debilitating experiences</w:t>
      </w:r>
      <w:r w:rsidR="00CC04CE" w:rsidRPr="008B68A9">
        <w:t xml:space="preserve"> but whose symptoms</w:t>
      </w:r>
      <w:r w:rsidRPr="008B68A9">
        <w:t xml:space="preserve"> may not conform to </w:t>
      </w:r>
      <w:r w:rsidR="00CC04CE" w:rsidRPr="008B68A9">
        <w:t>diagnostic</w:t>
      </w:r>
      <w:r w:rsidRPr="008B68A9">
        <w:t xml:space="preserve"> rigidity, </w:t>
      </w:r>
      <w:r w:rsidR="00CC04CE" w:rsidRPr="008B68A9">
        <w:t xml:space="preserve">therefore </w:t>
      </w:r>
      <w:r w:rsidR="00F56981" w:rsidRPr="008B68A9">
        <w:t xml:space="preserve">the authenticity </w:t>
      </w:r>
      <w:r w:rsidRPr="008B68A9">
        <w:t xml:space="preserve">of their </w:t>
      </w:r>
      <w:r w:rsidR="00CC04CE" w:rsidRPr="008B68A9">
        <w:t xml:space="preserve">claims of </w:t>
      </w:r>
      <w:r w:rsidRPr="008B68A9">
        <w:t>problem or complaint</w:t>
      </w:r>
      <w:r w:rsidR="00F56981" w:rsidRPr="008B68A9">
        <w:t xml:space="preserve"> are called into question</w:t>
      </w:r>
      <w:r w:rsidRPr="008B68A9">
        <w:t>. Diagnosis in mental health shares</w:t>
      </w:r>
      <w:r w:rsidR="000B73ED" w:rsidRPr="008B68A9">
        <w:t xml:space="preserve"> the</w:t>
      </w:r>
      <w:r w:rsidRPr="008B68A9">
        <w:t xml:space="preserve"> contested status </w:t>
      </w:r>
      <w:r w:rsidR="000B73ED" w:rsidRPr="008B68A9">
        <w:t>of</w:t>
      </w:r>
      <w:r w:rsidRPr="008B68A9">
        <w:t xml:space="preserve"> </w:t>
      </w:r>
      <w:r w:rsidR="00CC04CE" w:rsidRPr="008B68A9">
        <w:t>medical</w:t>
      </w:r>
      <w:r w:rsidRPr="008B68A9">
        <w:t xml:space="preserve"> conditions where science cannot account for sufferers’ e</w:t>
      </w:r>
      <w:r w:rsidR="00CC04CE" w:rsidRPr="008B68A9">
        <w:t>xperiences. Examples include</w:t>
      </w:r>
      <w:r w:rsidRPr="008B68A9">
        <w:t xml:space="preserve"> chronic fatigue syndrome, chemical sensitivity or irritable bowel syndrome (Conrad and Barker 2010). In term</w:t>
      </w:r>
      <w:r w:rsidR="00FA6DA4" w:rsidRPr="008B68A9">
        <w:t>s of mental health and disorder;</w:t>
      </w:r>
      <w:r w:rsidRPr="008B68A9">
        <w:t xml:space="preserve"> “…the meaning and experience of health is shaped by cultural and social systems” (p. S67), and </w:t>
      </w:r>
      <w:r w:rsidR="00FA6DA4" w:rsidRPr="008B68A9">
        <w:t xml:space="preserve">not </w:t>
      </w:r>
      <w:r w:rsidR="00CC04CE" w:rsidRPr="008B68A9">
        <w:t xml:space="preserve">therefore </w:t>
      </w:r>
      <w:r w:rsidRPr="008B68A9">
        <w:t xml:space="preserve">through medical science. The function of medicalised language permits </w:t>
      </w:r>
      <w:r w:rsidR="00FA6DA4" w:rsidRPr="008B68A9">
        <w:t xml:space="preserve">mental ill health’s </w:t>
      </w:r>
      <w:r w:rsidRPr="008B68A9">
        <w:t xml:space="preserve">authorisation (Radley and Billig 1996), which is compelling </w:t>
      </w:r>
      <w:r w:rsidR="00FA6DA4" w:rsidRPr="008B68A9">
        <w:t>as</w:t>
      </w:r>
      <w:r w:rsidRPr="008B68A9">
        <w:t xml:space="preserve"> mental health has no biologically (excepting dementia or substance induced states) outward or measurable </w:t>
      </w:r>
      <w:r w:rsidR="00FA6DA4" w:rsidRPr="008B68A9">
        <w:t>indicators</w:t>
      </w:r>
      <w:r w:rsidRPr="008B68A9">
        <w:t>, as opposed to conditio</w:t>
      </w:r>
      <w:r w:rsidR="00FA6DA4" w:rsidRPr="008B68A9">
        <w:t>ns such as diabetes or cancers.</w:t>
      </w:r>
    </w:p>
    <w:p w14:paraId="6BCBB656" w14:textId="65E72775" w:rsidR="00792AC2" w:rsidRPr="008B68A9" w:rsidRDefault="00792AC2" w:rsidP="002F0FD7">
      <w:pPr>
        <w:pStyle w:val="5arangedleft"/>
      </w:pPr>
      <w:r w:rsidRPr="008B68A9">
        <w:t xml:space="preserve">The subject of discourse in social constructionism is discussed in relation to this study in section 4.3.3, though it is important to recognise the place discourse analysis has in relation to mental health and power, which are often cited in academic papers and studies (Harper 1995, Hui and Stickley 2007, Zeeman and Simons 2011). As previously mentioned, it is not the intention of </w:t>
      </w:r>
      <w:r w:rsidR="00FA6DA4" w:rsidRPr="008B68A9">
        <w:t>my</w:t>
      </w:r>
      <w:r w:rsidRPr="008B68A9">
        <w:t xml:space="preserve"> work to use Foucault and critical discourse analysis, though discourse will be used in keeping with Burr’s (2015, p. 236) meaning</w:t>
      </w:r>
      <w:r w:rsidR="00FA6DA4" w:rsidRPr="008B68A9">
        <w:t>;</w:t>
      </w:r>
      <w:r w:rsidRPr="008B68A9">
        <w:t xml:space="preserve"> “systematic coherent set of images, metaphors and so on that construct an object in a particular way…”, rather than as a discourse analysis of spoken language. </w:t>
      </w:r>
    </w:p>
    <w:p w14:paraId="732D0D74" w14:textId="2264A87E" w:rsidR="00DD2774" w:rsidRPr="008B68A9" w:rsidRDefault="00500DF0" w:rsidP="002F0FD7">
      <w:pPr>
        <w:pStyle w:val="5arangedleft"/>
      </w:pPr>
      <w:r w:rsidRPr="008B68A9">
        <w:lastRenderedPageBreak/>
        <w:t xml:space="preserve">Kinderman (2014) and </w:t>
      </w:r>
      <w:r w:rsidR="00CB129C" w:rsidRPr="008B68A9">
        <w:t xml:space="preserve">Scull (2015) </w:t>
      </w:r>
      <w:r w:rsidRPr="008B68A9">
        <w:t>argue</w:t>
      </w:r>
      <w:r w:rsidR="00CB129C" w:rsidRPr="008B68A9">
        <w:t xml:space="preserve"> that p</w:t>
      </w:r>
      <w:r w:rsidR="00792AC2" w:rsidRPr="008B68A9">
        <w:t xml:space="preserve">sychiatry has created a biological discourse of disease and health upon which contemporary systems of treatment are based. Treatment focuses on individual recovery (Repper and Perkins 2003, Bonney and Stickley 2008), as well as psychopharmacological interventions aimed at altering brain chemistry at </w:t>
      </w:r>
      <w:r w:rsidR="00DD2774" w:rsidRPr="008B68A9">
        <w:t xml:space="preserve">a neurotransmitter </w:t>
      </w:r>
      <w:r w:rsidR="00792AC2" w:rsidRPr="008B68A9">
        <w:t xml:space="preserve">level (Healy 2013). Individuals identified as having mental health </w:t>
      </w:r>
      <w:r w:rsidR="00DD2774" w:rsidRPr="008B68A9">
        <w:t>problems</w:t>
      </w:r>
      <w:r w:rsidR="00792AC2" w:rsidRPr="008B68A9">
        <w:t xml:space="preserve"> have been largely passive in their processes of diagnosis and subsequent prescription, and excluded from decisions of control in relation to their treatment, care and support (Repper and Perkins 2003; Alakeson and Perkins 2012). The voice of mental health service users has </w:t>
      </w:r>
      <w:r w:rsidR="00DD2774" w:rsidRPr="008B68A9">
        <w:t xml:space="preserve">according to Repper and Perkins (2003) </w:t>
      </w:r>
      <w:r w:rsidR="00792AC2" w:rsidRPr="008B68A9">
        <w:t xml:space="preserve">become louder, though remains subservient to </w:t>
      </w:r>
      <w:r w:rsidR="00DD2774" w:rsidRPr="008B68A9">
        <w:t>the</w:t>
      </w:r>
      <w:r w:rsidR="00792AC2" w:rsidRPr="008B68A9">
        <w:t xml:space="preserve"> dominant institution of medicine (Crossley 1999). Therefore, an argument exists that personas having once been whole or complete, have become less than or broken following diagnosis. The colloquial phrase mental breakdown, often used by lay people to denote the point where the individual could no longer carry on, signifies a split between well and unwell; between wh</w:t>
      </w:r>
      <w:r w:rsidR="00DD2774" w:rsidRPr="008B68A9">
        <w:t>ole and functioning, and now broken</w:t>
      </w:r>
      <w:r w:rsidR="00792AC2" w:rsidRPr="008B68A9">
        <w:t>.</w:t>
      </w:r>
    </w:p>
    <w:p w14:paraId="1B457E3C" w14:textId="5F8E145F" w:rsidR="00ED1415" w:rsidRPr="008B68A9" w:rsidRDefault="00792AC2" w:rsidP="002F0FD7">
      <w:pPr>
        <w:pStyle w:val="5arangedleft"/>
      </w:pPr>
      <w:r w:rsidRPr="008B68A9">
        <w:t xml:space="preserve">Crossley (2004, p. 162) </w:t>
      </w:r>
      <w:r w:rsidR="00ED1415" w:rsidRPr="008B68A9">
        <w:t>argues the experience</w:t>
      </w:r>
      <w:r w:rsidRPr="008B68A9">
        <w:t xml:space="preserve"> of being mentally ill “…entails the incorporation of a social identity and a process of secondary socialization. Furthermore, it is a position/disposition which often leads to long-term social estrangement and disadvantage; that is, symbolic violence." The violence </w:t>
      </w:r>
      <w:r w:rsidR="00ED1415" w:rsidRPr="008B68A9">
        <w:t>cited</w:t>
      </w:r>
      <w:r w:rsidRPr="008B68A9">
        <w:t xml:space="preserve"> here </w:t>
      </w:r>
      <w:r w:rsidR="00ED1415" w:rsidRPr="008B68A9">
        <w:t>demonstrates</w:t>
      </w:r>
      <w:r w:rsidRPr="008B68A9">
        <w:t xml:space="preserve"> </w:t>
      </w:r>
      <w:r w:rsidR="00ED1415" w:rsidRPr="008B68A9">
        <w:t>the</w:t>
      </w:r>
      <w:r w:rsidRPr="008B68A9">
        <w:t xml:space="preserve"> discourse of power and powerlessness, one that is challenged by the advent of the user movement and by the adoption of personalisation </w:t>
      </w:r>
      <w:r w:rsidR="00ED1415" w:rsidRPr="008B68A9">
        <w:t>in mental health</w:t>
      </w:r>
      <w:r w:rsidRPr="008B68A9">
        <w:t xml:space="preserve">. A tension between the dominant discourse of the powerful, whose knowledge </w:t>
      </w:r>
      <w:r w:rsidR="003C5394" w:rsidRPr="008B68A9">
        <w:t>is</w:t>
      </w:r>
      <w:r w:rsidRPr="008B68A9">
        <w:t xml:space="preserve"> used to diagnose and treat, and those who are accorded such labels is</w:t>
      </w:r>
      <w:r w:rsidR="003C5394" w:rsidRPr="008B68A9">
        <w:t xml:space="preserve"> explored in the section below.</w:t>
      </w:r>
    </w:p>
    <w:p w14:paraId="68B07061" w14:textId="77777777" w:rsidR="00ED1415" w:rsidRPr="008B68A9" w:rsidRDefault="00ED1415">
      <w:pPr>
        <w:spacing w:line="276" w:lineRule="auto"/>
        <w:rPr>
          <w:szCs w:val="24"/>
        </w:rPr>
      </w:pPr>
      <w:r w:rsidRPr="008B68A9">
        <w:br w:type="page"/>
      </w:r>
    </w:p>
    <w:p w14:paraId="5408751A" w14:textId="75F5389A" w:rsidR="00792AC2" w:rsidRPr="008B68A9" w:rsidRDefault="00792AC2" w:rsidP="00792AC2">
      <w:pPr>
        <w:pStyle w:val="3L3header"/>
      </w:pPr>
      <w:bookmarkStart w:id="67" w:name="_Toc466800301"/>
      <w:r w:rsidRPr="008B68A9">
        <w:lastRenderedPageBreak/>
        <w:t>4.1.5 Conventions of warrant</w:t>
      </w:r>
      <w:bookmarkEnd w:id="67"/>
    </w:p>
    <w:p w14:paraId="6381395A" w14:textId="070FD3A4" w:rsidR="00792AC2" w:rsidRPr="008B68A9" w:rsidRDefault="0073090E" w:rsidP="002F0FD7">
      <w:pPr>
        <w:pStyle w:val="5arangedleft"/>
      </w:pPr>
      <w:r w:rsidRPr="008B68A9">
        <w:t xml:space="preserve">Biographic disruption is used by </w:t>
      </w:r>
      <w:r w:rsidR="00792AC2" w:rsidRPr="008B68A9">
        <w:t xml:space="preserve">Bury </w:t>
      </w:r>
      <w:r w:rsidRPr="008B68A9">
        <w:t>(</w:t>
      </w:r>
      <w:r w:rsidR="00792AC2" w:rsidRPr="008B68A9">
        <w:t>1982)</w:t>
      </w:r>
      <w:r w:rsidRPr="008B68A9">
        <w:t xml:space="preserve"> to articulate the fracture in an individuals’ personal narrative</w:t>
      </w:r>
      <w:r w:rsidR="00792AC2" w:rsidRPr="008B68A9">
        <w:t xml:space="preserve"> </w:t>
      </w:r>
      <w:r w:rsidRPr="008B68A9">
        <w:t>generated through</w:t>
      </w:r>
      <w:r w:rsidR="00ED1415" w:rsidRPr="008B68A9">
        <w:t xml:space="preserve"> their</w:t>
      </w:r>
      <w:r w:rsidRPr="008B68A9">
        <w:t xml:space="preserve"> illness or adversity. Psychological distress or mental ill</w:t>
      </w:r>
      <w:r w:rsidR="00792AC2" w:rsidRPr="008B68A9">
        <w:t xml:space="preserve"> health results in more than a fracture in the individual’s future plans; it is as though the person and their identity have also been compromised. Through diagnosis and control over </w:t>
      </w:r>
      <w:r w:rsidRPr="008B68A9">
        <w:t xml:space="preserve">the </w:t>
      </w:r>
      <w:r w:rsidR="00792AC2" w:rsidRPr="008B68A9">
        <w:t>systems of care by d</w:t>
      </w:r>
      <w:r w:rsidR="00ED1415" w:rsidRPr="008B68A9">
        <w:t>ominant institutions (medicine)</w:t>
      </w:r>
      <w:r w:rsidR="00792AC2" w:rsidRPr="008B68A9">
        <w:t xml:space="preserve"> have remained under the aegis of the psychiatric profession and those allied to it (Kinderman 2014b). The individual with a mental health diagnosis is </w:t>
      </w:r>
      <w:r w:rsidR="00ED1415" w:rsidRPr="008B68A9">
        <w:t>provided with</w:t>
      </w:r>
      <w:r w:rsidR="00792AC2" w:rsidRPr="008B68A9">
        <w:t xml:space="preserve"> a psychiatric identity with responsibilities and expectations determined by that role (Parsons 1978). So too, however, are the mental health practitioners, as they are required to resolve their identity work in respect of their tasks and function, which often involves dual identities of care and/or control (Cutcliffe 2008). The work of Gergen (1989) has been helpful in</w:t>
      </w:r>
      <w:r w:rsidRPr="008B68A9">
        <w:t xml:space="preserve"> this thesis</w:t>
      </w:r>
      <w:r w:rsidR="00792AC2" w:rsidRPr="008B68A9">
        <w:t xml:space="preserve"> </w:t>
      </w:r>
      <w:r w:rsidRPr="008B68A9">
        <w:t>to construct</w:t>
      </w:r>
      <w:r w:rsidR="00792AC2" w:rsidRPr="008B68A9">
        <w:t xml:space="preserve"> a frame of understanding which or who’s voice achieves conventions of warrant and under which conditions. He states:</w:t>
      </w:r>
    </w:p>
    <w:p w14:paraId="6F821E30" w14:textId="09CFC413" w:rsidR="00792AC2" w:rsidRPr="008B68A9" w:rsidRDefault="00792AC2" w:rsidP="002F0FD7">
      <w:pPr>
        <w:pStyle w:val="6ablockquoteroman"/>
      </w:pPr>
      <w:r w:rsidRPr="008B68A9">
        <w:t>It is my view that one of the chief means by which voice is achieved in such wide-ranging situations is through conventions of warrant. That is, people furnish rationales as to why a certain voice, (typically their own) is to be granted superiority by offering rationales of justifications. One claims a right to be taken seriously or to be granted superiority on the grounds of specified criteria. (p. 74)</w:t>
      </w:r>
      <w:r w:rsidR="009C0C10" w:rsidRPr="008B68A9">
        <w:t>.</w:t>
      </w:r>
    </w:p>
    <w:p w14:paraId="6DCD183D" w14:textId="61D5ACC5" w:rsidR="00792AC2" w:rsidRPr="008B68A9" w:rsidRDefault="00792AC2" w:rsidP="002F0FD7">
      <w:pPr>
        <w:pStyle w:val="5arangedleft"/>
      </w:pPr>
      <w:r w:rsidRPr="008B68A9">
        <w:t>Gergen</w:t>
      </w:r>
      <w:r w:rsidR="00CF36F1" w:rsidRPr="008B68A9">
        <w:t>’s framework</w:t>
      </w:r>
      <w:r w:rsidRPr="008B68A9">
        <w:t xml:space="preserve"> allows </w:t>
      </w:r>
      <w:r w:rsidR="00CF36F1" w:rsidRPr="008B68A9">
        <w:t>an</w:t>
      </w:r>
      <w:r w:rsidRPr="008B68A9">
        <w:t xml:space="preserve"> analysis of narrative</w:t>
      </w:r>
      <w:r w:rsidR="00CF36F1" w:rsidRPr="008B68A9">
        <w:t>s</w:t>
      </w:r>
      <w:r w:rsidRPr="008B68A9">
        <w:t xml:space="preserve"> </w:t>
      </w:r>
      <w:r w:rsidR="00CF36F1" w:rsidRPr="008B68A9">
        <w:t xml:space="preserve">of budget users and others </w:t>
      </w:r>
      <w:r w:rsidRPr="008B68A9">
        <w:t xml:space="preserve">as they </w:t>
      </w:r>
      <w:r w:rsidR="009A35C0" w:rsidRPr="008B68A9">
        <w:t xml:space="preserve">assert </w:t>
      </w:r>
      <w:r w:rsidR="00CF36F1" w:rsidRPr="008B68A9">
        <w:t xml:space="preserve">their own </w:t>
      </w:r>
      <w:r w:rsidR="009A35C0" w:rsidRPr="008B68A9">
        <w:t>superiority of voice</w:t>
      </w:r>
      <w:r w:rsidR="00114CC8" w:rsidRPr="008B68A9">
        <w:t>.</w:t>
      </w:r>
      <w:r w:rsidR="009A35C0" w:rsidRPr="008B68A9">
        <w:t xml:space="preserve"> </w:t>
      </w:r>
      <w:r w:rsidRPr="008B68A9">
        <w:t xml:space="preserve">Gergen </w:t>
      </w:r>
      <w:r w:rsidR="00CC04CE" w:rsidRPr="008B68A9">
        <w:t xml:space="preserve">(1989) </w:t>
      </w:r>
      <w:r w:rsidRPr="008B68A9">
        <w:t xml:space="preserve">defines the place of conventions of warrant </w:t>
      </w:r>
      <w:r w:rsidR="00114CC8" w:rsidRPr="008B68A9">
        <w:t>as</w:t>
      </w:r>
      <w:r w:rsidRPr="008B68A9">
        <w:t xml:space="preserve">: "One of the most compelling and essential means of achieving warrant is through reference to mental events. That is, one may claim superiority of voice by virtue of possessing particular characteristics of mind" (p. 74). In the context of mental health, a superior warrant </w:t>
      </w:r>
      <w:r w:rsidR="00114CC8" w:rsidRPr="008B68A9">
        <w:t>is</w:t>
      </w:r>
      <w:r w:rsidRPr="008B68A9">
        <w:t xml:space="preserve"> gained </w:t>
      </w:r>
      <w:r w:rsidR="00114CC8" w:rsidRPr="008B68A9">
        <w:t xml:space="preserve">through possessing a recognised </w:t>
      </w:r>
      <w:r w:rsidRPr="008B68A9">
        <w:t xml:space="preserve">qualification, and conversely not being diagnosed with a specific mental health condition. The validity of the users’ voice therefore may be usurped by professionals through their speech acts and through </w:t>
      </w:r>
      <w:r w:rsidR="00114CC8" w:rsidRPr="008B68A9">
        <w:t xml:space="preserve">their </w:t>
      </w:r>
      <w:r w:rsidRPr="008B68A9">
        <w:t>professional action.</w:t>
      </w:r>
    </w:p>
    <w:p w14:paraId="5D51EFEF" w14:textId="77777777" w:rsidR="00114CC8" w:rsidRPr="008B68A9" w:rsidRDefault="00114CC8" w:rsidP="002F0FD7">
      <w:pPr>
        <w:pStyle w:val="5arangedleft"/>
      </w:pPr>
    </w:p>
    <w:p w14:paraId="7027BF4A" w14:textId="5A959C30" w:rsidR="00792AC2" w:rsidRPr="008B68A9" w:rsidRDefault="00114CC8" w:rsidP="002F0FD7">
      <w:pPr>
        <w:pStyle w:val="5arangedleft"/>
      </w:pPr>
      <w:r w:rsidRPr="008B68A9">
        <w:lastRenderedPageBreak/>
        <w:t>C</w:t>
      </w:r>
      <w:r w:rsidR="00792AC2" w:rsidRPr="008B68A9">
        <w:t>onventions of warrant in mental health were taken up by Szasz (2001), who cites Moore (1974) placing an individual diagnosed with mental health disorders outside the bounds of responsibility based on their presumed capability for rational thought: "It is not so much that we excuse them [sic] from a prima facie case of responsibility; rather, by being unable to regard them as fully rational beings, we cannot affirm the essential condition to viewing them as moral agents…” (</w:t>
      </w:r>
      <w:r w:rsidR="009051EB" w:rsidRPr="008B68A9">
        <w:t xml:space="preserve">Szasz 2001, </w:t>
      </w:r>
      <w:r w:rsidR="00792AC2" w:rsidRPr="008B68A9">
        <w:t>p. 298).</w:t>
      </w:r>
    </w:p>
    <w:p w14:paraId="5FA089D0" w14:textId="783BB2A9" w:rsidR="00114CC8" w:rsidRPr="008B68A9" w:rsidRDefault="00792AC2" w:rsidP="00133C39">
      <w:pPr>
        <w:pStyle w:val="5arangedleft"/>
        <w:rPr>
          <w:color w:val="000000"/>
          <w:szCs w:val="19"/>
        </w:rPr>
      </w:pPr>
      <w:r w:rsidRPr="008B68A9">
        <w:t xml:space="preserve">Who possesses more credible conventions of warrant in mental health is a legitimate question to pose, and one that is more opaque than traditional studies of discourse or power relations between the diagnosing and the diagnosed suggest. Gergen (1989) </w:t>
      </w:r>
      <w:r w:rsidR="00114CC8" w:rsidRPr="008B68A9">
        <w:t>asserts</w:t>
      </w:r>
      <w:r w:rsidRPr="008B68A9">
        <w:t xml:space="preserve"> that self-knowledge is not derived from introspective activity, nor from a keen awareness of emotional nuance or motivation; it is, as he suggests, “</w:t>
      </w:r>
      <w:r w:rsidRPr="008B68A9">
        <w:rPr>
          <w:color w:val="000000"/>
          <w:szCs w:val="19"/>
        </w:rPr>
        <w:t xml:space="preserve">a mastery of discourse – a 'knowing how' rather that a 'knowing that'… Rather, without grasping the linguistic skills to make the inner world come to life, one ceases to become a full participant – with all the rights that may accrue" (pp. 75-76). Voice therefore becomes an important part of </w:t>
      </w:r>
      <w:r w:rsidR="00114CC8" w:rsidRPr="008B68A9">
        <w:rPr>
          <w:color w:val="000000"/>
          <w:szCs w:val="19"/>
        </w:rPr>
        <w:t>my</w:t>
      </w:r>
      <w:r w:rsidRPr="008B68A9">
        <w:rPr>
          <w:color w:val="000000"/>
          <w:szCs w:val="19"/>
        </w:rPr>
        <w:t xml:space="preserve"> study as stakeholders’ perceptions of warrants of convention compete for legitimacy through </w:t>
      </w:r>
      <w:r w:rsidR="00114CC8" w:rsidRPr="008B68A9">
        <w:rPr>
          <w:color w:val="000000"/>
          <w:szCs w:val="19"/>
        </w:rPr>
        <w:t xml:space="preserve">their </w:t>
      </w:r>
      <w:r w:rsidRPr="008B68A9">
        <w:rPr>
          <w:color w:val="000000"/>
          <w:szCs w:val="19"/>
        </w:rPr>
        <w:t>narratives of personalisation: whose experiences warrant voice in the dichotomy between knowing what (experience talk or professional talk), and personalisation approaches (knowing how best to resolve the difficult</w:t>
      </w:r>
      <w:r w:rsidR="009C0C10" w:rsidRPr="008B68A9">
        <w:rPr>
          <w:color w:val="000000"/>
          <w:szCs w:val="19"/>
        </w:rPr>
        <w:t>ies of mental health disorder).</w:t>
      </w:r>
    </w:p>
    <w:p w14:paraId="223E2D09" w14:textId="77777777" w:rsidR="00792AC2" w:rsidRPr="008B68A9" w:rsidRDefault="00792AC2" w:rsidP="00792AC2">
      <w:pPr>
        <w:pStyle w:val="2L2header"/>
      </w:pPr>
      <w:bookmarkStart w:id="68" w:name="_Toc466800302"/>
      <w:bookmarkStart w:id="69" w:name="_Toc413827400"/>
      <w:r w:rsidRPr="008B68A9">
        <w:t>4.2 Study design</w:t>
      </w:r>
      <w:bookmarkEnd w:id="68"/>
    </w:p>
    <w:p w14:paraId="465280B8" w14:textId="7055BF10" w:rsidR="00792AC2" w:rsidRPr="008B68A9" w:rsidRDefault="00A47E3A" w:rsidP="002F0FD7">
      <w:pPr>
        <w:pStyle w:val="5arangedleft"/>
        <w:rPr>
          <w:rStyle w:val="apple-converted-space"/>
        </w:rPr>
      </w:pPr>
      <w:r w:rsidRPr="008B68A9">
        <w:t xml:space="preserve">I have used </w:t>
      </w:r>
      <w:r w:rsidR="00792AC2" w:rsidRPr="008B68A9">
        <w:t>Stake’s (2000) collective case study</w:t>
      </w:r>
      <w:r w:rsidRPr="008B68A9">
        <w:t xml:space="preserve"> approach</w:t>
      </w:r>
      <w:r w:rsidR="00792AC2" w:rsidRPr="008B68A9">
        <w:t xml:space="preserve"> to </w:t>
      </w:r>
      <w:r w:rsidR="0049251E" w:rsidRPr="008B68A9">
        <w:t>frame and combine</w:t>
      </w:r>
      <w:r w:rsidR="00792AC2" w:rsidRPr="008B68A9">
        <w:t xml:space="preserve"> </w:t>
      </w:r>
      <w:r w:rsidRPr="008B68A9">
        <w:t xml:space="preserve">data </w:t>
      </w:r>
      <w:r w:rsidR="00792AC2" w:rsidRPr="008B68A9">
        <w:t>drawn from four separate but related studies.</w:t>
      </w:r>
      <w:r w:rsidR="00792AC2" w:rsidRPr="008B68A9">
        <w:rPr>
          <w:color w:val="000000"/>
        </w:rPr>
        <w:t xml:space="preserve"> A case, for Stake (2000, p. 436), "… may be simple or complex. It may be a child, or a classroom of children, or an incident...</w:t>
      </w:r>
      <w:r w:rsidRPr="008B68A9">
        <w:rPr>
          <w:rStyle w:val="apple-converted-space"/>
          <w:color w:val="000000"/>
        </w:rPr>
        <w:t>”</w:t>
      </w:r>
      <w:r w:rsidR="00792AC2" w:rsidRPr="008B68A9">
        <w:rPr>
          <w:color w:val="000000"/>
        </w:rPr>
        <w:t xml:space="preserve"> </w:t>
      </w:r>
      <w:r w:rsidRPr="008B68A9">
        <w:rPr>
          <w:color w:val="000000"/>
        </w:rPr>
        <w:t>My</w:t>
      </w:r>
      <w:r w:rsidR="00792AC2" w:rsidRPr="008B68A9">
        <w:rPr>
          <w:color w:val="000000"/>
        </w:rPr>
        <w:t xml:space="preserve"> </w:t>
      </w:r>
      <w:r w:rsidRPr="008B68A9">
        <w:rPr>
          <w:color w:val="000000"/>
        </w:rPr>
        <w:t>thesis</w:t>
      </w:r>
      <w:r w:rsidR="00792AC2" w:rsidRPr="008B68A9">
        <w:rPr>
          <w:color w:val="000000"/>
        </w:rPr>
        <w:t xml:space="preserve"> is less concerned with the original </w:t>
      </w:r>
      <w:r w:rsidRPr="008B68A9">
        <w:rPr>
          <w:color w:val="000000"/>
        </w:rPr>
        <w:t>objectives</w:t>
      </w:r>
      <w:r w:rsidR="00792AC2" w:rsidRPr="008B68A9">
        <w:rPr>
          <w:color w:val="000000"/>
        </w:rPr>
        <w:t xml:space="preserve"> </w:t>
      </w:r>
      <w:r w:rsidRPr="008B68A9">
        <w:rPr>
          <w:color w:val="000000"/>
        </w:rPr>
        <w:t xml:space="preserve">of the commissioned studies from where </w:t>
      </w:r>
      <w:r w:rsidR="00792AC2" w:rsidRPr="008B68A9">
        <w:rPr>
          <w:color w:val="000000"/>
        </w:rPr>
        <w:t xml:space="preserve">the data </w:t>
      </w:r>
      <w:r w:rsidRPr="008B68A9">
        <w:rPr>
          <w:color w:val="000000"/>
        </w:rPr>
        <w:t>was</w:t>
      </w:r>
      <w:r w:rsidR="00792AC2" w:rsidRPr="008B68A9">
        <w:rPr>
          <w:color w:val="000000"/>
        </w:rPr>
        <w:t xml:space="preserve"> drawn, but instead</w:t>
      </w:r>
      <w:r w:rsidRPr="008B68A9">
        <w:rPr>
          <w:color w:val="000000"/>
        </w:rPr>
        <w:t xml:space="preserve"> I am</w:t>
      </w:r>
      <w:r w:rsidR="00792AC2" w:rsidRPr="008B68A9">
        <w:rPr>
          <w:color w:val="000000"/>
        </w:rPr>
        <w:t xml:space="preserve"> interested in </w:t>
      </w:r>
      <w:r w:rsidR="00792AC2" w:rsidRPr="008B68A9">
        <w:t xml:space="preserve">analysing those data afresh in a repurposed form. Stake (2000) argued that when using collective case studies, a researcher may have an interest in certain cases which could be used to pursue different interests or themes than the purposes such </w:t>
      </w:r>
      <w:r w:rsidR="00792AC2" w:rsidRPr="008B68A9">
        <w:lastRenderedPageBreak/>
        <w:t xml:space="preserve">cases may have originally been generated for. </w:t>
      </w:r>
      <w:r w:rsidR="00792AC2" w:rsidRPr="008B68A9">
        <w:rPr>
          <w:color w:val="000000"/>
        </w:rPr>
        <w:t>The cases were used in the way Stake describes below:</w:t>
      </w:r>
    </w:p>
    <w:p w14:paraId="6620F380" w14:textId="77777777" w:rsidR="00792AC2" w:rsidRPr="008B68A9" w:rsidRDefault="00792AC2" w:rsidP="002F0FD7">
      <w:pPr>
        <w:pStyle w:val="6ablockquoteroman"/>
      </w:pPr>
      <w:r w:rsidRPr="008B68A9">
        <w:t>…a researcher may jointly study a number of cases in order to investigate a phenomenon, population,... They may be similar or dissimilar, redundancy and variety each important. They are chosen because it is believed that understanding them will lead to better understanding... (p. 437).</w:t>
      </w:r>
    </w:p>
    <w:p w14:paraId="192A5B7B" w14:textId="77777777" w:rsidR="00792AC2" w:rsidRPr="008B68A9" w:rsidRDefault="00792AC2" w:rsidP="002F0FD7">
      <w:pPr>
        <w:pStyle w:val="5arangedleft"/>
      </w:pPr>
      <w:r w:rsidRPr="008B68A9">
        <w:t>The use of collective case study provided a basis upon which a re-analysis of data in the form of narratives could be undertaken. Unlike other studies exploring relationships between professionals and carers involved in personalisation in mental health (particularly the McPin study, discussed in chapter three), this study takes the novel approach of exploring the identity work through constructions of personalisation and positioning between mental health workers and individual budget users.</w:t>
      </w:r>
    </w:p>
    <w:p w14:paraId="09043955" w14:textId="77777777" w:rsidR="00792AC2" w:rsidRPr="008B68A9" w:rsidRDefault="00792AC2" w:rsidP="00792AC2">
      <w:pPr>
        <w:pStyle w:val="3L3header"/>
      </w:pPr>
      <w:bookmarkStart w:id="70" w:name="_Toc466800303"/>
      <w:r w:rsidRPr="008B68A9">
        <w:t>4.2.1 Processes</w:t>
      </w:r>
      <w:bookmarkEnd w:id="70"/>
      <w:r w:rsidRPr="008B68A9">
        <w:t xml:space="preserve"> </w:t>
      </w:r>
    </w:p>
    <w:p w14:paraId="02181579" w14:textId="0C59F592" w:rsidR="00792AC2" w:rsidRPr="008B68A9" w:rsidRDefault="00792AC2" w:rsidP="002F0FD7">
      <w:pPr>
        <w:pStyle w:val="5arangedleft"/>
      </w:pPr>
      <w:r w:rsidRPr="008B68A9">
        <w:t xml:space="preserve">Narratives were obtained from budget user participants by asking for a biographical account leading up to contact with services, with the aim of eliciting story up to the point of fracture. Bury (1982, p. 169), cites Giddens as he articulates the construction of self at critical junctures or biographic interruptions. Bury says, “We can learn a good deal about day-to-day situations in routine settings from analysing circumstances in which those settings are radically disturbed” (p. 123). The disturbance to life course for the budget holders </w:t>
      </w:r>
      <w:r w:rsidR="00CB7346" w:rsidRPr="008B68A9">
        <w:t xml:space="preserve">was </w:t>
      </w:r>
      <w:r w:rsidRPr="008B68A9">
        <w:t xml:space="preserve">predictably great, owing to the often severe nature and duration of mental health problems. The budget user profile biographic disruptions were characterised </w:t>
      </w:r>
      <w:r w:rsidR="0034382D" w:rsidRPr="008B68A9">
        <w:t>by</w:t>
      </w:r>
      <w:r w:rsidRPr="008B68A9">
        <w:t xml:space="preserve"> compromised familial or marital relationships, increased levels of unemployment and low levels of income. </w:t>
      </w:r>
    </w:p>
    <w:p w14:paraId="70FC8125" w14:textId="06334AD4" w:rsidR="00792AC2" w:rsidRPr="008B68A9" w:rsidRDefault="00792AC2" w:rsidP="002F0FD7">
      <w:pPr>
        <w:pStyle w:val="5arangedleft"/>
      </w:pPr>
      <w:r w:rsidRPr="008B68A9">
        <w:t>Nurses, social workers and occupational therapists involved in the personalisation pilot schemes also experience</w:t>
      </w:r>
      <w:r w:rsidR="00CB7346" w:rsidRPr="008B68A9">
        <w:t>d</w:t>
      </w:r>
      <w:r w:rsidRPr="008B68A9">
        <w:t xml:space="preserve"> a disruption</w:t>
      </w:r>
      <w:r w:rsidR="0034382D" w:rsidRPr="008B68A9">
        <w:t xml:space="preserve"> of their traditional methods of working</w:t>
      </w:r>
      <w:r w:rsidR="002839E0" w:rsidRPr="008B68A9">
        <w:t>. N</w:t>
      </w:r>
      <w:r w:rsidRPr="008B68A9">
        <w:t xml:space="preserve">ot perhaps </w:t>
      </w:r>
      <w:r w:rsidR="0034382D" w:rsidRPr="008B68A9">
        <w:t>to the extent that</w:t>
      </w:r>
      <w:r w:rsidRPr="008B68A9">
        <w:t xml:space="preserve"> Bury </w:t>
      </w:r>
      <w:r w:rsidR="0034382D" w:rsidRPr="008B68A9">
        <w:t xml:space="preserve">(1982) </w:t>
      </w:r>
      <w:r w:rsidR="002839E0" w:rsidRPr="008B68A9">
        <w:t>defined</w:t>
      </w:r>
      <w:r w:rsidR="0034382D" w:rsidRPr="008B68A9">
        <w:t xml:space="preserve"> as </w:t>
      </w:r>
      <w:r w:rsidR="002839E0" w:rsidRPr="008B68A9">
        <w:t>biographic disruption</w:t>
      </w:r>
      <w:r w:rsidR="0034382D" w:rsidRPr="008B68A9">
        <w:t>, though the</w:t>
      </w:r>
      <w:r w:rsidRPr="008B68A9">
        <w:t xml:space="preserve"> </w:t>
      </w:r>
      <w:r w:rsidR="002839E0" w:rsidRPr="008B68A9">
        <w:t>changes in practice arising from personalisation</w:t>
      </w:r>
      <w:r w:rsidRPr="008B68A9">
        <w:t xml:space="preserve"> nevertheless impact on their sense of professional competence and in some instances professional identity.</w:t>
      </w:r>
    </w:p>
    <w:p w14:paraId="21F35F82" w14:textId="77777777" w:rsidR="00792AC2" w:rsidRPr="008B68A9" w:rsidRDefault="00792AC2" w:rsidP="002F0FD7">
      <w:pPr>
        <w:pStyle w:val="5arangedleft"/>
      </w:pPr>
      <w:r w:rsidRPr="008B68A9">
        <w:lastRenderedPageBreak/>
        <w:t>All participants’ identities were anonymised as a condition of ethical approval, as were the NHS and social service settings where the personalisation pilots occurred, ensuring that neither were readily identifiable. As a nurse researcher I am also bound by Nursing and Midwifery Code (NMC 2015), which in keeping with those of other professional groups involved in services for vulnerable people, stipulates practice conduct and standards.</w:t>
      </w:r>
    </w:p>
    <w:p w14:paraId="10A3BA66" w14:textId="77777777" w:rsidR="00792AC2" w:rsidRPr="008B68A9" w:rsidRDefault="00792AC2" w:rsidP="00792AC2">
      <w:pPr>
        <w:pStyle w:val="3L3header"/>
      </w:pPr>
      <w:bookmarkStart w:id="71" w:name="_Toc466800304"/>
      <w:bookmarkStart w:id="72" w:name="_Toc413827396"/>
      <w:r w:rsidRPr="008B68A9">
        <w:rPr>
          <w:rStyle w:val="Heading5Char"/>
          <w:b/>
        </w:rPr>
        <w:t>4.2.2 Using narrative in this study</w:t>
      </w:r>
      <w:bookmarkEnd w:id="71"/>
      <w:r w:rsidRPr="008B68A9">
        <w:rPr>
          <w:rStyle w:val="Heading5Char"/>
          <w:b/>
        </w:rPr>
        <w:t xml:space="preserve"> </w:t>
      </w:r>
      <w:bookmarkEnd w:id="72"/>
    </w:p>
    <w:p w14:paraId="61FEB639" w14:textId="55A2A381" w:rsidR="00DB485D" w:rsidRPr="008B68A9" w:rsidRDefault="00DB485D" w:rsidP="00DB485D">
      <w:pPr>
        <w:pStyle w:val="5arangedleft"/>
      </w:pPr>
      <w:r w:rsidRPr="008B68A9">
        <w:t>This chapter now turns to the use of narrative</w:t>
      </w:r>
      <w:r w:rsidR="00837919" w:rsidRPr="008B68A9">
        <w:t xml:space="preserve"> method</w:t>
      </w:r>
      <w:r w:rsidRPr="008B68A9">
        <w:t xml:space="preserve"> discuss</w:t>
      </w:r>
      <w:r w:rsidR="00837919" w:rsidRPr="008B68A9">
        <w:t>ing</w:t>
      </w:r>
      <w:r w:rsidRPr="008B68A9">
        <w:t xml:space="preserve"> </w:t>
      </w:r>
      <w:r w:rsidR="007910AC" w:rsidRPr="008B68A9">
        <w:t>its</w:t>
      </w:r>
      <w:r w:rsidRPr="008B68A9">
        <w:t xml:space="preserve"> </w:t>
      </w:r>
      <w:r w:rsidR="00837919" w:rsidRPr="008B68A9">
        <w:t xml:space="preserve">use </w:t>
      </w:r>
      <w:r w:rsidRPr="008B68A9">
        <w:t>as a means of constructing identity and as a valid research approach</w:t>
      </w:r>
      <w:r w:rsidR="007910AC" w:rsidRPr="008B68A9">
        <w:t xml:space="preserve"> for this thesis</w:t>
      </w:r>
      <w:r w:rsidRPr="008B68A9">
        <w:t>:</w:t>
      </w:r>
    </w:p>
    <w:p w14:paraId="03A186E5" w14:textId="7D178072" w:rsidR="00DB485D" w:rsidRPr="008B68A9" w:rsidRDefault="00DB485D" w:rsidP="00DB485D">
      <w:pPr>
        <w:pStyle w:val="6ablockquoteroman"/>
      </w:pPr>
      <w:r w:rsidRPr="008B68A9">
        <w:t>Man is always a storyteller! He lives surrounded by his and others' myths. With them he sees everything in his life, no matter what befalls him. And he seeks to live his life as though he were telling it. (Sartre, cited in Gergen and Gergen 1983, p. 253)</w:t>
      </w:r>
    </w:p>
    <w:p w14:paraId="66C0BF07" w14:textId="77777777" w:rsidR="00DB485D" w:rsidRPr="008B68A9" w:rsidRDefault="00DB485D" w:rsidP="00DB485D">
      <w:pPr>
        <w:pStyle w:val="5arangedleft"/>
      </w:pPr>
      <w:r w:rsidRPr="008B68A9">
        <w:t>Jerome Bruner (1987) highlights the way that narrative can achieve more than a simple recounting stories or representations of the temporal ordering of experience. Rather, the action of sharing narrative makes clear an essential component of being, that of presenting self to self and self to others:</w:t>
      </w:r>
    </w:p>
    <w:p w14:paraId="0B6D6675" w14:textId="77777777" w:rsidR="00DB485D" w:rsidRPr="008B68A9" w:rsidRDefault="00DB485D" w:rsidP="00DB485D">
      <w:pPr>
        <w:pStyle w:val="6ablockquoteroman"/>
      </w:pPr>
      <w:r w:rsidRPr="008B68A9">
        <w:t>I believe that the ways of telling and the ways of conceptualizing that go with them become so habitual that they finally become recipes for structuring experience itself, for laying down routes into memory, for not only guiding the life narrative up to the present but directing it into the future. I have argued that a life as led is inseparable from a life as told - or more bluntly, a life is not “how it was” but how it is interpreted and reinterpreted, told and retold. (p. 21)</w:t>
      </w:r>
    </w:p>
    <w:p w14:paraId="7F005417" w14:textId="7804F2D0" w:rsidR="00DB485D" w:rsidRPr="008B68A9" w:rsidRDefault="00DB485D" w:rsidP="00DB485D">
      <w:pPr>
        <w:pStyle w:val="5arangedleft"/>
      </w:pPr>
      <w:r w:rsidRPr="008B68A9">
        <w:t xml:space="preserve">Bruner makes </w:t>
      </w:r>
      <w:r w:rsidR="00A47E3A" w:rsidRPr="008B68A9">
        <w:t>the</w:t>
      </w:r>
      <w:r w:rsidRPr="008B68A9">
        <w:t xml:space="preserve"> relationship between experience and meaning</w:t>
      </w:r>
      <w:r w:rsidR="00291800" w:rsidRPr="008B68A9">
        <w:t xml:space="preserve"> clear</w:t>
      </w:r>
      <w:r w:rsidRPr="008B68A9">
        <w:t xml:space="preserve">: one cannot occur without the other, and that the transmission of meaning is not static but subject to social flux. Burr (1995) cites Sarbin (1986) highlighting the universality of narrative from seemingly every day or mundane sense making, to profound notions of self and identity extending beyond our waking worlds: </w:t>
      </w:r>
    </w:p>
    <w:p w14:paraId="4AA70265" w14:textId="77777777" w:rsidR="00DB485D" w:rsidRPr="008B68A9" w:rsidRDefault="00DB485D" w:rsidP="00DB485D">
      <w:pPr>
        <w:pStyle w:val="6ablockquoteroman"/>
      </w:pPr>
      <w:r w:rsidRPr="008B68A9">
        <w:t xml:space="preserve">Sarbin sees narrative, as the organising principle of our psychology, to be present in all manner of facets of daily life. It is present in our dreams and daydreams, in our rememberings, in our plans for the future or the day ahead, and in our accounts that we tell to others. When we 'remember' a dream, we do not recount it as a story that has a beginning, a middle and an </w:t>
      </w:r>
      <w:r w:rsidRPr="008B68A9">
        <w:lastRenderedPageBreak/>
        <w:t>end. In some cases, we are aware of having to do a good deal of 'story construction' with the dream material in order to give it a sense of narrative. (Burr 1995, p. 134)</w:t>
      </w:r>
    </w:p>
    <w:p w14:paraId="0413C944" w14:textId="1F4F2011" w:rsidR="00DB485D" w:rsidRPr="008B68A9" w:rsidRDefault="00DB485D" w:rsidP="00DB485D">
      <w:pPr>
        <w:pStyle w:val="5arangedleft"/>
      </w:pPr>
      <w:r w:rsidRPr="008B68A9">
        <w:t>Narrative is methodologically broad, embracing many approaches within its discipline and representing a number of traditions within the genre (Reissman 1993, Chase 2003). Narrative is used in this study interchangeably with stories, in the way that Sarbin (1983, p. 3) states narrative as “being coterminous with story as used by ordinary speakers of English</w:t>
      </w:r>
      <w:r w:rsidR="00327250" w:rsidRPr="008B68A9">
        <w:t>.</w:t>
      </w:r>
      <w:r w:rsidRPr="008B68A9">
        <w:t xml:space="preserve">” </w:t>
      </w:r>
      <w:r w:rsidR="00327250" w:rsidRPr="008B68A9">
        <w:t xml:space="preserve">This thesis will use stories to denote the narrative accounts taken from the dataset from which the analysis will be demonstrated. </w:t>
      </w:r>
      <w:r w:rsidRPr="008B68A9">
        <w:t xml:space="preserve">Narrative is both a means to and method of inquiry, and has seen a growth in application to research in social sciences over the past 20 years (Charmaz 1999, Reissman 2008). Bryman (2010) states that narrative has the advantage of being a means of appreciating the storied nature of human experiences as well as a method for exploring the stories people tell about their lives. Narratives or stories have been used across spheres of social science as well as more traditional arenas of human or historical enquiry, resulting in its diverse application. </w:t>
      </w:r>
    </w:p>
    <w:p w14:paraId="061CF0C0" w14:textId="57330441" w:rsidR="00DB485D" w:rsidRPr="008B68A9" w:rsidRDefault="007910AC" w:rsidP="00DB485D">
      <w:pPr>
        <w:pStyle w:val="5arangedleft"/>
      </w:pPr>
      <w:r w:rsidRPr="008B68A9">
        <w:rPr>
          <w:rFonts w:eastAsia="Calibri" w:cs="Times New Roman"/>
        </w:rPr>
        <w:t>Polkinghorne</w:t>
      </w:r>
      <w:r w:rsidRPr="008B68A9">
        <w:t xml:space="preserve"> </w:t>
      </w:r>
      <w:r w:rsidR="00DB485D" w:rsidRPr="008B68A9">
        <w:t xml:space="preserve">(2007) identifies narrative’s use by psychologists, historical scholars, sociologists and healthcare researchers (Holloway and Freshwater 2007), and it is within the tradition of healthcare research that </w:t>
      </w:r>
      <w:r w:rsidR="00291800" w:rsidRPr="008B68A9">
        <w:t>my</w:t>
      </w:r>
      <w:r w:rsidR="00DB485D" w:rsidRPr="008B68A9">
        <w:t xml:space="preserve"> study sits. </w:t>
      </w:r>
      <w:r w:rsidR="00291800" w:rsidRPr="008B68A9">
        <w:t>T</w:t>
      </w:r>
      <w:r w:rsidR="00DB485D" w:rsidRPr="008B68A9">
        <w:t xml:space="preserve">he broad appeal of narrative presents </w:t>
      </w:r>
      <w:r w:rsidR="00291800" w:rsidRPr="008B68A9">
        <w:t xml:space="preserve">researchers from diverse origins with </w:t>
      </w:r>
      <w:r w:rsidR="00DB485D" w:rsidRPr="008B68A9">
        <w:t xml:space="preserve">opportunities, because of its non-theoretical basis </w:t>
      </w:r>
      <w:r w:rsidR="00291800" w:rsidRPr="008B68A9">
        <w:t>over theory generation. S</w:t>
      </w:r>
      <w:r w:rsidR="00DB485D" w:rsidRPr="008B68A9">
        <w:t xml:space="preserve">omers (1994, p.606) states, “…narrative analysis is not something easily assimilated into the social-science research agenda”. </w:t>
      </w:r>
      <w:r w:rsidR="00291800" w:rsidRPr="008B68A9">
        <w:t xml:space="preserve">My study </w:t>
      </w:r>
      <w:r w:rsidR="00DB485D" w:rsidRPr="008B68A9">
        <w:t>though, draws on narratives from participants with diverse roles and experiences, including service users, brokers and case workers whose professional credentials encompass he</w:t>
      </w:r>
      <w:r w:rsidR="00291800" w:rsidRPr="008B68A9">
        <w:t>alth and social service domains.</w:t>
      </w:r>
    </w:p>
    <w:p w14:paraId="1F4CAE53" w14:textId="0BF00C0A" w:rsidR="00DB485D" w:rsidRPr="008B68A9" w:rsidRDefault="00DB485D" w:rsidP="00DB485D">
      <w:pPr>
        <w:pStyle w:val="3L3header"/>
      </w:pPr>
      <w:bookmarkStart w:id="73" w:name="_Toc466800305"/>
      <w:r w:rsidRPr="008B68A9">
        <w:t>4.2.3 Stories, narrative structure and temporality</w:t>
      </w:r>
      <w:bookmarkEnd w:id="73"/>
    </w:p>
    <w:p w14:paraId="5BC85EF2" w14:textId="77777777" w:rsidR="00DB485D" w:rsidRPr="008B68A9" w:rsidRDefault="00DB485D" w:rsidP="00DB485D">
      <w:pPr>
        <w:pStyle w:val="6ablockquoteroman"/>
      </w:pPr>
      <w:r w:rsidRPr="008B68A9">
        <w:t>Stories call out and demand interpretation even as they resist it. No matter how pure the pleasure that humans take in being caught up in a story, storytelling raises questions about both the characters in the story and who is telling the story. (Frank 2012 p. 86)</w:t>
      </w:r>
    </w:p>
    <w:p w14:paraId="30EF5DFB" w14:textId="5B370E26" w:rsidR="00DB485D" w:rsidRPr="008B68A9" w:rsidRDefault="00DB485D" w:rsidP="00DB485D">
      <w:pPr>
        <w:pStyle w:val="5arangedleft"/>
      </w:pPr>
      <w:r w:rsidRPr="008B68A9">
        <w:t xml:space="preserve">So begins Arthur Frank as he describes interpretation of narrative and storytelling, focusing on the inherently human activity of sharing and eliciting meaning through </w:t>
      </w:r>
      <w:r w:rsidRPr="008B68A9">
        <w:lastRenderedPageBreak/>
        <w:t xml:space="preserve">the medium of stories. A reciprocal process of interpretation of stories simultaneously occurs for both storyteller and the listener, which according to Frank is “always a work in progress” (p. 87). Narratives are inherently social (Sarbin 1986, Gergen and Gergen 1986, Chase 2003), constructing personal meaning and conveying identity through the speech acts of stories. Although diverse, the stories themselves often adhere to </w:t>
      </w:r>
      <w:r w:rsidR="00291800" w:rsidRPr="008B68A9">
        <w:t xml:space="preserve">the </w:t>
      </w:r>
      <w:r w:rsidRPr="008B68A9">
        <w:t>structural conventions of plot and temporality, rendering the stories comprehensible to the listener and coherent to narrator alike. Convention in narrative structure can be seen as important (Labov and Waletzky 1967), though for others stories can be more fluid, emerging through their deployment as participants attempt to make sense of often complex and emotionally laden journeys (Frank 2012).</w:t>
      </w:r>
    </w:p>
    <w:p w14:paraId="69F52785" w14:textId="7FB34C00" w:rsidR="00DB485D" w:rsidRPr="008B68A9" w:rsidRDefault="00DB485D" w:rsidP="00DB485D">
      <w:pPr>
        <w:pStyle w:val="5arangedleft"/>
      </w:pPr>
      <w:r w:rsidRPr="008B68A9">
        <w:t xml:space="preserve">Brooks’ (1984) examination of plot within stories refers to literary criticism, stating that the human condition </w:t>
      </w:r>
      <w:r w:rsidR="00291800" w:rsidRPr="008B68A9">
        <w:t>possesses</w:t>
      </w:r>
      <w:r w:rsidRPr="008B68A9">
        <w:t xml:space="preserve"> an innate receptiveness for narrative, describing </w:t>
      </w:r>
      <w:r w:rsidR="00291800" w:rsidRPr="008B68A9">
        <w:t>us</w:t>
      </w:r>
      <w:r w:rsidRPr="008B68A9">
        <w:t xml:space="preserve"> as a “…fiction making animal, one defined by fantasies…” (p. 108). He noted that it was as if humans were hardwired to interpret and communicate experience through a storied medium, a view taken up in social constructionism theory by Sarbin (1986):</w:t>
      </w:r>
    </w:p>
    <w:p w14:paraId="7CFA0223" w14:textId="77777777" w:rsidR="00DB485D" w:rsidRPr="008B68A9" w:rsidRDefault="00DB485D" w:rsidP="00DB485D">
      <w:pPr>
        <w:pStyle w:val="6ablockquoteroman"/>
      </w:pPr>
      <w:r w:rsidRPr="008B68A9">
        <w:t>The narrative is a way of organizing episodes, actions, and accounts of actions; it is an achievement that brings together mundane facts and fantastic creations; time and place are incorporated. The narrative allow for the inclusion of the actors' reasons for their acts, as well as the causes of happening. (p. 9)</w:t>
      </w:r>
    </w:p>
    <w:p w14:paraId="1E30FD57" w14:textId="7504CD02" w:rsidR="00DB485D" w:rsidRPr="008B68A9" w:rsidRDefault="00DB485D" w:rsidP="00DB485D">
      <w:pPr>
        <w:pStyle w:val="5arangedleft"/>
      </w:pPr>
      <w:r w:rsidRPr="008B68A9">
        <w:t xml:space="preserve">The traditional convention of narrative (Sarbin 1986), according to Brooks (1984) centres on </w:t>
      </w:r>
      <w:r w:rsidRPr="008B68A9">
        <w:rPr>
          <w:i/>
          <w:iCs/>
        </w:rPr>
        <w:t>mythos</w:t>
      </w:r>
      <w:r w:rsidRPr="008B68A9">
        <w:t xml:space="preserve"> or plot, is the pivotal aspect </w:t>
      </w:r>
      <w:r w:rsidR="00291800" w:rsidRPr="008B68A9">
        <w:t xml:space="preserve">driving </w:t>
      </w:r>
      <w:r w:rsidRPr="008B68A9">
        <w:t>stories by temporal ordering of beginnings, middle</w:t>
      </w:r>
      <w:r w:rsidR="00291800" w:rsidRPr="008B68A9">
        <w:t>s</w:t>
      </w:r>
      <w:r w:rsidRPr="008B68A9">
        <w:t xml:space="preserve"> and satisfactory endings. Burr (1995 p. 135) suggests that Sarbin’s approach to structure and narrative is “evidence of and dependent on the presence of time” and that plot, characterisation and action within narrative are legitimate components for analysis. However, narrative need not correspond to temporal ordering as the narrator may cast their actions or those of others ahead of </w:t>
      </w:r>
      <w:r w:rsidR="00291800" w:rsidRPr="008B68A9">
        <w:t>plot. I</w:t>
      </w:r>
      <w:r w:rsidRPr="008B68A9">
        <w:t xml:space="preserve">n the unfolding narrative, </w:t>
      </w:r>
      <w:r w:rsidR="00291800" w:rsidRPr="008B68A9">
        <w:t>the narrator contextualises their role which</w:t>
      </w:r>
      <w:r w:rsidRPr="008B68A9">
        <w:t xml:space="preserve"> may serve different functions</w:t>
      </w:r>
      <w:r w:rsidR="00291800" w:rsidRPr="008B68A9">
        <w:t>,</w:t>
      </w:r>
      <w:r w:rsidRPr="008B68A9">
        <w:t xml:space="preserve"> </w:t>
      </w:r>
      <w:r w:rsidR="00291800" w:rsidRPr="008B68A9">
        <w:t>(such</w:t>
      </w:r>
      <w:r w:rsidRPr="008B68A9">
        <w:t xml:space="preserve"> as conventions of warrant (Gergen 1989), seeking to establish credibility of self within </w:t>
      </w:r>
      <w:r w:rsidR="00291800" w:rsidRPr="008B68A9">
        <w:t>a</w:t>
      </w:r>
      <w:r w:rsidRPr="008B68A9">
        <w:t xml:space="preserve"> genre </w:t>
      </w:r>
      <w:r w:rsidR="00291800" w:rsidRPr="008B68A9">
        <w:t>of</w:t>
      </w:r>
      <w:r w:rsidRPr="008B68A9">
        <w:t xml:space="preserve"> hero or victim. Viewed from social </w:t>
      </w:r>
      <w:r w:rsidRPr="008B68A9">
        <w:lastRenderedPageBreak/>
        <w:t xml:space="preserve">constructionism, narrative convention indicates how identity </w:t>
      </w:r>
      <w:r w:rsidR="00291800" w:rsidRPr="008B68A9">
        <w:t>is</w:t>
      </w:r>
      <w:r w:rsidRPr="008B68A9">
        <w:t xml:space="preserve"> created and maintained through the narrator’s interaction with their story. </w:t>
      </w:r>
    </w:p>
    <w:p w14:paraId="5873B969" w14:textId="604BBF52" w:rsidR="00DB485D" w:rsidRPr="008B68A9" w:rsidRDefault="00DB485D" w:rsidP="00DB485D">
      <w:pPr>
        <w:pStyle w:val="5arangedleft"/>
      </w:pPr>
      <w:r w:rsidRPr="008B68A9">
        <w:t xml:space="preserve">New identity may be </w:t>
      </w:r>
      <w:r w:rsidR="001112EA" w:rsidRPr="008B68A9">
        <w:t>found</w:t>
      </w:r>
      <w:r w:rsidRPr="008B68A9">
        <w:t xml:space="preserve"> through story, or</w:t>
      </w:r>
      <w:r w:rsidR="001112EA" w:rsidRPr="008B68A9">
        <w:t xml:space="preserve"> through the</w:t>
      </w:r>
      <w:r w:rsidRPr="008B68A9">
        <w:t xml:space="preserve"> confirmation </w:t>
      </w:r>
      <w:r w:rsidR="001112EA" w:rsidRPr="008B68A9">
        <w:t>of</w:t>
      </w:r>
      <w:r w:rsidRPr="008B68A9">
        <w:t xml:space="preserve"> others </w:t>
      </w:r>
      <w:r w:rsidR="00E93612" w:rsidRPr="008B68A9">
        <w:t>highlighting a</w:t>
      </w:r>
      <w:r w:rsidRPr="008B68A9">
        <w:t xml:space="preserve"> need to achieve personal congruency through </w:t>
      </w:r>
      <w:r w:rsidR="00E93612" w:rsidRPr="008B68A9">
        <w:t>the telling of narratives</w:t>
      </w:r>
      <w:r w:rsidRPr="008B68A9">
        <w:t xml:space="preserve">. Sarbin (1989) proposed that to maintain </w:t>
      </w:r>
      <w:r w:rsidR="00E93612" w:rsidRPr="008B68A9">
        <w:t xml:space="preserve">identity </w:t>
      </w:r>
      <w:r w:rsidRPr="008B68A9">
        <w:t xml:space="preserve">congruence </w:t>
      </w:r>
      <w:r w:rsidR="00E93612" w:rsidRPr="008B68A9">
        <w:t xml:space="preserve">a </w:t>
      </w:r>
      <w:r w:rsidRPr="008B68A9">
        <w:t xml:space="preserve">processes of smoothing occurs, where </w:t>
      </w:r>
      <w:r w:rsidR="00E93612" w:rsidRPr="008B68A9">
        <w:t xml:space="preserve">a </w:t>
      </w:r>
      <w:r w:rsidRPr="008B68A9">
        <w:t>narrator</w:t>
      </w:r>
      <w:r w:rsidR="00E93612" w:rsidRPr="008B68A9">
        <w:t>’s</w:t>
      </w:r>
      <w:r w:rsidRPr="008B68A9">
        <w:t xml:space="preserve"> identity is achieved through </w:t>
      </w:r>
      <w:r w:rsidR="00E93612" w:rsidRPr="008B68A9">
        <w:t xml:space="preserve">the </w:t>
      </w:r>
      <w:r w:rsidRPr="008B68A9">
        <w:t xml:space="preserve">recounting </w:t>
      </w:r>
      <w:r w:rsidR="00E93612" w:rsidRPr="008B68A9">
        <w:t xml:space="preserve">of </w:t>
      </w:r>
      <w:r w:rsidRPr="008B68A9">
        <w:t>their roles, actions or motivations cast in ways tha</w:t>
      </w:r>
      <w:r w:rsidR="00E93612" w:rsidRPr="008B68A9">
        <w:t>t maintain personal congruency.</w:t>
      </w:r>
    </w:p>
    <w:p w14:paraId="1FE12C28" w14:textId="5E10DBA9" w:rsidR="00DB485D" w:rsidRPr="008B68A9" w:rsidRDefault="00DB485D" w:rsidP="00DB485D">
      <w:pPr>
        <w:pStyle w:val="5arangedleft"/>
      </w:pPr>
      <w:r w:rsidRPr="008B68A9">
        <w:t>Reissman (1993) describes plot within narrative as a process of scene setting for the listen</w:t>
      </w:r>
      <w:r w:rsidR="00E93612" w:rsidRPr="008B68A9">
        <w:t>er, though Murray (1999), citing</w:t>
      </w:r>
      <w:r w:rsidR="00870352" w:rsidRPr="008B68A9">
        <w:t xml:space="preserve"> Frye, (1957), using </w:t>
      </w:r>
      <w:r w:rsidRPr="008B68A9">
        <w:t>the term 'emplotment' t</w:t>
      </w:r>
      <w:r w:rsidR="00E93612" w:rsidRPr="008B68A9">
        <w:t xml:space="preserve">o describe this action. The use of emplotment </w:t>
      </w:r>
      <w:r w:rsidRPr="008B68A9">
        <w:t>create</w:t>
      </w:r>
      <w:r w:rsidR="00E93612" w:rsidRPr="008B68A9">
        <w:t>s</w:t>
      </w:r>
      <w:r w:rsidRPr="008B68A9">
        <w:t xml:space="preserve"> a temporal order which for Murray (1999) is not simply an event or an end in itself, but </w:t>
      </w:r>
      <w:r w:rsidR="00870352" w:rsidRPr="008B68A9">
        <w:t xml:space="preserve">is </w:t>
      </w:r>
      <w:r w:rsidRPr="008B68A9">
        <w:t xml:space="preserve">part of an iterative process of identity. Narratives therefore </w:t>
      </w:r>
      <w:r w:rsidR="00870352" w:rsidRPr="008B68A9">
        <w:t xml:space="preserve">are </w:t>
      </w:r>
      <w:r w:rsidRPr="008B68A9">
        <w:t xml:space="preserve">given </w:t>
      </w:r>
      <w:r w:rsidR="00870352" w:rsidRPr="008B68A9">
        <w:t xml:space="preserve">their </w:t>
      </w:r>
      <w:r w:rsidRPr="008B68A9">
        <w:t xml:space="preserve">shape in </w:t>
      </w:r>
      <w:r w:rsidR="00E93612" w:rsidRPr="008B68A9">
        <w:t xml:space="preserve">their </w:t>
      </w:r>
      <w:r w:rsidRPr="008B68A9">
        <w:t>retelling, pre</w:t>
      </w:r>
      <w:r w:rsidR="00870352" w:rsidRPr="008B68A9">
        <w:t>sented as recognisable accounts</w:t>
      </w:r>
      <w:r w:rsidRPr="008B68A9">
        <w:t xml:space="preserve">. In </w:t>
      </w:r>
      <w:r w:rsidR="00870352" w:rsidRPr="008B68A9">
        <w:t>a</w:t>
      </w:r>
      <w:r w:rsidRPr="008B68A9">
        <w:t xml:space="preserve"> context of mental health, narrative and plot</w:t>
      </w:r>
      <w:r w:rsidR="00870352" w:rsidRPr="008B68A9">
        <w:t xml:space="preserve"> function to</w:t>
      </w:r>
      <w:r w:rsidRPr="008B68A9">
        <w:t xml:space="preserve"> locate the storyteller’s predisposing, precipitating and maintaining factors </w:t>
      </w:r>
      <w:r w:rsidR="00870352" w:rsidRPr="008B68A9">
        <w:t>in</w:t>
      </w:r>
      <w:r w:rsidRPr="008B68A9">
        <w:t xml:space="preserve"> their mental health story.</w:t>
      </w:r>
      <w:r w:rsidR="00E93612" w:rsidRPr="008B68A9">
        <w:t xml:space="preserve"> </w:t>
      </w:r>
      <w:r w:rsidR="00AD6AD9" w:rsidRPr="008B68A9">
        <w:t>Classic stories</w:t>
      </w:r>
      <w:r w:rsidRPr="008B68A9">
        <w:t xml:space="preserve"> </w:t>
      </w:r>
      <w:r w:rsidR="00870352" w:rsidRPr="008B68A9">
        <w:t>according to Brooks (1984) f</w:t>
      </w:r>
      <w:r w:rsidRPr="008B68A9">
        <w:t xml:space="preserve">ollow an ordered and temporal arc </w:t>
      </w:r>
      <w:r w:rsidR="00870352" w:rsidRPr="008B68A9">
        <w:t>with</w:t>
      </w:r>
      <w:r w:rsidRPr="008B68A9">
        <w:t xml:space="preserve"> events presented chronologically, as one event following from another. However, lives</w:t>
      </w:r>
      <w:r w:rsidR="00870352" w:rsidRPr="008B68A9">
        <w:t xml:space="preserve"> retold</w:t>
      </w:r>
      <w:r w:rsidRPr="008B68A9">
        <w:t xml:space="preserve"> and accounts within </w:t>
      </w:r>
      <w:r w:rsidR="008C3A7A" w:rsidRPr="008B68A9">
        <w:t xml:space="preserve">those </w:t>
      </w:r>
      <w:r w:rsidRPr="008B68A9">
        <w:t>experiences are not always neatly ordered nor articulated. In interviews with people with long histories of substance misuse, as in the case of the fourth North West personalisation study,</w:t>
      </w:r>
      <w:r w:rsidR="00E93612" w:rsidRPr="008B68A9">
        <w:t xml:space="preserve"> (see section 5.6 in chapter five),</w:t>
      </w:r>
      <w:r w:rsidRPr="008B68A9">
        <w:t xml:space="preserve"> user narratives rarely </w:t>
      </w:r>
      <w:r w:rsidR="00E93612" w:rsidRPr="008B68A9">
        <w:t>neatly recounted sequentially conforming</w:t>
      </w:r>
      <w:r w:rsidRPr="008B68A9">
        <w:t xml:space="preserve"> to a</w:t>
      </w:r>
      <w:r w:rsidR="00E93612" w:rsidRPr="008B68A9">
        <w:t xml:space="preserve"> temporal arc</w:t>
      </w:r>
      <w:r w:rsidRPr="008B68A9">
        <w:t xml:space="preserve">. Memory and recall were often compromised, resulting from extended periods of intoxication and </w:t>
      </w:r>
      <w:r w:rsidR="000B7AE2" w:rsidRPr="008B68A9">
        <w:t>subsequent chaos.</w:t>
      </w:r>
    </w:p>
    <w:p w14:paraId="1C67B654" w14:textId="77777777" w:rsidR="00DB485D" w:rsidRPr="008B68A9" w:rsidRDefault="00DB485D" w:rsidP="00DB485D">
      <w:pPr>
        <w:pStyle w:val="5arangedleft"/>
      </w:pPr>
      <w:r w:rsidRPr="008B68A9">
        <w:t>Dowling (2011) explored Ricoeur’s critique of mythos and emplotment, offering a more complex conception beyond temporal setting of plot. Dowling’s insight shows how Ricoeur constructed the recounting of plot through the ‘arc of operation’ termed mimesis</w:t>
      </w:r>
      <w:r w:rsidRPr="008B68A9">
        <w:rPr>
          <w:b/>
          <w:vertAlign w:val="subscript"/>
        </w:rPr>
        <w:t>1</w:t>
      </w:r>
      <w:r w:rsidRPr="008B68A9">
        <w:t xml:space="preserve"> mimesis</w:t>
      </w:r>
      <w:r w:rsidRPr="008B68A9">
        <w:rPr>
          <w:b/>
          <w:vertAlign w:val="subscript"/>
        </w:rPr>
        <w:t>2</w:t>
      </w:r>
      <w:r w:rsidRPr="008B68A9">
        <w:t xml:space="preserve"> and mimesis</w:t>
      </w:r>
      <w:r w:rsidRPr="008B68A9">
        <w:rPr>
          <w:b/>
          <w:vertAlign w:val="subscript"/>
        </w:rPr>
        <w:t>3</w:t>
      </w:r>
      <w:r w:rsidRPr="008B68A9">
        <w:t xml:space="preserve">. This proposes a departure from temporal emplotment: rather than one thing follows because of another, narration is simultaneously observed from three perspectives of origin, present and future, </w:t>
      </w:r>
      <w:r w:rsidRPr="008B68A9">
        <w:lastRenderedPageBreak/>
        <w:t xml:space="preserve">which shape and re-fashion the story </w:t>
      </w:r>
      <w:r w:rsidRPr="008B68A9">
        <w:rPr>
          <w:i/>
        </w:rPr>
        <w:t>in vivo</w:t>
      </w:r>
      <w:r w:rsidRPr="008B68A9">
        <w:t>. The narrative arises from a ‘prefiguration’, mimesis</w:t>
      </w:r>
      <w:r w:rsidRPr="008B68A9">
        <w:rPr>
          <w:b/>
          <w:vertAlign w:val="subscript"/>
        </w:rPr>
        <w:t>1</w:t>
      </w:r>
      <w:r w:rsidRPr="008B68A9">
        <w:rPr>
          <w:vertAlign w:val="subscript"/>
        </w:rPr>
        <w:t xml:space="preserve"> </w:t>
      </w:r>
      <w:r w:rsidRPr="008B68A9">
        <w:t>something akin to Heidegger’s fore-understanding (1978), to mimesis</w:t>
      </w:r>
      <w:r w:rsidRPr="008B68A9">
        <w:rPr>
          <w:b/>
          <w:vertAlign w:val="subscript"/>
        </w:rPr>
        <w:t xml:space="preserve">2, </w:t>
      </w:r>
      <w:r w:rsidRPr="008B68A9">
        <w:t>where culturally embedded understanding allows a story to be told and understood</w:t>
      </w:r>
      <w:r w:rsidRPr="008B68A9">
        <w:rPr>
          <w:b/>
          <w:vertAlign w:val="subscript"/>
        </w:rPr>
        <w:t>.</w:t>
      </w:r>
      <w:r w:rsidRPr="008B68A9">
        <w:t xml:space="preserve"> The final component, for Ricoeur termed ‘reintegration’, mimesis</w:t>
      </w:r>
      <w:r w:rsidRPr="008B68A9">
        <w:rPr>
          <w:vertAlign w:val="subscript"/>
        </w:rPr>
        <w:t>3</w:t>
      </w:r>
      <w:r w:rsidRPr="008B68A9">
        <w:rPr>
          <w:b/>
          <w:vertAlign w:val="subscript"/>
        </w:rPr>
        <w:t>,</w:t>
      </w:r>
      <w:r w:rsidRPr="008B68A9">
        <w:t xml:space="preserve"> represents preparedness to integrate a changed self-perception upon a story’s completion. The reader, viewer or listener of narrative experiences it through mimesis</w:t>
      </w:r>
      <w:r w:rsidRPr="008B68A9">
        <w:rPr>
          <w:vertAlign w:val="subscript"/>
        </w:rPr>
        <w:t>1,2,3</w:t>
      </w:r>
      <w:r w:rsidRPr="008B68A9">
        <w:t xml:space="preserve"> simultaneously, so that understanding through prefiguring integration and following plot occur in an interdependent way.</w:t>
      </w:r>
    </w:p>
    <w:p w14:paraId="51CA660B" w14:textId="4B5E9EA4" w:rsidR="00DB485D" w:rsidRPr="008B68A9" w:rsidRDefault="00DB485D" w:rsidP="00DB485D">
      <w:pPr>
        <w:pStyle w:val="5arangedleft"/>
      </w:pPr>
      <w:r w:rsidRPr="008B68A9">
        <w:t xml:space="preserve">The use of narrative in </w:t>
      </w:r>
      <w:r w:rsidR="000B7AE2" w:rsidRPr="008B68A9">
        <w:t>my</w:t>
      </w:r>
      <w:r w:rsidRPr="008B68A9">
        <w:t xml:space="preserve"> study was influenced by Ricoeur’s arc of temporality to understand the participants’ identity work within </w:t>
      </w:r>
      <w:r w:rsidR="000B7AE2" w:rsidRPr="008B68A9">
        <w:t xml:space="preserve">their </w:t>
      </w:r>
      <w:r w:rsidRPr="008B68A9">
        <w:t xml:space="preserve">stories </w:t>
      </w:r>
      <w:r w:rsidR="000B7AE2" w:rsidRPr="008B68A9">
        <w:t>of</w:t>
      </w:r>
      <w:r w:rsidRPr="008B68A9">
        <w:t xml:space="preserve"> personalisation, though does not counter the diachronic temporality of Gergen and Gergen (1983), necessary for narrative trajectories. Stories, both positive and negative, were taken from biographical accounts that created strands of meaning which were not necessarily dependent on temporal ordering. In the context of the semi-structured interview narratives, researcher and storytellers were engaged in constructing narratives of personalisation. Using a narrative framework, </w:t>
      </w:r>
      <w:r w:rsidR="000B7AE2" w:rsidRPr="008B68A9">
        <w:t>my</w:t>
      </w:r>
      <w:r w:rsidRPr="008B68A9">
        <w:t xml:space="preserve"> study has been able to identify </w:t>
      </w:r>
      <w:r w:rsidR="000B7AE2" w:rsidRPr="008B68A9">
        <w:t xml:space="preserve">participants’ </w:t>
      </w:r>
      <w:r w:rsidRPr="008B68A9">
        <w:t xml:space="preserve">acts of identity talk of through their stories of adaptation and experiences of personalisation. </w:t>
      </w:r>
      <w:r w:rsidR="000B7AE2" w:rsidRPr="008B68A9">
        <w:t>My</w:t>
      </w:r>
      <w:r w:rsidRPr="008B68A9">
        <w:t xml:space="preserve"> study aimed to explore more than one construction of personalisation, as the </w:t>
      </w:r>
      <w:r w:rsidR="000B7AE2" w:rsidRPr="008B68A9">
        <w:t xml:space="preserve">professional and broker </w:t>
      </w:r>
      <w:r w:rsidRPr="008B68A9">
        <w:t>narratives were deemed as important as tho</w:t>
      </w:r>
      <w:r w:rsidR="000B7AE2" w:rsidRPr="008B68A9">
        <w:t>se of people receiving budgets.</w:t>
      </w:r>
    </w:p>
    <w:p w14:paraId="7224ABB5" w14:textId="5AE10FE4" w:rsidR="00792AC2" w:rsidRPr="008B68A9" w:rsidRDefault="00792AC2" w:rsidP="002F0FD7">
      <w:pPr>
        <w:pStyle w:val="5arangedleft"/>
      </w:pPr>
      <w:r w:rsidRPr="008B68A9">
        <w:t>The narratives</w:t>
      </w:r>
      <w:r w:rsidR="00AD6AD9" w:rsidRPr="008B68A9">
        <w:t xml:space="preserve"> in </w:t>
      </w:r>
      <w:r w:rsidR="009D2350" w:rsidRPr="008B68A9">
        <w:t>my</w:t>
      </w:r>
      <w:r w:rsidR="00AD6AD9" w:rsidRPr="008B68A9">
        <w:t xml:space="preserve"> study</w:t>
      </w:r>
      <w:r w:rsidRPr="008B68A9">
        <w:t xml:space="preserve"> were </w:t>
      </w:r>
      <w:r w:rsidR="009D2350" w:rsidRPr="008B68A9">
        <w:t>obtained</w:t>
      </w:r>
      <w:r w:rsidRPr="008B68A9">
        <w:t xml:space="preserve"> through interview as the primary data approach, which Edwards (2006) points out equates to social action rather than</w:t>
      </w:r>
      <w:r w:rsidR="009D2350" w:rsidRPr="008B68A9">
        <w:t xml:space="preserve"> to</w:t>
      </w:r>
      <w:r w:rsidRPr="008B68A9">
        <w:t xml:space="preserve"> a linguistic code. Interview is </w:t>
      </w:r>
      <w:r w:rsidR="00F968A2" w:rsidRPr="008B68A9">
        <w:t xml:space="preserve">used </w:t>
      </w:r>
      <w:r w:rsidRPr="008B68A9">
        <w:t xml:space="preserve">as a form of discourse, and </w:t>
      </w:r>
      <w:r w:rsidR="009D2350" w:rsidRPr="008B68A9">
        <w:t>therefore</w:t>
      </w:r>
      <w:r w:rsidRPr="008B68A9">
        <w:t xml:space="preserve"> inherently social </w:t>
      </w:r>
      <w:r w:rsidR="00F968A2" w:rsidRPr="008B68A9">
        <w:t xml:space="preserve">in the terms </w:t>
      </w:r>
      <w:r w:rsidRPr="008B68A9">
        <w:t xml:space="preserve">Mishler </w:t>
      </w:r>
      <w:r w:rsidR="00F968A2" w:rsidRPr="008B68A9">
        <w:t>(1995) defined</w:t>
      </w:r>
      <w:r w:rsidRPr="008B68A9">
        <w:t xml:space="preserve">. </w:t>
      </w:r>
      <w:r w:rsidR="009D2350" w:rsidRPr="008B68A9">
        <w:t xml:space="preserve">Mishler (2005) urges interviewers to show compassion, recognising their position over potentially vulnerable interviewees </w:t>
      </w:r>
      <w:r w:rsidR="00F968A2" w:rsidRPr="008B68A9">
        <w:t xml:space="preserve">The </w:t>
      </w:r>
      <w:r w:rsidRPr="008B68A9">
        <w:t xml:space="preserve">interviewer </w:t>
      </w:r>
      <w:r w:rsidR="009D2350" w:rsidRPr="008B68A9">
        <w:t xml:space="preserve">therefore </w:t>
      </w:r>
      <w:r w:rsidRPr="008B68A9">
        <w:t xml:space="preserve">occupies a powerful position </w:t>
      </w:r>
      <w:r w:rsidR="00F968A2" w:rsidRPr="008B68A9">
        <w:t xml:space="preserve">and </w:t>
      </w:r>
      <w:r w:rsidR="009D2350" w:rsidRPr="008B68A9">
        <w:t>I took</w:t>
      </w:r>
      <w:r w:rsidR="00F968A2" w:rsidRPr="008B68A9">
        <w:t xml:space="preserve"> </w:t>
      </w:r>
      <w:r w:rsidR="009D2350" w:rsidRPr="008B68A9">
        <w:t xml:space="preserve">care </w:t>
      </w:r>
      <w:r w:rsidR="00F968A2" w:rsidRPr="008B68A9">
        <w:t xml:space="preserve">to minimise professional asymmetry as defined by Leadbeater and </w:t>
      </w:r>
      <w:r w:rsidR="00545D3C" w:rsidRPr="008B68A9">
        <w:t>Lownsbrough</w:t>
      </w:r>
      <w:r w:rsidR="00F968A2" w:rsidRPr="008B68A9">
        <w:t xml:space="preserve"> (2004), </w:t>
      </w:r>
      <w:r w:rsidR="009D2350" w:rsidRPr="008B68A9">
        <w:t>encouraging</w:t>
      </w:r>
      <w:r w:rsidR="00F968A2" w:rsidRPr="008B68A9">
        <w:t xml:space="preserve"> a levelling in relationship congruent with the ethos of co-production.</w:t>
      </w:r>
      <w:r w:rsidR="00545D3C" w:rsidRPr="008B68A9">
        <w:t xml:space="preserve"> </w:t>
      </w:r>
    </w:p>
    <w:p w14:paraId="03DC4554" w14:textId="798F1F53" w:rsidR="00792AC2" w:rsidRPr="008B68A9" w:rsidRDefault="00792AC2" w:rsidP="002F0FD7">
      <w:pPr>
        <w:pStyle w:val="5arangedleft"/>
      </w:pPr>
      <w:r w:rsidRPr="008B68A9">
        <w:lastRenderedPageBreak/>
        <w:t>Attention was given to generating transcriptions of the interviews as accurately as practicable, as there is always, according to Atkinson (1997), a tension between readability and fidelity in transcribed accounts. I took the view that interview transcripts used in this study should reflect ordinary speech, without some of the more elaborate forms of annotation and symbolic coding used for conversation analysis (</w:t>
      </w:r>
      <w:r w:rsidR="0064440D" w:rsidRPr="008B68A9">
        <w:t>Reissman</w:t>
      </w:r>
      <w:r w:rsidRPr="008B68A9">
        <w:t xml:space="preserve"> 2008). Instead, the accounts should adhere to Atkinson’s sentiment that transcripts did not detract from the process of analysis. Therefore standard punctuation and grammar were used throughout. Some participants’ speech used regional dialect and I took the decision that the presence of truncated forms of vocabulary and grammatical structure lent authenticity to the self-narratives.</w:t>
      </w:r>
    </w:p>
    <w:p w14:paraId="576904F1" w14:textId="3C6E3B98" w:rsidR="00792AC2" w:rsidRPr="008B68A9" w:rsidRDefault="00792AC2" w:rsidP="002F0FD7">
      <w:pPr>
        <w:pStyle w:val="5arangedleft"/>
      </w:pPr>
      <w:r w:rsidRPr="008B68A9">
        <w:t>The four North West Personalisation studies</w:t>
      </w:r>
      <w:r w:rsidR="009D2350" w:rsidRPr="008B68A9">
        <w:t>, (see chapter five),</w:t>
      </w:r>
      <w:r w:rsidRPr="008B68A9">
        <w:t xml:space="preserve"> explored experiences of personal budgets</w:t>
      </w:r>
      <w:r w:rsidR="009D2350" w:rsidRPr="008B68A9">
        <w:t xml:space="preserve"> and considered</w:t>
      </w:r>
      <w:r w:rsidRPr="008B68A9">
        <w:t xml:space="preserve"> the impact budgets had on mental health and social service workers within </w:t>
      </w:r>
      <w:r w:rsidR="009D2350" w:rsidRPr="008B68A9">
        <w:t>the</w:t>
      </w:r>
      <w:r w:rsidRPr="008B68A9">
        <w:t xml:space="preserve"> new agenda of personalisation. Gathering stories </w:t>
      </w:r>
      <w:r w:rsidR="009D2350" w:rsidRPr="008B68A9">
        <w:t xml:space="preserve">only </w:t>
      </w:r>
      <w:r w:rsidR="006616E0" w:rsidRPr="008B68A9">
        <w:t xml:space="preserve">from </w:t>
      </w:r>
      <w:r w:rsidRPr="008B68A9">
        <w:t xml:space="preserve">budget recipients </w:t>
      </w:r>
      <w:r w:rsidR="006616E0" w:rsidRPr="008B68A9">
        <w:t>might</w:t>
      </w:r>
      <w:r w:rsidRPr="008B68A9">
        <w:t xml:space="preserve"> have been a worthy project, but </w:t>
      </w:r>
      <w:r w:rsidR="006616E0" w:rsidRPr="008B68A9">
        <w:t>could</w:t>
      </w:r>
      <w:r w:rsidRPr="008B68A9">
        <w:t xml:space="preserve"> not </w:t>
      </w:r>
      <w:r w:rsidR="009D2350" w:rsidRPr="008B68A9">
        <w:t>explore</w:t>
      </w:r>
      <w:r w:rsidRPr="008B68A9">
        <w:t xml:space="preserve"> the complex interactions of identity between budget users, brokers and professional case management staff</w:t>
      </w:r>
      <w:r w:rsidR="009D2350" w:rsidRPr="008B68A9">
        <w:t>. Further, t</w:t>
      </w:r>
      <w:r w:rsidRPr="008B68A9">
        <w:t>he aims and objectives of the four evaluations were determined by commissioners, whose interest</w:t>
      </w:r>
      <w:r w:rsidR="008C3A7A" w:rsidRPr="008B68A9">
        <w:t>s</w:t>
      </w:r>
      <w:r w:rsidRPr="008B68A9">
        <w:t xml:space="preserve"> </w:t>
      </w:r>
      <w:r w:rsidR="008C3A7A" w:rsidRPr="008B68A9">
        <w:t>were in</w:t>
      </w:r>
      <w:r w:rsidRPr="008B68A9">
        <w:t xml:space="preserve"> evaluating their individual budget pilot schemes. The studies therefore had defined purpose, were time bound and set within an evaluative research framework that, w</w:t>
      </w:r>
      <w:r w:rsidR="008C3A7A" w:rsidRPr="008B68A9">
        <w:t>hilst action orientated (Clarke 1999), allowed</w:t>
      </w:r>
      <w:r w:rsidR="002C3598" w:rsidRPr="008B68A9">
        <w:t xml:space="preserve"> for</w:t>
      </w:r>
      <w:r w:rsidR="008C3A7A" w:rsidRPr="008B68A9">
        <w:t xml:space="preserve"> a </w:t>
      </w:r>
      <w:r w:rsidR="002C3598" w:rsidRPr="008B68A9">
        <w:t>broad</w:t>
      </w:r>
      <w:r w:rsidRPr="008B68A9">
        <w:t xml:space="preserve"> range social research methods </w:t>
      </w:r>
      <w:r w:rsidR="008C3A7A" w:rsidRPr="008B68A9">
        <w:t>(</w:t>
      </w:r>
      <w:r w:rsidRPr="008B68A9">
        <w:t xml:space="preserve">Coyle 2014). The reanalysis </w:t>
      </w:r>
      <w:r w:rsidR="002C3598" w:rsidRPr="008B68A9">
        <w:t xml:space="preserve">of the interview date through </w:t>
      </w:r>
      <w:r w:rsidRPr="008B68A9">
        <w:t>collective</w:t>
      </w:r>
      <w:r w:rsidR="002C3598" w:rsidRPr="008B68A9">
        <w:t xml:space="preserve"> case study</w:t>
      </w:r>
      <w:r w:rsidR="008C3A7A" w:rsidRPr="008B68A9">
        <w:t>,</w:t>
      </w:r>
      <w:r w:rsidR="009D2350" w:rsidRPr="008B68A9">
        <w:t xml:space="preserve"> (Stake 2000)</w:t>
      </w:r>
      <w:r w:rsidR="008C3A7A" w:rsidRPr="008B68A9">
        <w:t xml:space="preserve"> however, </w:t>
      </w:r>
      <w:r w:rsidR="002C3598" w:rsidRPr="008B68A9">
        <w:t>examined</w:t>
      </w:r>
      <w:r w:rsidRPr="008B68A9">
        <w:t xml:space="preserve"> these data in a new form, one free from </w:t>
      </w:r>
      <w:r w:rsidR="00CC3DEA" w:rsidRPr="008B68A9">
        <w:t xml:space="preserve">the constraints of </w:t>
      </w:r>
      <w:r w:rsidRPr="008B68A9">
        <w:t>commissioned research.</w:t>
      </w:r>
    </w:p>
    <w:p w14:paraId="72EF7F9E" w14:textId="2BC92757" w:rsidR="00792AC2" w:rsidRPr="008B68A9" w:rsidRDefault="00DB485D" w:rsidP="00792AC2">
      <w:pPr>
        <w:pStyle w:val="3L3header"/>
      </w:pPr>
      <w:bookmarkStart w:id="74" w:name="_Toc413607834"/>
      <w:bookmarkStart w:id="75" w:name="_Toc413827468"/>
      <w:bookmarkStart w:id="76" w:name="_Toc466800306"/>
      <w:r w:rsidRPr="008B68A9">
        <w:t>4.2.4</w:t>
      </w:r>
      <w:r w:rsidR="00792AC2" w:rsidRPr="008B68A9">
        <w:t xml:space="preserve"> </w:t>
      </w:r>
      <w:bookmarkEnd w:id="74"/>
      <w:bookmarkEnd w:id="75"/>
      <w:r w:rsidR="00792AC2" w:rsidRPr="008B68A9">
        <w:t>Narrative trajectory</w:t>
      </w:r>
      <w:bookmarkEnd w:id="76"/>
    </w:p>
    <w:p w14:paraId="68FFCA14" w14:textId="66BA1B50" w:rsidR="00792AC2" w:rsidRPr="008B68A9" w:rsidRDefault="00792AC2" w:rsidP="002F0FD7">
      <w:pPr>
        <w:pStyle w:val="5arangedleft"/>
      </w:pPr>
      <w:r w:rsidRPr="008B68A9">
        <w:t xml:space="preserve">Gergen and Gergen’s (1983) concept of direction in diachronic self-narrative has been important within </w:t>
      </w:r>
      <w:r w:rsidR="00D84990" w:rsidRPr="008B68A9">
        <w:t>my</w:t>
      </w:r>
      <w:r w:rsidRPr="008B68A9">
        <w:t xml:space="preserve"> study. Their contribution to</w:t>
      </w:r>
      <w:r w:rsidR="00CC3DEA" w:rsidRPr="008B68A9">
        <w:t xml:space="preserve"> my</w:t>
      </w:r>
      <w:r w:rsidRPr="008B68A9">
        <w:t xml:space="preserve"> method is that understanding self and the context in which we live “is concerned with states of active becoming as opposed to passive being” (p. 255). The participants in </w:t>
      </w:r>
      <w:r w:rsidR="00CC3DEA" w:rsidRPr="008B68A9">
        <w:t>my</w:t>
      </w:r>
      <w:r w:rsidRPr="008B68A9">
        <w:t xml:space="preserve"> study were in the process of becoming active in their care as partners through co-</w:t>
      </w:r>
      <w:r w:rsidRPr="008B68A9">
        <w:lastRenderedPageBreak/>
        <w:t xml:space="preserve">production, and therefore their interpretations and experiences of personalisation central. Previous discussion of simple narrative direction for </w:t>
      </w:r>
      <w:r w:rsidR="00CC3DEA" w:rsidRPr="008B68A9">
        <w:t xml:space="preserve">mental health budget </w:t>
      </w:r>
      <w:r w:rsidRPr="008B68A9">
        <w:t xml:space="preserve">recipients has been reported (Coyle 2011); </w:t>
      </w:r>
      <w:r w:rsidR="00CC3DEA" w:rsidRPr="008B68A9">
        <w:t>my current</w:t>
      </w:r>
      <w:r w:rsidRPr="008B68A9">
        <w:t xml:space="preserve"> study draws on a greater number of narratives</w:t>
      </w:r>
      <w:r w:rsidR="00CC3DEA" w:rsidRPr="008B68A9">
        <w:t>, (n=57),</w:t>
      </w:r>
      <w:r w:rsidRPr="008B68A9">
        <w:t xml:space="preserve"> </w:t>
      </w:r>
      <w:r w:rsidR="00CC3DEA" w:rsidRPr="008B68A9">
        <w:t xml:space="preserve">in </w:t>
      </w:r>
      <w:r w:rsidRPr="008B68A9">
        <w:t xml:space="preserve">more settings, and employs more sophisticated analytical tools. </w:t>
      </w:r>
    </w:p>
    <w:p w14:paraId="46235CF8" w14:textId="74257DBD" w:rsidR="00792AC2" w:rsidRPr="008B68A9" w:rsidRDefault="002C3598" w:rsidP="002F0FD7">
      <w:pPr>
        <w:pStyle w:val="5arangedleft"/>
      </w:pPr>
      <w:r w:rsidRPr="008B68A9">
        <w:t>Gergen and Gergen’s (1983)</w:t>
      </w:r>
      <w:r w:rsidR="00792AC2" w:rsidRPr="008B68A9">
        <w:t xml:space="preserve"> framework </w:t>
      </w:r>
      <w:r w:rsidR="00B00DE4" w:rsidRPr="008B68A9">
        <w:t>was used</w:t>
      </w:r>
      <w:r w:rsidR="00792AC2" w:rsidRPr="008B68A9">
        <w:t xml:space="preserve"> </w:t>
      </w:r>
      <w:r w:rsidRPr="008B68A9">
        <w:t>in</w:t>
      </w:r>
      <w:r w:rsidR="00792AC2" w:rsidRPr="008B68A9">
        <w:t xml:space="preserve"> analysing </w:t>
      </w:r>
      <w:r w:rsidRPr="008B68A9">
        <w:t>participant</w:t>
      </w:r>
      <w:r w:rsidR="00792AC2" w:rsidRPr="008B68A9">
        <w:t xml:space="preserve"> narratives</w:t>
      </w:r>
      <w:r w:rsidRPr="008B68A9">
        <w:t>.</w:t>
      </w:r>
      <w:r w:rsidR="00792AC2" w:rsidRPr="008B68A9">
        <w:t xml:space="preserve"> Gergen and Gergen (1983) asserted that regressive trajectories </w:t>
      </w:r>
      <w:r w:rsidR="00B00DE4" w:rsidRPr="008B68A9">
        <w:t xml:space="preserve">always </w:t>
      </w:r>
      <w:r w:rsidRPr="008B68A9">
        <w:t>precede</w:t>
      </w:r>
      <w:r w:rsidR="00792AC2" w:rsidRPr="008B68A9">
        <w:t xml:space="preserve"> a better tomorrow, and that regressive narratives were a means through which narrators: “…strive to offset or reverse the decline through enhanced activity. Through intensification of effort, they attempt to turn a potential tragedy into a comedy. Regressive narratives furnish an important means, then, of motivating people toward achievement of positive ends." (p. 267)</w:t>
      </w:r>
      <w:r w:rsidR="00D84990" w:rsidRPr="008B68A9">
        <w:t xml:space="preserve">. </w:t>
      </w:r>
      <w:r w:rsidR="00792AC2" w:rsidRPr="008B68A9">
        <w:t xml:space="preserve">Gergen and Gergen (1983, p. 261) employ the term “dramatic engagement” to signal </w:t>
      </w:r>
      <w:r w:rsidR="00D84990" w:rsidRPr="008B68A9">
        <w:t>a</w:t>
      </w:r>
      <w:r w:rsidR="00792AC2" w:rsidRPr="008B68A9">
        <w:t xml:space="preserve"> point where </w:t>
      </w:r>
      <w:r w:rsidR="00D84990" w:rsidRPr="008B68A9">
        <w:t>t</w:t>
      </w:r>
      <w:r w:rsidR="00792AC2" w:rsidRPr="008B68A9">
        <w:t xml:space="preserve">he </w:t>
      </w:r>
      <w:r w:rsidR="00D84990" w:rsidRPr="008B68A9">
        <w:t xml:space="preserve">self-narrative </w:t>
      </w:r>
      <w:r w:rsidR="00792AC2" w:rsidRPr="008B68A9">
        <w:t xml:space="preserve">changes direction and within this, </w:t>
      </w:r>
      <w:r w:rsidR="00D84990" w:rsidRPr="008B68A9">
        <w:t>the subject</w:t>
      </w:r>
      <w:r w:rsidR="00792AC2" w:rsidRPr="008B68A9">
        <w:t xml:space="preserve"> </w:t>
      </w:r>
      <w:r w:rsidR="00D84990" w:rsidRPr="008B68A9">
        <w:t xml:space="preserve">changes </w:t>
      </w:r>
      <w:r w:rsidR="00792AC2" w:rsidRPr="008B68A9">
        <w:t xml:space="preserve">identity and </w:t>
      </w:r>
      <w:r w:rsidR="00D84990" w:rsidRPr="008B68A9">
        <w:t xml:space="preserve">their </w:t>
      </w:r>
      <w:r w:rsidR="00792AC2" w:rsidRPr="008B68A9">
        <w:t xml:space="preserve">possible futures. </w:t>
      </w:r>
      <w:r w:rsidR="00D84990" w:rsidRPr="008B68A9">
        <w:t>My</w:t>
      </w:r>
      <w:r w:rsidR="00792AC2" w:rsidRPr="008B68A9">
        <w:t xml:space="preserve"> study analysed broker narratives as they co-produced support plans or mediated action between professionals and budget holders. The tipping point for service users’ narrative trajectory hinged on dramatic engagement, signalling a change </w:t>
      </w:r>
      <w:r w:rsidR="00543231" w:rsidRPr="008B68A9">
        <w:t>of</w:t>
      </w:r>
      <w:r w:rsidR="00792AC2" w:rsidRPr="008B68A9">
        <w:t xml:space="preserve"> </w:t>
      </w:r>
      <w:r w:rsidR="00543231" w:rsidRPr="008B68A9">
        <w:t xml:space="preserve">plot </w:t>
      </w:r>
      <w:r w:rsidR="00792AC2" w:rsidRPr="008B68A9">
        <w:t>direction,</w:t>
      </w:r>
      <w:r w:rsidR="00543231" w:rsidRPr="008B68A9">
        <w:t xml:space="preserve"> where hope emerged as part of</w:t>
      </w:r>
      <w:r w:rsidR="00792AC2" w:rsidRPr="008B68A9">
        <w:t xml:space="preserve"> change and recovery (Wiles </w:t>
      </w:r>
      <w:r w:rsidR="00792AC2" w:rsidRPr="008B68A9">
        <w:rPr>
          <w:i/>
        </w:rPr>
        <w:t>et al.</w:t>
      </w:r>
      <w:r w:rsidR="00543231" w:rsidRPr="008B68A9">
        <w:t xml:space="preserve"> 2008).</w:t>
      </w:r>
    </w:p>
    <w:p w14:paraId="4A7B3823" w14:textId="77777777" w:rsidR="00543231" w:rsidRPr="008B68A9" w:rsidRDefault="00543231" w:rsidP="002F0FD7">
      <w:pPr>
        <w:pStyle w:val="5arangedleft"/>
      </w:pPr>
    </w:p>
    <w:p w14:paraId="374C6EB7" w14:textId="6E5190BF" w:rsidR="00792AC2" w:rsidRPr="008B68A9" w:rsidRDefault="00DB485D" w:rsidP="00792AC2">
      <w:pPr>
        <w:pStyle w:val="3L3header"/>
      </w:pPr>
      <w:bookmarkStart w:id="77" w:name="_Toc466800307"/>
      <w:r w:rsidRPr="008B68A9">
        <w:t>4.2.5</w:t>
      </w:r>
      <w:r w:rsidR="00792AC2" w:rsidRPr="008B68A9">
        <w:t xml:space="preserve"> Contingent and moral narrative</w:t>
      </w:r>
      <w:r w:rsidR="00E31841" w:rsidRPr="008B68A9">
        <w:t>s</w:t>
      </w:r>
      <w:bookmarkEnd w:id="77"/>
    </w:p>
    <w:p w14:paraId="0A4039DA" w14:textId="2DFCD6F3" w:rsidR="00792AC2" w:rsidRPr="008B68A9" w:rsidRDefault="00792AC2" w:rsidP="002F0FD7">
      <w:pPr>
        <w:pStyle w:val="5arangedleft"/>
      </w:pPr>
      <w:r w:rsidRPr="008B68A9">
        <w:t xml:space="preserve">Bury (2001) recognised that contingent narrative </w:t>
      </w:r>
      <w:r w:rsidR="00543231" w:rsidRPr="008B68A9">
        <w:t>were</w:t>
      </w:r>
      <w:r w:rsidRPr="008B68A9">
        <w:t xml:space="preserve"> often present in health stories</w:t>
      </w:r>
      <w:r w:rsidR="00B170D5" w:rsidRPr="008B68A9">
        <w:t xml:space="preserve">: “…which involve explanations of illness onset that deal with its ‘proximate’ causes and the practical and disabling effects of symptoms.” (Bury 2001, p265). </w:t>
      </w:r>
      <w:r w:rsidR="00543231" w:rsidRPr="008B68A9">
        <w:t>H</w:t>
      </w:r>
      <w:r w:rsidRPr="008B68A9">
        <w:t>ealth behaviour or actions that were dangerous to the individual or others in some way, such as misusing substances or alcohol or engaging in cr</w:t>
      </w:r>
      <w:r w:rsidR="00543231" w:rsidRPr="008B68A9">
        <w:t>iminal activity, Bury identifies</w:t>
      </w:r>
      <w:r w:rsidRPr="008B68A9">
        <w:t xml:space="preserve"> that re</w:t>
      </w:r>
      <w:r w:rsidR="00543231" w:rsidRPr="008B68A9">
        <w:t>sponsibility or blame within those</w:t>
      </w:r>
      <w:r w:rsidRPr="008B68A9">
        <w:t xml:space="preserve"> narratives broadly reflect</w:t>
      </w:r>
      <w:r w:rsidR="002F3701" w:rsidRPr="008B68A9">
        <w:t>s</w:t>
      </w:r>
      <w:r w:rsidRPr="008B68A9">
        <w:t xml:space="preserve"> </w:t>
      </w:r>
      <w:r w:rsidR="00543231" w:rsidRPr="008B68A9">
        <w:t>dominant social attitude</w:t>
      </w:r>
      <w:r w:rsidRPr="008B68A9">
        <w:t>. The identity work undertaken in the narratives of substance misusers</w:t>
      </w:r>
      <w:r w:rsidR="00543231" w:rsidRPr="008B68A9">
        <w:t>,</w:t>
      </w:r>
      <w:r w:rsidRPr="008B68A9">
        <w:t xml:space="preserve"> (study four</w:t>
      </w:r>
      <w:r w:rsidR="00543231" w:rsidRPr="008B68A9">
        <w:t>, section 5.6</w:t>
      </w:r>
      <w:r w:rsidRPr="008B68A9">
        <w:t>)</w:t>
      </w:r>
      <w:r w:rsidR="00543231" w:rsidRPr="008B68A9">
        <w:t>,</w:t>
      </w:r>
      <w:r w:rsidRPr="008B68A9">
        <w:t xml:space="preserve"> suggests that participants assimilated </w:t>
      </w:r>
      <w:r w:rsidR="00543231" w:rsidRPr="008B68A9">
        <w:t>wider societal attitudes</w:t>
      </w:r>
      <w:r w:rsidRPr="008B68A9">
        <w:t xml:space="preserve"> towards their social group. An example of </w:t>
      </w:r>
      <w:r w:rsidR="00B170D5" w:rsidRPr="008B68A9">
        <w:t xml:space="preserve">how a participant </w:t>
      </w:r>
      <w:r w:rsidR="00B170D5" w:rsidRPr="008B68A9">
        <w:lastRenderedPageBreak/>
        <w:t xml:space="preserve">within the data </w:t>
      </w:r>
      <w:r w:rsidRPr="008B68A9">
        <w:t xml:space="preserve">internalised </w:t>
      </w:r>
      <w:r w:rsidR="00B170D5" w:rsidRPr="008B68A9">
        <w:t xml:space="preserve">a </w:t>
      </w:r>
      <w:r w:rsidRPr="008B68A9">
        <w:t xml:space="preserve">contingent narrative </w:t>
      </w:r>
      <w:r w:rsidR="00543231" w:rsidRPr="008B68A9">
        <w:t>can be seen when</w:t>
      </w:r>
      <w:r w:rsidRPr="008B68A9">
        <w:t xml:space="preserve"> the onset of </w:t>
      </w:r>
      <w:r w:rsidR="00543231" w:rsidRPr="008B68A9">
        <w:t>their</w:t>
      </w:r>
      <w:r w:rsidRPr="008B68A9">
        <w:t xml:space="preserve"> psychotic episode was attributed to </w:t>
      </w:r>
      <w:r w:rsidR="00543231" w:rsidRPr="008B68A9">
        <w:t xml:space="preserve">ecstasy </w:t>
      </w:r>
      <w:r w:rsidRPr="008B68A9">
        <w:t xml:space="preserve">substance misuse at college. Another instance of contingent narrative </w:t>
      </w:r>
      <w:r w:rsidR="00543231" w:rsidRPr="008B68A9">
        <w:t>can be observed</w:t>
      </w:r>
      <w:r w:rsidRPr="008B68A9">
        <w:t xml:space="preserve"> where a participant’s story of growing up in </w:t>
      </w:r>
      <w:r w:rsidR="009A288B" w:rsidRPr="008B68A9">
        <w:t xml:space="preserve">an area of </w:t>
      </w:r>
      <w:r w:rsidRPr="008B68A9">
        <w:t xml:space="preserve">social deprivation led to </w:t>
      </w:r>
      <w:r w:rsidR="009A288B" w:rsidRPr="008B68A9">
        <w:t xml:space="preserve">their </w:t>
      </w:r>
      <w:r w:rsidRPr="008B68A9">
        <w:t>criminal activity, and subsequent substance misuse</w:t>
      </w:r>
      <w:r w:rsidR="009A288B" w:rsidRPr="008B68A9">
        <w:t xml:space="preserve"> and mental health problems</w:t>
      </w:r>
      <w:r w:rsidRPr="008B68A9">
        <w:t xml:space="preserve">. </w:t>
      </w:r>
      <w:r w:rsidR="00543231" w:rsidRPr="008B68A9">
        <w:t>There is a</w:t>
      </w:r>
      <w:r w:rsidRPr="008B68A9">
        <w:t xml:space="preserve"> risk </w:t>
      </w:r>
      <w:r w:rsidR="009A288B" w:rsidRPr="008B68A9">
        <w:t>of</w:t>
      </w:r>
      <w:r w:rsidRPr="008B68A9">
        <w:t xml:space="preserve"> </w:t>
      </w:r>
      <w:r w:rsidR="00543231" w:rsidRPr="008B68A9">
        <w:t>imposing one’s own contingent narrative upon the identity talk of others, especially when harrowing or disturbing events were told in interview</w:t>
      </w:r>
      <w:r w:rsidRPr="008B68A9">
        <w:t xml:space="preserve">. Reflexivity </w:t>
      </w:r>
      <w:r w:rsidR="009A288B" w:rsidRPr="008B68A9">
        <w:t xml:space="preserve">and an awareness </w:t>
      </w:r>
      <w:r w:rsidR="00543231" w:rsidRPr="008B68A9">
        <w:t>for</w:t>
      </w:r>
      <w:r w:rsidR="009A288B" w:rsidRPr="008B68A9">
        <w:t xml:space="preserve"> the potential to project contingent narratives on participants </w:t>
      </w:r>
      <w:r w:rsidRPr="008B68A9">
        <w:t>in relation to this study</w:t>
      </w:r>
      <w:r w:rsidR="00543231" w:rsidRPr="008B68A9">
        <w:t xml:space="preserve"> was important and</w:t>
      </w:r>
      <w:r w:rsidRPr="008B68A9">
        <w:t xml:space="preserve"> is discussed in section 4.3.4 later in this chapter.</w:t>
      </w:r>
    </w:p>
    <w:p w14:paraId="5CF80BBA" w14:textId="59AC61C6" w:rsidR="00792AC2" w:rsidRPr="008B68A9" w:rsidRDefault="00792AC2" w:rsidP="002F0FD7">
      <w:pPr>
        <w:pStyle w:val="5arangedleft"/>
      </w:pPr>
      <w:r w:rsidRPr="008B68A9">
        <w:t>Bury’s (2001) use of contingent narrative</w:t>
      </w:r>
      <w:r w:rsidRPr="008B68A9">
        <w:rPr>
          <w:i/>
        </w:rPr>
        <w:t xml:space="preserve"> </w:t>
      </w:r>
      <w:r w:rsidRPr="008B68A9">
        <w:t>offers an understanding of events, their causes or contributory factors resulting in disorder beyond simple bio-medical mental health constructions. Contingent narrative relies on social construction and lay knowledge to create and maintain probable causes or attributions towards mental health distress and disorder. Contingent narratives in the form</w:t>
      </w:r>
      <w:r w:rsidRPr="008B68A9">
        <w:rPr>
          <w:i/>
        </w:rPr>
        <w:t xml:space="preserve"> </w:t>
      </w:r>
      <w:r w:rsidRPr="008B68A9">
        <w:t xml:space="preserve">of deservedness from budget recipients </w:t>
      </w:r>
      <w:r w:rsidR="00F52F89" w:rsidRPr="008B68A9">
        <w:t xml:space="preserve">were </w:t>
      </w:r>
      <w:r w:rsidRPr="008B68A9">
        <w:t>framed as not deserving</w:t>
      </w:r>
      <w:r w:rsidR="00F52F89" w:rsidRPr="008B68A9">
        <w:rPr>
          <w:i/>
        </w:rPr>
        <w:t xml:space="preserve">. </w:t>
      </w:r>
      <w:r w:rsidR="00393685" w:rsidRPr="008B68A9">
        <w:t>A phenomenon</w:t>
      </w:r>
      <w:r w:rsidRPr="008B68A9">
        <w:t xml:space="preserve"> of </w:t>
      </w:r>
      <w:r w:rsidR="00393685" w:rsidRPr="008B68A9">
        <w:t xml:space="preserve">perceived </w:t>
      </w:r>
      <w:r w:rsidRPr="008B68A9">
        <w:t xml:space="preserve">deservedness </w:t>
      </w:r>
      <w:r w:rsidR="00393685" w:rsidRPr="008B68A9">
        <w:t xml:space="preserve">from users’ perspectives </w:t>
      </w:r>
      <w:r w:rsidRPr="008B68A9">
        <w:t>in</w:t>
      </w:r>
      <w:r w:rsidR="00393685" w:rsidRPr="008B68A9">
        <w:t xml:space="preserve"> receipt of</w:t>
      </w:r>
      <w:r w:rsidRPr="008B68A9">
        <w:t xml:space="preserve"> individual budgets has also been found in other work </w:t>
      </w:r>
      <w:r w:rsidR="00393685" w:rsidRPr="008B68A9">
        <w:t xml:space="preserve">such as </w:t>
      </w:r>
      <w:r w:rsidRPr="008B68A9">
        <w:t xml:space="preserve">Carr </w:t>
      </w:r>
      <w:r w:rsidR="00393685" w:rsidRPr="008B68A9">
        <w:t>(</w:t>
      </w:r>
      <w:r w:rsidRPr="008B68A9">
        <w:t>2011a</w:t>
      </w:r>
      <w:r w:rsidR="00393685" w:rsidRPr="008B68A9">
        <w:t xml:space="preserve">) and in a US context </w:t>
      </w:r>
      <w:r w:rsidRPr="008B68A9">
        <w:t xml:space="preserve">Croft and Parish </w:t>
      </w:r>
      <w:r w:rsidR="00393685" w:rsidRPr="008B68A9">
        <w:t>(</w:t>
      </w:r>
      <w:r w:rsidRPr="008B68A9">
        <w:t>2016).</w:t>
      </w:r>
    </w:p>
    <w:p w14:paraId="5B4E2282" w14:textId="77102442" w:rsidR="00792AC2" w:rsidRPr="008B68A9" w:rsidRDefault="00DB485D" w:rsidP="00792AC2">
      <w:pPr>
        <w:pStyle w:val="3L3header"/>
      </w:pPr>
      <w:bookmarkStart w:id="78" w:name="_Toc466800308"/>
      <w:bookmarkStart w:id="79" w:name="_Toc413827412"/>
      <w:r w:rsidRPr="008B68A9">
        <w:t>4.2.6</w:t>
      </w:r>
      <w:r w:rsidR="00792AC2" w:rsidRPr="008B68A9">
        <w:t xml:space="preserve"> Positioning theory in the method</w:t>
      </w:r>
      <w:bookmarkEnd w:id="78"/>
    </w:p>
    <w:p w14:paraId="03AD6503" w14:textId="4342CA6C" w:rsidR="00792AC2" w:rsidRPr="008B68A9" w:rsidRDefault="00D12F7B" w:rsidP="002F0FD7">
      <w:pPr>
        <w:pStyle w:val="5arangedleft"/>
      </w:pPr>
      <w:r w:rsidRPr="008B68A9">
        <w:t xml:space="preserve">The use of mapping trajectory and warrants of convention in social constructionism led </w:t>
      </w:r>
      <w:r w:rsidR="000C36F7" w:rsidRPr="008B68A9">
        <w:t>my research,</w:t>
      </w:r>
      <w:r w:rsidRPr="008B68A9">
        <w:t xml:space="preserve"> through reflexive thinking to </w:t>
      </w:r>
      <w:r w:rsidR="000C36F7" w:rsidRPr="008B68A9">
        <w:t xml:space="preserve">the </w:t>
      </w:r>
      <w:r w:rsidRPr="008B68A9">
        <w:t xml:space="preserve">positioning theories of Harré and Van Langenhove (1999), via the story-line work of Hajer (1997) and Needham’s (2011b) use of discursive closure in personalisation. </w:t>
      </w:r>
      <w:r w:rsidR="00792AC2" w:rsidRPr="008B68A9">
        <w:t xml:space="preserve">Positioning </w:t>
      </w:r>
      <w:r w:rsidR="00307D18" w:rsidRPr="008B68A9">
        <w:t xml:space="preserve">theory </w:t>
      </w:r>
      <w:r w:rsidR="00792AC2" w:rsidRPr="008B68A9">
        <w:t>locates the construction of personal experience within a triadic relationship of story</w:t>
      </w:r>
      <w:r w:rsidR="009E6A2D" w:rsidRPr="008B68A9">
        <w:t>-</w:t>
      </w:r>
      <w:r w:rsidR="00792AC2" w:rsidRPr="008B68A9">
        <w:t>line, social and interlocutionary</w:t>
      </w:r>
      <w:r w:rsidR="00307D18" w:rsidRPr="008B68A9">
        <w:t xml:space="preserve"> forces</w:t>
      </w:r>
      <w:r w:rsidR="00792AC2" w:rsidRPr="008B68A9">
        <w:t xml:space="preserve">. In relation to personalisation and story-line work, Harré and Langenhove </w:t>
      </w:r>
      <w:r w:rsidR="00307D18" w:rsidRPr="008B68A9">
        <w:t xml:space="preserve">(1999) </w:t>
      </w:r>
      <w:r w:rsidR="00792AC2" w:rsidRPr="008B68A9">
        <w:t xml:space="preserve">make an exploration of an individual’s narrative </w:t>
      </w:r>
      <w:r w:rsidR="00307D18" w:rsidRPr="008B68A9">
        <w:t xml:space="preserve">possible </w:t>
      </w:r>
      <w:r w:rsidR="00792AC2" w:rsidRPr="008B68A9">
        <w:t xml:space="preserve">as they construct </w:t>
      </w:r>
      <w:r w:rsidR="0064440D" w:rsidRPr="008B68A9">
        <w:t>their stories</w:t>
      </w:r>
      <w:r w:rsidR="00792AC2" w:rsidRPr="008B68A9">
        <w:t xml:space="preserve"> of me</w:t>
      </w:r>
      <w:r w:rsidR="00307D18" w:rsidRPr="008B68A9">
        <w:t xml:space="preserve">ntal health personalisation. </w:t>
      </w:r>
      <w:r w:rsidR="000C36F7" w:rsidRPr="008B68A9">
        <w:t>My</w:t>
      </w:r>
      <w:r w:rsidR="00792AC2" w:rsidRPr="008B68A9">
        <w:t xml:space="preserve"> study </w:t>
      </w:r>
      <w:r w:rsidR="00495E23" w:rsidRPr="008B68A9">
        <w:t>applies</w:t>
      </w:r>
      <w:r w:rsidR="00792AC2" w:rsidRPr="008B68A9">
        <w:t xml:space="preserve"> </w:t>
      </w:r>
      <w:r w:rsidR="00495E23" w:rsidRPr="008B68A9">
        <w:t>an analysis</w:t>
      </w:r>
      <w:r w:rsidR="00792AC2" w:rsidRPr="008B68A9">
        <w:t xml:space="preserve"> of positioning </w:t>
      </w:r>
      <w:r w:rsidR="00D160DC" w:rsidRPr="008B68A9">
        <w:t>between</w:t>
      </w:r>
      <w:r w:rsidR="00792AC2" w:rsidRPr="008B68A9">
        <w:t xml:space="preserve"> paid service professionals, budget holders and their </w:t>
      </w:r>
      <w:r w:rsidR="00792AC2" w:rsidRPr="008B68A9">
        <w:lastRenderedPageBreak/>
        <w:t xml:space="preserve">support plan brokers, to </w:t>
      </w:r>
      <w:r w:rsidR="00D160DC" w:rsidRPr="008B68A9">
        <w:t xml:space="preserve">explore the positioning </w:t>
      </w:r>
      <w:r w:rsidR="00792AC2" w:rsidRPr="008B68A9">
        <w:t>relationships</w:t>
      </w:r>
      <w:r w:rsidR="000C36F7" w:rsidRPr="008B68A9">
        <w:t xml:space="preserve"> </w:t>
      </w:r>
      <w:r w:rsidR="00792AC2" w:rsidRPr="008B68A9">
        <w:t>between respective</w:t>
      </w:r>
      <w:r w:rsidR="000C36F7" w:rsidRPr="008B68A9">
        <w:t xml:space="preserve"> stakeholders</w:t>
      </w:r>
      <w:r w:rsidR="00792AC2" w:rsidRPr="008B68A9">
        <w:t xml:space="preserve">. </w:t>
      </w:r>
      <w:r w:rsidR="00D160DC" w:rsidRPr="008B68A9">
        <w:t>Harré defines</w:t>
      </w:r>
      <w:r w:rsidR="00792AC2" w:rsidRPr="008B68A9">
        <w:t xml:space="preserve"> </w:t>
      </w:r>
      <w:r w:rsidR="00792AC2" w:rsidRPr="008B68A9">
        <w:rPr>
          <w:bCs/>
        </w:rPr>
        <w:t>positioning theory</w:t>
      </w:r>
      <w:r w:rsidR="000C36F7" w:rsidRPr="008B68A9">
        <w:t xml:space="preserve"> as being</w:t>
      </w:r>
      <w:r w:rsidR="00792AC2" w:rsidRPr="008B68A9">
        <w:t>:</w:t>
      </w:r>
    </w:p>
    <w:p w14:paraId="2E08C728" w14:textId="77777777" w:rsidR="00792AC2" w:rsidRPr="008B68A9" w:rsidRDefault="00792AC2" w:rsidP="002F0FD7">
      <w:pPr>
        <w:pStyle w:val="6ablockquoteroman"/>
      </w:pPr>
      <w:r w:rsidRPr="008B68A9">
        <w:t>…based on the principle that not everyone involved in a social episode has equal access to rights and duties to perform particular kinds of meaningful actions at that moment and with those people. In many interesting cases, the rights and duties determine who can use a certain discourse mode… A cluster of short-term disputable rights, obligations and duties is called a ‘position’. (2012, p. 193).</w:t>
      </w:r>
    </w:p>
    <w:p w14:paraId="21CD23AC" w14:textId="0D56662D" w:rsidR="00792AC2" w:rsidRPr="008B68A9" w:rsidRDefault="00792AC2" w:rsidP="002F0FD7">
      <w:pPr>
        <w:pStyle w:val="5arangedleft"/>
      </w:pPr>
      <w:r w:rsidRPr="008B68A9">
        <w:t xml:space="preserve">Harré and Van Langenhove (1999) </w:t>
      </w:r>
      <w:r w:rsidR="00D160DC" w:rsidRPr="008B68A9">
        <w:t xml:space="preserve">have also </w:t>
      </w:r>
      <w:r w:rsidRPr="008B68A9">
        <w:t>suggest</w:t>
      </w:r>
      <w:r w:rsidR="00D160DC" w:rsidRPr="008B68A9">
        <w:t>ed</w:t>
      </w:r>
      <w:r w:rsidRPr="008B68A9">
        <w:t xml:space="preserve"> that an actor’s positioning is dependent on the social forces present </w:t>
      </w:r>
      <w:r w:rsidR="00F720AB" w:rsidRPr="008B68A9">
        <w:t>however;</w:t>
      </w:r>
      <w:r w:rsidRPr="008B68A9">
        <w:t xml:space="preserve"> </w:t>
      </w:r>
      <w:r w:rsidR="00393685" w:rsidRPr="008B68A9">
        <w:t>p</w:t>
      </w:r>
      <w:r w:rsidR="00512324" w:rsidRPr="008B68A9">
        <w:t>ositioning</w:t>
      </w:r>
      <w:r w:rsidRPr="008B68A9">
        <w:t xml:space="preserve"> is predicated on </w:t>
      </w:r>
      <w:r w:rsidR="00F720AB" w:rsidRPr="008B68A9">
        <w:t>the</w:t>
      </w:r>
      <w:r w:rsidRPr="008B68A9">
        <w:t xml:space="preserve"> notion equal rights to</w:t>
      </w:r>
      <w:r w:rsidR="00512324" w:rsidRPr="008B68A9">
        <w:t xml:space="preserve"> such forces and subsequent</w:t>
      </w:r>
      <w:r w:rsidRPr="008B68A9">
        <w:t xml:space="preserve"> duties and actions.</w:t>
      </w:r>
      <w:r w:rsidR="00F720AB" w:rsidRPr="008B68A9">
        <w:t xml:space="preserve"> I</w:t>
      </w:r>
      <w:r w:rsidRPr="008B68A9">
        <w:t xml:space="preserve">n the context of mental health, such duties and rights </w:t>
      </w:r>
      <w:r w:rsidR="00F720AB" w:rsidRPr="008B68A9">
        <w:t>are</w:t>
      </w:r>
      <w:r w:rsidRPr="008B68A9">
        <w:t xml:space="preserve"> contested. Positioning within this work is used in the way Harré and Van Langenhove (1999) state – that it:</w:t>
      </w:r>
    </w:p>
    <w:p w14:paraId="55DE44AA" w14:textId="499CEA90" w:rsidR="00792AC2" w:rsidRPr="008B68A9" w:rsidRDefault="00792AC2" w:rsidP="002F0FD7">
      <w:pPr>
        <w:pStyle w:val="6ablockquoteroman"/>
      </w:pPr>
      <w:r w:rsidRPr="008B68A9">
        <w:t>…can be looked at as a loose set of rights and duties that limit the possibilities of action. A position implicitly limits how much of what is logically possible for a given person to say and do and is properly a part of a person’s repertoire of actions at a certain moment in a certain context, including other people. (p. 4)</w:t>
      </w:r>
    </w:p>
    <w:p w14:paraId="4AFD1D07" w14:textId="2EA33691" w:rsidR="00792AC2" w:rsidRPr="008B68A9" w:rsidRDefault="00792AC2" w:rsidP="002F0FD7">
      <w:pPr>
        <w:pStyle w:val="5arangedleft"/>
      </w:pPr>
      <w:r w:rsidRPr="008B68A9">
        <w:t xml:space="preserve">For </w:t>
      </w:r>
      <w:r w:rsidR="000C36F7" w:rsidRPr="008B68A9">
        <w:t>mental health service users</w:t>
      </w:r>
      <w:r w:rsidRPr="008B68A9">
        <w:t xml:space="preserve">, the limitations of action become important in the context of expected </w:t>
      </w:r>
      <w:r w:rsidR="00512324" w:rsidRPr="008B68A9">
        <w:t xml:space="preserve">roles and behaviours </w:t>
      </w:r>
      <w:r w:rsidRPr="008B68A9">
        <w:t xml:space="preserve">in mental health service systems. The dominant institution of psychiatry relies on the maintenance of patient roles and </w:t>
      </w:r>
      <w:r w:rsidR="00F720AB" w:rsidRPr="008B68A9">
        <w:t xml:space="preserve">in </w:t>
      </w:r>
      <w:r w:rsidRPr="008B68A9">
        <w:t xml:space="preserve">an acquiescence </w:t>
      </w:r>
      <w:r w:rsidR="00F720AB" w:rsidRPr="008B68A9">
        <w:t xml:space="preserve">of the users </w:t>
      </w:r>
      <w:r w:rsidR="000C36F7" w:rsidRPr="008B68A9">
        <w:t>in</w:t>
      </w:r>
      <w:r w:rsidRPr="008B68A9">
        <w:t xml:space="preserve"> adopt</w:t>
      </w:r>
      <w:r w:rsidR="000C36F7" w:rsidRPr="008B68A9">
        <w:t>ing</w:t>
      </w:r>
      <w:r w:rsidRPr="008B68A9">
        <w:t xml:space="preserve"> their expected position</w:t>
      </w:r>
      <w:r w:rsidR="000C36F7" w:rsidRPr="008B68A9">
        <w:t>s</w:t>
      </w:r>
      <w:r w:rsidRPr="008B68A9">
        <w:t>, allowing the medical and nursing professions to perform their duties. Positioning theory is interesting, especially when considering the roles undertaken by brokers</w:t>
      </w:r>
      <w:r w:rsidR="00F720AB" w:rsidRPr="008B68A9">
        <w:t xml:space="preserve"> in personalisation</w:t>
      </w:r>
      <w:r w:rsidRPr="008B68A9">
        <w:t xml:space="preserve"> as Harré </w:t>
      </w:r>
      <w:r w:rsidRPr="008B68A9">
        <w:rPr>
          <w:i/>
        </w:rPr>
        <w:t>et al.</w:t>
      </w:r>
      <w:r w:rsidRPr="008B68A9">
        <w:t xml:space="preserve"> (2009) state:</w:t>
      </w:r>
    </w:p>
    <w:p w14:paraId="6B4F6544" w14:textId="77777777" w:rsidR="00792AC2" w:rsidRPr="008B68A9" w:rsidRDefault="00792AC2" w:rsidP="002F0FD7">
      <w:pPr>
        <w:pStyle w:val="6ablockquoteroman"/>
      </w:pPr>
      <w:r w:rsidRPr="008B68A9">
        <w:t>Positioning theory studies refer to cognitive processes that are instrumental in supporting the actions people undertake particularly by fixing for this moment and this situation what these actions mean. These processes serve to explain the actions to which we are attending. (p. 6)</w:t>
      </w:r>
    </w:p>
    <w:p w14:paraId="5FECC5BB" w14:textId="22FBD914" w:rsidR="00792AC2" w:rsidRPr="008B68A9" w:rsidRDefault="00792AC2" w:rsidP="002F0FD7">
      <w:pPr>
        <w:pStyle w:val="5arangedleft"/>
      </w:pPr>
      <w:r w:rsidRPr="008B68A9">
        <w:t>Permissible actions for service users to take within service interactions are determined by traditional pattern</w:t>
      </w:r>
      <w:r w:rsidR="00B24A71" w:rsidRPr="008B68A9">
        <w:t>s</w:t>
      </w:r>
      <w:r w:rsidR="008B5EB5" w:rsidRPr="008B68A9">
        <w:t xml:space="preserve"> of interaction</w:t>
      </w:r>
      <w:r w:rsidRPr="008B68A9">
        <w:t xml:space="preserve">, therefore </w:t>
      </w:r>
      <w:r w:rsidR="00B24A71" w:rsidRPr="008B68A9">
        <w:t xml:space="preserve">service users and arguably providers </w:t>
      </w:r>
      <w:r w:rsidR="008B5EB5" w:rsidRPr="008B68A9">
        <w:t>may</w:t>
      </w:r>
      <w:r w:rsidR="00B24A71" w:rsidRPr="008B68A9">
        <w:t xml:space="preserve"> find initiating and maintaining</w:t>
      </w:r>
      <w:r w:rsidRPr="008B68A9">
        <w:t xml:space="preserve"> conversations </w:t>
      </w:r>
      <w:r w:rsidR="00B24A71" w:rsidRPr="008B68A9">
        <w:t>outside of</w:t>
      </w:r>
      <w:r w:rsidRPr="008B68A9">
        <w:t xml:space="preserve"> expected positioning difficult. A support plan broker </w:t>
      </w:r>
      <w:r w:rsidR="004B7763" w:rsidRPr="008B68A9">
        <w:t>may</w:t>
      </w:r>
      <w:r w:rsidRPr="008B68A9">
        <w:t xml:space="preserve"> be less likely to be constrained in fulfilling their role, positioning themselves with service users, and </w:t>
      </w:r>
      <w:r w:rsidRPr="008B68A9">
        <w:lastRenderedPageBreak/>
        <w:t xml:space="preserve">both between and amongst professionals. </w:t>
      </w:r>
      <w:r w:rsidR="00FF0166" w:rsidRPr="008B68A9">
        <w:t>The</w:t>
      </w:r>
      <w:r w:rsidRPr="008B68A9">
        <w:t xml:space="preserve"> practice </w:t>
      </w:r>
      <w:r w:rsidR="00FF0166" w:rsidRPr="008B68A9">
        <w:t xml:space="preserve">of personalisation </w:t>
      </w:r>
      <w:r w:rsidRPr="008B68A9">
        <w:t xml:space="preserve">emphasises co-production and collaborative work which </w:t>
      </w:r>
      <w:r w:rsidR="00FF0166" w:rsidRPr="008B68A9">
        <w:t xml:space="preserve">are challenging </w:t>
      </w:r>
      <w:r w:rsidRPr="008B68A9">
        <w:t xml:space="preserve">for </w:t>
      </w:r>
      <w:r w:rsidR="00FF0166" w:rsidRPr="008B68A9">
        <w:t>the orthodoxy of medically led traditional services</w:t>
      </w:r>
      <w:r w:rsidRPr="008B68A9">
        <w:t xml:space="preserve">. Therefore exploring the service users’ </w:t>
      </w:r>
      <w:r w:rsidR="000C36F7" w:rsidRPr="008B68A9">
        <w:t>providers’</w:t>
      </w:r>
      <w:r w:rsidR="00FF0166" w:rsidRPr="008B68A9">
        <w:t xml:space="preserve"> </w:t>
      </w:r>
      <w:r w:rsidRPr="008B68A9">
        <w:t>actions through positioning could produce novel perspectives. Van Langenhove and Harré (2010) point out:</w:t>
      </w:r>
    </w:p>
    <w:p w14:paraId="196A83A8" w14:textId="77777777" w:rsidR="00792AC2" w:rsidRPr="008B68A9" w:rsidRDefault="00792AC2" w:rsidP="002F0FD7">
      <w:pPr>
        <w:pStyle w:val="6ablockquoteroman"/>
      </w:pPr>
      <w:r w:rsidRPr="008B68A9">
        <w:t>Adopting a 'position' involves the use of rhetorical devices by which oneself and other speakers are presented as standing in various kind of relations. These include relations of power, relations of competence, (knowledge/ ignorance), relations of moral standing, (trustworthy/trusting), and so on. Thus every position exists only as the reciprocal of some other position. The concept is essentially conversational. (p. 465)</w:t>
      </w:r>
    </w:p>
    <w:p w14:paraId="7E3CC4E5" w14:textId="7B920CE4" w:rsidR="000C36F7" w:rsidRPr="008B68A9" w:rsidRDefault="00B72B4E" w:rsidP="00133C39">
      <w:pPr>
        <w:pStyle w:val="5arangedleft"/>
      </w:pPr>
      <w:r w:rsidRPr="008B68A9">
        <w:t>P</w:t>
      </w:r>
      <w:r w:rsidR="00792AC2" w:rsidRPr="008B68A9">
        <w:t xml:space="preserve">ositioning can be identified through conversational processes, and the study of rhetorical devices in language reveal the identity work undertaken by the participants. The </w:t>
      </w:r>
      <w:r w:rsidRPr="008B68A9">
        <w:t>story-lines, social forces and interlocutionary rules</w:t>
      </w:r>
      <w:r w:rsidR="00792AC2" w:rsidRPr="008B68A9">
        <w:t xml:space="preserve"> of positioning </w:t>
      </w:r>
      <w:r w:rsidRPr="008B68A9">
        <w:t>are</w:t>
      </w:r>
      <w:r w:rsidR="00792AC2" w:rsidRPr="008B68A9">
        <w:t xml:space="preserve"> dependent on the use of story-line </w:t>
      </w:r>
      <w:r w:rsidRPr="008B68A9">
        <w:t>expressing</w:t>
      </w:r>
      <w:r w:rsidR="00792AC2" w:rsidRPr="008B68A9">
        <w:t xml:space="preserve"> the existence of contradictory construction and expression of concepts.</w:t>
      </w:r>
      <w:r w:rsidR="00133C39" w:rsidRPr="008B68A9">
        <w:t xml:space="preserve"> </w:t>
      </w:r>
    </w:p>
    <w:p w14:paraId="6EB382C8" w14:textId="72491BF4" w:rsidR="00792AC2" w:rsidRPr="008B68A9" w:rsidRDefault="00DB485D" w:rsidP="00792AC2">
      <w:pPr>
        <w:pStyle w:val="3L3header"/>
      </w:pPr>
      <w:bookmarkStart w:id="80" w:name="_Toc466800309"/>
      <w:r w:rsidRPr="008B68A9">
        <w:t>4.2.7</w:t>
      </w:r>
      <w:r w:rsidR="00792AC2" w:rsidRPr="008B68A9">
        <w:t xml:space="preserve"> Story-line</w:t>
      </w:r>
      <w:bookmarkEnd w:id="79"/>
      <w:bookmarkEnd w:id="80"/>
    </w:p>
    <w:p w14:paraId="77AD1290" w14:textId="09A7A0EF" w:rsidR="00792AC2" w:rsidRPr="008B68A9" w:rsidRDefault="000C36F7" w:rsidP="002F0FD7">
      <w:pPr>
        <w:pStyle w:val="5arangedleft"/>
      </w:pPr>
      <w:r w:rsidRPr="008B68A9">
        <w:t xml:space="preserve">Story-line allows for seemingly incompatible ideas, which might otherwise be confined to redundant and polarised argument, to co-exist. The potential for rich analysis of story-line in personalisation and the approach taken in my study are now discussed. </w:t>
      </w:r>
      <w:r w:rsidR="00792AC2" w:rsidRPr="008B68A9">
        <w:t xml:space="preserve">Needham (2011b) </w:t>
      </w:r>
      <w:r w:rsidRPr="008B68A9">
        <w:t>uses</w:t>
      </w:r>
      <w:r w:rsidR="00792AC2" w:rsidRPr="008B68A9">
        <w:t xml:space="preserve"> story-line to examine </w:t>
      </w:r>
      <w:r w:rsidR="00CC2CC5" w:rsidRPr="008B68A9">
        <w:t xml:space="preserve">personalisation’s </w:t>
      </w:r>
      <w:r w:rsidR="00792AC2" w:rsidRPr="008B68A9">
        <w:t>dominant narrative within</w:t>
      </w:r>
      <w:r w:rsidR="00CC2CC5" w:rsidRPr="008B68A9">
        <w:t xml:space="preserve"> UK public sector care services. </w:t>
      </w:r>
      <w:r w:rsidR="00792AC2" w:rsidRPr="008B68A9">
        <w:t xml:space="preserve">In </w:t>
      </w:r>
      <w:r w:rsidRPr="008B68A9">
        <w:t>my</w:t>
      </w:r>
      <w:r w:rsidR="00792AC2" w:rsidRPr="008B68A9">
        <w:t xml:space="preserve"> </w:t>
      </w:r>
      <w:r w:rsidRPr="008B68A9">
        <w:t xml:space="preserve">thesis </w:t>
      </w:r>
      <w:r w:rsidR="00792AC2" w:rsidRPr="008B68A9">
        <w:t xml:space="preserve">story-line </w:t>
      </w:r>
      <w:r w:rsidR="00CC2CC5" w:rsidRPr="008B68A9">
        <w:t>contributes</w:t>
      </w:r>
      <w:r w:rsidR="00792AC2" w:rsidRPr="008B68A9">
        <w:t xml:space="preserve"> to the collective case study</w:t>
      </w:r>
      <w:r w:rsidR="00CC2CC5" w:rsidRPr="008B68A9">
        <w:t>,</w:t>
      </w:r>
      <w:r w:rsidR="00792AC2" w:rsidRPr="008B68A9">
        <w:t xml:space="preserve"> </w:t>
      </w:r>
      <w:r w:rsidR="00CC2CC5" w:rsidRPr="008B68A9">
        <w:t>enabling</w:t>
      </w:r>
      <w:r w:rsidR="00792AC2" w:rsidRPr="008B68A9">
        <w:t xml:space="preserve"> space for disparate stakeholder voices to be heard and defended. </w:t>
      </w:r>
      <w:r w:rsidR="00CC2CC5" w:rsidRPr="008B68A9">
        <w:t>Story-line permits</w:t>
      </w:r>
      <w:r w:rsidR="00792AC2" w:rsidRPr="008B68A9">
        <w:t xml:space="preserve"> multiple constructions to be analysed, rather than that of</w:t>
      </w:r>
      <w:r w:rsidR="00CC2CC5" w:rsidRPr="008B68A9">
        <w:t xml:space="preserve"> dominant</w:t>
      </w:r>
      <w:r w:rsidR="00792AC2" w:rsidRPr="008B68A9">
        <w:t xml:space="preserve"> professional mental health workers </w:t>
      </w:r>
      <w:r w:rsidR="00CC2CC5" w:rsidRPr="008B68A9">
        <w:t>or those from the user movement</w:t>
      </w:r>
      <w:r w:rsidR="00792AC2" w:rsidRPr="008B68A9">
        <w:t xml:space="preserve">. By accepting different warranted voice in personalisation, seemingly irreconcilable tensions could be heard and interpreted within the data. </w:t>
      </w:r>
    </w:p>
    <w:p w14:paraId="45AE0B55" w14:textId="753AB94C" w:rsidR="00792AC2" w:rsidRPr="008B68A9" w:rsidRDefault="00792AC2" w:rsidP="002F0FD7">
      <w:pPr>
        <w:pStyle w:val="5arangedleft"/>
      </w:pPr>
      <w:r w:rsidRPr="008B68A9">
        <w:t xml:space="preserve">Hajer (1997 p. 56) describes story-line as “…a generative sort of narrative that allows actors to draw upon various discursive categories to give meaning to specific physical or social phenomena.” Meanings are understood by the actors involved, dependent on their role construction and socially prescribed role the encounters </w:t>
      </w:r>
      <w:r w:rsidRPr="008B68A9">
        <w:lastRenderedPageBreak/>
        <w:t xml:space="preserve">occur within. Harré and </w:t>
      </w:r>
      <w:r w:rsidRPr="008B68A9">
        <w:rPr>
          <w:rFonts w:ascii="Calibri" w:eastAsia="Calibri" w:hAnsi="Calibri" w:cs="Times New Roman"/>
        </w:rPr>
        <w:t>Moghaddam</w:t>
      </w:r>
      <w:r w:rsidRPr="008B68A9">
        <w:t xml:space="preserve"> (2003 p. 5) states that behaviours are neither random nor unexpected, and to him story-lines: “…tend to follow already established patterns of development, which for convenience have come to be called story-lines. Each story-line is expressible in a loose cluster of narrative conventions.” Both Hajer and Harré are alluding to permitted actions and expectations within positioning that participants in this study could adhere to. The nursing staff drew upon their nursing discursive categories, the social workers on theirs, and the service users follow</w:t>
      </w:r>
      <w:r w:rsidR="004B7763" w:rsidRPr="008B68A9">
        <w:t>ed</w:t>
      </w:r>
      <w:r w:rsidRPr="008B68A9">
        <w:t xml:space="preserve"> their established patterns of narrative </w:t>
      </w:r>
      <w:r w:rsidR="000C36F7" w:rsidRPr="008B68A9">
        <w:t>accounts</w:t>
      </w:r>
      <w:r w:rsidRPr="008B68A9">
        <w:t xml:space="preserve"> as they created meaning of personalisation. The loose cluster of narrative conventions each stakeholder employ</w:t>
      </w:r>
      <w:r w:rsidR="004B7763" w:rsidRPr="008B68A9">
        <w:t>ed</w:t>
      </w:r>
      <w:r w:rsidRPr="008B68A9">
        <w:t xml:space="preserve"> in their construction of personalisation had its origin in their particular background, reflecting their status as professionals or patients, and</w:t>
      </w:r>
      <w:r w:rsidR="000C36F7" w:rsidRPr="008B68A9">
        <w:t xml:space="preserve"> therefore</w:t>
      </w:r>
      <w:r w:rsidRPr="008B68A9">
        <w:t xml:space="preserve"> not random comments or position</w:t>
      </w:r>
      <w:r w:rsidR="000C36F7" w:rsidRPr="008B68A9">
        <w:t>s</w:t>
      </w:r>
      <w:r w:rsidRPr="008B68A9">
        <w:t>.</w:t>
      </w:r>
    </w:p>
    <w:p w14:paraId="40F5A0CF" w14:textId="24384862" w:rsidR="00792AC2" w:rsidRPr="008B68A9" w:rsidRDefault="00792AC2" w:rsidP="002F0FD7">
      <w:pPr>
        <w:pStyle w:val="5arangedleft"/>
      </w:pPr>
      <w:r w:rsidRPr="008B68A9">
        <w:t xml:space="preserve">The story-line work undertaken by participants </w:t>
      </w:r>
      <w:r w:rsidR="00107F1D" w:rsidRPr="008B68A9">
        <w:t>through</w:t>
      </w:r>
      <w:r w:rsidRPr="008B68A9">
        <w:t xml:space="preserve"> their narratives formed part of what Sarbin (1986) refers to as smoothing, a process of maintaining congruence of identity through the re-telling of stories, thus ensuring self-consistency. Mental health service professionals adapting to personalisation create an interest in how different story-lines of patient choice, autonomy and their professional action may coalesce and diverge within stakeholder interaction. Service user story-lines of role and need </w:t>
      </w:r>
      <w:r w:rsidR="000C36F7" w:rsidRPr="008B68A9">
        <w:t>might</w:t>
      </w:r>
      <w:r w:rsidRPr="008B68A9">
        <w:t xml:space="preserve"> be challenged through personalisation, and their narrative accounts of adaptation prove interest</w:t>
      </w:r>
      <w:r w:rsidR="004B7763" w:rsidRPr="008B68A9">
        <w:t>ing</w:t>
      </w:r>
      <w:r w:rsidRPr="008B68A9">
        <w:t xml:space="preserve"> in respect of their positioning and story-line. Harré (2008) argues that story-line and narrative study are inextricably connected, that the almost unconscious positioning and creation of story-line in human interaction permeate all social encounters. Through a study of stakeholder accounts of their personalisation experiences, different ways of working or being worked with could be analysed and discussed: </w:t>
      </w:r>
    </w:p>
    <w:p w14:paraId="2A26F261" w14:textId="77777777" w:rsidR="00792AC2" w:rsidRPr="008B68A9" w:rsidRDefault="00792AC2" w:rsidP="002F0FD7">
      <w:pPr>
        <w:pStyle w:val="6ablockquoteroman"/>
      </w:pPr>
      <w:r w:rsidRPr="008B68A9">
        <w:t>Every episode of human interaction is shaped by one or more story-lines which are usually taken for granted by those taking part in the episode. The study of origins and plots of the story-lines of a culture is the work of narratology. (p. 30)</w:t>
      </w:r>
    </w:p>
    <w:p w14:paraId="332D2A29" w14:textId="77777777" w:rsidR="00792AC2" w:rsidRPr="008B68A9" w:rsidRDefault="00792AC2" w:rsidP="002F0FD7">
      <w:pPr>
        <w:pStyle w:val="5arangedleft"/>
      </w:pPr>
      <w:r w:rsidRPr="008B68A9">
        <w:t xml:space="preserve">Hajer’s (1997) use of story-line is drawn from positioning theory (Van Langenhove and Harré 1999, p. 16) where “…positioning can be understood as the discursive construction of personal stories that make a person’s actions intelligible.” Acts of </w:t>
      </w:r>
      <w:r w:rsidRPr="008B68A9">
        <w:lastRenderedPageBreak/>
        <w:t xml:space="preserve">positioning according to Hajer are not always clear to the actor in that moment, and whilst central within social interaction, are subject to change. </w:t>
      </w:r>
    </w:p>
    <w:p w14:paraId="200D1488" w14:textId="2ADB99D8" w:rsidR="00792AC2" w:rsidRPr="008B68A9" w:rsidRDefault="00DB485D" w:rsidP="00792AC2">
      <w:pPr>
        <w:pStyle w:val="3L3header"/>
      </w:pPr>
      <w:bookmarkStart w:id="81" w:name="_Toc413827415"/>
      <w:bookmarkStart w:id="82" w:name="_Toc466800310"/>
      <w:r w:rsidRPr="008B68A9">
        <w:t>4.2.8</w:t>
      </w:r>
      <w:r w:rsidR="00792AC2" w:rsidRPr="008B68A9">
        <w:t xml:space="preserve"> Coding narrative</w:t>
      </w:r>
      <w:bookmarkEnd w:id="81"/>
      <w:bookmarkEnd w:id="82"/>
    </w:p>
    <w:p w14:paraId="30D95E81" w14:textId="3E9928DC" w:rsidR="00792AC2" w:rsidRPr="008B68A9" w:rsidRDefault="00792AC2" w:rsidP="002F0FD7">
      <w:pPr>
        <w:pStyle w:val="5arangedleft"/>
      </w:pPr>
      <w:r w:rsidRPr="008B68A9">
        <w:t xml:space="preserve">The analysis of the collective case study dataset followed a classical coding approach similar to thematic analysis (Burnard 1991), where the transcribed texts were repeatedly read to familiarise the researcher to their content and begin interpretation. The processes also followed Braun and Clarke (2006 p. 96) using their 15 point checklist for good thematic analysis (see appendix 3), where the transcripts, “were analysed, interpreted, made sense of – rather than just paraphrased or described.” In keeping with traditional qualitative work, and in particular collective case study (Stake 2000), the transcripts were printed in a numbered line format whereupon the entire set were read and re-read aiming to build a familiarisation with the corpus. The transcripts were read accompanied by the original audio digital recording, to remind the researcher during their developing analysis of the origin of those data as recommended by Braun and Clarke (2006). There was an added advantage of listening to the recorded interviews: sections of data difficult to transcribe could be revisited and, where possible, given a fuller or new meaning. Annotation within the transcripts contributed further to theme development. </w:t>
      </w:r>
    </w:p>
    <w:p w14:paraId="1E0B3E14" w14:textId="584CE322" w:rsidR="00792AC2" w:rsidRPr="008B68A9" w:rsidRDefault="00792AC2" w:rsidP="002F0FD7">
      <w:pPr>
        <w:pStyle w:val="5arangedleft"/>
      </w:pPr>
      <w:r w:rsidRPr="008B68A9">
        <w:t xml:space="preserve">Coding was </w:t>
      </w:r>
      <w:r w:rsidR="004A629A" w:rsidRPr="008B68A9">
        <w:t xml:space="preserve">achieved through </w:t>
      </w:r>
      <w:r w:rsidRPr="008B68A9">
        <w:t xml:space="preserve">an iterative process of reading, revisiting, refining and checking accounts between the transcripts, notes and recordings, with cognisance of the importance of letting the stories emerge </w:t>
      </w:r>
      <w:r w:rsidR="00EB4E88" w:rsidRPr="008B68A9">
        <w:t xml:space="preserve">(Frank 2012) </w:t>
      </w:r>
      <w:r w:rsidRPr="008B68A9">
        <w:t xml:space="preserve">and allowing coding to develop. Each transcript was given a unique identifier and assigned to one of four stakeholder groups: participants, carers, staff and brokers. Participant groups were further subdivided into first and second, indicating the point of data collection pre- and post-individual budget. From subsequent re-reading and immersion in those narrative accounts, potential narratives and plot were gradually developed, along with preliminary insights that later formed the coding frame. Where interview recordings were confusing or indecipherable, Atkinson’s (1997) view that transcripts should be intelligible over a pursuit of complete fidelity was taken. This </w:t>
      </w:r>
      <w:r w:rsidRPr="008B68A9">
        <w:lastRenderedPageBreak/>
        <w:t>meant that meaning was drawn from the context where such passages arose; also, the infrequent instances of missing data were similarly dealt with, and therefore were unlikely to impact significantly on the overall analysis.</w:t>
      </w:r>
    </w:p>
    <w:p w14:paraId="3059361F" w14:textId="6B268CBB" w:rsidR="00792AC2" w:rsidRPr="008B68A9" w:rsidRDefault="00792AC2" w:rsidP="002F0FD7">
      <w:pPr>
        <w:pStyle w:val="5arangedleft"/>
      </w:pPr>
      <w:r w:rsidRPr="008B68A9">
        <w:t xml:space="preserve">Examples of primary regressive narrative trajectory theme coding were seen in stories that recounted the service user’s crisis that led to their involvement with mental health services, revealing accounts of isolation, distress, confusion, hopelessness or lack of agency in their lives. Narratives where optimism or indicators of potential change or hope were preliminarily coded as progressive trajectories; as Gergen and Gergen (1983) described, these </w:t>
      </w:r>
      <w:r w:rsidR="00135776" w:rsidRPr="008B68A9">
        <w:t>stories show a</w:t>
      </w:r>
      <w:r w:rsidRPr="008B68A9">
        <w:t xml:space="preserve"> </w:t>
      </w:r>
      <w:r w:rsidR="00135776" w:rsidRPr="008B68A9">
        <w:t>progressive</w:t>
      </w:r>
      <w:r w:rsidRPr="008B68A9">
        <w:t xml:space="preserve"> trajectory towards hopeful futures. </w:t>
      </w:r>
    </w:p>
    <w:p w14:paraId="697E0738" w14:textId="77777777" w:rsidR="00792AC2" w:rsidRPr="008B68A9" w:rsidRDefault="00792AC2" w:rsidP="002F0FD7">
      <w:pPr>
        <w:pStyle w:val="5arangedleft"/>
      </w:pPr>
      <w:r w:rsidRPr="008B68A9">
        <w:t xml:space="preserve">The initial analysis of the narratives began to reveal the complex functions brokers undertook in their role. Budget holders’ narratives described the brokers supporting their planning in ways that were reminiscent of advocacy roles. The brokers were identified as pivotal, signalling a change in narrative trajectory which was subsequently coded as dramatic engagement (following Gergen and Gergen, (1983)). The broker was central in facilitating change, by supporting the budget user to access non-traditional services whilst simultaneously managing the interface with paid practitioners and funding panels. The budget holder and professional worker narratives described the brokerage actions during support planning, which were coded as positioning to identify broker roles according to the work at hand. </w:t>
      </w:r>
    </w:p>
    <w:p w14:paraId="22E7E5E2" w14:textId="0D9C63C4" w:rsidR="00792AC2" w:rsidRPr="008B68A9" w:rsidRDefault="00792AC2" w:rsidP="002F0FD7">
      <w:pPr>
        <w:pStyle w:val="5arangedleft"/>
      </w:pPr>
      <w:r w:rsidRPr="008B68A9">
        <w:t>The broker</w:t>
      </w:r>
      <w:r w:rsidR="004A629A" w:rsidRPr="008B68A9">
        <w:t>’</w:t>
      </w:r>
      <w:r w:rsidRPr="008B68A9">
        <w:t xml:space="preserve">s role </w:t>
      </w:r>
      <w:r w:rsidR="004A629A" w:rsidRPr="008B68A9">
        <w:t>was</w:t>
      </w:r>
      <w:r w:rsidRPr="008B68A9">
        <w:t xml:space="preserve"> spoken of differently by budget holders than by professionals. Most brokers in the study were seconded from substantive professional roles, yet</w:t>
      </w:r>
      <w:r w:rsidR="00D8576C" w:rsidRPr="008B68A9">
        <w:t xml:space="preserve"> through undertaking new roles,</w:t>
      </w:r>
      <w:r w:rsidRPr="008B68A9">
        <w:t xml:space="preserve"> </w:t>
      </w:r>
      <w:r w:rsidR="004A629A" w:rsidRPr="008B68A9">
        <w:t>their identity</w:t>
      </w:r>
      <w:r w:rsidRPr="008B68A9">
        <w:t xml:space="preserve"> </w:t>
      </w:r>
      <w:r w:rsidR="004A629A" w:rsidRPr="008B68A9">
        <w:t>altered</w:t>
      </w:r>
      <w:r w:rsidRPr="008B68A9">
        <w:t xml:space="preserve"> into something other than a nurse/ social worker/ probation officer. The positions between brokers, budget </w:t>
      </w:r>
      <w:r w:rsidR="00D8576C" w:rsidRPr="008B68A9">
        <w:t>users</w:t>
      </w:r>
      <w:r w:rsidRPr="008B68A9">
        <w:t xml:space="preserve"> and paid professionals were seen as separate, someone recognisable but yet different</w:t>
      </w:r>
      <w:r w:rsidR="00D8576C" w:rsidRPr="008B68A9">
        <w:t>.</w:t>
      </w:r>
      <w:r w:rsidRPr="008B68A9">
        <w:t xml:space="preserve"> Narratives from the brokers spoke of deliberately chosen </w:t>
      </w:r>
      <w:r w:rsidR="00D8576C" w:rsidRPr="008B68A9">
        <w:t>actions</w:t>
      </w:r>
      <w:r w:rsidRPr="008B68A9">
        <w:t xml:space="preserve"> as they </w:t>
      </w:r>
      <w:r w:rsidR="00D8576C" w:rsidRPr="008B68A9">
        <w:t>fulfilled</w:t>
      </w:r>
      <w:r w:rsidRPr="008B68A9">
        <w:t xml:space="preserve"> roles and function as advocates between paid services and </w:t>
      </w:r>
      <w:r w:rsidR="00D8576C" w:rsidRPr="008B68A9">
        <w:t>budget</w:t>
      </w:r>
      <w:r w:rsidRPr="008B68A9">
        <w:t xml:space="preserve"> users. </w:t>
      </w:r>
      <w:r w:rsidR="00D8576C" w:rsidRPr="008B68A9">
        <w:t xml:space="preserve">Such </w:t>
      </w:r>
      <w:r w:rsidRPr="008B68A9">
        <w:t>as deliberative acts</w:t>
      </w:r>
      <w:r w:rsidR="00D8576C" w:rsidRPr="008B68A9">
        <w:t xml:space="preserve"> </w:t>
      </w:r>
      <w:r w:rsidRPr="008B68A9">
        <w:t>fulfilled Harré and Van Langenhove’s (1999) positioning</w:t>
      </w:r>
      <w:r w:rsidR="00D8576C" w:rsidRPr="008B68A9">
        <w:t xml:space="preserve"> and were coded as such</w:t>
      </w:r>
      <w:r w:rsidRPr="008B68A9">
        <w:t>.</w:t>
      </w:r>
    </w:p>
    <w:p w14:paraId="356AD037" w14:textId="30E84EE0" w:rsidR="00792AC2" w:rsidRPr="008B68A9" w:rsidRDefault="002E24F3" w:rsidP="002F0FD7">
      <w:pPr>
        <w:pStyle w:val="5arangedleft"/>
      </w:pPr>
      <w:r w:rsidRPr="008B68A9">
        <w:lastRenderedPageBreak/>
        <w:t>In keeping with both Hajer (1997) and Needham’s (2009) use of the term, a</w:t>
      </w:r>
      <w:r w:rsidR="00792AC2" w:rsidRPr="008B68A9">
        <w:t xml:space="preserve"> broad coding</w:t>
      </w:r>
      <w:r w:rsidRPr="008B68A9">
        <w:t xml:space="preserve"> of story-l</w:t>
      </w:r>
      <w:r w:rsidR="00792AC2" w:rsidRPr="008B68A9">
        <w:t xml:space="preserve">ine </w:t>
      </w:r>
      <w:r w:rsidR="00254B89" w:rsidRPr="008B68A9">
        <w:t>was</w:t>
      </w:r>
      <w:r w:rsidR="00792AC2" w:rsidRPr="008B68A9">
        <w:t xml:space="preserve"> </w:t>
      </w:r>
      <w:r w:rsidRPr="008B68A9">
        <w:t>ascribed</w:t>
      </w:r>
      <w:r w:rsidR="00792AC2" w:rsidRPr="008B68A9">
        <w:t xml:space="preserve"> to stakeholder narratives that represented multiple perspectives of personalisation. Participant narrative story-line in some instances reflect</w:t>
      </w:r>
      <w:r w:rsidRPr="008B68A9">
        <w:t>ed</w:t>
      </w:r>
      <w:r w:rsidR="00792AC2" w:rsidRPr="008B68A9">
        <w:t xml:space="preserve"> both a positive orientation towards the aims of personalisation, and simultaneously antithetical. Closer and more detailed analysis (described in chapter 6) led to coding of the story-line </w:t>
      </w:r>
      <w:r w:rsidRPr="008B68A9">
        <w:t xml:space="preserve">leading to </w:t>
      </w:r>
      <w:r w:rsidR="00792AC2" w:rsidRPr="008B68A9">
        <w:t>trope</w:t>
      </w:r>
      <w:r w:rsidRPr="008B68A9">
        <w:t>s which were either</w:t>
      </w:r>
      <w:r w:rsidR="00792AC2" w:rsidRPr="008B68A9">
        <w:t xml:space="preserve"> binary or nuanced. </w:t>
      </w:r>
    </w:p>
    <w:p w14:paraId="5DC2A1E6" w14:textId="594A370B" w:rsidR="00792AC2" w:rsidRPr="008B68A9" w:rsidRDefault="00792AC2" w:rsidP="002F0FD7">
      <w:pPr>
        <w:pStyle w:val="5arangedleft"/>
      </w:pPr>
      <w:r w:rsidRPr="008B68A9">
        <w:t xml:space="preserve">Multiple codes </w:t>
      </w:r>
      <w:r w:rsidR="00135776" w:rsidRPr="008B68A9">
        <w:t>were</w:t>
      </w:r>
      <w:r w:rsidRPr="008B68A9">
        <w:t xml:space="preserve"> be ascribed to sections of narrative that </w:t>
      </w:r>
      <w:r w:rsidR="00135776" w:rsidRPr="008B68A9">
        <w:t>transected</w:t>
      </w:r>
      <w:r w:rsidRPr="008B68A9">
        <w:t xml:space="preserve"> coding</w:t>
      </w:r>
      <w:r w:rsidR="00393E22" w:rsidRPr="008B68A9">
        <w:t xml:space="preserve"> divisions</w:t>
      </w:r>
      <w:r w:rsidRPr="008B68A9">
        <w:t xml:space="preserve">: for example where a budget recipient identified progressive trajectory following support planning, as well as indicating their personalisation story-line, both codes were applied. During coding, caution was applied to prevent the researcher arriving too quickly at an assumption: as Antaki </w:t>
      </w:r>
      <w:r w:rsidRPr="008B68A9">
        <w:rPr>
          <w:i/>
        </w:rPr>
        <w:t>et al.</w:t>
      </w:r>
      <w:r w:rsidRPr="008B68A9">
        <w:t xml:space="preserve"> (2003) discuss, simply summarising coding does not represent a process of analysis, stating “…the analyst in the summary might be drawing attention to certain themes, pointing to some things that the participant(s), said, and not to other things.” An awareness of the potential of imposing codes and categories over the narratives derived from a privileged position was foremost in </w:t>
      </w:r>
      <w:r w:rsidR="004C789F" w:rsidRPr="008B68A9">
        <w:t>my</w:t>
      </w:r>
      <w:r w:rsidRPr="008B68A9">
        <w:t xml:space="preserve"> approach. To counter the risk of closing down possible interpretations from the narratives, initial </w:t>
      </w:r>
      <w:r w:rsidR="002C3598" w:rsidRPr="008B68A9">
        <w:t>coding</w:t>
      </w:r>
      <w:r w:rsidRPr="008B68A9">
        <w:t xml:space="preserve"> </w:t>
      </w:r>
      <w:r w:rsidR="002C3598" w:rsidRPr="008B68A9">
        <w:t>was</w:t>
      </w:r>
      <w:r w:rsidRPr="008B68A9">
        <w:t xml:space="preserve"> viewed as a prec</w:t>
      </w:r>
      <w:r w:rsidR="004C789F" w:rsidRPr="008B68A9">
        <w:t>ursor to later analysis</w:t>
      </w:r>
      <w:r w:rsidRPr="008B68A9">
        <w:t xml:space="preserve">. This caution and reflection prior to </w:t>
      </w:r>
      <w:r w:rsidR="004C789F" w:rsidRPr="008B68A9">
        <w:t xml:space="preserve">final </w:t>
      </w:r>
      <w:r w:rsidRPr="008B68A9">
        <w:t xml:space="preserve">coding </w:t>
      </w:r>
      <w:r w:rsidR="004C789F" w:rsidRPr="008B68A9">
        <w:t>resulted in</w:t>
      </w:r>
      <w:r w:rsidRPr="008B68A9">
        <w:t xml:space="preserve"> a careful and deliberate approach to analysing the narratives. </w:t>
      </w:r>
    </w:p>
    <w:p w14:paraId="0EC9DF2E" w14:textId="539283DF" w:rsidR="00792AC2" w:rsidRPr="008B68A9" w:rsidRDefault="00DB485D" w:rsidP="00792AC2">
      <w:pPr>
        <w:pStyle w:val="3L3header"/>
      </w:pPr>
      <w:bookmarkStart w:id="83" w:name="_Toc466800311"/>
      <w:r w:rsidRPr="008B68A9">
        <w:t>4.2.9</w:t>
      </w:r>
      <w:r w:rsidR="00792AC2" w:rsidRPr="008B68A9">
        <w:t xml:space="preserve"> Visualising narrative as an aid</w:t>
      </w:r>
      <w:bookmarkEnd w:id="83"/>
    </w:p>
    <w:p w14:paraId="7183AD64" w14:textId="5BAD37F6" w:rsidR="00792AC2" w:rsidRPr="008B68A9" w:rsidRDefault="00792AC2" w:rsidP="002F0FD7">
      <w:pPr>
        <w:pStyle w:val="5arangedleft"/>
      </w:pPr>
      <w:r w:rsidRPr="008B68A9">
        <w:t>It is not uncommon to have to deal with large qualitative data sets in such an immersive and laborious fashion (Silverman 2013), and particularly so with narrative methods (</w:t>
      </w:r>
      <w:r w:rsidR="0064440D" w:rsidRPr="008B68A9">
        <w:t>Reissman</w:t>
      </w:r>
      <w:r w:rsidRPr="008B68A9">
        <w:t xml:space="preserve"> 1993). </w:t>
      </w:r>
      <w:r w:rsidR="0064440D" w:rsidRPr="008B68A9">
        <w:t>Reissman</w:t>
      </w:r>
      <w:r w:rsidRPr="008B68A9">
        <w:t xml:space="preserve"> (2008) offers visual methods as a solution, so prior to committing the narratives into the textural analysis software an overall visualisation of narrative story</w:t>
      </w:r>
      <w:r w:rsidR="009A7254" w:rsidRPr="008B68A9">
        <w:t>-</w:t>
      </w:r>
      <w:r w:rsidRPr="008B68A9">
        <w:t>line development was undertaken. The visualisation, though large, prove</w:t>
      </w:r>
      <w:r w:rsidR="004B7763" w:rsidRPr="008B68A9">
        <w:t>d</w:t>
      </w:r>
      <w:r w:rsidRPr="008B68A9">
        <w:t xml:space="preserve"> helpful, (see appendix </w:t>
      </w:r>
      <w:r w:rsidR="005B39B5" w:rsidRPr="008B68A9">
        <w:t>4</w:t>
      </w:r>
      <w:r w:rsidRPr="008B68A9">
        <w:t xml:space="preserve">), with the advantage that the emerging work was present in </w:t>
      </w:r>
      <w:r w:rsidR="00EB4E88" w:rsidRPr="008B68A9">
        <w:t>my</w:t>
      </w:r>
      <w:r w:rsidRPr="008B68A9">
        <w:t xml:space="preserve"> everyday working world. For manageability, the process of constructing coding themes and the subsequent model used large A1 sheets to visually represent </w:t>
      </w:r>
      <w:r w:rsidR="002C3598" w:rsidRPr="008B68A9">
        <w:t>constructions</w:t>
      </w:r>
      <w:r w:rsidRPr="008B68A9">
        <w:t xml:space="preserve"> </w:t>
      </w:r>
      <w:r w:rsidR="002C3598" w:rsidRPr="008B68A9">
        <w:t>of</w:t>
      </w:r>
      <w:r w:rsidRPr="008B68A9">
        <w:t xml:space="preserve"> personalisation </w:t>
      </w:r>
      <w:r w:rsidRPr="008B68A9">
        <w:lastRenderedPageBreak/>
        <w:t xml:space="preserve">from key stakeholder’s perspectives, which eventually occupied an entire </w:t>
      </w:r>
      <w:r w:rsidR="00254B89" w:rsidRPr="008B68A9">
        <w:t xml:space="preserve">office </w:t>
      </w:r>
      <w:r w:rsidRPr="008B68A9">
        <w:t xml:space="preserve">wall. </w:t>
      </w:r>
    </w:p>
    <w:p w14:paraId="639FD2AE" w14:textId="230E0F6C" w:rsidR="00792AC2" w:rsidRPr="008B68A9" w:rsidRDefault="00792AC2" w:rsidP="002F0FD7">
      <w:pPr>
        <w:pStyle w:val="5arangedleft"/>
      </w:pPr>
      <w:r w:rsidRPr="008B68A9">
        <w:t xml:space="preserve">The opportunity to be immersed in the data and to be present amongst the emerging narratives was hugely beneficial to analysis, as it permitted real time analysis as well as serendipitous insight during office time. Surrounded by segments of stories, representing the experiences and tensions of participants, a framework for coding began to </w:t>
      </w:r>
      <w:r w:rsidR="00254B89" w:rsidRPr="008B68A9">
        <w:t>emerge. Formative ideas of the stories</w:t>
      </w:r>
      <w:r w:rsidRPr="008B68A9">
        <w:t xml:space="preserve">, processes and interactions between the actors within the narrative data set were recorded and modified </w:t>
      </w:r>
      <w:r w:rsidRPr="008B68A9">
        <w:rPr>
          <w:i/>
        </w:rPr>
        <w:t>in situ</w:t>
      </w:r>
      <w:r w:rsidRPr="008B68A9">
        <w:t xml:space="preserve">. The advantage of this step was that, by visualising stories in such a way, it was possible to check and confirm diachronic connections of narrative flow with the transcribed accounts and the emerging picture. The large data set could be seen collectively, </w:t>
      </w:r>
      <w:r w:rsidR="00254B89" w:rsidRPr="008B68A9">
        <w:t>providing</w:t>
      </w:r>
      <w:r w:rsidRPr="008B68A9">
        <w:t xml:space="preserve"> a space for consideration and subsequent development of a framework of orientation towards personalisation.</w:t>
      </w:r>
    </w:p>
    <w:p w14:paraId="05625912" w14:textId="040A54EA" w:rsidR="00792AC2" w:rsidRPr="008B68A9" w:rsidRDefault="00DB485D" w:rsidP="00792AC2">
      <w:pPr>
        <w:pStyle w:val="3L3header"/>
      </w:pPr>
      <w:bookmarkStart w:id="84" w:name="_Toc413827414"/>
      <w:bookmarkStart w:id="85" w:name="_Toc466800312"/>
      <w:r w:rsidRPr="008B68A9">
        <w:t>4.2.10</w:t>
      </w:r>
      <w:r w:rsidR="00792AC2" w:rsidRPr="008B68A9">
        <w:t xml:space="preserve"> Data handling and storage</w:t>
      </w:r>
      <w:bookmarkEnd w:id="84"/>
      <w:bookmarkEnd w:id="85"/>
    </w:p>
    <w:p w14:paraId="0127B2EA" w14:textId="4807D55A" w:rsidR="00792AC2" w:rsidRPr="008B68A9" w:rsidRDefault="00792AC2" w:rsidP="000D79B2">
      <w:pPr>
        <w:pStyle w:val="5arangedleft"/>
      </w:pPr>
      <w:r w:rsidRPr="008B68A9">
        <w:t>The sample size in this project’s re-analysis was relatively large for narrative study, (Crotty 1996, Silverman 2013), involving 67 separate narrative accounts, equating to over 300,000 words. Each transcript was converted into rich text format and imported into MAXQDA textural analysis software. Computer software in qualitative research has an advantage over traditional written or typed data management as it can organise, retrieve, code and annotate data quickly, assisting the researcher’s analytical processes (Silverman 2013).</w:t>
      </w:r>
    </w:p>
    <w:p w14:paraId="6B076CFC" w14:textId="32F6E07E" w:rsidR="00792AC2" w:rsidRPr="008B68A9" w:rsidRDefault="00792AC2" w:rsidP="00792AC2">
      <w:pPr>
        <w:pStyle w:val="2L2header"/>
      </w:pPr>
      <w:bookmarkStart w:id="86" w:name="_Toc413827405"/>
      <w:bookmarkStart w:id="87" w:name="_Toc466800313"/>
      <w:bookmarkEnd w:id="69"/>
      <w:r w:rsidRPr="008B68A9">
        <w:t>4.3 Recognising challenges of narrative</w:t>
      </w:r>
      <w:bookmarkEnd w:id="86"/>
      <w:bookmarkEnd w:id="87"/>
    </w:p>
    <w:p w14:paraId="5B9BAC0D" w14:textId="494A98D1" w:rsidR="00792AC2" w:rsidRPr="008B68A9" w:rsidRDefault="00792AC2" w:rsidP="002F0FD7">
      <w:pPr>
        <w:pStyle w:val="5arangedleft"/>
      </w:pPr>
      <w:r w:rsidRPr="008B68A9">
        <w:t xml:space="preserve">This section aims to deal with five challenges that affect the methods </w:t>
      </w:r>
      <w:r w:rsidR="004A3DBF" w:rsidRPr="008B68A9">
        <w:t>that I have used in this study</w:t>
      </w:r>
      <w:r w:rsidRPr="008B68A9">
        <w:t xml:space="preserve">. Firstly, the issue of validity and reliability applied to narrative and social constructionist method are </w:t>
      </w:r>
      <w:r w:rsidR="00EB4E88" w:rsidRPr="008B68A9">
        <w:t>addressed</w:t>
      </w:r>
      <w:r w:rsidRPr="008B68A9">
        <w:t xml:space="preserve">. The issue of narrative as a co-productive enterprise between storyteller and listener is discussed with respect to facsimile of experience (Frank 2012). The role of authenticity in narrative is extended by discussing what Atkinson and Silverman (1997) call the celebrity of interview culture, as the issue of romanticised notions of suffering set against </w:t>
      </w:r>
      <w:r w:rsidRPr="008B68A9">
        <w:lastRenderedPageBreak/>
        <w:t xml:space="preserve">mental health narratives will be discussed. Burr (1995, 2015) places discourse centrally in social constructionism; and whilst I have made clear this study does not employ a post-structuralist approach, an appreciation of the relevance of discourses to this work should be given. Finally, the issue of reflexivity applied to </w:t>
      </w:r>
      <w:r w:rsidR="00EB4E88" w:rsidRPr="008B68A9">
        <w:t>my</w:t>
      </w:r>
      <w:r w:rsidRPr="008B68A9">
        <w:t xml:space="preserve"> work will be </w:t>
      </w:r>
      <w:r w:rsidR="00EB4E88" w:rsidRPr="008B68A9">
        <w:t>discussed</w:t>
      </w:r>
      <w:r w:rsidRPr="008B68A9">
        <w:t>.</w:t>
      </w:r>
    </w:p>
    <w:p w14:paraId="7E2445B6" w14:textId="2C3A9A8A" w:rsidR="00792AC2" w:rsidRPr="008B68A9" w:rsidRDefault="00792AC2" w:rsidP="00792AC2">
      <w:pPr>
        <w:pStyle w:val="3L3header"/>
      </w:pPr>
      <w:bookmarkStart w:id="88" w:name="_Toc466800314"/>
      <w:r w:rsidRPr="008B68A9">
        <w:t>4.3.1 Validity in narrative and social constructionism</w:t>
      </w:r>
      <w:bookmarkEnd w:id="88"/>
    </w:p>
    <w:p w14:paraId="509352E6" w14:textId="4317EAFD" w:rsidR="00792AC2" w:rsidRPr="008B68A9" w:rsidRDefault="00792AC2" w:rsidP="002F0FD7">
      <w:pPr>
        <w:pStyle w:val="5arangedleft"/>
      </w:pPr>
      <w:r w:rsidRPr="008B68A9">
        <w:t xml:space="preserve">Qualitative enquiry does not concern itself with generalisability and validity in the same way positivist studies </w:t>
      </w:r>
      <w:r w:rsidR="00EB4E88" w:rsidRPr="008B68A9">
        <w:t>do</w:t>
      </w:r>
      <w:r w:rsidRPr="008B68A9">
        <w:t xml:space="preserve">. It does, however, concern itself with attempting to address the essence of validity, through forms of believability (Avis 1995, Bowling and </w:t>
      </w:r>
      <w:r w:rsidR="007910AC" w:rsidRPr="008B68A9">
        <w:rPr>
          <w:rFonts w:eastAsia="Calibri" w:cs="Times New Roman"/>
        </w:rPr>
        <w:t>Ebrahim</w:t>
      </w:r>
      <w:r w:rsidR="00CD41C9" w:rsidRPr="008B68A9">
        <w:t xml:space="preserve"> 2005 and</w:t>
      </w:r>
      <w:r w:rsidRPr="008B68A9">
        <w:t xml:space="preserve"> Silverman 2013). Processes of validity and reliability with some narrative studies share characteristics with quantitative work, though focus more on dependability and on audit trails permit</w:t>
      </w:r>
      <w:r w:rsidR="00EB4E88" w:rsidRPr="008B68A9">
        <w:t>ting</w:t>
      </w:r>
      <w:r w:rsidRPr="008B68A9">
        <w:t xml:space="preserve"> </w:t>
      </w:r>
      <w:r w:rsidR="00EB4E88" w:rsidRPr="008B68A9">
        <w:t xml:space="preserve">veracity </w:t>
      </w:r>
      <w:r w:rsidRPr="008B68A9">
        <w:t>judgements (Koch 1983, De Witt and Ploeg 2006). Accounts of dependability</w:t>
      </w:r>
      <w:r w:rsidR="00CD41C9" w:rsidRPr="008B68A9">
        <w:t xml:space="preserve"> </w:t>
      </w:r>
      <w:r w:rsidR="00EB4E88" w:rsidRPr="008B68A9">
        <w:t>of</w:t>
      </w:r>
      <w:r w:rsidR="00CD41C9" w:rsidRPr="008B68A9">
        <w:t xml:space="preserve"> narrative </w:t>
      </w:r>
      <w:r w:rsidR="00EB4E88" w:rsidRPr="008B68A9">
        <w:t xml:space="preserve">research </w:t>
      </w:r>
      <w:r w:rsidRPr="008B68A9">
        <w:t xml:space="preserve">should demonstrate that a rigorous approach to analysis has been applied, and through reading the work the value of the research can be ascertained. </w:t>
      </w:r>
      <w:r w:rsidR="007910AC" w:rsidRPr="008B68A9">
        <w:rPr>
          <w:rFonts w:eastAsia="Calibri" w:cs="Times New Roman"/>
        </w:rPr>
        <w:t>Polkinghorne</w:t>
      </w:r>
      <w:r w:rsidR="007910AC" w:rsidRPr="008B68A9">
        <w:t xml:space="preserve"> </w:t>
      </w:r>
      <w:r w:rsidRPr="008B68A9">
        <w:t xml:space="preserve">(2007, p. 477), argues that: “Readers are asked to make judgement on whether or not the evidences and argument convinces that at the level of plausibility, credibleness, or trustworthiness of the claim.” From a perspective of social constructionism, validity and reliability </w:t>
      </w:r>
      <w:r w:rsidR="00EB4E88" w:rsidRPr="008B68A9">
        <w:t>can be questioned</w:t>
      </w:r>
      <w:r w:rsidRPr="008B68A9">
        <w:t>; as were we to accept reliability as a measure of worth in research, there would have to be an objective pre-existing reality to be observed. The reality need</w:t>
      </w:r>
      <w:r w:rsidR="004B7763" w:rsidRPr="008B68A9">
        <w:t>s</w:t>
      </w:r>
      <w:r w:rsidRPr="008B68A9">
        <w:t xml:space="preserve"> to be replicable and subject to re-testing; </w:t>
      </w:r>
      <w:r w:rsidR="00CD41C9" w:rsidRPr="008B68A9">
        <w:t>constituting</w:t>
      </w:r>
      <w:r w:rsidRPr="008B68A9">
        <w:t xml:space="preserve"> essentialism, which is opposed in a socially constructed world of knowledge and things. Validity in social constructionism does not apply in the ways it is understood in other forms of enquiry. As Burr (2015) states:</w:t>
      </w:r>
    </w:p>
    <w:p w14:paraId="3EE01E17" w14:textId="77777777" w:rsidR="00792AC2" w:rsidRPr="008B68A9" w:rsidRDefault="00792AC2" w:rsidP="002F0FD7">
      <w:pPr>
        <w:pStyle w:val="6ablockquoteroman"/>
      </w:pPr>
      <w:r w:rsidRPr="008B68A9">
        <w:t>…social constructionist research is not about identifying objective facts of making truth claims. There can be no final description of the world and ‘reality’ may be inaccessible or inseparable from our discourse about it; all knowledge is provisional and contestable…. (p. 177)</w:t>
      </w:r>
    </w:p>
    <w:p w14:paraId="36EF3EB5" w14:textId="49C473A5" w:rsidR="00792AC2" w:rsidRPr="008B68A9" w:rsidRDefault="00C97AEA" w:rsidP="002F0FD7">
      <w:pPr>
        <w:pStyle w:val="5arangedleft"/>
      </w:pPr>
      <w:r w:rsidRPr="008B68A9">
        <w:t>Research</w:t>
      </w:r>
      <w:r w:rsidR="00792AC2" w:rsidRPr="008B68A9">
        <w:t xml:space="preserve"> within a social constructionist frame cannot, however, simply say what it likes on the b</w:t>
      </w:r>
      <w:r w:rsidRPr="008B68A9">
        <w:t>asis of individual construction</w:t>
      </w:r>
      <w:r w:rsidR="001064A2" w:rsidRPr="008B68A9">
        <w:t xml:space="preserve">. </w:t>
      </w:r>
      <w:r w:rsidR="00792AC2" w:rsidRPr="008B68A9">
        <w:t xml:space="preserve">Approaches to address the question of </w:t>
      </w:r>
      <w:r w:rsidR="00792AC2" w:rsidRPr="008B68A9">
        <w:lastRenderedPageBreak/>
        <w:t>trustworthiness have been offered, such as criteria for social constructionism analysis</w:t>
      </w:r>
      <w:r w:rsidR="00E25825" w:rsidRPr="008B68A9">
        <w:t xml:space="preserve"> and analysis of validity as a reflexive process rather than as a fact (Aguinaldo 2004)</w:t>
      </w:r>
      <w:r w:rsidR="00792AC2" w:rsidRPr="008B68A9">
        <w:t>. When analysis of discourse is undertaken, the researcher is attempting to simultaneously engage in a process of exploration of topic or interest, interpreting those data arising from the investigation as well as evaluating that data. The worth of the work undertaken by the social constructionist researcher will not be evaluated through the tripartite measure of reliability, validity or replicability; it can instead be measured by the modest claims of knowledge that are situated within the specific circumstances in which the research is located. The work is contingent insofar as knowledge generated is neither stable nor representative of truth, that reflexivity is evident, and that there is acknowledgement of the “non-neutrality of research texts. These are not neutral but reflect a particular world-view and set of interests” (Taylor 2001, p. 319). Good accounts of analysis using social constructionism depend on the strength of the argument presented: in the words of Burr (2015):</w:t>
      </w:r>
    </w:p>
    <w:p w14:paraId="1345843E" w14:textId="77777777" w:rsidR="00792AC2" w:rsidRPr="008B68A9" w:rsidRDefault="00792AC2" w:rsidP="002F0FD7">
      <w:pPr>
        <w:pStyle w:val="6ablockquoteroman"/>
      </w:pPr>
      <w:r w:rsidRPr="008B68A9">
        <w:t>Usefulness and fruitfulness are general criteria that could apply to any research, and refer to the power of the analysis to generate theoretical developments and novel explanations and cast light on previous research findings. (p. 178)</w:t>
      </w:r>
    </w:p>
    <w:p w14:paraId="6CEEF3DF" w14:textId="026B7429" w:rsidR="00792AC2" w:rsidRPr="008B68A9" w:rsidRDefault="00792AC2" w:rsidP="00792AC2">
      <w:pPr>
        <w:pStyle w:val="3L3header"/>
      </w:pPr>
      <w:bookmarkStart w:id="89" w:name="_Toc413827406"/>
      <w:bookmarkStart w:id="90" w:name="_Toc466800315"/>
      <w:r w:rsidRPr="008B68A9">
        <w:t>4.3.2 Addressing facsimile and romanticism</w:t>
      </w:r>
      <w:bookmarkEnd w:id="89"/>
      <w:r w:rsidRPr="008B68A9">
        <w:t xml:space="preserve"> in narrative</w:t>
      </w:r>
      <w:bookmarkEnd w:id="90"/>
    </w:p>
    <w:p w14:paraId="260E9871" w14:textId="2D7E4F81" w:rsidR="00792AC2" w:rsidRPr="008B68A9" w:rsidRDefault="00792AC2" w:rsidP="002F0FD7">
      <w:pPr>
        <w:pStyle w:val="5arangedleft"/>
      </w:pPr>
      <w:r w:rsidRPr="008B68A9">
        <w:t xml:space="preserve">To Frank (2012), </w:t>
      </w:r>
      <w:r w:rsidR="00F316B2" w:rsidRPr="008B68A9">
        <w:t xml:space="preserve">a </w:t>
      </w:r>
      <w:r w:rsidRPr="008B68A9">
        <w:t xml:space="preserve">narrative or </w:t>
      </w:r>
      <w:r w:rsidR="00F316B2" w:rsidRPr="008B68A9">
        <w:t>story</w:t>
      </w:r>
      <w:r w:rsidR="004A590C" w:rsidRPr="008B68A9">
        <w:t xml:space="preserve"> that </w:t>
      </w:r>
      <w:r w:rsidR="00F316B2" w:rsidRPr="008B68A9">
        <w:t>is</w:t>
      </w:r>
      <w:r w:rsidRPr="008B68A9">
        <w:t xml:space="preserve"> offered as mimetic of real life or faithful facsimile of experience represents a mistaken view, as accounts or depictions presented </w:t>
      </w:r>
      <w:r w:rsidR="00F316B2" w:rsidRPr="008B68A9">
        <w:t>through</w:t>
      </w:r>
      <w:r w:rsidRPr="008B68A9">
        <w:t xml:space="preserve"> stories have </w:t>
      </w:r>
      <w:r w:rsidR="00F316B2" w:rsidRPr="008B68A9">
        <w:t xml:space="preserve">intrinsic </w:t>
      </w:r>
      <w:r w:rsidRPr="008B68A9">
        <w:t xml:space="preserve">purpose for the tellers which are </w:t>
      </w:r>
      <w:r w:rsidR="00F316B2" w:rsidRPr="008B68A9">
        <w:t xml:space="preserve">social and </w:t>
      </w:r>
      <w:r w:rsidRPr="008B68A9">
        <w:t xml:space="preserve">situational in nature. Narratives from interview are representations of experience shared by the narrator. Frank (2012) notes the best </w:t>
      </w:r>
      <w:r w:rsidR="0008529B" w:rsidRPr="008B68A9">
        <w:t>a listener</w:t>
      </w:r>
      <w:r w:rsidRPr="008B68A9">
        <w:t xml:space="preserve"> can achieve is to see within </w:t>
      </w:r>
      <w:r w:rsidR="0008529B" w:rsidRPr="008B68A9">
        <w:t>the</w:t>
      </w:r>
      <w:r w:rsidRPr="008B68A9">
        <w:t xml:space="preserve"> </w:t>
      </w:r>
      <w:r w:rsidR="0008529B" w:rsidRPr="008B68A9">
        <w:t>narrative being told</w:t>
      </w:r>
      <w:r w:rsidRPr="008B68A9">
        <w:t xml:space="preserve"> a</w:t>
      </w:r>
      <w:r w:rsidR="0008529B" w:rsidRPr="008B68A9">
        <w:t>n</w:t>
      </w:r>
      <w:r w:rsidRPr="008B68A9">
        <w:t xml:space="preserve"> </w:t>
      </w:r>
      <w:r w:rsidR="0008529B" w:rsidRPr="008B68A9">
        <w:t>outline</w:t>
      </w:r>
      <w:r w:rsidRPr="008B68A9">
        <w:t xml:space="preserve"> of that experience. </w:t>
      </w:r>
      <w:r w:rsidR="0008529B" w:rsidRPr="008B68A9">
        <w:t>Frank (2010)</w:t>
      </w:r>
      <w:r w:rsidRPr="008B68A9">
        <w:t xml:space="preserve"> likens narrative accounts to the image of Magritte's </w:t>
      </w:r>
      <w:r w:rsidRPr="008B68A9">
        <w:rPr>
          <w:i/>
        </w:rPr>
        <w:t>La Condition Humaine</w:t>
      </w:r>
      <w:r w:rsidRPr="008B68A9">
        <w:t xml:space="preserve"> (1933), which depicts a picture of a picture where an easel and picture form part of the </w:t>
      </w:r>
      <w:r w:rsidR="001064A2" w:rsidRPr="008B68A9">
        <w:t>image</w:t>
      </w:r>
      <w:r w:rsidRPr="008B68A9">
        <w:t xml:space="preserve">, but </w:t>
      </w:r>
      <w:r w:rsidR="001064A2" w:rsidRPr="008B68A9">
        <w:t xml:space="preserve">placed </w:t>
      </w:r>
      <w:r w:rsidRPr="008B68A9">
        <w:t xml:space="preserve">in </w:t>
      </w:r>
      <w:r w:rsidR="001064A2" w:rsidRPr="008B68A9">
        <w:t>the foreground</w:t>
      </w:r>
      <w:r w:rsidRPr="008B68A9">
        <w:t xml:space="preserve"> </w:t>
      </w:r>
      <w:r w:rsidR="001064A2" w:rsidRPr="008B68A9">
        <w:t xml:space="preserve">of </w:t>
      </w:r>
      <w:r w:rsidRPr="008B68A9">
        <w:t xml:space="preserve">a landscape </w:t>
      </w:r>
      <w:r w:rsidR="001064A2" w:rsidRPr="008B68A9">
        <w:t>through</w:t>
      </w:r>
      <w:r w:rsidRPr="008B68A9">
        <w:t xml:space="preserve"> a window, </w:t>
      </w:r>
      <w:r w:rsidR="001064A2" w:rsidRPr="008B68A9">
        <w:t>partially obscuring</w:t>
      </w:r>
      <w:r w:rsidRPr="008B68A9">
        <w:t xml:space="preserve"> our view of the window itself. Frank describes </w:t>
      </w:r>
      <w:r w:rsidR="001064A2" w:rsidRPr="008B68A9">
        <w:t>this</w:t>
      </w:r>
      <w:r w:rsidRPr="008B68A9">
        <w:t xml:space="preserve"> image as representing "</w:t>
      </w:r>
      <w:r w:rsidR="004A590C" w:rsidRPr="008B68A9">
        <w:t xml:space="preserve">layering imagination". </w:t>
      </w:r>
      <w:r w:rsidR="001064A2" w:rsidRPr="008B68A9">
        <w:t>S</w:t>
      </w:r>
      <w:r w:rsidR="004A590C" w:rsidRPr="008B68A9">
        <w:t>tories</w:t>
      </w:r>
      <w:r w:rsidRPr="008B68A9">
        <w:t xml:space="preserve"> </w:t>
      </w:r>
      <w:r w:rsidR="001064A2" w:rsidRPr="008B68A9">
        <w:t xml:space="preserve">are </w:t>
      </w:r>
      <w:r w:rsidR="004A590C" w:rsidRPr="008B68A9">
        <w:t>themselves</w:t>
      </w:r>
      <w:r w:rsidRPr="008B68A9">
        <w:t xml:space="preserve"> a representation, obscured, and not an exact </w:t>
      </w:r>
      <w:r w:rsidR="004A590C" w:rsidRPr="008B68A9">
        <w:t>reproduction</w:t>
      </w:r>
      <w:r w:rsidRPr="008B68A9">
        <w:t xml:space="preserve"> of reality, </w:t>
      </w:r>
      <w:r w:rsidR="001064A2" w:rsidRPr="008B68A9">
        <w:t>they are a story about a story</w:t>
      </w:r>
      <w:r w:rsidRPr="008B68A9">
        <w:t xml:space="preserve">. The notion of narrative or </w:t>
      </w:r>
      <w:r w:rsidRPr="008B68A9">
        <w:lastRenderedPageBreak/>
        <w:t xml:space="preserve">biographic accounts constituting an accurate facsimile of events faithfully reproduced in the story’s rendering is rejected in </w:t>
      </w:r>
      <w:r w:rsidR="001064A2" w:rsidRPr="008B68A9">
        <w:t>my</w:t>
      </w:r>
      <w:r w:rsidRPr="008B68A9">
        <w:t xml:space="preserve"> </w:t>
      </w:r>
      <w:r w:rsidR="0008529B" w:rsidRPr="008B68A9">
        <w:t>thesis</w:t>
      </w:r>
      <w:r w:rsidRPr="008B68A9">
        <w:t>. The purpose of the stories for the narrator change in their re-telling or re-casting, whi</w:t>
      </w:r>
      <w:r w:rsidR="004A590C" w:rsidRPr="008B68A9">
        <w:t>ch is dependent on who the stories</w:t>
      </w:r>
      <w:r w:rsidRPr="008B68A9">
        <w:t xml:space="preserve"> </w:t>
      </w:r>
      <w:r w:rsidR="004A590C" w:rsidRPr="008B68A9">
        <w:t>are</w:t>
      </w:r>
      <w:r w:rsidRPr="008B68A9">
        <w:t xml:space="preserve"> being told to and </w:t>
      </w:r>
      <w:r w:rsidR="001064A2" w:rsidRPr="008B68A9">
        <w:t>why.</w:t>
      </w:r>
    </w:p>
    <w:p w14:paraId="18FAE638" w14:textId="2BC26184" w:rsidR="00792AC2" w:rsidRPr="008B68A9" w:rsidRDefault="00792AC2" w:rsidP="002F0FD7">
      <w:pPr>
        <w:pStyle w:val="5arangedleft"/>
      </w:pPr>
      <w:r w:rsidRPr="008B68A9">
        <w:t>Atkinson and Silverman (1997)</w:t>
      </w:r>
      <w:r w:rsidR="0008529B" w:rsidRPr="008B68A9">
        <w:t xml:space="preserve"> </w:t>
      </w:r>
      <w:r w:rsidR="001B63DD" w:rsidRPr="008B68A9">
        <w:t xml:space="preserve">also </w:t>
      </w:r>
      <w:r w:rsidR="0008529B" w:rsidRPr="008B68A9">
        <w:t xml:space="preserve">caution against taking an interviewee’s narrative account as representing a single or permanent truth. </w:t>
      </w:r>
      <w:r w:rsidRPr="008B68A9">
        <w:t xml:space="preserve">Atkinson and Silverman’s (1997) </w:t>
      </w:r>
      <w:r w:rsidR="0008529B" w:rsidRPr="008B68A9">
        <w:t>proposition</w:t>
      </w:r>
      <w:r w:rsidRPr="008B68A9">
        <w:t xml:space="preserve"> that the construction of self and identity from communicative acts </w:t>
      </w:r>
      <w:r w:rsidR="0008529B" w:rsidRPr="008B68A9">
        <w:t>are</w:t>
      </w:r>
      <w:r w:rsidRPr="008B68A9">
        <w:t xml:space="preserve"> purposive, subject to change in </w:t>
      </w:r>
      <w:r w:rsidR="0008529B" w:rsidRPr="008B68A9">
        <w:t xml:space="preserve">the </w:t>
      </w:r>
      <w:r w:rsidRPr="008B68A9">
        <w:t>telling and re-telling</w:t>
      </w:r>
      <w:r w:rsidR="0008529B" w:rsidRPr="008B68A9">
        <w:t xml:space="preserve"> </w:t>
      </w:r>
      <w:r w:rsidR="001B63DD" w:rsidRPr="008B68A9">
        <w:t xml:space="preserve">has been central in my analysis. </w:t>
      </w:r>
      <w:r w:rsidRPr="008B68A9">
        <w:t xml:space="preserve">Therefore, </w:t>
      </w:r>
      <w:r w:rsidR="001B63DD" w:rsidRPr="008B68A9">
        <w:t>my</w:t>
      </w:r>
      <w:r w:rsidRPr="008B68A9">
        <w:t xml:space="preserve"> work has taken the position that by listening to the stories and narratives, discrete themes emerge through the stories in their telling.</w:t>
      </w:r>
    </w:p>
    <w:p w14:paraId="6C5EAA8A" w14:textId="2142CF10" w:rsidR="00792AC2" w:rsidRPr="008B68A9" w:rsidRDefault="00792AC2" w:rsidP="002F0FD7">
      <w:pPr>
        <w:pStyle w:val="5arangedleft"/>
      </w:pPr>
      <w:r w:rsidRPr="008B68A9">
        <w:t xml:space="preserve">There </w:t>
      </w:r>
      <w:r w:rsidR="001B63DD" w:rsidRPr="008B68A9">
        <w:t xml:space="preserve">is also </w:t>
      </w:r>
      <w:r w:rsidRPr="008B68A9">
        <w:t>a risk</w:t>
      </w:r>
      <w:r w:rsidR="001B63DD" w:rsidRPr="008B68A9">
        <w:t xml:space="preserve"> according</w:t>
      </w:r>
      <w:r w:rsidRPr="008B68A9">
        <w:t xml:space="preserve"> </w:t>
      </w:r>
      <w:r w:rsidR="001B63DD" w:rsidRPr="008B68A9">
        <w:t xml:space="preserve">Atkinson and Silverman (1997) </w:t>
      </w:r>
      <w:r w:rsidRPr="008B68A9">
        <w:t xml:space="preserve">of interpreting narrative accounts through what </w:t>
      </w:r>
      <w:r w:rsidR="001B63DD" w:rsidRPr="008B68A9">
        <w:t xml:space="preserve">they </w:t>
      </w:r>
      <w:r w:rsidRPr="008B68A9">
        <w:t xml:space="preserve">term classical </w:t>
      </w:r>
      <w:r w:rsidR="001B63DD" w:rsidRPr="008B68A9">
        <w:t>romantic notions of suffering. Where an individual faces</w:t>
      </w:r>
      <w:r w:rsidRPr="008B68A9">
        <w:t xml:space="preserve"> adversity or biographic disruption through poor health, whether physical or psychological, their situation </w:t>
      </w:r>
      <w:r w:rsidR="001B63DD" w:rsidRPr="008B68A9">
        <w:t xml:space="preserve">may be located </w:t>
      </w:r>
      <w:r w:rsidRPr="008B68A9">
        <w:t>within a plot that holds a powerful place within</w:t>
      </w:r>
      <w:r w:rsidR="001B63DD" w:rsidRPr="008B68A9">
        <w:t xml:space="preserve"> our</w:t>
      </w:r>
      <w:r w:rsidRPr="008B68A9">
        <w:t xml:space="preserve"> culture. Stories of adversity </w:t>
      </w:r>
      <w:r w:rsidR="001B63DD" w:rsidRPr="008B68A9">
        <w:t>are understood</w:t>
      </w:r>
      <w:r w:rsidRPr="008B68A9">
        <w:t xml:space="preserve"> through accepted narrative conventions </w:t>
      </w:r>
      <w:r w:rsidR="001B63DD" w:rsidRPr="008B68A9">
        <w:t>and</w:t>
      </w:r>
      <w:r w:rsidRPr="008B68A9">
        <w:t xml:space="preserve"> rhetorical devices. </w:t>
      </w:r>
    </w:p>
    <w:p w14:paraId="06C152D1" w14:textId="65A53DF9" w:rsidR="00792AC2" w:rsidRPr="008B68A9" w:rsidRDefault="00BC3830" w:rsidP="002F0FD7">
      <w:pPr>
        <w:pStyle w:val="5arangedleft"/>
      </w:pPr>
      <w:r w:rsidRPr="008B68A9">
        <w:t>Stories</w:t>
      </w:r>
      <w:r w:rsidR="00792AC2" w:rsidRPr="008B68A9">
        <w:t xml:space="preserve"> of suffering </w:t>
      </w:r>
      <w:r w:rsidRPr="008B68A9">
        <w:t xml:space="preserve">in health </w:t>
      </w:r>
      <w:r w:rsidR="00792AC2" w:rsidRPr="008B68A9">
        <w:t>conform to the great themes of human adversity, or ironic struggle, as tragic curse, as farce or comedy (Brooks 1984). Plot in health narratives can be observed where protagonist</w:t>
      </w:r>
      <w:r w:rsidRPr="008B68A9">
        <w:t>s</w:t>
      </w:r>
      <w:r w:rsidR="00792AC2" w:rsidRPr="008B68A9">
        <w:t xml:space="preserve"> </w:t>
      </w:r>
      <w:r w:rsidRPr="008B68A9">
        <w:t>are</w:t>
      </w:r>
      <w:r w:rsidR="00792AC2" w:rsidRPr="008B68A9">
        <w:t xml:space="preserve"> cast as hero, set to endure battles against cancer or other life-limiting conditions. The rendering of </w:t>
      </w:r>
      <w:r w:rsidRPr="008B68A9">
        <w:t xml:space="preserve">suffering through </w:t>
      </w:r>
      <w:r w:rsidR="00792AC2" w:rsidRPr="008B68A9">
        <w:t xml:space="preserve">mental </w:t>
      </w:r>
      <w:r w:rsidRPr="008B68A9">
        <w:t xml:space="preserve">ill </w:t>
      </w:r>
      <w:r w:rsidR="00792AC2" w:rsidRPr="008B68A9">
        <w:t xml:space="preserve">health or </w:t>
      </w:r>
      <w:r w:rsidRPr="008B68A9">
        <w:t>madness</w:t>
      </w:r>
      <w:r w:rsidR="00792AC2" w:rsidRPr="008B68A9">
        <w:t xml:space="preserve"> narrative accounts is evident in many representations (Cutcliffe and Hannigan 2001), cast as such through the medium of advertising and news channels (Sainsbury’s Centre</w:t>
      </w:r>
      <w:r w:rsidR="00C26B0D" w:rsidRPr="008B68A9">
        <w:t xml:space="preserve"> for Mental Health 1994), drama</w:t>
      </w:r>
      <w:r w:rsidR="00792AC2" w:rsidRPr="008B68A9">
        <w:t xml:space="preserve"> </w:t>
      </w:r>
      <w:r w:rsidR="00C26B0D" w:rsidRPr="008B68A9">
        <w:t xml:space="preserve">(Nasar 2012), </w:t>
      </w:r>
      <w:r w:rsidR="00792AC2" w:rsidRPr="008B68A9">
        <w:t xml:space="preserve">and literature (Frame 1961, Greenberg 1964, Self 2009). </w:t>
      </w:r>
    </w:p>
    <w:p w14:paraId="4192D7F2" w14:textId="0F9B49F6" w:rsidR="00792AC2" w:rsidRPr="008B68A9" w:rsidRDefault="00C26B0D" w:rsidP="002F0FD7">
      <w:pPr>
        <w:pStyle w:val="5arangedleft"/>
      </w:pPr>
      <w:r w:rsidRPr="008B68A9">
        <w:t>My study recognises</w:t>
      </w:r>
      <w:r w:rsidR="00792AC2" w:rsidRPr="008B68A9">
        <w:t xml:space="preserve"> that participants constructed their</w:t>
      </w:r>
      <w:r w:rsidR="00135776" w:rsidRPr="008B68A9">
        <w:t xml:space="preserve"> identity in ways that reflect</w:t>
      </w:r>
      <w:r w:rsidR="00DE37D7" w:rsidRPr="008B68A9">
        <w:t>ed</w:t>
      </w:r>
      <w:r w:rsidR="00792AC2" w:rsidRPr="008B68A9">
        <w:t xml:space="preserve"> </w:t>
      </w:r>
      <w:r w:rsidRPr="008B68A9">
        <w:t>the dominance</w:t>
      </w:r>
      <w:r w:rsidR="00792AC2" w:rsidRPr="008B68A9">
        <w:t xml:space="preserve"> </w:t>
      </w:r>
      <w:r w:rsidR="00DE37D7" w:rsidRPr="008B68A9">
        <w:t>of classified mental disorders. They recognised</w:t>
      </w:r>
      <w:r w:rsidR="00792AC2" w:rsidRPr="008B68A9">
        <w:t xml:space="preserve"> themselves </w:t>
      </w:r>
      <w:r w:rsidR="00DE37D7" w:rsidRPr="008B68A9">
        <w:t xml:space="preserve">through </w:t>
      </w:r>
      <w:r w:rsidR="00135776" w:rsidRPr="008B68A9">
        <w:t>such constructs</w:t>
      </w:r>
      <w:r w:rsidR="00DE37D7" w:rsidRPr="008B68A9">
        <w:t xml:space="preserve"> and aligned</w:t>
      </w:r>
      <w:r w:rsidR="00792AC2" w:rsidRPr="008B68A9">
        <w:t xml:space="preserve"> their </w:t>
      </w:r>
      <w:r w:rsidR="00135776" w:rsidRPr="008B68A9">
        <w:t>identity within them</w:t>
      </w:r>
      <w:r w:rsidR="00792AC2" w:rsidRPr="008B68A9">
        <w:t xml:space="preserve">. </w:t>
      </w:r>
      <w:r w:rsidR="00DE37D7" w:rsidRPr="008B68A9">
        <w:t>My</w:t>
      </w:r>
      <w:r w:rsidR="00792AC2" w:rsidRPr="008B68A9">
        <w:t xml:space="preserve"> work </w:t>
      </w:r>
      <w:r w:rsidR="00DE37D7" w:rsidRPr="008B68A9">
        <w:t>has been influenced by Frank</w:t>
      </w:r>
      <w:r w:rsidR="00792AC2" w:rsidRPr="008B68A9">
        <w:t xml:space="preserve"> (1995), </w:t>
      </w:r>
      <w:r w:rsidR="0008529B" w:rsidRPr="008B68A9">
        <w:t xml:space="preserve">which </w:t>
      </w:r>
      <w:r w:rsidR="00792AC2" w:rsidRPr="008B68A9">
        <w:t>challenges the assumptions of</w:t>
      </w:r>
      <w:r w:rsidR="0008529B" w:rsidRPr="008B68A9">
        <w:t xml:space="preserve"> classical</w:t>
      </w:r>
      <w:r w:rsidR="00792AC2" w:rsidRPr="008B68A9">
        <w:t xml:space="preserve"> plot and </w:t>
      </w:r>
      <w:r w:rsidR="0008529B" w:rsidRPr="008B68A9">
        <w:t xml:space="preserve">of passivity </w:t>
      </w:r>
      <w:r w:rsidR="00DE37D7" w:rsidRPr="008B68A9">
        <w:t>of</w:t>
      </w:r>
      <w:r w:rsidR="0008529B" w:rsidRPr="008B68A9">
        <w:t xml:space="preserve"> </w:t>
      </w:r>
      <w:r w:rsidR="00792AC2" w:rsidRPr="008B68A9">
        <w:t xml:space="preserve">suffering </w:t>
      </w:r>
      <w:r w:rsidR="00DE37D7" w:rsidRPr="008B68A9">
        <w:t xml:space="preserve">and </w:t>
      </w:r>
      <w:r w:rsidR="00792AC2" w:rsidRPr="008B68A9">
        <w:t xml:space="preserve">to avoid an idealised </w:t>
      </w:r>
      <w:r w:rsidR="0008529B" w:rsidRPr="008B68A9">
        <w:t>interpretation</w:t>
      </w:r>
      <w:r w:rsidR="00792AC2" w:rsidRPr="008B68A9">
        <w:t xml:space="preserve"> of the difficulties </w:t>
      </w:r>
      <w:r w:rsidR="00792AC2" w:rsidRPr="008B68A9">
        <w:lastRenderedPageBreak/>
        <w:t xml:space="preserve">and challenges the participants </w:t>
      </w:r>
      <w:r w:rsidR="0008529B" w:rsidRPr="008B68A9">
        <w:t xml:space="preserve">in this this collective case study </w:t>
      </w:r>
      <w:r w:rsidR="00792AC2" w:rsidRPr="008B68A9">
        <w:t xml:space="preserve">faced. Additionally, </w:t>
      </w:r>
      <w:r w:rsidR="00DE37D7" w:rsidRPr="008B68A9">
        <w:t xml:space="preserve">an awareness of </w:t>
      </w:r>
      <w:r w:rsidR="00792AC2" w:rsidRPr="008B68A9">
        <w:t xml:space="preserve">the potential for emotional impact over coherency identified by Taylor (2001, p. 320) was </w:t>
      </w:r>
      <w:r w:rsidRPr="008B68A9">
        <w:t>considered</w:t>
      </w:r>
      <w:r w:rsidR="00792AC2" w:rsidRPr="008B68A9">
        <w:t xml:space="preserve">; she states, “…much qualitative work investigates ‘sensitive’ topics.” And </w:t>
      </w:r>
      <w:r w:rsidR="00DE37D7" w:rsidRPr="008B68A9">
        <w:t xml:space="preserve">as such a </w:t>
      </w:r>
      <w:r w:rsidR="00792AC2" w:rsidRPr="008B68A9">
        <w:t>risk arises where the researcher conveys the powerful narrative, letting the stories speak for themselves, without offering rigour though analysis.</w:t>
      </w:r>
    </w:p>
    <w:p w14:paraId="0DF477BB" w14:textId="647638A5" w:rsidR="00792AC2" w:rsidRPr="008B68A9" w:rsidRDefault="00792AC2" w:rsidP="00792AC2">
      <w:pPr>
        <w:pStyle w:val="3L3header"/>
      </w:pPr>
      <w:bookmarkStart w:id="91" w:name="_Toc413827410"/>
      <w:bookmarkStart w:id="92" w:name="_Toc466800316"/>
      <w:r w:rsidRPr="008B68A9">
        <w:t>4.3.3 Discourse</w:t>
      </w:r>
      <w:bookmarkEnd w:id="91"/>
      <w:bookmarkEnd w:id="92"/>
    </w:p>
    <w:p w14:paraId="76A1FADA" w14:textId="77777777" w:rsidR="00792AC2" w:rsidRPr="008B68A9" w:rsidRDefault="00792AC2" w:rsidP="002F0FD7">
      <w:pPr>
        <w:pStyle w:val="5arangedleft"/>
      </w:pPr>
      <w:r w:rsidRPr="008B68A9">
        <w:t>In section 4.1.4 discourse was spoken of in terms of having a place within this kind of research, as mental health and psychiatry occupy ill-defined and contested positions (Frances and Widiger 2011). Burr (2015) makes reference to the role of discourse in providing accounts for the existence of social ordering of things, the ways things are seen and in particular how power over some by others maintains a recognisable status quo. She cites Hall saying that:</w:t>
      </w:r>
    </w:p>
    <w:p w14:paraId="3F2166B2" w14:textId="41C5D2C4" w:rsidR="00792AC2" w:rsidRPr="008B68A9" w:rsidRDefault="00792AC2" w:rsidP="002F0FD7">
      <w:pPr>
        <w:pStyle w:val="6ablockquoteroman"/>
      </w:pPr>
      <w:r w:rsidRPr="008B68A9">
        <w:t>…discourse constructs the topic. It defines and produces the objects of our knowledge. It governs the way that a topic can be meaningfully talked about and reasoned about. It also influences how ideas are put into practice and used to regulate the conduct of others. (</w:t>
      </w:r>
      <w:r w:rsidR="00E77859" w:rsidRPr="008B68A9">
        <w:t xml:space="preserve">Burr 2015 </w:t>
      </w:r>
      <w:r w:rsidRPr="008B68A9">
        <w:t>p. 79)</w:t>
      </w:r>
    </w:p>
    <w:p w14:paraId="7F6D8AE9" w14:textId="4E106B5A" w:rsidR="00792AC2" w:rsidRPr="008B68A9" w:rsidRDefault="00792AC2" w:rsidP="002F0FD7">
      <w:pPr>
        <w:pStyle w:val="5arangedleft"/>
      </w:pPr>
      <w:r w:rsidRPr="008B68A9">
        <w:t>Dominance of one group or institution over others creates tension through the exertion of power which is manifest by resistance. In the context of mental health, knowledge becomes power and lies within the medical profession, and in particular psychiatry, something hard fought for by the mad doctors of the eighte</w:t>
      </w:r>
      <w:r w:rsidR="00E77859" w:rsidRPr="008B68A9">
        <w:t>enth century (Scull 1993). T</w:t>
      </w:r>
      <w:r w:rsidRPr="008B68A9">
        <w:t>ension from the anti-psychiatry movement (Laing 1985, Szasz 2010) or service user perspective (Crossley 1999, 2006) exists vocally, yet with little impact on the structures of men</w:t>
      </w:r>
      <w:r w:rsidR="00E77859" w:rsidRPr="008B68A9">
        <w:t>tal health services. Burr (2015</w:t>
      </w:r>
      <w:r w:rsidRPr="008B68A9">
        <w:t>) argues that to Foucault the existence of power and resistance were part of the same coin, and that one could not exist without the other. In terms of power and control she summarises that “the power to act in particular ways, to claim resources, to control or be controlled depends upon the knowledges currently prevailing in that society.”</w:t>
      </w:r>
      <w:r w:rsidR="00E77859" w:rsidRPr="008B68A9">
        <w:t xml:space="preserve"> (p. 80)</w:t>
      </w:r>
    </w:p>
    <w:p w14:paraId="2876FB17" w14:textId="29B4EA88" w:rsidR="00792AC2" w:rsidRPr="008B68A9" w:rsidRDefault="00792AC2" w:rsidP="002F0FD7">
      <w:pPr>
        <w:pStyle w:val="5arangedleft"/>
      </w:pPr>
      <w:r w:rsidRPr="008B68A9">
        <w:t xml:space="preserve">The broader commentary </w:t>
      </w:r>
      <w:r w:rsidR="00DE37D7" w:rsidRPr="008B68A9">
        <w:t>my</w:t>
      </w:r>
      <w:r w:rsidRPr="008B68A9">
        <w:t xml:space="preserve"> </w:t>
      </w:r>
      <w:r w:rsidR="00E77859" w:rsidRPr="008B68A9">
        <w:t>thesis</w:t>
      </w:r>
      <w:r w:rsidRPr="008B68A9">
        <w:t xml:space="preserve"> </w:t>
      </w:r>
      <w:r w:rsidR="00CF2E5F" w:rsidRPr="008B68A9">
        <w:t>seeks</w:t>
      </w:r>
      <w:r w:rsidRPr="008B68A9">
        <w:t xml:space="preserve"> to reveal is situated between </w:t>
      </w:r>
      <w:r w:rsidR="004C789F" w:rsidRPr="008B68A9">
        <w:t>a</w:t>
      </w:r>
      <w:r w:rsidRPr="008B68A9">
        <w:t xml:space="preserve"> discourse of mental health service tradition and</w:t>
      </w:r>
      <w:r w:rsidR="004C789F" w:rsidRPr="008B68A9">
        <w:t xml:space="preserve"> </w:t>
      </w:r>
      <w:r w:rsidRPr="008B68A9">
        <w:t xml:space="preserve">resistance </w:t>
      </w:r>
      <w:r w:rsidR="00DE37D7" w:rsidRPr="008B68A9">
        <w:t>of</w:t>
      </w:r>
      <w:r w:rsidRPr="008B68A9">
        <w:t xml:space="preserve"> service change. Personalisation and its derivatives now form part of a mixed economy of care within the United </w:t>
      </w:r>
      <w:r w:rsidRPr="008B68A9">
        <w:lastRenderedPageBreak/>
        <w:t xml:space="preserve">Kingdom, but are by no means mainstream or dominant; they are still located within the domain of resistance. Using a narrative approach within </w:t>
      </w:r>
      <w:r w:rsidR="00E77859" w:rsidRPr="008B68A9">
        <w:t xml:space="preserve">the methods of </w:t>
      </w:r>
      <w:r w:rsidRPr="008B68A9">
        <w:t xml:space="preserve">social constructionism, story-lines and positioning theory, the journeys of change, and in some instances struggle, </w:t>
      </w:r>
      <w:r w:rsidR="00DE37D7" w:rsidRPr="008B68A9">
        <w:t>can be</w:t>
      </w:r>
      <w:r w:rsidRPr="008B68A9">
        <w:t xml:space="preserve"> seen through the participants’ narratives. </w:t>
      </w:r>
      <w:r w:rsidR="00E77859" w:rsidRPr="008B68A9">
        <w:t>These stories</w:t>
      </w:r>
      <w:r w:rsidRPr="008B68A9">
        <w:t xml:space="preserve"> say something about how participants used their constitutive acts of identity to shape new insights and learning </w:t>
      </w:r>
      <w:r w:rsidR="00DE37D7" w:rsidRPr="008B68A9">
        <w:t>and</w:t>
      </w:r>
      <w:r w:rsidRPr="008B68A9">
        <w:t xml:space="preserve"> th</w:t>
      </w:r>
      <w:r w:rsidR="00E77859" w:rsidRPr="008B68A9">
        <w:t xml:space="preserve">e </w:t>
      </w:r>
      <w:r w:rsidR="00DE37D7" w:rsidRPr="008B68A9">
        <w:t>meaning</w:t>
      </w:r>
      <w:r w:rsidRPr="008B68A9">
        <w:t xml:space="preserve"> of personalisation </w:t>
      </w:r>
      <w:r w:rsidR="00E77859" w:rsidRPr="008B68A9">
        <w:t>policy in their lives</w:t>
      </w:r>
      <w:r w:rsidRPr="008B68A9">
        <w:t>.</w:t>
      </w:r>
    </w:p>
    <w:p w14:paraId="778B714D" w14:textId="28E20CA2" w:rsidR="00792AC2" w:rsidRPr="008B68A9" w:rsidRDefault="00792AC2" w:rsidP="00792AC2">
      <w:pPr>
        <w:pStyle w:val="3L3header"/>
      </w:pPr>
      <w:bookmarkStart w:id="93" w:name="_Toc466800317"/>
      <w:r w:rsidRPr="008B68A9">
        <w:t>4.3.4 Reflexivity</w:t>
      </w:r>
      <w:bookmarkEnd w:id="93"/>
      <w:r w:rsidRPr="008B68A9">
        <w:t xml:space="preserve"> </w:t>
      </w:r>
    </w:p>
    <w:p w14:paraId="3B868FE8" w14:textId="33E3BD75" w:rsidR="00792AC2" w:rsidRPr="008B68A9" w:rsidRDefault="00792AC2" w:rsidP="002F0FD7">
      <w:pPr>
        <w:pStyle w:val="5arangedleft"/>
      </w:pPr>
      <w:r w:rsidRPr="008B68A9">
        <w:t>According to Burr</w:t>
      </w:r>
      <w:r w:rsidR="0008529B" w:rsidRPr="008B68A9">
        <w:t xml:space="preserve"> (2015)</w:t>
      </w:r>
      <w:r w:rsidRPr="008B68A9">
        <w:t xml:space="preserve">, reflexivity in social constructionism has a number of meanings, </w:t>
      </w:r>
      <w:r w:rsidR="009C1EB5" w:rsidRPr="008B68A9">
        <w:t>which are depended</w:t>
      </w:r>
      <w:r w:rsidRPr="008B68A9">
        <w:t xml:space="preserve"> on the</w:t>
      </w:r>
      <w:r w:rsidR="009C1EB5" w:rsidRPr="008B68A9">
        <w:t xml:space="preserve"> particular</w:t>
      </w:r>
      <w:r w:rsidRPr="008B68A9">
        <w:t xml:space="preserve"> form of social constructionism </w:t>
      </w:r>
      <w:r w:rsidR="009C1EB5" w:rsidRPr="008B68A9">
        <w:t>being applied</w:t>
      </w:r>
      <w:r w:rsidRPr="008B68A9">
        <w:t xml:space="preserve">. </w:t>
      </w:r>
      <w:r w:rsidR="009C1EB5" w:rsidRPr="008B68A9">
        <w:t>Reflexivity</w:t>
      </w:r>
      <w:r w:rsidRPr="008B68A9">
        <w:t xml:space="preserve"> can </w:t>
      </w:r>
      <w:r w:rsidR="009C1EB5" w:rsidRPr="008B68A9">
        <w:t>represent</w:t>
      </w:r>
      <w:r w:rsidRPr="008B68A9">
        <w:t xml:space="preserve"> </w:t>
      </w:r>
      <w:r w:rsidR="009C1EB5" w:rsidRPr="008B68A9">
        <w:t xml:space="preserve">a consideration of </w:t>
      </w:r>
      <w:r w:rsidRPr="008B68A9">
        <w:t xml:space="preserve">the relationships between researchers and researched, </w:t>
      </w:r>
      <w:r w:rsidR="009C1EB5" w:rsidRPr="008B68A9">
        <w:t>with</w:t>
      </w:r>
      <w:r w:rsidRPr="008B68A9">
        <w:t xml:space="preserve"> new understandings</w:t>
      </w:r>
      <w:r w:rsidR="009C1EB5" w:rsidRPr="008B68A9">
        <w:t xml:space="preserve"> of those interactions being the result</w:t>
      </w:r>
      <w:r w:rsidRPr="008B68A9">
        <w:t xml:space="preserve">. Reflexivity may also refer to the stories provided by </w:t>
      </w:r>
      <w:r w:rsidR="009C1EB5" w:rsidRPr="008B68A9">
        <w:t>research participants</w:t>
      </w:r>
      <w:r w:rsidRPr="008B68A9">
        <w:t xml:space="preserve">, as accounts of what occurred </w:t>
      </w:r>
      <w:r w:rsidR="009C1EB5" w:rsidRPr="008B68A9">
        <w:t>given the constitutive nature of talk</w:t>
      </w:r>
      <w:r w:rsidRPr="008B68A9">
        <w:t xml:space="preserve">. Burr (2015) suggests that some social constructionist researchers argue that no-one can authoritatively report on the lived experience of others, and that to attempt this leads to discourses of power and control. Thirdly, reflexivity can </w:t>
      </w:r>
      <w:r w:rsidR="009C1EB5" w:rsidRPr="008B68A9">
        <w:t>mean</w:t>
      </w:r>
      <w:r w:rsidRPr="008B68A9">
        <w:t xml:space="preserve"> an attempt to create equal status between the researcher and the researched, including participants in the production of data and analysis through checking, offering opportunities to amend and shape the work.</w:t>
      </w:r>
    </w:p>
    <w:p w14:paraId="344B97B7" w14:textId="5D53361C" w:rsidR="00792AC2" w:rsidRPr="008B68A9" w:rsidRDefault="00792AC2" w:rsidP="002F0FD7">
      <w:pPr>
        <w:pStyle w:val="5arangedleft"/>
      </w:pPr>
      <w:r w:rsidRPr="008B68A9">
        <w:t xml:space="preserve">In </w:t>
      </w:r>
      <w:r w:rsidR="00085627" w:rsidRPr="008B68A9">
        <w:t>my</w:t>
      </w:r>
      <w:r w:rsidRPr="008B68A9">
        <w:t xml:space="preserve"> </w:t>
      </w:r>
      <w:r w:rsidR="001D1F22" w:rsidRPr="008B68A9">
        <w:t>research,</w:t>
      </w:r>
      <w:r w:rsidRPr="008B68A9">
        <w:t xml:space="preserve"> reflexivity is used to lay claim to a position in respect </w:t>
      </w:r>
      <w:r w:rsidR="00085627" w:rsidRPr="008B68A9">
        <w:t>of</w:t>
      </w:r>
      <w:r w:rsidRPr="008B68A9">
        <w:t xml:space="preserve"> personalisation. Through reflexivity, </w:t>
      </w:r>
      <w:r w:rsidR="001D1F22" w:rsidRPr="008B68A9">
        <w:t>my</w:t>
      </w:r>
      <w:r w:rsidRPr="008B68A9">
        <w:t xml:space="preserve"> relationship with and impact on the research topic and those researched </w:t>
      </w:r>
      <w:r w:rsidR="001D1F22" w:rsidRPr="008B68A9">
        <w:t>is</w:t>
      </w:r>
      <w:r w:rsidRPr="008B68A9">
        <w:t xml:space="preserve"> articulated. </w:t>
      </w:r>
      <w:r w:rsidR="00085627" w:rsidRPr="008B68A9">
        <w:t>Researchers</w:t>
      </w:r>
      <w:r w:rsidRPr="008B68A9">
        <w:t xml:space="preserve"> should</w:t>
      </w:r>
      <w:r w:rsidR="001D1F22" w:rsidRPr="008B68A9">
        <w:t xml:space="preserve"> according to</w:t>
      </w:r>
      <w:r w:rsidRPr="008B68A9">
        <w:t xml:space="preserve"> </w:t>
      </w:r>
      <w:r w:rsidR="001D1F22" w:rsidRPr="008B68A9">
        <w:t xml:space="preserve">Burr (2015, p. 177) </w:t>
      </w:r>
      <w:r w:rsidRPr="008B68A9">
        <w:t>“…refer to the issue of explicitly acknowledging the personal and political values and perspective informing the research… or the way the researcher’s own history and biography</w:t>
      </w:r>
      <w:r w:rsidR="001D1F22" w:rsidRPr="008B68A9">
        <w:t xml:space="preserve"> may have shaped the research.”</w:t>
      </w:r>
      <w:r w:rsidRPr="008B68A9">
        <w:t xml:space="preserve"> </w:t>
      </w:r>
      <w:r w:rsidR="006C7B37" w:rsidRPr="008B68A9">
        <w:t>Wetherell</w:t>
      </w:r>
      <w:r w:rsidRPr="008B68A9">
        <w:t xml:space="preserve"> (2001 p. 396) states that research </w:t>
      </w:r>
      <w:r w:rsidR="001D1F22" w:rsidRPr="008B68A9">
        <w:t>with</w:t>
      </w:r>
      <w:r w:rsidRPr="008B68A9">
        <w:t xml:space="preserve">in a constructionist frame is never a neutral exercise and that it is always better to “acknowledge the theories, values and politics which guide research so that these can be taken into account when evaluating the analyst’s </w:t>
      </w:r>
      <w:r w:rsidRPr="008B68A9">
        <w:lastRenderedPageBreak/>
        <w:t xml:space="preserve">claims.” Therefore what follows is a brief account of </w:t>
      </w:r>
      <w:r w:rsidR="001D1F22" w:rsidRPr="008B68A9">
        <w:t>my</w:t>
      </w:r>
      <w:r w:rsidRPr="008B68A9">
        <w:t xml:space="preserve"> </w:t>
      </w:r>
      <w:r w:rsidR="00222D2F" w:rsidRPr="008B68A9">
        <w:t>approach</w:t>
      </w:r>
      <w:r w:rsidRPr="008B68A9">
        <w:t xml:space="preserve"> </w:t>
      </w:r>
      <w:r w:rsidR="00B438CC" w:rsidRPr="008B68A9">
        <w:t xml:space="preserve">researching </w:t>
      </w:r>
      <w:r w:rsidRPr="008B68A9">
        <w:t xml:space="preserve">the area of choice and autonomy for service users. </w:t>
      </w:r>
    </w:p>
    <w:p w14:paraId="5308188D" w14:textId="27EB485B" w:rsidR="00792AC2" w:rsidRPr="008B68A9" w:rsidRDefault="00792AC2" w:rsidP="002F0FD7">
      <w:pPr>
        <w:pStyle w:val="5arangedleft"/>
      </w:pPr>
      <w:r w:rsidRPr="008B68A9">
        <w:t xml:space="preserve">As a nurse and researcher for many years, clients’ and participants’ accounts of their lives affected by adversity were not a new phenomenon, indeed </w:t>
      </w:r>
      <w:r w:rsidR="00222D2F" w:rsidRPr="008B68A9">
        <w:t>I regard</w:t>
      </w:r>
      <w:r w:rsidRPr="008B68A9">
        <w:t xml:space="preserve"> </w:t>
      </w:r>
      <w:r w:rsidR="00222D2F" w:rsidRPr="008B68A9">
        <w:t>them</w:t>
      </w:r>
      <w:r w:rsidRPr="008B68A9">
        <w:t xml:space="preserve"> as a constant feature when performing nursing roles (Barker 2001). But as Burr (2015) states, when undertaking research within a social constructionist frame, the researcher and research are connected. Some of the interview narratives presented difficult stories of lives severely affected by familial fracture, substance misuse, criminal assaults or sexual violence, which were very difficult to listen to with a </w:t>
      </w:r>
      <w:r w:rsidR="00CF51D1" w:rsidRPr="008B68A9">
        <w:t xml:space="preserve">researcher’s </w:t>
      </w:r>
      <w:r w:rsidRPr="008B68A9">
        <w:t>neutral detachment. However, an awareness of the potent</w:t>
      </w:r>
      <w:r w:rsidR="00CF51D1" w:rsidRPr="008B68A9">
        <w:t xml:space="preserve">ial for this research to </w:t>
      </w:r>
      <w:r w:rsidRPr="008B68A9">
        <w:t xml:space="preserve">produce plots of </w:t>
      </w:r>
      <w:r w:rsidR="00CF51D1" w:rsidRPr="008B68A9">
        <w:t xml:space="preserve">pity and </w:t>
      </w:r>
      <w:r w:rsidRPr="008B68A9">
        <w:t xml:space="preserve">hopelessness </w:t>
      </w:r>
      <w:r w:rsidR="00CF51D1" w:rsidRPr="008B68A9">
        <w:t>required</w:t>
      </w:r>
      <w:r w:rsidRPr="008B68A9">
        <w:t xml:space="preserve"> a consciousness </w:t>
      </w:r>
      <w:r w:rsidR="00B438CC" w:rsidRPr="008B68A9">
        <w:t>and</w:t>
      </w:r>
      <w:r w:rsidRPr="008B68A9">
        <w:t xml:space="preserve"> reflexive responding, a taking into account of my own position and that of the participants, recognising where the stories were distressing, acknowl</w:t>
      </w:r>
      <w:r w:rsidR="00CF51D1" w:rsidRPr="008B68A9">
        <w:t>edging that</w:t>
      </w:r>
      <w:r w:rsidRPr="008B68A9">
        <w:t xml:space="preserve"> </w:t>
      </w:r>
      <w:r w:rsidR="00CF51D1" w:rsidRPr="008B68A9">
        <w:t>yet</w:t>
      </w:r>
      <w:r w:rsidRPr="008B68A9">
        <w:t xml:space="preserve"> continuing with the work at hand. </w:t>
      </w:r>
      <w:r w:rsidR="001D1F22" w:rsidRPr="008B68A9">
        <w:t>My</w:t>
      </w:r>
      <w:r w:rsidR="004B1685" w:rsidRPr="008B68A9">
        <w:t xml:space="preserve"> approach taken to reflexivity</w:t>
      </w:r>
      <w:r w:rsidRPr="008B68A9">
        <w:t xml:space="preserve"> follows the advice of T</w:t>
      </w:r>
      <w:r w:rsidR="00CF51D1" w:rsidRPr="008B68A9">
        <w:t>aylor (2001, p. 17) who suggested</w:t>
      </w:r>
      <w:r w:rsidRPr="008B68A9">
        <w:t xml:space="preserve"> that</w:t>
      </w:r>
      <w:r w:rsidR="00CF51D1" w:rsidRPr="008B68A9">
        <w:t xml:space="preserve"> by </w:t>
      </w:r>
      <w:r w:rsidRPr="008B68A9">
        <w:t>acknowledging the reflexive nature of the relationship between the researcher and researched is to engage in an “imagined act of step</w:t>
      </w:r>
      <w:r w:rsidR="00B438CC" w:rsidRPr="008B68A9">
        <w:t>ping back to observe oneself…”</w:t>
      </w:r>
    </w:p>
    <w:p w14:paraId="78A2C797" w14:textId="7DF81CC1" w:rsidR="00792AC2" w:rsidRPr="008B68A9" w:rsidRDefault="00CF51D1" w:rsidP="002F0FD7">
      <w:pPr>
        <w:pStyle w:val="5arangedleft"/>
      </w:pPr>
      <w:r w:rsidRPr="008B68A9">
        <w:t>Reflexivity wa</w:t>
      </w:r>
      <w:r w:rsidR="00792AC2" w:rsidRPr="008B68A9">
        <w:t xml:space="preserve">s a central part of </w:t>
      </w:r>
      <w:r w:rsidR="00B438CC" w:rsidRPr="008B68A9">
        <w:t>my</w:t>
      </w:r>
      <w:r w:rsidR="00792AC2" w:rsidRPr="008B68A9">
        <w:t xml:space="preserve"> research process and it is not my intention to create anything more than what the study attempts. This work does not lay claim to grand theory or assert the creation of major knowledge; rather it aims to convey the accounts of people who encountered a different way of receiving or delivering services, with all the complexity that occurs in the constructed nature of those social relationships. In the following chapter, the North West Personalisation studies from which the collective case study sample </w:t>
      </w:r>
      <w:r w:rsidR="00B438CC" w:rsidRPr="008B68A9">
        <w:t>were</w:t>
      </w:r>
      <w:r w:rsidR="00792AC2" w:rsidRPr="008B68A9">
        <w:t xml:space="preserve"> </w:t>
      </w:r>
      <w:r w:rsidR="00B438CC" w:rsidRPr="008B68A9">
        <w:t>drawn</w:t>
      </w:r>
      <w:r w:rsidR="00792AC2" w:rsidRPr="008B68A9">
        <w:t xml:space="preserve"> are presented. </w:t>
      </w:r>
      <w:r w:rsidR="00B438CC" w:rsidRPr="008B68A9">
        <w:t>The</w:t>
      </w:r>
      <w:r w:rsidR="00792AC2" w:rsidRPr="008B68A9">
        <w:t xml:space="preserve"> four studies, </w:t>
      </w:r>
      <w:r w:rsidR="00B438CC" w:rsidRPr="008B68A9">
        <w:t>are</w:t>
      </w:r>
      <w:r w:rsidR="00792AC2" w:rsidRPr="008B68A9">
        <w:t xml:space="preserve"> intended </w:t>
      </w:r>
      <w:r w:rsidR="00B438CC" w:rsidRPr="008B68A9">
        <w:t>to</w:t>
      </w:r>
      <w:r w:rsidR="00792AC2" w:rsidRPr="008B68A9">
        <w:t xml:space="preserve"> provide a context for the collective case study, and demonstrate the shared genealogy from which </w:t>
      </w:r>
      <w:r w:rsidRPr="008B68A9">
        <w:t>my</w:t>
      </w:r>
      <w:r w:rsidR="00792AC2" w:rsidRPr="008B68A9">
        <w:t xml:space="preserve"> project’s data </w:t>
      </w:r>
      <w:r w:rsidR="00B438CC" w:rsidRPr="008B68A9">
        <w:t>was</w:t>
      </w:r>
      <w:r w:rsidR="00792AC2" w:rsidRPr="008B68A9">
        <w:t xml:space="preserve"> drawn. </w:t>
      </w:r>
    </w:p>
    <w:p w14:paraId="17CFDB0D" w14:textId="77777777" w:rsidR="00792AC2" w:rsidRPr="008B68A9" w:rsidRDefault="00792AC2" w:rsidP="002F0FD7">
      <w:pPr>
        <w:pStyle w:val="5arangedleft"/>
      </w:pPr>
    </w:p>
    <w:p w14:paraId="1C134A7B" w14:textId="77777777" w:rsidR="00792AC2" w:rsidRPr="008B68A9" w:rsidRDefault="00792AC2" w:rsidP="002F0FD7">
      <w:pPr>
        <w:pStyle w:val="5arangedleft"/>
        <w:sectPr w:rsidR="00792AC2" w:rsidRPr="008B68A9" w:rsidSect="00DA190C">
          <w:pgSz w:w="11906" w:h="16838"/>
          <w:pgMar w:top="1440" w:right="1558" w:bottom="1440" w:left="2268" w:header="709" w:footer="709" w:gutter="0"/>
          <w:cols w:space="708"/>
          <w:docGrid w:linePitch="360"/>
        </w:sectPr>
      </w:pPr>
    </w:p>
    <w:p w14:paraId="2A5AD324" w14:textId="6206380A" w:rsidR="006C7B37" w:rsidRPr="008B68A9" w:rsidRDefault="006C7B37" w:rsidP="006C7B37">
      <w:pPr>
        <w:pStyle w:val="1L1header"/>
      </w:pPr>
      <w:bookmarkStart w:id="94" w:name="_Toc413827418"/>
      <w:bookmarkStart w:id="95" w:name="_Toc466800318"/>
      <w:r w:rsidRPr="008B68A9">
        <w:lastRenderedPageBreak/>
        <w:t>Chapter 5</w:t>
      </w:r>
      <w:bookmarkEnd w:id="94"/>
      <w:r w:rsidRPr="008B68A9">
        <w:t>: The North West Personalisation studies</w:t>
      </w:r>
      <w:bookmarkEnd w:id="95"/>
    </w:p>
    <w:p w14:paraId="7962DB80" w14:textId="66BB23D0" w:rsidR="006C7B37" w:rsidRPr="008B68A9" w:rsidRDefault="006C7B37" w:rsidP="006C7B37">
      <w:pPr>
        <w:pStyle w:val="2L2header"/>
      </w:pPr>
      <w:bookmarkStart w:id="96" w:name="_Toc413827419"/>
      <w:bookmarkStart w:id="97" w:name="_Toc466800319"/>
      <w:r w:rsidRPr="008B68A9">
        <w:t>5.1 Introduction</w:t>
      </w:r>
      <w:bookmarkEnd w:id="96"/>
      <w:bookmarkEnd w:id="97"/>
    </w:p>
    <w:p w14:paraId="608BAC04" w14:textId="67083A0E" w:rsidR="006C7B37" w:rsidRPr="008B68A9" w:rsidRDefault="006C7B37" w:rsidP="002F0FD7">
      <w:pPr>
        <w:pStyle w:val="5arangedleft"/>
      </w:pPr>
      <w:r w:rsidRPr="008B68A9">
        <w:t>In this chapter, the North West Personalisation studies, commissioned by health and social care providers, and undertaken be</w:t>
      </w:r>
      <w:r w:rsidR="00133C39" w:rsidRPr="008B68A9">
        <w:t>tween July 2008 and October 2011</w:t>
      </w:r>
      <w:r w:rsidRPr="008B68A9">
        <w:t>, will be discussed. Each study is presented in a similar format to assist the reader to follow the study’s aims, methodology and findings. A brief introduction is given to each study, and each concludes with a commentary that summarises and reflects on the learning derived from the study.</w:t>
      </w:r>
    </w:p>
    <w:p w14:paraId="695312A8" w14:textId="7299338C" w:rsidR="006C7B37" w:rsidRPr="008B68A9" w:rsidRDefault="006C7B37" w:rsidP="002F0FD7">
      <w:pPr>
        <w:pStyle w:val="5arangedleft"/>
      </w:pPr>
      <w:r w:rsidRPr="008B68A9">
        <w:t xml:space="preserve">The four evaluations represent a journey of learning between 2008 and 2011 within the wider policy context of personalisation. Four social care authorities and a mental health foundation trust responded to the </w:t>
      </w:r>
      <w:r w:rsidRPr="008B68A9">
        <w:rPr>
          <w:i/>
        </w:rPr>
        <w:t>Putting People First</w:t>
      </w:r>
      <w:r w:rsidRPr="008B68A9">
        <w:t xml:space="preserve"> (HM Government 2007) concordat by creating pilot schemes in their areas, and commissioned evaluations of these. Their boldness and nervousness are represented within the studies reported below: boldness in that those commissioners were at the forefront of implementing individual budgets in the services they provided; and bold also because two of the evaluations, sites one and four, were not subject to the national indicators of compliance to personalisation demanded by </w:t>
      </w:r>
      <w:r w:rsidRPr="008B68A9">
        <w:rPr>
          <w:i/>
        </w:rPr>
        <w:t>Putting People First</w:t>
      </w:r>
      <w:r w:rsidRPr="008B68A9">
        <w:t xml:space="preserve">. One commissioning authority was a NHS trust, and the other a community safety unit within a local authority health partnership. Therefore, then as much as today, the requirement placed on health and probation services to create individual budgets through support planning was small. Seen in this context, the actions of these organisations were forward thinking, to explore the potential of personalisation in addressing service limitations. </w:t>
      </w:r>
    </w:p>
    <w:p w14:paraId="32FFA4E1" w14:textId="695D2924" w:rsidR="006C7B37" w:rsidRPr="008B68A9" w:rsidRDefault="006C7B37" w:rsidP="002F0FD7">
      <w:pPr>
        <w:pStyle w:val="5arangedleft"/>
      </w:pPr>
      <w:r w:rsidRPr="008B68A9">
        <w:t xml:space="preserve">There was nervousness too, where commissioning authorities struggled to resolve their sense of control in decision making with the principles of personalisation and co-production. Systems of governance and scrutiny for funding support plans went beyond what might be argued as prudent, seemingly more concerned with managing potentially negative images of offenders or substance misusers receiving desirable items in a time of austerity. Organisations also showed their nervousness where they </w:t>
      </w:r>
      <w:r w:rsidRPr="008B68A9">
        <w:lastRenderedPageBreak/>
        <w:t>failed to challenge obstructive and defensive traditional practice in staff, which was evident in some</w:t>
      </w:r>
      <w:r w:rsidR="00CF51D1" w:rsidRPr="008B68A9">
        <w:t xml:space="preserve"> of the sites</w:t>
      </w:r>
      <w:r w:rsidRPr="008B68A9">
        <w:t>.</w:t>
      </w:r>
    </w:p>
    <w:p w14:paraId="14650A28" w14:textId="564E0F30" w:rsidR="006C7B37" w:rsidRPr="008B68A9" w:rsidRDefault="006C7B37" w:rsidP="006C7B37">
      <w:pPr>
        <w:pStyle w:val="3L3header"/>
      </w:pPr>
      <w:bookmarkStart w:id="98" w:name="_Toc413827420"/>
      <w:bookmarkStart w:id="99" w:name="_Toc466800320"/>
      <w:r w:rsidRPr="008B68A9">
        <w:t>5.1.1 Responding to bias</w:t>
      </w:r>
      <w:bookmarkEnd w:id="98"/>
      <w:bookmarkEnd w:id="99"/>
    </w:p>
    <w:p w14:paraId="03435FC6" w14:textId="09B5BB77" w:rsidR="006C7B37" w:rsidRPr="008B68A9" w:rsidRDefault="006C7B37" w:rsidP="002F0FD7">
      <w:pPr>
        <w:pStyle w:val="5arangedleft"/>
      </w:pPr>
      <w:r w:rsidRPr="008B68A9">
        <w:t xml:space="preserve">I was also mindful </w:t>
      </w:r>
      <w:r w:rsidR="00F03163" w:rsidRPr="008B68A9">
        <w:t xml:space="preserve">when designing and carrying out the studies </w:t>
      </w:r>
      <w:r w:rsidRPr="008B68A9">
        <w:t xml:space="preserve">of </w:t>
      </w:r>
      <w:r w:rsidR="00CF51D1" w:rsidRPr="008B68A9">
        <w:t>the</w:t>
      </w:r>
      <w:r w:rsidRPr="008B68A9">
        <w:t xml:space="preserve"> potential identified by Gomm (2008, p. 332) </w:t>
      </w:r>
      <w:r w:rsidR="00DD5C25" w:rsidRPr="008B68A9">
        <w:t>for</w:t>
      </w:r>
      <w:r w:rsidRPr="008B68A9">
        <w:t xml:space="preserve"> </w:t>
      </w:r>
      <w:r w:rsidR="00DD5C25" w:rsidRPr="008B68A9">
        <w:t xml:space="preserve">a </w:t>
      </w:r>
      <w:r w:rsidRPr="008B68A9">
        <w:t xml:space="preserve">“sympathetic bias” towards </w:t>
      </w:r>
      <w:r w:rsidR="00DD5C25" w:rsidRPr="008B68A9">
        <w:t>commissioning</w:t>
      </w:r>
      <w:r w:rsidR="00CF51D1" w:rsidRPr="008B68A9">
        <w:t xml:space="preserve"> or funding agencies</w:t>
      </w:r>
      <w:r w:rsidRPr="008B68A9">
        <w:t>, and their needs for positive accounts of their innovation</w:t>
      </w:r>
      <w:r w:rsidR="00CF51D1" w:rsidRPr="008B68A9">
        <w:t>.</w:t>
      </w:r>
      <w:r w:rsidRPr="008B68A9">
        <w:t xml:space="preserve"> </w:t>
      </w:r>
      <w:r w:rsidR="00CF51D1" w:rsidRPr="008B68A9">
        <w:t>Such</w:t>
      </w:r>
      <w:r w:rsidRPr="008B68A9">
        <w:t xml:space="preserve"> might have influenced the central direction, focus and potentially the outcomes of the </w:t>
      </w:r>
      <w:r w:rsidR="00CF51D1" w:rsidRPr="008B68A9">
        <w:t>evaluations</w:t>
      </w:r>
      <w:r w:rsidRPr="008B68A9">
        <w:t xml:space="preserve">. </w:t>
      </w:r>
      <w:r w:rsidR="00CF51D1" w:rsidRPr="008B68A9">
        <w:t xml:space="preserve">However, I was aware of such a </w:t>
      </w:r>
      <w:r w:rsidRPr="008B68A9">
        <w:t xml:space="preserve">potential and make clear where </w:t>
      </w:r>
      <w:r w:rsidR="00CF51D1" w:rsidRPr="008B68A9">
        <w:t>my</w:t>
      </w:r>
      <w:r w:rsidRPr="008B68A9">
        <w:t xml:space="preserve"> work presented diverges from policy or agencies’ stated aims.</w:t>
      </w:r>
    </w:p>
    <w:p w14:paraId="4ABDEE18" w14:textId="0AF86C62" w:rsidR="006C7B37" w:rsidRPr="008B68A9" w:rsidRDefault="00CF51D1" w:rsidP="002F0FD7">
      <w:pPr>
        <w:pStyle w:val="5arangedleft"/>
      </w:pPr>
      <w:r w:rsidRPr="008B68A9">
        <w:t>When</w:t>
      </w:r>
      <w:r w:rsidR="006C7B37" w:rsidRPr="008B68A9">
        <w:t xml:space="preserve"> developing the North West Personalisation studies, both qualitative and quantitative methodologies were considered to respond to the commissioners’ aims, including statistically normative questionnaires and standardised measures to elicit quantifiable measurement of change or development of individual budget holders as some have </w:t>
      </w:r>
      <w:r w:rsidRPr="008B68A9">
        <w:t>utilised</w:t>
      </w:r>
      <w:r w:rsidR="006C7B37" w:rsidRPr="008B68A9">
        <w:t xml:space="preserve"> (Webber 2008, Webber </w:t>
      </w:r>
      <w:r w:rsidR="006C7B37" w:rsidRPr="008B68A9">
        <w:rPr>
          <w:i/>
        </w:rPr>
        <w:t>et al.</w:t>
      </w:r>
      <w:r w:rsidR="006C7B37" w:rsidRPr="008B68A9">
        <w:t xml:space="preserve"> 2015). </w:t>
      </w:r>
      <w:r w:rsidRPr="008B68A9">
        <w:t>My</w:t>
      </w:r>
      <w:r w:rsidR="006C7B37" w:rsidRPr="008B68A9">
        <w:t xml:space="preserve"> studies did not rule out a positivist methodological paradigm, but considered its use and potential for generating objective and generalisable data. Such an approach was attractive given the promise quantitative methods offer for attaining the “high hard ground of technical rationality” (Schön 1983, p. 42) though, as discussed in the preceding chapter, an objective gaze from a realist perspective or single truth </w:t>
      </w:r>
      <w:r w:rsidRPr="008B68A9">
        <w:t>was</w:t>
      </w:r>
      <w:r w:rsidR="006C7B37" w:rsidRPr="008B68A9">
        <w:t xml:space="preserve"> discounted in favour of </w:t>
      </w:r>
      <w:r w:rsidRPr="008B68A9">
        <w:t xml:space="preserve">social </w:t>
      </w:r>
      <w:r w:rsidR="006C7B37" w:rsidRPr="008B68A9">
        <w:t>constructionism and narrative analysis.</w:t>
      </w:r>
    </w:p>
    <w:p w14:paraId="7363ED47" w14:textId="3103C719" w:rsidR="006C7B37" w:rsidRPr="008B68A9" w:rsidRDefault="006C7B37" w:rsidP="006C7B37">
      <w:pPr>
        <w:pStyle w:val="2L2header"/>
      </w:pPr>
      <w:bookmarkStart w:id="100" w:name="_Toc413827421"/>
      <w:bookmarkStart w:id="101" w:name="_Toc466800321"/>
      <w:r w:rsidRPr="008B68A9">
        <w:t>5.2 Research setting</w:t>
      </w:r>
      <w:bookmarkEnd w:id="100"/>
      <w:r w:rsidRPr="008B68A9">
        <w:t>s</w:t>
      </w:r>
      <w:bookmarkEnd w:id="101"/>
    </w:p>
    <w:p w14:paraId="5B92B67A" w14:textId="77777777" w:rsidR="006C7B37" w:rsidRPr="008B68A9" w:rsidRDefault="006C7B37" w:rsidP="006C7B37">
      <w:pPr>
        <w:pStyle w:val="8unnumberedcross-head"/>
      </w:pPr>
      <w:r w:rsidRPr="008B68A9">
        <w:t xml:space="preserve">Setting one: Recovery budgets in early intervention teams in a major North West England city </w:t>
      </w:r>
    </w:p>
    <w:p w14:paraId="266F3F90" w14:textId="77777777" w:rsidR="006C7B37" w:rsidRPr="008B68A9" w:rsidRDefault="006C7B37" w:rsidP="002F0FD7">
      <w:pPr>
        <w:pStyle w:val="5arangedleft"/>
      </w:pPr>
      <w:r w:rsidRPr="008B68A9">
        <w:t>The study was located in a major North West of England city, and focused on the implementation of personalisation in three NHS mental health Early Intervention Teams (EITs) that supported young people aged 14 to 35 following a first episode psychosis. The usual length of engagement in EITs was three years; the approach was intensive and aimed at diverting people away from long term statutory mental health services. Up to 100 individual recovery budgets were initially aimed for over a 12 month trial period.</w:t>
      </w:r>
    </w:p>
    <w:p w14:paraId="14E6379B" w14:textId="77777777" w:rsidR="006C7B37" w:rsidRPr="008B68A9" w:rsidRDefault="006C7B37" w:rsidP="006C7B37">
      <w:pPr>
        <w:pStyle w:val="8unnumberedcross-head"/>
      </w:pPr>
      <w:r w:rsidRPr="008B68A9">
        <w:lastRenderedPageBreak/>
        <w:t>Setting two: Self-directed support in a North West Metropolitan Council</w:t>
      </w:r>
    </w:p>
    <w:p w14:paraId="5EEFE2F0" w14:textId="4C244E10" w:rsidR="006C7B37" w:rsidRPr="008B68A9" w:rsidRDefault="006C7B37" w:rsidP="002F0FD7">
      <w:pPr>
        <w:pStyle w:val="5arangedleft"/>
      </w:pPr>
      <w:r w:rsidRPr="008B68A9">
        <w:t xml:space="preserve">The study was </w:t>
      </w:r>
      <w:r w:rsidR="00F15D46" w:rsidRPr="008B68A9">
        <w:t>situated</w:t>
      </w:r>
      <w:r w:rsidRPr="008B68A9">
        <w:t xml:space="preserve"> in a North West Metropolitan Borough Council with joint working between health and social care services under section 65 powers of the NHS Act (HMSO 2007), </w:t>
      </w:r>
      <w:r w:rsidR="00F15D46" w:rsidRPr="008B68A9">
        <w:t>allowing</w:t>
      </w:r>
      <w:r w:rsidRPr="008B68A9">
        <w:t xml:space="preserve"> monies and staff from health or social care to work between the two agencies. The study focused on piloting personalisation in the EIT of </w:t>
      </w:r>
      <w:r w:rsidR="00DD5C25" w:rsidRPr="008B68A9">
        <w:t>an</w:t>
      </w:r>
      <w:r w:rsidRPr="008B68A9">
        <w:t xml:space="preserve"> NHS trust; however, quickly extended beyond its original boundary to include older person’s services, children and young person’s mental health, as well as physical disability services. In addition to evaluating the experiences of personalisation across a range of settings, the project</w:t>
      </w:r>
      <w:r w:rsidR="00DD5C25" w:rsidRPr="008B68A9">
        <w:t xml:space="preserve"> also asked to</w:t>
      </w:r>
      <w:r w:rsidRPr="008B68A9">
        <w:t xml:space="preserve"> </w:t>
      </w:r>
      <w:r w:rsidR="00DD5C25" w:rsidRPr="008B68A9">
        <w:t>consider</w:t>
      </w:r>
      <w:r w:rsidRPr="008B68A9">
        <w:t xml:space="preserve"> ro</w:t>
      </w:r>
      <w:r w:rsidR="00F15D46" w:rsidRPr="008B68A9">
        <w:t>utes to and methods of brokerage</w:t>
      </w:r>
      <w:r w:rsidRPr="008B68A9">
        <w:t xml:space="preserve">. The pilot was </w:t>
      </w:r>
      <w:r w:rsidR="00F15D46" w:rsidRPr="008B68A9">
        <w:t xml:space="preserve">initially </w:t>
      </w:r>
      <w:r w:rsidRPr="008B68A9">
        <w:t>funded for twelve months, though extended for a further six months. Data collection and analysis were jointly undertaken with the project’s research assistant</w:t>
      </w:r>
      <w:r w:rsidR="00DD5C25" w:rsidRPr="008B68A9">
        <w:t>.</w:t>
      </w:r>
    </w:p>
    <w:p w14:paraId="33E202C8" w14:textId="77777777" w:rsidR="006C7B37" w:rsidRPr="008B68A9" w:rsidRDefault="006C7B37" w:rsidP="006C7B37">
      <w:pPr>
        <w:pStyle w:val="8unnumberedcross-head"/>
      </w:pPr>
      <w:r w:rsidRPr="008B68A9">
        <w:t>Setting three: Growing personalisation in a North West Metropolitan Council</w:t>
      </w:r>
    </w:p>
    <w:p w14:paraId="00917439" w14:textId="77777777" w:rsidR="006C7B37" w:rsidRPr="008B68A9" w:rsidRDefault="006C7B37" w:rsidP="002F0FD7">
      <w:pPr>
        <w:pStyle w:val="5arangedleft"/>
      </w:pPr>
      <w:r w:rsidRPr="008B68A9">
        <w:t>The study was located in the same North West Metropolitan Council as setting two, commissioned by the authority’s personalisation lead. The project aimed to extend that organisation’s learning of personalisation though focusing on older person’s services, physical impairment and learning disabilities, as well as extending the work in mental health services. In addition, an original aspect of the study was to explore how a dedicated team of workers, seconded mostly from social work, worked with personalisation and person centred thinking.</w:t>
      </w:r>
    </w:p>
    <w:p w14:paraId="67245FB5" w14:textId="77777777" w:rsidR="006C7B37" w:rsidRPr="008B68A9" w:rsidRDefault="006C7B37" w:rsidP="006C7B37">
      <w:pPr>
        <w:pStyle w:val="8unnumberedcross-head"/>
      </w:pPr>
      <w:r w:rsidRPr="008B68A9">
        <w:t>Setting four: Getting the VIBE: Virtual individual budgets in substance misuse in a North West city</w:t>
      </w:r>
    </w:p>
    <w:p w14:paraId="79789B03" w14:textId="0FA5C78D" w:rsidR="006C7B37" w:rsidRPr="008B68A9" w:rsidRDefault="006C7B37" w:rsidP="002F0FD7">
      <w:pPr>
        <w:pStyle w:val="5arangedleft"/>
      </w:pPr>
      <w:r w:rsidRPr="008B68A9">
        <w:t xml:space="preserve">The study was located within a large North West city in England with high levels of deprivation. It was commissioned by the community safety unit hosted within the Metropolitan Borough Council, with the aim of exploring personalisation </w:t>
      </w:r>
      <w:r w:rsidR="00F15D46" w:rsidRPr="008B68A9">
        <w:t>in</w:t>
      </w:r>
      <w:r w:rsidRPr="008B68A9">
        <w:t xml:space="preserve"> substance misuse services, probation and community NHS substance misuse services. The </w:t>
      </w:r>
      <w:r w:rsidR="00F15D46" w:rsidRPr="008B68A9">
        <w:t xml:space="preserve">study </w:t>
      </w:r>
      <w:r w:rsidRPr="008B68A9">
        <w:t xml:space="preserve">set out to evaluate </w:t>
      </w:r>
      <w:r w:rsidR="00DD5C25" w:rsidRPr="008B68A9">
        <w:t>a</w:t>
      </w:r>
      <w:r w:rsidRPr="008B68A9">
        <w:t xml:space="preserve"> </w:t>
      </w:r>
      <w:r w:rsidR="00F15D46" w:rsidRPr="008B68A9">
        <w:t>pilot</w:t>
      </w:r>
      <w:r w:rsidRPr="008B68A9">
        <w:t xml:space="preserve"> implementing virtual budgets for people with substance misuse problems using personalisation, for a cohort of people new to service and those with three or more years </w:t>
      </w:r>
      <w:r w:rsidR="00F15D46" w:rsidRPr="008B68A9">
        <w:t>contact</w:t>
      </w:r>
      <w:r w:rsidRPr="008B68A9">
        <w:t xml:space="preserve">. </w:t>
      </w:r>
    </w:p>
    <w:p w14:paraId="22DFBBDA" w14:textId="6F4CC62B" w:rsidR="006C7B37" w:rsidRPr="008B68A9" w:rsidRDefault="006C7B37" w:rsidP="006C7B37">
      <w:pPr>
        <w:pStyle w:val="3L3header"/>
      </w:pPr>
      <w:bookmarkStart w:id="102" w:name="_Toc413827422"/>
      <w:bookmarkStart w:id="103" w:name="_Toc466800322"/>
      <w:r w:rsidRPr="008B68A9">
        <w:lastRenderedPageBreak/>
        <w:t>5.2.1 A statement on ethics</w:t>
      </w:r>
      <w:bookmarkEnd w:id="102"/>
      <w:bookmarkEnd w:id="103"/>
    </w:p>
    <w:p w14:paraId="7C36541D" w14:textId="77777777" w:rsidR="006C7B37" w:rsidRPr="008B68A9" w:rsidRDefault="006C7B37" w:rsidP="002F0FD7">
      <w:pPr>
        <w:pStyle w:val="5arangedleft"/>
      </w:pPr>
      <w:r w:rsidRPr="008B68A9">
        <w:t>For ease of reading and to avoid repetition, the ethics and governance processes applying to the four study sites are given here. As the scope and proposed methods of the pilots fell within evaluation study (National Patient Safety Agency 2009, Twycross and Shorten 2014), rather than full research, they did not require to go through the full Local Research Ethics Committee (LREC), process. The evaluation proposals were, however, subject to ethical approval through the University of Chester Faculty of Health and Social Care Research Ethics Committee, and the research governance officers within the NHS trusts, as well as the Adults and Communities scrutiny committees (in the local authorities. All participants were provided with participant information sheets and were subject to a consent process (appendix 3). Consent forms (appendix 4) for all studies were given, explained and, where consent was given, signed and returned to the principal investigator, and stored in accordance with the research institution’s governance processes.</w:t>
      </w:r>
    </w:p>
    <w:p w14:paraId="4B45C609" w14:textId="2ADFA5D4" w:rsidR="006C7B37" w:rsidRPr="008B68A9" w:rsidRDefault="006C7B37" w:rsidP="002F0FD7">
      <w:pPr>
        <w:pStyle w:val="5arangedleft"/>
      </w:pPr>
      <w:r w:rsidRPr="008B68A9">
        <w:t xml:space="preserve">It should be made clear that where interview data were generated by research assistants other than this researcher (studies 2, 3 and 4), to avoid the Rashomon effect where different analyses of the same phenomena are reported, (cited Heider 1988 in Gomm 2008), analysis meetings were undertaken between the principal investigator (this author) and the research assistants to arrive at a shared understanding of the narratives. Additionally, textural analysis software (MAXQDA), was used across the four studies, and analyses were </w:t>
      </w:r>
      <w:r w:rsidR="00F15D46" w:rsidRPr="008B68A9">
        <w:t xml:space="preserve">again </w:t>
      </w:r>
      <w:r w:rsidRPr="008B68A9">
        <w:t>shared and agreed upon by the research assistants and this author as principal investigator.</w:t>
      </w:r>
    </w:p>
    <w:p w14:paraId="60E98B0F" w14:textId="7A889E81" w:rsidR="00F15D46" w:rsidRPr="008B68A9" w:rsidRDefault="00F15D46">
      <w:pPr>
        <w:spacing w:line="276" w:lineRule="auto"/>
        <w:rPr>
          <w:szCs w:val="24"/>
        </w:rPr>
      </w:pPr>
      <w:r w:rsidRPr="008B68A9">
        <w:br w:type="page"/>
      </w:r>
    </w:p>
    <w:p w14:paraId="4ECB1784" w14:textId="067386F0" w:rsidR="006C7B37" w:rsidRPr="008B68A9" w:rsidRDefault="006C7B37" w:rsidP="006C7B37">
      <w:pPr>
        <w:pStyle w:val="2L2header"/>
        <w:rPr>
          <w:rFonts w:eastAsia="Arial" w:cs="Arial"/>
        </w:rPr>
      </w:pPr>
      <w:bookmarkStart w:id="104" w:name="_Toc413827423"/>
      <w:bookmarkStart w:id="105" w:name="_Toc466800323"/>
      <w:r w:rsidRPr="008B68A9">
        <w:lastRenderedPageBreak/>
        <w:t>5.3 Study 1: A pilot study exploring the use of individual recovery budgets across mental health early intervention teams in a North West city</w:t>
      </w:r>
      <w:bookmarkEnd w:id="104"/>
      <w:bookmarkEnd w:id="105"/>
    </w:p>
    <w:p w14:paraId="60521165" w14:textId="77777777" w:rsidR="006C7B37" w:rsidRPr="008B68A9" w:rsidRDefault="006C7B37" w:rsidP="002F0FD7">
      <w:pPr>
        <w:pStyle w:val="5arangedleft"/>
      </w:pPr>
      <w:r w:rsidRPr="008B68A9">
        <w:t>June 2008 – July 2009; funded grant £10,000</w:t>
      </w:r>
    </w:p>
    <w:p w14:paraId="477245DA" w14:textId="6619CB5E" w:rsidR="006C7B37" w:rsidRPr="008B68A9" w:rsidRDefault="006C7B37" w:rsidP="006C7B37">
      <w:pPr>
        <w:pStyle w:val="3L3header"/>
      </w:pPr>
      <w:bookmarkStart w:id="106" w:name="_Toc413827424"/>
      <w:bookmarkStart w:id="107" w:name="_Toc466800324"/>
      <w:r w:rsidRPr="008B68A9">
        <w:t>5.3.1 Summary</w:t>
      </w:r>
      <w:bookmarkEnd w:id="106"/>
      <w:bookmarkEnd w:id="107"/>
    </w:p>
    <w:p w14:paraId="05EEA732" w14:textId="1E189EEE" w:rsidR="006C7B37" w:rsidRPr="008B68A9" w:rsidRDefault="006C7B37" w:rsidP="002F0FD7">
      <w:pPr>
        <w:pStyle w:val="5arangedleft"/>
      </w:pPr>
      <w:r w:rsidRPr="008B68A9">
        <w:t>The evaluation reported on the collaboration between a North West NHS trust and the Care Services Improvement Partnership that explored the use and impact of person-centred support planning and personal budgets for people accessing EITs. The study was located in a large North West of England city between June</w:t>
      </w:r>
      <w:r w:rsidR="004B1685" w:rsidRPr="008B68A9">
        <w:t xml:space="preserve"> </w:t>
      </w:r>
      <w:r w:rsidRPr="008B68A9">
        <w:t>2008 and March 2009. The city had three EITs located in southern, central and northern locations where the recipients of the budgets were drawn from. The final report is published elsewhere (Coyle 2009).</w:t>
      </w:r>
    </w:p>
    <w:p w14:paraId="2F90EB54" w14:textId="33D7CC7A" w:rsidR="006C7B37" w:rsidRPr="008B68A9" w:rsidRDefault="006C7B37" w:rsidP="002F0FD7">
      <w:pPr>
        <w:pStyle w:val="5arangedleft"/>
      </w:pPr>
      <w:r w:rsidRPr="008B68A9">
        <w:t>An individual recovery budget (IRB) for this project meant a payment from the NHS mental health service that could be used by the service recipient to obtain or purchase an item/service that enhance</w:t>
      </w:r>
      <w:r w:rsidR="004B7763" w:rsidRPr="008B68A9">
        <w:t>d</w:t>
      </w:r>
      <w:r w:rsidRPr="008B68A9">
        <w:t xml:space="preserve"> their recovery, meet agreed goals and contribute to their place within their community. The IRBs </w:t>
      </w:r>
      <w:r w:rsidR="004B7763" w:rsidRPr="008B68A9">
        <w:t>were</w:t>
      </w:r>
      <w:r w:rsidRPr="008B68A9">
        <w:t xml:space="preserve"> be facilitated by a broker with experience of supporting people with mental health problems and whose substantive post lay in a third sector charity. Person centred thinking tools (Sanderson and Lewis 2011) guided the support planning process that identified desired outcomes for the participants. The pilot aimed to offer the IRB to approximately 100 people across the three teams during the 12 month project.</w:t>
      </w:r>
    </w:p>
    <w:p w14:paraId="65A0B7E6" w14:textId="526B238A" w:rsidR="006C7B37" w:rsidRPr="008B68A9" w:rsidRDefault="006C7B37" w:rsidP="003B2E50">
      <w:pPr>
        <w:pStyle w:val="3L3header"/>
      </w:pPr>
      <w:bookmarkStart w:id="108" w:name="_Toc413827425"/>
      <w:bookmarkStart w:id="109" w:name="_Toc466800325"/>
      <w:r w:rsidRPr="008B68A9">
        <w:t>5.3.2 Aims of evaluation</w:t>
      </w:r>
      <w:bookmarkEnd w:id="108"/>
      <w:bookmarkEnd w:id="109"/>
    </w:p>
    <w:p w14:paraId="61BBF035"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contextualSpacing/>
        <w:rPr>
          <w:rFonts w:eastAsia="Arial" w:cs="Arial"/>
          <w:szCs w:val="24"/>
        </w:rPr>
      </w:pPr>
      <w:r w:rsidRPr="008B68A9">
        <w:rPr>
          <w:rFonts w:eastAsia="Arial" w:cs="Arial"/>
          <w:szCs w:val="24"/>
        </w:rPr>
        <w:t>The evaluation had three broad questions:</w:t>
      </w:r>
    </w:p>
    <w:p w14:paraId="01FB128D"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after="0" w:line="240" w:lineRule="auto"/>
        <w:contextualSpacing/>
        <w:rPr>
          <w:b/>
          <w:szCs w:val="24"/>
        </w:rPr>
      </w:pPr>
    </w:p>
    <w:p w14:paraId="180350EA"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eastAsia="Arial" w:cs="Arial"/>
          <w:szCs w:val="24"/>
        </w:rPr>
      </w:pPr>
      <w:r w:rsidRPr="008B68A9">
        <w:rPr>
          <w:rFonts w:eastAsia="Arial" w:cs="Arial"/>
          <w:szCs w:val="24"/>
        </w:rPr>
        <w:t>What was the experience of individuals using financial support, in the form of IRBs, to make changes in their lives?</w:t>
      </w:r>
    </w:p>
    <w:p w14:paraId="5243E27F"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eastAsia="Arial" w:cs="Arial"/>
          <w:szCs w:val="24"/>
        </w:rPr>
      </w:pPr>
      <w:r w:rsidRPr="008B68A9">
        <w:rPr>
          <w:rFonts w:eastAsia="Arial" w:cs="Arial"/>
          <w:szCs w:val="24"/>
        </w:rPr>
        <w:t>Did the experience of having control of resources impact the client’s social inclusion, choice and autonomy?</w:t>
      </w:r>
    </w:p>
    <w:p w14:paraId="1155098A"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b/>
          <w:szCs w:val="24"/>
        </w:rPr>
      </w:pPr>
      <w:r w:rsidRPr="008B68A9">
        <w:rPr>
          <w:rFonts w:eastAsia="Arial" w:cs="Arial"/>
          <w:szCs w:val="24"/>
        </w:rPr>
        <w:t>How did IRBs impact on the early intervention teams’ ways of working?</w:t>
      </w:r>
    </w:p>
    <w:p w14:paraId="065BC017" w14:textId="632953DC" w:rsidR="006C7B37" w:rsidRPr="008B68A9" w:rsidRDefault="006C7B37" w:rsidP="006C7B37">
      <w:pPr>
        <w:pStyle w:val="3L3header"/>
      </w:pPr>
      <w:bookmarkStart w:id="110" w:name="_Toc413827426"/>
      <w:bookmarkStart w:id="111" w:name="_Toc466800326"/>
      <w:r w:rsidRPr="008B68A9">
        <w:lastRenderedPageBreak/>
        <w:t>5.3.3 Method</w:t>
      </w:r>
      <w:bookmarkEnd w:id="110"/>
      <w:bookmarkEnd w:id="111"/>
    </w:p>
    <w:p w14:paraId="08E4D460" w14:textId="77777777" w:rsidR="006C7B37" w:rsidRPr="008B68A9" w:rsidRDefault="006C7B37" w:rsidP="002F0FD7">
      <w:pPr>
        <w:pStyle w:val="5arangedleft"/>
      </w:pPr>
      <w:r w:rsidRPr="008B68A9">
        <w:t>Data we</w:t>
      </w:r>
      <w:r w:rsidRPr="008B68A9">
        <w:rPr>
          <w:spacing w:val="2"/>
        </w:rPr>
        <w:t>r</w:t>
      </w:r>
      <w:r w:rsidRPr="008B68A9">
        <w:t>e collected through interviews</w:t>
      </w:r>
      <w:r w:rsidRPr="008B68A9">
        <w:rPr>
          <w:spacing w:val="1"/>
        </w:rPr>
        <w:t xml:space="preserve"> </w:t>
      </w:r>
      <w:r w:rsidRPr="008B68A9">
        <w:t>and focus groups. Indi</w:t>
      </w:r>
      <w:r w:rsidRPr="008B68A9">
        <w:rPr>
          <w:spacing w:val="1"/>
        </w:rPr>
        <w:t>v</w:t>
      </w:r>
      <w:r w:rsidRPr="008B68A9">
        <w:rPr>
          <w:spacing w:val="-1"/>
        </w:rPr>
        <w:t>i</w:t>
      </w:r>
      <w:r w:rsidRPr="008B68A9">
        <w:t>dual semi-structured interviews</w:t>
      </w:r>
      <w:r w:rsidRPr="008B68A9">
        <w:rPr>
          <w:spacing w:val="7"/>
        </w:rPr>
        <w:t xml:space="preserve"> </w:t>
      </w:r>
      <w:r w:rsidRPr="008B68A9">
        <w:t>were</w:t>
      </w:r>
      <w:r w:rsidRPr="008B68A9">
        <w:rPr>
          <w:spacing w:val="7"/>
        </w:rPr>
        <w:t xml:space="preserve"> </w:t>
      </w:r>
      <w:r w:rsidRPr="008B68A9">
        <w:t>conducted</w:t>
      </w:r>
      <w:r w:rsidRPr="008B68A9">
        <w:rPr>
          <w:spacing w:val="7"/>
        </w:rPr>
        <w:t xml:space="preserve"> </w:t>
      </w:r>
      <w:r w:rsidRPr="008B68A9">
        <w:t>between</w:t>
      </w:r>
      <w:r w:rsidRPr="008B68A9">
        <w:rPr>
          <w:spacing w:val="7"/>
        </w:rPr>
        <w:t xml:space="preserve"> </w:t>
      </w:r>
      <w:r w:rsidRPr="008B68A9">
        <w:t>the</w:t>
      </w:r>
      <w:r w:rsidRPr="008B68A9">
        <w:rPr>
          <w:spacing w:val="7"/>
        </w:rPr>
        <w:t xml:space="preserve"> </w:t>
      </w:r>
      <w:r w:rsidRPr="008B68A9">
        <w:t>principal investigator</w:t>
      </w:r>
      <w:r w:rsidRPr="008B68A9">
        <w:rPr>
          <w:spacing w:val="8"/>
        </w:rPr>
        <w:t xml:space="preserve"> </w:t>
      </w:r>
      <w:r w:rsidRPr="008B68A9">
        <w:t>and</w:t>
      </w:r>
      <w:r w:rsidRPr="008B68A9">
        <w:rPr>
          <w:spacing w:val="7"/>
        </w:rPr>
        <w:t xml:space="preserve"> </w:t>
      </w:r>
      <w:r w:rsidRPr="008B68A9">
        <w:t>up to ten service users (n=7), pre- and post-budget. Two focus groups on two occasions were used with representative staff from the three EITs within the NHS trust.</w:t>
      </w:r>
    </w:p>
    <w:p w14:paraId="4DB42C2F" w14:textId="5D5B180F" w:rsidR="006C7B37" w:rsidRPr="008B68A9" w:rsidRDefault="006C7B37" w:rsidP="006C7B37">
      <w:pPr>
        <w:pStyle w:val="3L3header"/>
      </w:pPr>
      <w:bookmarkStart w:id="112" w:name="_Toc413827427"/>
      <w:bookmarkStart w:id="113" w:name="_Toc466800327"/>
      <w:r w:rsidRPr="008B68A9">
        <w:t>5.3.4 Sample</w:t>
      </w:r>
      <w:bookmarkEnd w:id="112"/>
      <w:bookmarkEnd w:id="113"/>
    </w:p>
    <w:p w14:paraId="140FE197" w14:textId="60609570" w:rsidR="006C7B37" w:rsidRPr="008B68A9" w:rsidRDefault="006C7B37" w:rsidP="002F0FD7">
      <w:pPr>
        <w:pStyle w:val="5arangedleft"/>
      </w:pPr>
      <w:r w:rsidRPr="008B68A9">
        <w:t>The three EITs were asked to identify and approach service users who were in the process of applying for or who had received a recovery budget, and who might be willing to participate in the interviews. Participants were provided with an in</w:t>
      </w:r>
      <w:r w:rsidR="00DD5C25" w:rsidRPr="008B68A9">
        <w:t>formation sheet (appendix 5</w:t>
      </w:r>
      <w:r w:rsidRPr="008B68A9">
        <w:t>) outlining the nature and process of the evaluation. Prospective participants were also provided with a consent form (see appen</w:t>
      </w:r>
      <w:r w:rsidR="00DD5C25" w:rsidRPr="008B68A9">
        <w:t>dix 6</w:t>
      </w:r>
      <w:r w:rsidRPr="008B68A9">
        <w:t>). The interviews were digitally recorded, then transcribed verbatim and subjected to a narrative analysis (</w:t>
      </w:r>
      <w:r w:rsidR="0064440D" w:rsidRPr="008B68A9">
        <w:t>Reissman</w:t>
      </w:r>
      <w:r w:rsidRPr="008B68A9">
        <w:t xml:space="preserve"> 1993, Bury 2001). All transcripts were coded to MAXQDA (2007) textural analysis software, and the transcriptions led to a categorisation of participant narratives. </w:t>
      </w:r>
    </w:p>
    <w:p w14:paraId="404E2184" w14:textId="4B934D67" w:rsidR="006C7B37" w:rsidRPr="008B68A9" w:rsidRDefault="006C7B37" w:rsidP="006C7B37">
      <w:pPr>
        <w:pStyle w:val="3L3header"/>
      </w:pPr>
      <w:bookmarkStart w:id="114" w:name="_Toc413827429"/>
      <w:bookmarkStart w:id="115" w:name="_Toc466800328"/>
      <w:r w:rsidRPr="008B68A9">
        <w:t>5.3.5 Outcomes for IRB recipients</w:t>
      </w:r>
      <w:bookmarkEnd w:id="114"/>
      <w:bookmarkEnd w:id="115"/>
    </w:p>
    <w:p w14:paraId="10689F9F" w14:textId="187C4614" w:rsidR="006C7B37" w:rsidRPr="008B68A9" w:rsidRDefault="006C7B37" w:rsidP="002F0FD7">
      <w:pPr>
        <w:pStyle w:val="5arangedleft"/>
      </w:pPr>
      <w:r w:rsidRPr="008B68A9">
        <w:t xml:space="preserve">In respect of the study’s first objective, there seemed little doubt that by providing participants with support planning to identify what was important to them and their recovery, the recipients reported benefit from their budget purchase. They expressed satisfaction at being able to identify a change in their life, either through improving their current environment, or setting a new direction within an overall plan of recovery. Where participants had control and choice, the IRB strengthened the degree to which they made and exercised decisions affecting current and aspirational aspects of their life. Where the participants’ control or recovery was threatened because of service limitations or difficulties in obtaining the desired course/service/item, IRB appeared to enhance their ability to achieve their goal. The IRB </w:t>
      </w:r>
      <w:r w:rsidR="00CF51D1" w:rsidRPr="008B68A9">
        <w:t>recipients’</w:t>
      </w:r>
      <w:r w:rsidRPr="008B68A9">
        <w:t xml:space="preserve"> use of creative approaches to develop their support plans was something that potentially assisted staff to listen better to the voice and choice of the consumer. The evaluation produced some progressive narratives (Gergen and </w:t>
      </w:r>
      <w:r w:rsidRPr="008B68A9">
        <w:lastRenderedPageBreak/>
        <w:t>Gergen 1983), demonstrating that development of choice and autonomy might be achieved using relatively small sums.</w:t>
      </w:r>
    </w:p>
    <w:p w14:paraId="18C04200" w14:textId="59C6FD24" w:rsidR="006C7B37" w:rsidRPr="008B68A9" w:rsidRDefault="006C7B37" w:rsidP="002F0FD7">
      <w:pPr>
        <w:pStyle w:val="5arangedleft"/>
      </w:pPr>
      <w:r w:rsidRPr="008B68A9">
        <w:t xml:space="preserve">The recipients used their IRBs in many ways (see chart </w:t>
      </w:r>
      <w:r w:rsidR="004B1685" w:rsidRPr="008B68A9">
        <w:t>1</w:t>
      </w:r>
      <w:r w:rsidRPr="008B68A9">
        <w:t>). Obtaining g</w:t>
      </w:r>
      <w:r w:rsidRPr="008B68A9">
        <w:rPr>
          <w:spacing w:val="1"/>
        </w:rPr>
        <w:t>y</w:t>
      </w:r>
      <w:r w:rsidRPr="008B68A9">
        <w:t xml:space="preserve">m membership and driving lessons, purchasing computers and making improvements in their living conditions were some of the ways participants engaged in re-connecting with their pre-mental health difficulty lives through local facilities. Without the financial </w:t>
      </w:r>
      <w:r w:rsidRPr="008B68A9">
        <w:rPr>
          <w:spacing w:val="1"/>
        </w:rPr>
        <w:t>s</w:t>
      </w:r>
      <w:r w:rsidRPr="008B68A9">
        <w:t>upport that accompanied the IRB, it was un</w:t>
      </w:r>
      <w:r w:rsidRPr="008B68A9">
        <w:rPr>
          <w:spacing w:val="2"/>
        </w:rPr>
        <w:t>l</w:t>
      </w:r>
      <w:r w:rsidRPr="008B68A9">
        <w:t>ikely that many of these e</w:t>
      </w:r>
      <w:r w:rsidRPr="008B68A9">
        <w:rPr>
          <w:spacing w:val="1"/>
        </w:rPr>
        <w:t>v</w:t>
      </w:r>
      <w:r w:rsidRPr="008B68A9">
        <w:t>ents would have</w:t>
      </w:r>
      <w:r w:rsidRPr="008B68A9">
        <w:rPr>
          <w:spacing w:val="1"/>
        </w:rPr>
        <w:t xml:space="preserve"> </w:t>
      </w:r>
      <w:r w:rsidRPr="008B68A9">
        <w:t>occurred. The challenge for the service</w:t>
      </w:r>
      <w:r w:rsidRPr="008B68A9">
        <w:rPr>
          <w:spacing w:val="1"/>
        </w:rPr>
        <w:t xml:space="preserve"> was </w:t>
      </w:r>
      <w:r w:rsidRPr="008B68A9">
        <w:t>to maintain i</w:t>
      </w:r>
      <w:r w:rsidRPr="008B68A9">
        <w:rPr>
          <w:spacing w:val="2"/>
        </w:rPr>
        <w:t>t</w:t>
      </w:r>
      <w:r w:rsidRPr="008B68A9">
        <w:t>s commitment to rec</w:t>
      </w:r>
      <w:r w:rsidRPr="008B68A9">
        <w:rPr>
          <w:spacing w:val="-1"/>
        </w:rPr>
        <w:t>o</w:t>
      </w:r>
      <w:r w:rsidRPr="008B68A9">
        <w:t>very p</w:t>
      </w:r>
      <w:r w:rsidRPr="008B68A9">
        <w:rPr>
          <w:spacing w:val="1"/>
        </w:rPr>
        <w:t>r</w:t>
      </w:r>
      <w:r w:rsidRPr="008B68A9">
        <w:t>ocesses, and to find ways to further develop the personalisation agenda for</w:t>
      </w:r>
      <w:r w:rsidRPr="008B68A9">
        <w:rPr>
          <w:spacing w:val="1"/>
        </w:rPr>
        <w:t xml:space="preserve"> </w:t>
      </w:r>
      <w:r w:rsidRPr="008B68A9">
        <w:t>people with mental he</w:t>
      </w:r>
      <w:r w:rsidRPr="008B68A9">
        <w:rPr>
          <w:spacing w:val="1"/>
        </w:rPr>
        <w:t>a</w:t>
      </w:r>
      <w:r w:rsidRPr="008B68A9">
        <w:t>lth proble</w:t>
      </w:r>
      <w:r w:rsidRPr="008B68A9">
        <w:rPr>
          <w:spacing w:val="2"/>
        </w:rPr>
        <w:t>m</w:t>
      </w:r>
      <w:r w:rsidRPr="008B68A9">
        <w:t xml:space="preserve">s and those who support them. The analysis reported narrative trajectory from regressive to progressive from their use of IRBs. Table </w:t>
      </w:r>
      <w:r w:rsidR="00DF399F" w:rsidRPr="008B68A9">
        <w:t>1</w:t>
      </w:r>
      <w:r w:rsidRPr="008B68A9">
        <w:t xml:space="preserve"> highlights some of the themes taken from interview analysis.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16"/>
        <w:gridCol w:w="4094"/>
      </w:tblGrid>
      <w:tr w:rsidR="006C7B37" w:rsidRPr="008B68A9" w14:paraId="6DDF5FCB" w14:textId="77777777" w:rsidTr="00045396">
        <w:tc>
          <w:tcPr>
            <w:tcW w:w="9242" w:type="dxa"/>
            <w:gridSpan w:val="2"/>
            <w:shd w:val="clear" w:color="auto" w:fill="F2F2F2" w:themeFill="background1" w:themeFillShade="F2"/>
          </w:tcPr>
          <w:p w14:paraId="22B0A60F" w14:textId="77777777" w:rsidR="006C7B37" w:rsidRPr="008B68A9" w:rsidRDefault="006C7B37" w:rsidP="00045396">
            <w:pPr>
              <w:spacing w:after="0" w:line="360" w:lineRule="auto"/>
              <w:jc w:val="center"/>
              <w:rPr>
                <w:b/>
                <w:sz w:val="22"/>
              </w:rPr>
            </w:pPr>
            <w:r w:rsidRPr="008B68A9">
              <w:rPr>
                <w:b/>
                <w:sz w:val="22"/>
              </w:rPr>
              <w:t>Service user’s experience of individual recovery budgets</w:t>
            </w:r>
          </w:p>
        </w:tc>
      </w:tr>
      <w:tr w:rsidR="006C7B37" w:rsidRPr="008B68A9" w14:paraId="7832EB0E" w14:textId="77777777" w:rsidTr="00045396">
        <w:tc>
          <w:tcPr>
            <w:tcW w:w="9242" w:type="dxa"/>
            <w:gridSpan w:val="2"/>
          </w:tcPr>
          <w:p w14:paraId="2D6AE07D" w14:textId="77777777" w:rsidR="006C7B37" w:rsidRPr="008B68A9" w:rsidRDefault="006C7B37" w:rsidP="00045396">
            <w:pPr>
              <w:spacing w:after="0" w:line="360" w:lineRule="auto"/>
              <w:jc w:val="center"/>
              <w:rPr>
                <w:sz w:val="22"/>
              </w:rPr>
            </w:pPr>
            <w:r w:rsidRPr="008B68A9">
              <w:rPr>
                <w:sz w:val="22"/>
              </w:rPr>
              <w:t>Narrative direction</w:t>
            </w:r>
          </w:p>
        </w:tc>
      </w:tr>
      <w:tr w:rsidR="006C7B37" w:rsidRPr="008B68A9" w14:paraId="62012A03" w14:textId="77777777" w:rsidTr="00045396">
        <w:tc>
          <w:tcPr>
            <w:tcW w:w="4621" w:type="dxa"/>
            <w:vAlign w:val="center"/>
          </w:tcPr>
          <w:p w14:paraId="54707B82" w14:textId="77777777" w:rsidR="006C7B37" w:rsidRPr="008B68A9" w:rsidRDefault="006C7B37" w:rsidP="00045396">
            <w:pPr>
              <w:spacing w:after="0" w:line="360" w:lineRule="auto"/>
              <w:rPr>
                <w:sz w:val="22"/>
              </w:rPr>
            </w:pPr>
            <w:r w:rsidRPr="008B68A9">
              <w:rPr>
                <w:sz w:val="22"/>
              </w:rPr>
              <w:t>Hope towards recovery</w:t>
            </w:r>
          </w:p>
        </w:tc>
        <w:tc>
          <w:tcPr>
            <w:tcW w:w="4621" w:type="dxa"/>
            <w:vAlign w:val="center"/>
          </w:tcPr>
          <w:p w14:paraId="7A3F1B24" w14:textId="77777777" w:rsidR="006C7B37" w:rsidRPr="008B68A9" w:rsidRDefault="006C7B37" w:rsidP="00045396">
            <w:pPr>
              <w:spacing w:after="0" w:line="360" w:lineRule="auto"/>
              <w:rPr>
                <w:sz w:val="22"/>
              </w:rPr>
            </w:pPr>
            <w:r w:rsidRPr="008B68A9">
              <w:rPr>
                <w:sz w:val="22"/>
              </w:rPr>
              <w:t>Positive self-direction</w:t>
            </w:r>
          </w:p>
        </w:tc>
      </w:tr>
      <w:tr w:rsidR="006C7B37" w:rsidRPr="008B68A9" w14:paraId="41196902" w14:textId="77777777" w:rsidTr="00045396">
        <w:tc>
          <w:tcPr>
            <w:tcW w:w="4621" w:type="dxa"/>
            <w:vAlign w:val="center"/>
          </w:tcPr>
          <w:p w14:paraId="61B5B1B2" w14:textId="77777777" w:rsidR="006C7B37" w:rsidRPr="008B68A9" w:rsidRDefault="006C7B37" w:rsidP="00045396">
            <w:pPr>
              <w:spacing w:after="0" w:line="360" w:lineRule="auto"/>
              <w:rPr>
                <w:sz w:val="22"/>
              </w:rPr>
            </w:pPr>
            <w:r w:rsidRPr="008B68A9">
              <w:rPr>
                <w:sz w:val="22"/>
              </w:rPr>
              <w:t>From a position of dependence</w:t>
            </w:r>
          </w:p>
        </w:tc>
        <w:tc>
          <w:tcPr>
            <w:tcW w:w="4621" w:type="dxa"/>
            <w:vAlign w:val="center"/>
          </w:tcPr>
          <w:p w14:paraId="126ED621" w14:textId="77777777" w:rsidR="006C7B37" w:rsidRPr="008B68A9" w:rsidRDefault="006C7B37" w:rsidP="00045396">
            <w:pPr>
              <w:spacing w:after="0" w:line="360" w:lineRule="auto"/>
              <w:rPr>
                <w:sz w:val="22"/>
              </w:rPr>
            </w:pPr>
            <w:r w:rsidRPr="008B68A9">
              <w:rPr>
                <w:sz w:val="22"/>
              </w:rPr>
              <w:t>Towards authorship of future</w:t>
            </w:r>
          </w:p>
        </w:tc>
      </w:tr>
      <w:tr w:rsidR="006C7B37" w:rsidRPr="008B68A9" w14:paraId="748553ED" w14:textId="77777777" w:rsidTr="00045396">
        <w:tc>
          <w:tcPr>
            <w:tcW w:w="4621" w:type="dxa"/>
            <w:vAlign w:val="center"/>
          </w:tcPr>
          <w:p w14:paraId="06DE5456" w14:textId="77777777" w:rsidR="006C7B37" w:rsidRPr="008B68A9" w:rsidRDefault="006C7B37" w:rsidP="00045396">
            <w:pPr>
              <w:spacing w:after="0" w:line="360" w:lineRule="auto"/>
              <w:rPr>
                <w:sz w:val="22"/>
              </w:rPr>
            </w:pPr>
            <w:r w:rsidRPr="008B68A9">
              <w:rPr>
                <w:sz w:val="22"/>
              </w:rPr>
              <w:t>From assessed</w:t>
            </w:r>
          </w:p>
        </w:tc>
        <w:tc>
          <w:tcPr>
            <w:tcW w:w="4621" w:type="dxa"/>
            <w:vAlign w:val="center"/>
          </w:tcPr>
          <w:p w14:paraId="1A561C38" w14:textId="77777777" w:rsidR="006C7B37" w:rsidRPr="008B68A9" w:rsidRDefault="006C7B37" w:rsidP="00045396">
            <w:pPr>
              <w:spacing w:after="0" w:line="360" w:lineRule="auto"/>
              <w:rPr>
                <w:sz w:val="22"/>
              </w:rPr>
            </w:pPr>
            <w:r w:rsidRPr="008B68A9">
              <w:rPr>
                <w:sz w:val="22"/>
              </w:rPr>
              <w:t>Co-creation of person centred plans</w:t>
            </w:r>
          </w:p>
        </w:tc>
      </w:tr>
    </w:tbl>
    <w:p w14:paraId="39F1A528" w14:textId="709E7763" w:rsidR="006C7B37" w:rsidRPr="008B68A9" w:rsidRDefault="006C7B37" w:rsidP="006C7B37">
      <w:pPr>
        <w:pStyle w:val="9btablecaption"/>
      </w:pPr>
      <w:bookmarkStart w:id="116" w:name="_Toc413827553"/>
      <w:bookmarkStart w:id="117" w:name="_Toc466799795"/>
      <w:r w:rsidRPr="008B68A9">
        <w:t xml:space="preserve">Table </w:t>
      </w:r>
      <w:r w:rsidR="00DF399F" w:rsidRPr="008B68A9">
        <w:t>1</w:t>
      </w:r>
      <w:r w:rsidRPr="008B68A9">
        <w:t>: Experiences of users receiving recovery budgets</w:t>
      </w:r>
      <w:bookmarkEnd w:id="116"/>
      <w:bookmarkEnd w:id="117"/>
      <w:r w:rsidRPr="008B68A9">
        <w:t xml:space="preserve"> </w:t>
      </w:r>
    </w:p>
    <w:p w14:paraId="0659C554" w14:textId="3C3F5FFD" w:rsidR="006C7B37" w:rsidRPr="008B68A9" w:rsidRDefault="006C7B37" w:rsidP="006C7B37">
      <w:pPr>
        <w:pStyle w:val="9ctableattrribution"/>
      </w:pPr>
      <w:r w:rsidRPr="008B68A9">
        <w:t>From Coyle D. (2011). Impact of person centred thinking and personal budgets in mental health services: Reporting a UK pilot</w:t>
      </w:r>
      <w:r w:rsidRPr="008B68A9">
        <w:rPr>
          <w:i/>
        </w:rPr>
        <w:t xml:space="preserve">, Journal of Psychiatric and Mental Health Nursing </w:t>
      </w:r>
      <w:r w:rsidRPr="008B68A9">
        <w:rPr>
          <w:b/>
        </w:rPr>
        <w:t>18</w:t>
      </w:r>
      <w:r w:rsidR="005B240A" w:rsidRPr="008B68A9">
        <w:rPr>
          <w:b/>
        </w:rPr>
        <w:t xml:space="preserve"> </w:t>
      </w:r>
      <w:r w:rsidRPr="008B68A9">
        <w:t>(9) 796-803.</w:t>
      </w:r>
    </w:p>
    <w:p w14:paraId="3CF3DA2B" w14:textId="5A3497E2" w:rsidR="006C7B37" w:rsidRPr="008B68A9" w:rsidRDefault="006C7B37" w:rsidP="006C7B37">
      <w:pPr>
        <w:pStyle w:val="3L3header"/>
      </w:pPr>
      <w:bookmarkStart w:id="118" w:name="_Toc413827430"/>
      <w:bookmarkStart w:id="119" w:name="_Toc466800329"/>
      <w:r w:rsidRPr="008B68A9">
        <w:t>5.3.6 Practitioner experience: The impact of IRBs on ways of working</w:t>
      </w:r>
      <w:bookmarkEnd w:id="118"/>
      <w:bookmarkEnd w:id="119"/>
    </w:p>
    <w:p w14:paraId="7205755D" w14:textId="77777777" w:rsidR="006C7B37" w:rsidRPr="008B68A9" w:rsidRDefault="006C7B37" w:rsidP="002F0FD7">
      <w:pPr>
        <w:pStyle w:val="5arangedleft"/>
      </w:pPr>
      <w:r w:rsidRPr="008B68A9">
        <w:t>The IRBs had an impact</w:t>
      </w:r>
      <w:r w:rsidRPr="008B68A9">
        <w:rPr>
          <w:spacing w:val="2"/>
        </w:rPr>
        <w:t xml:space="preserve"> </w:t>
      </w:r>
      <w:r w:rsidRPr="008B68A9">
        <w:t>on the</w:t>
      </w:r>
      <w:r w:rsidRPr="008B68A9">
        <w:rPr>
          <w:spacing w:val="1"/>
        </w:rPr>
        <w:t xml:space="preserve"> </w:t>
      </w:r>
      <w:r w:rsidRPr="008B68A9">
        <w:t>way the EITs operated in terms of treatment options available and their working practices.</w:t>
      </w:r>
      <w:r w:rsidRPr="008B68A9">
        <w:rPr>
          <w:spacing w:val="1"/>
        </w:rPr>
        <w:t xml:space="preserve"> </w:t>
      </w:r>
      <w:r w:rsidRPr="008B68A9">
        <w:t>The IRBs uniquely provided a novel way to access pre</w:t>
      </w:r>
      <w:r w:rsidRPr="008B68A9">
        <w:rPr>
          <w:spacing w:val="1"/>
        </w:rPr>
        <w:t>v</w:t>
      </w:r>
      <w:r w:rsidRPr="008B68A9">
        <w:t>iously inac</w:t>
      </w:r>
      <w:r w:rsidRPr="008B68A9">
        <w:rPr>
          <w:spacing w:val="1"/>
        </w:rPr>
        <w:t>c</w:t>
      </w:r>
      <w:r w:rsidRPr="008B68A9">
        <w:t>essible opportunities to serv</w:t>
      </w:r>
      <w:r w:rsidRPr="008B68A9">
        <w:rPr>
          <w:spacing w:val="-2"/>
        </w:rPr>
        <w:t>i</w:t>
      </w:r>
      <w:r w:rsidRPr="008B68A9">
        <w:t xml:space="preserve">ce users </w:t>
      </w:r>
      <w:r w:rsidRPr="008B68A9">
        <w:rPr>
          <w:spacing w:val="1"/>
        </w:rPr>
        <w:t>t</w:t>
      </w:r>
      <w:r w:rsidRPr="008B68A9">
        <w:t>hat was simple, efficient and effective. By avoiding funding panels for direct payments, staff expressed satisfaction in the simplicity of application and administration.</w:t>
      </w:r>
    </w:p>
    <w:p w14:paraId="56747781" w14:textId="73902D09" w:rsidR="006C7B37" w:rsidRPr="008B68A9" w:rsidRDefault="006C7B37" w:rsidP="002F0FD7">
      <w:pPr>
        <w:pStyle w:val="5arangedleft"/>
      </w:pPr>
      <w:r w:rsidRPr="008B68A9">
        <w:t xml:space="preserve">Practitioners reported that the budgets were perceived as a new and helpful tool; </w:t>
      </w:r>
      <w:r w:rsidR="003C3475" w:rsidRPr="008B68A9">
        <w:t>providing</w:t>
      </w:r>
      <w:r w:rsidRPr="008B68A9">
        <w:t xml:space="preserve"> an additional lever in supporting EIT users in their recovery journeys. Howe</w:t>
      </w:r>
      <w:r w:rsidRPr="008B68A9">
        <w:rPr>
          <w:spacing w:val="1"/>
        </w:rPr>
        <w:t>v</w:t>
      </w:r>
      <w:r w:rsidRPr="008B68A9">
        <w:t xml:space="preserve">er, some of the identified course/services/items identified as outcomes might have been obtainable through established channels such as funding panels, though </w:t>
      </w:r>
      <w:r w:rsidRPr="008B68A9">
        <w:lastRenderedPageBreak/>
        <w:t>the focus group participants reported reticence and frustration with the funding panel process that dissuaded them from pursuing that option. There appeared to be a deficit in both skills a</w:t>
      </w:r>
      <w:r w:rsidRPr="008B68A9">
        <w:rPr>
          <w:spacing w:val="1"/>
        </w:rPr>
        <w:t>n</w:t>
      </w:r>
      <w:r w:rsidRPr="008B68A9">
        <w:t>d ex</w:t>
      </w:r>
      <w:r w:rsidRPr="008B68A9">
        <w:rPr>
          <w:spacing w:val="1"/>
        </w:rPr>
        <w:t>p</w:t>
      </w:r>
      <w:r w:rsidRPr="008B68A9">
        <w:t>erie</w:t>
      </w:r>
      <w:r w:rsidRPr="008B68A9">
        <w:rPr>
          <w:spacing w:val="1"/>
        </w:rPr>
        <w:t>n</w:t>
      </w:r>
      <w:r w:rsidRPr="008B68A9">
        <w:t>ce in practitioners in acc</w:t>
      </w:r>
      <w:r w:rsidRPr="008B68A9">
        <w:rPr>
          <w:spacing w:val="1"/>
        </w:rPr>
        <w:t>e</w:t>
      </w:r>
      <w:r w:rsidRPr="008B68A9">
        <w:t>ssing res</w:t>
      </w:r>
      <w:r w:rsidRPr="008B68A9">
        <w:rPr>
          <w:spacing w:val="1"/>
        </w:rPr>
        <w:t>o</w:t>
      </w:r>
      <w:r w:rsidRPr="008B68A9">
        <w:t>urces through panel processes.</w:t>
      </w:r>
    </w:p>
    <w:p w14:paraId="4D19807B" w14:textId="45BFCD2B" w:rsidR="006C7B37" w:rsidRPr="008B68A9" w:rsidRDefault="006C7B37" w:rsidP="002F0FD7">
      <w:pPr>
        <w:pStyle w:val="5arangedleft"/>
      </w:pPr>
      <w:r w:rsidRPr="008B68A9">
        <w:t xml:space="preserve">The focus groups revealed a tension between the potential offered by support planning, outcome formulation and the IRB, and the team’s administrative and regulatory demands. There were also concerns about the principles of parity and equity in healthcare provision, and that some IRB users might be receiving more than others, although it was noted that no instances of excessive or spurious requests were made; instead, a noticeable modesty in sums was recorded. Table </w:t>
      </w:r>
      <w:r w:rsidR="00DF399F" w:rsidRPr="008B68A9">
        <w:t xml:space="preserve">2 </w:t>
      </w:r>
      <w:r w:rsidRPr="008B68A9">
        <w:t>outlines some of the experiences of staff from the focus groups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29"/>
        <w:gridCol w:w="4081"/>
      </w:tblGrid>
      <w:tr w:rsidR="006C7B37" w:rsidRPr="008B68A9" w14:paraId="76BC2DF6" w14:textId="77777777" w:rsidTr="00045396">
        <w:tc>
          <w:tcPr>
            <w:tcW w:w="9242" w:type="dxa"/>
            <w:gridSpan w:val="2"/>
            <w:shd w:val="clear" w:color="auto" w:fill="F2F2F2" w:themeFill="background1" w:themeFillShade="F2"/>
          </w:tcPr>
          <w:p w14:paraId="6662C8BF" w14:textId="77777777" w:rsidR="006C7B37" w:rsidRPr="008B68A9" w:rsidRDefault="006C7B37" w:rsidP="00045396">
            <w:pPr>
              <w:spacing w:after="0" w:line="360" w:lineRule="auto"/>
              <w:jc w:val="center"/>
              <w:rPr>
                <w:b/>
                <w:sz w:val="22"/>
              </w:rPr>
            </w:pPr>
            <w:r w:rsidRPr="008B68A9">
              <w:rPr>
                <w:b/>
                <w:sz w:val="22"/>
              </w:rPr>
              <w:t>Staff experience of using individual recovery budgets</w:t>
            </w:r>
          </w:p>
        </w:tc>
      </w:tr>
      <w:tr w:rsidR="006C7B37" w:rsidRPr="008B68A9" w14:paraId="6D4A7433" w14:textId="77777777" w:rsidTr="00045396">
        <w:tc>
          <w:tcPr>
            <w:tcW w:w="4621" w:type="dxa"/>
            <w:shd w:val="clear" w:color="auto" w:fill="FFFFFF" w:themeFill="background1"/>
          </w:tcPr>
          <w:p w14:paraId="2C3C29C2" w14:textId="77777777" w:rsidR="006C7B37" w:rsidRPr="008B68A9" w:rsidRDefault="006C7B37" w:rsidP="00045396">
            <w:pPr>
              <w:spacing w:after="0" w:line="360" w:lineRule="auto"/>
              <w:jc w:val="center"/>
              <w:rPr>
                <w:sz w:val="22"/>
              </w:rPr>
            </w:pPr>
            <w:r w:rsidRPr="008B68A9">
              <w:rPr>
                <w:sz w:val="22"/>
              </w:rPr>
              <w:t>Positive aspects of IRBs</w:t>
            </w:r>
          </w:p>
        </w:tc>
        <w:tc>
          <w:tcPr>
            <w:tcW w:w="4621" w:type="dxa"/>
            <w:shd w:val="clear" w:color="auto" w:fill="FFFFFF" w:themeFill="background1"/>
          </w:tcPr>
          <w:p w14:paraId="1B1AC6D4" w14:textId="77777777" w:rsidR="006C7B37" w:rsidRPr="008B68A9" w:rsidRDefault="006C7B37" w:rsidP="00045396">
            <w:pPr>
              <w:spacing w:after="0" w:line="360" w:lineRule="auto"/>
              <w:jc w:val="center"/>
              <w:rPr>
                <w:sz w:val="22"/>
              </w:rPr>
            </w:pPr>
            <w:r w:rsidRPr="008B68A9">
              <w:rPr>
                <w:sz w:val="22"/>
              </w:rPr>
              <w:t>Challenges for IRBs</w:t>
            </w:r>
          </w:p>
        </w:tc>
      </w:tr>
      <w:tr w:rsidR="006C7B37" w:rsidRPr="008B68A9" w14:paraId="561DE109" w14:textId="77777777" w:rsidTr="00045396">
        <w:tc>
          <w:tcPr>
            <w:tcW w:w="4621" w:type="dxa"/>
          </w:tcPr>
          <w:p w14:paraId="5C58C9C7" w14:textId="77777777" w:rsidR="006C7B37" w:rsidRPr="008B68A9" w:rsidRDefault="006C7B37" w:rsidP="00045396">
            <w:pPr>
              <w:spacing w:after="0" w:line="360" w:lineRule="auto"/>
              <w:jc w:val="both"/>
              <w:rPr>
                <w:sz w:val="22"/>
              </w:rPr>
            </w:pPr>
            <w:r w:rsidRPr="008B68A9">
              <w:rPr>
                <w:sz w:val="22"/>
              </w:rPr>
              <w:t>New and helpful tool</w:t>
            </w:r>
          </w:p>
        </w:tc>
        <w:tc>
          <w:tcPr>
            <w:tcW w:w="4621" w:type="dxa"/>
          </w:tcPr>
          <w:p w14:paraId="5541BDDE" w14:textId="77777777" w:rsidR="006C7B37" w:rsidRPr="008B68A9" w:rsidRDefault="006C7B37" w:rsidP="00045396">
            <w:pPr>
              <w:spacing w:after="0" w:line="360" w:lineRule="auto"/>
              <w:jc w:val="both"/>
              <w:rPr>
                <w:sz w:val="22"/>
              </w:rPr>
            </w:pPr>
            <w:r w:rsidRPr="008B68A9">
              <w:rPr>
                <w:sz w:val="22"/>
              </w:rPr>
              <w:t>Fitting in with regulatory forms</w:t>
            </w:r>
          </w:p>
        </w:tc>
      </w:tr>
      <w:tr w:rsidR="006C7B37" w:rsidRPr="008B68A9" w14:paraId="75499E2F" w14:textId="77777777" w:rsidTr="00045396">
        <w:tc>
          <w:tcPr>
            <w:tcW w:w="4621" w:type="dxa"/>
          </w:tcPr>
          <w:p w14:paraId="534F0BFB" w14:textId="77777777" w:rsidR="006C7B37" w:rsidRPr="008B68A9" w:rsidRDefault="006C7B37" w:rsidP="00045396">
            <w:pPr>
              <w:spacing w:after="0" w:line="360" w:lineRule="auto"/>
              <w:jc w:val="both"/>
              <w:rPr>
                <w:sz w:val="22"/>
              </w:rPr>
            </w:pPr>
            <w:r w:rsidRPr="008B68A9">
              <w:rPr>
                <w:sz w:val="22"/>
              </w:rPr>
              <w:t>Different way of approaching the person</w:t>
            </w:r>
          </w:p>
        </w:tc>
        <w:tc>
          <w:tcPr>
            <w:tcW w:w="4621" w:type="dxa"/>
          </w:tcPr>
          <w:p w14:paraId="1A8B83BD" w14:textId="77777777" w:rsidR="006C7B37" w:rsidRPr="008B68A9" w:rsidRDefault="006C7B37" w:rsidP="00045396">
            <w:pPr>
              <w:spacing w:after="0" w:line="360" w:lineRule="auto"/>
              <w:jc w:val="both"/>
              <w:rPr>
                <w:sz w:val="22"/>
              </w:rPr>
            </w:pPr>
            <w:r w:rsidRPr="008B68A9">
              <w:rPr>
                <w:sz w:val="22"/>
              </w:rPr>
              <w:t>Parity and equity</w:t>
            </w:r>
          </w:p>
        </w:tc>
      </w:tr>
      <w:tr w:rsidR="006C7B37" w:rsidRPr="008B68A9" w14:paraId="7966081F" w14:textId="77777777" w:rsidTr="00045396">
        <w:tc>
          <w:tcPr>
            <w:tcW w:w="4621" w:type="dxa"/>
          </w:tcPr>
          <w:p w14:paraId="24465794" w14:textId="77777777" w:rsidR="006C7B37" w:rsidRPr="008B68A9" w:rsidRDefault="006C7B37" w:rsidP="00045396">
            <w:pPr>
              <w:spacing w:after="0" w:line="360" w:lineRule="auto"/>
              <w:jc w:val="both"/>
              <w:rPr>
                <w:sz w:val="22"/>
              </w:rPr>
            </w:pPr>
            <w:r w:rsidRPr="008B68A9">
              <w:rPr>
                <w:sz w:val="22"/>
              </w:rPr>
              <w:t>Unanticipated outcomes</w:t>
            </w:r>
          </w:p>
        </w:tc>
        <w:tc>
          <w:tcPr>
            <w:tcW w:w="4621" w:type="dxa"/>
          </w:tcPr>
          <w:p w14:paraId="399A8ED3" w14:textId="77777777" w:rsidR="006C7B37" w:rsidRPr="008B68A9" w:rsidRDefault="006C7B37" w:rsidP="00045396">
            <w:pPr>
              <w:spacing w:after="0" w:line="360" w:lineRule="auto"/>
              <w:jc w:val="both"/>
              <w:rPr>
                <w:sz w:val="22"/>
              </w:rPr>
            </w:pPr>
            <w:r w:rsidRPr="008B68A9">
              <w:rPr>
                <w:sz w:val="22"/>
              </w:rPr>
              <w:t>Making it work</w:t>
            </w:r>
          </w:p>
        </w:tc>
      </w:tr>
      <w:tr w:rsidR="006C7B37" w:rsidRPr="008B68A9" w14:paraId="320432B3" w14:textId="77777777" w:rsidTr="00045396">
        <w:tc>
          <w:tcPr>
            <w:tcW w:w="4621" w:type="dxa"/>
          </w:tcPr>
          <w:p w14:paraId="5A527470" w14:textId="77777777" w:rsidR="006C7B37" w:rsidRPr="008B68A9" w:rsidRDefault="006C7B37" w:rsidP="00045396">
            <w:pPr>
              <w:spacing w:after="0" w:line="360" w:lineRule="auto"/>
              <w:jc w:val="both"/>
              <w:rPr>
                <w:sz w:val="22"/>
              </w:rPr>
            </w:pPr>
            <w:r w:rsidRPr="008B68A9">
              <w:rPr>
                <w:sz w:val="22"/>
              </w:rPr>
              <w:t>Modesty of request</w:t>
            </w:r>
          </w:p>
        </w:tc>
        <w:tc>
          <w:tcPr>
            <w:tcW w:w="4621" w:type="dxa"/>
          </w:tcPr>
          <w:p w14:paraId="2849CB2D" w14:textId="77777777" w:rsidR="006C7B37" w:rsidRPr="008B68A9" w:rsidRDefault="006C7B37" w:rsidP="00045396">
            <w:pPr>
              <w:spacing w:after="0" w:line="360" w:lineRule="auto"/>
              <w:jc w:val="both"/>
              <w:rPr>
                <w:sz w:val="22"/>
              </w:rPr>
            </w:pPr>
            <w:r w:rsidRPr="008B68A9">
              <w:rPr>
                <w:sz w:val="22"/>
              </w:rPr>
              <w:t>Not for everyone</w:t>
            </w:r>
          </w:p>
        </w:tc>
      </w:tr>
    </w:tbl>
    <w:p w14:paraId="6619BD17" w14:textId="638A6FA4" w:rsidR="006C7B37" w:rsidRPr="008B68A9" w:rsidRDefault="006C7B37" w:rsidP="006C7B37">
      <w:pPr>
        <w:pStyle w:val="9btablecaption"/>
      </w:pPr>
      <w:bookmarkStart w:id="120" w:name="_Toc413827554"/>
      <w:bookmarkStart w:id="121" w:name="_Toc466799796"/>
      <w:r w:rsidRPr="008B68A9">
        <w:t xml:space="preserve">Table </w:t>
      </w:r>
      <w:r w:rsidR="00DF399F" w:rsidRPr="008B68A9">
        <w:t>2</w:t>
      </w:r>
      <w:r w:rsidRPr="008B68A9">
        <w:t>: Experience of staff using recovery budgets</w:t>
      </w:r>
      <w:bookmarkEnd w:id="120"/>
      <w:bookmarkEnd w:id="121"/>
    </w:p>
    <w:p w14:paraId="047800D0" w14:textId="665231D8" w:rsidR="006C7B37" w:rsidRPr="008B68A9" w:rsidRDefault="006C7B37" w:rsidP="006C7B37">
      <w:pPr>
        <w:pStyle w:val="9ctableattrribution"/>
      </w:pPr>
      <w:r w:rsidRPr="008B68A9">
        <w:t>From Coyle D. (2011). Impact of person centred thinking and personal budgets in mental health services: Reporting a UK pilot</w:t>
      </w:r>
      <w:r w:rsidRPr="008B68A9">
        <w:rPr>
          <w:i/>
        </w:rPr>
        <w:t xml:space="preserve">, Journal of Psychiatric and Mental Health Nursing </w:t>
      </w:r>
      <w:r w:rsidRPr="008B68A9">
        <w:rPr>
          <w:b/>
        </w:rPr>
        <w:t>18</w:t>
      </w:r>
      <w:r w:rsidR="005B240A" w:rsidRPr="008B68A9">
        <w:rPr>
          <w:b/>
        </w:rPr>
        <w:t xml:space="preserve"> </w:t>
      </w:r>
      <w:r w:rsidRPr="008B68A9">
        <w:t>(9) 796-803.</w:t>
      </w:r>
    </w:p>
    <w:p w14:paraId="0AC3DCCB" w14:textId="199EE601" w:rsidR="006C7B37" w:rsidRPr="008B68A9" w:rsidRDefault="006C7B37" w:rsidP="002F0FD7">
      <w:pPr>
        <w:pStyle w:val="5arangedleft"/>
      </w:pPr>
      <w:r w:rsidRPr="008B68A9">
        <w:t xml:space="preserve">There was, however, less evidence to suggest the practitioners were working in different ways because of the IRBs, as they clearly stated their knowledge that monies available to permit IRBs was for a short lived pilot, and was therefore to be exploited by the close of the pilot. In relation to the training and preparation provided by the NHS trust in association with a nationally renowned organisation in person centred thinking and practice, there were less favourable perceptions. The indication from some practitioners was that the approach used by the EITs was person-centred to begin with, and that the training taught some of the staff little. Within the focus group data it was suggested that, for some, there was little change in general thinking from the training or preparation or subsequent use of support plans. Work needed to be undertaken increasing the utilising of support planning tools. Much of the positive </w:t>
      </w:r>
      <w:r w:rsidRPr="008B68A9">
        <w:lastRenderedPageBreak/>
        <w:t xml:space="preserve">attitude towards the scheme by service personnel appeared in part related to the knowledge that IRB funding </w:t>
      </w:r>
      <w:r w:rsidR="003C3475" w:rsidRPr="008B68A9">
        <w:t>was</w:t>
      </w:r>
      <w:r w:rsidRPr="008B68A9">
        <w:t xml:space="preserve"> available and was finite. The staff reported that whilst the IRB monies were accessible, they should be exploited.</w:t>
      </w:r>
    </w:p>
    <w:p w14:paraId="16FA1830" w14:textId="77777777" w:rsidR="006C7B37" w:rsidRPr="008B68A9" w:rsidRDefault="006C7B37" w:rsidP="002F0FD7">
      <w:pPr>
        <w:pStyle w:val="5arangedleft"/>
      </w:pPr>
      <w:r w:rsidRPr="008B68A9">
        <w:t>The importance of shifting the balance of power or control towards a partnership between the consumer and paid professionals needed to be addressed, though the challenges created by the need to merge plans with statutory recording in a meaningful way could not be underestimated.</w:t>
      </w:r>
    </w:p>
    <w:p w14:paraId="137EA502" w14:textId="77777777" w:rsidR="006C7B37" w:rsidRPr="008B68A9" w:rsidRDefault="006C7B37" w:rsidP="006C7B37">
      <w:pPr>
        <w:spacing w:line="360" w:lineRule="auto"/>
        <w:jc w:val="both"/>
        <w:rPr>
          <w:szCs w:val="24"/>
        </w:rPr>
      </w:pPr>
      <w:r w:rsidRPr="008B68A9">
        <w:rPr>
          <w:noProof/>
          <w:szCs w:val="24"/>
          <w:lang w:eastAsia="en-GB"/>
        </w:rPr>
        <w:drawing>
          <wp:inline distT="0" distB="0" distL="0" distR="0" wp14:anchorId="14FFB272" wp14:editId="306D83C0">
            <wp:extent cx="5160010" cy="2543838"/>
            <wp:effectExtent l="0" t="0" r="2540" b="889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C8D00B6" w14:textId="63130E93" w:rsidR="006C7B37" w:rsidRPr="008B68A9" w:rsidRDefault="006C7B37" w:rsidP="006C7B37">
      <w:pPr>
        <w:pStyle w:val="9afigurecaption"/>
      </w:pPr>
      <w:bookmarkStart w:id="122" w:name="_Toc413827570"/>
      <w:bookmarkStart w:id="123" w:name="_Toc466799811"/>
      <w:r w:rsidRPr="008B68A9">
        <w:t>Chart 1</w:t>
      </w:r>
      <w:r w:rsidR="00EC6243" w:rsidRPr="008B68A9">
        <w:t>:</w:t>
      </w:r>
      <w:r w:rsidRPr="008B68A9">
        <w:t xml:space="preserve"> Breakdown of use of recovery budgets</w:t>
      </w:r>
      <w:bookmarkEnd w:id="122"/>
      <w:bookmarkEnd w:id="123"/>
    </w:p>
    <w:p w14:paraId="48612ECB" w14:textId="7A4F0980" w:rsidR="006C7B37" w:rsidRPr="008B68A9" w:rsidRDefault="006C7B37" w:rsidP="006C7B37">
      <w:pPr>
        <w:spacing w:after="0" w:line="240" w:lineRule="auto"/>
        <w:jc w:val="both"/>
        <w:rPr>
          <w:rFonts w:cs="Arial"/>
          <w:sz w:val="22"/>
        </w:rPr>
      </w:pPr>
      <w:r w:rsidRPr="008B68A9">
        <w:rPr>
          <w:rFonts w:cs="Arial"/>
          <w:sz w:val="22"/>
        </w:rPr>
        <w:t>From Coyle D. (2011). Impact of person centred thinking and personal budgets in mental health services: Reporting a UK pilot</w:t>
      </w:r>
      <w:r w:rsidRPr="008B68A9">
        <w:rPr>
          <w:rFonts w:cs="Arial"/>
          <w:i/>
          <w:sz w:val="22"/>
        </w:rPr>
        <w:t xml:space="preserve">, Journal of Psychiatric and Mental Health Nursing </w:t>
      </w:r>
      <w:r w:rsidRPr="008B68A9">
        <w:rPr>
          <w:rFonts w:cs="Arial"/>
          <w:b/>
          <w:sz w:val="22"/>
        </w:rPr>
        <w:t>18</w:t>
      </w:r>
      <w:r w:rsidR="005B240A" w:rsidRPr="008B68A9">
        <w:rPr>
          <w:rFonts w:cs="Arial"/>
          <w:b/>
          <w:sz w:val="22"/>
        </w:rPr>
        <w:t xml:space="preserve"> </w:t>
      </w:r>
      <w:r w:rsidRPr="008B68A9">
        <w:rPr>
          <w:rFonts w:cs="Arial"/>
          <w:sz w:val="22"/>
        </w:rPr>
        <w:t>(9) 796-803</w:t>
      </w:r>
      <w:bookmarkStart w:id="124" w:name="_Toc413827431"/>
      <w:r w:rsidRPr="008B68A9">
        <w:rPr>
          <w:rFonts w:cs="Arial"/>
          <w:sz w:val="22"/>
        </w:rPr>
        <w:t>.</w:t>
      </w:r>
    </w:p>
    <w:p w14:paraId="534CF225" w14:textId="77777777" w:rsidR="006C7B37" w:rsidRPr="008B68A9" w:rsidRDefault="006C7B37" w:rsidP="006C7B37">
      <w:pPr>
        <w:spacing w:line="276" w:lineRule="auto"/>
        <w:rPr>
          <w:b/>
          <w:sz w:val="28"/>
          <w:szCs w:val="24"/>
        </w:rPr>
      </w:pPr>
    </w:p>
    <w:p w14:paraId="49F24B75" w14:textId="6818704A" w:rsidR="006C7B37" w:rsidRPr="008B68A9" w:rsidRDefault="006C7B37" w:rsidP="006C7B37">
      <w:pPr>
        <w:pStyle w:val="3L3header"/>
      </w:pPr>
      <w:bookmarkStart w:id="125" w:name="_Toc466800330"/>
      <w:r w:rsidRPr="008B68A9">
        <w:t>5.3.7 Commentary</w:t>
      </w:r>
      <w:bookmarkEnd w:id="124"/>
      <w:r w:rsidRPr="008B68A9">
        <w:t xml:space="preserve"> and reflexivity</w:t>
      </w:r>
      <w:bookmarkEnd w:id="125"/>
    </w:p>
    <w:p w14:paraId="6F45B56C" w14:textId="77777777" w:rsidR="006C7B37" w:rsidRPr="008B68A9" w:rsidRDefault="006C7B37" w:rsidP="002F0FD7">
      <w:pPr>
        <w:pStyle w:val="5arangedleft"/>
      </w:pPr>
      <w:r w:rsidRPr="008B68A9">
        <w:t>This evaluation provided a basis for exploring how personalisation through an IRB was experienced by those accessing and those working with them. The role brokerage had in the creation of outcomes focused support plans was highlighted as a central component of the process. However, within brokerage the potential of separation of roles became apparent. Mental health practitioners were it seemed prepared take a step back, allowing much of the support planning, decision making and application of person centred thinking to occur between the IRB recipient and broker, rather than work in alliance as had originally been anticipated and hoped for.</w:t>
      </w:r>
    </w:p>
    <w:p w14:paraId="604DDBFB" w14:textId="01234F5C" w:rsidR="006C7B37" w:rsidRPr="008B68A9" w:rsidRDefault="006C7B37" w:rsidP="002F0FD7">
      <w:pPr>
        <w:pStyle w:val="5arangedleft"/>
      </w:pPr>
      <w:r w:rsidRPr="008B68A9">
        <w:lastRenderedPageBreak/>
        <w:t xml:space="preserve">Changes in practitioners’ perceptions in the main appeared to be slight. The pilot was seen as an opportunity to access previously unavailable services/items (which may in itself have been an outcome), and was used to exploit the monies more than creating co-production. The professional gift model </w:t>
      </w:r>
      <w:r w:rsidR="009C1EB5" w:rsidRPr="008B68A9">
        <w:t xml:space="preserve">as described by </w:t>
      </w:r>
      <w:r w:rsidRPr="008B68A9">
        <w:t xml:space="preserve">Duffy </w:t>
      </w:r>
      <w:r w:rsidR="009C1EB5" w:rsidRPr="008B68A9">
        <w:t>(</w:t>
      </w:r>
      <w:r w:rsidRPr="008B68A9">
        <w:t>2006a)</w:t>
      </w:r>
      <w:r w:rsidR="009C1EB5" w:rsidRPr="008B68A9">
        <w:t xml:space="preserve"> was evident </w:t>
      </w:r>
      <w:r w:rsidRPr="008B68A9">
        <w:t xml:space="preserve">by the </w:t>
      </w:r>
      <w:r w:rsidR="009C1EB5" w:rsidRPr="008B68A9">
        <w:t xml:space="preserve">somewhat inappropriate name of </w:t>
      </w:r>
      <w:r w:rsidRPr="008B68A9">
        <w:t xml:space="preserve">‘psychiatric Santa’ given </w:t>
      </w:r>
      <w:r w:rsidR="009C1EB5" w:rsidRPr="008B68A9">
        <w:t xml:space="preserve">by the nurses and social workers to the broker as he distributed the budget acquisitions; </w:t>
      </w:r>
      <w:r w:rsidRPr="008B68A9">
        <w:t>(many of the budgets were actioned between November and December 2008). Using the budgets opportunistically indicated a gift model, and separation between the practitioners’ everyday work and the potentially new ways of working that conform to person centred thinking and co-production.</w:t>
      </w:r>
    </w:p>
    <w:p w14:paraId="25FD0DD1" w14:textId="77777777" w:rsidR="006C7B37" w:rsidRPr="008B68A9" w:rsidRDefault="006C7B37" w:rsidP="002F0FD7">
      <w:pPr>
        <w:pStyle w:val="5arangedleft"/>
      </w:pPr>
      <w:r w:rsidRPr="008B68A9">
        <w:t xml:space="preserve">The work was, however, important in that the host NHS trust committed to the process of adopting personalisation, maintaining the broker’s contract for an additional 12 months as well as exploring ways that the personalisation journey might be rolled out to the wider mental health nursing staff. The authority became a part of the DH pilot personal health budget as an associate site (Forder </w:t>
      </w:r>
      <w:r w:rsidRPr="008B68A9">
        <w:rPr>
          <w:i/>
        </w:rPr>
        <w:t>et al.</w:t>
      </w:r>
      <w:r w:rsidRPr="008B68A9">
        <w:t xml:space="preserve"> 2012), benefiting from the wider learning as the health budget evaluation progressed.</w:t>
      </w:r>
    </w:p>
    <w:p w14:paraId="7807D866" w14:textId="77777777" w:rsidR="006C7B37" w:rsidRPr="008B68A9" w:rsidRDefault="006C7B37" w:rsidP="002F0FD7">
      <w:pPr>
        <w:pStyle w:val="5arangedleft"/>
      </w:pPr>
      <w:r w:rsidRPr="008B68A9">
        <w:t>During the dissemination of this pilot’s results, (In-Control annual conference 2009, Network for Psychiatric and Mental Health Nursing 2009), interest from other bodies responding to the personalisation agenda led them to contact me to discuss individual budgets and their implementation within a large Metropolitan Borough Council within North West England. The commissioning group were interested in how what they termed self-directed support might be developed and evaluated within their footprint. They were also interested in evaluating different forms of brokerage in relation to implementing personalisation. The subsequent discussions and work led to the study at site two described below.</w:t>
      </w:r>
    </w:p>
    <w:p w14:paraId="6005BA36" w14:textId="5340238B" w:rsidR="006C7B37" w:rsidRPr="008B68A9" w:rsidRDefault="006C7B37" w:rsidP="002F0FD7">
      <w:pPr>
        <w:pStyle w:val="5arangedleft"/>
      </w:pPr>
      <w:r w:rsidRPr="008B68A9">
        <w:t xml:space="preserve">In terms of reflexivity, this study represents the first contact with personal budgets that I had experienced. In many ways the proposal felt like an opportunity to use the person centred thinking approaches that up to that point I had been modestly involved in. Additionally the concept of individual budgets, self-direction in care and co-production appeared to be a modern culmination of the social role valorisation </w:t>
      </w:r>
      <w:r w:rsidRPr="008B68A9">
        <w:lastRenderedPageBreak/>
        <w:t xml:space="preserve">work that I had been involved in during my early career. The politics of neo-liberalism and of wider economic concerns regarding long term funding in health and social care were not registering in my work. The evaluation was approached from the perspective of a supporter of personalisation, and at the time demonstrated </w:t>
      </w:r>
      <w:r w:rsidR="004B1685" w:rsidRPr="008B68A9">
        <w:t xml:space="preserve">a </w:t>
      </w:r>
      <w:r w:rsidRPr="008B68A9">
        <w:t>naivety</w:t>
      </w:r>
      <w:r w:rsidR="004B1685" w:rsidRPr="008B68A9">
        <w:t xml:space="preserve"> that future work and deeper experience has changed to a more nuanced and complex understanding of personalisation in practice</w:t>
      </w:r>
      <w:r w:rsidRPr="008B68A9">
        <w:t>.</w:t>
      </w:r>
    </w:p>
    <w:p w14:paraId="56C59EE1" w14:textId="16E875DA" w:rsidR="006C7B37" w:rsidRPr="008B68A9" w:rsidRDefault="006C7B37" w:rsidP="006C7B37">
      <w:pPr>
        <w:pStyle w:val="2L2header"/>
      </w:pPr>
      <w:bookmarkStart w:id="126" w:name="_Toc413827432"/>
      <w:bookmarkStart w:id="127" w:name="_Toc466800331"/>
      <w:r w:rsidRPr="008B68A9">
        <w:t>5.4 Study 2: A pilot study evaluation exploring the implementation of self-directed support and brokerage in a North West Metropolitan Council</w:t>
      </w:r>
      <w:bookmarkEnd w:id="126"/>
      <w:bookmarkEnd w:id="127"/>
    </w:p>
    <w:p w14:paraId="766D01D7" w14:textId="77777777" w:rsidR="006C7B37" w:rsidRPr="008B68A9" w:rsidRDefault="006C7B37" w:rsidP="006C7B37">
      <w:pPr>
        <w:spacing w:line="360" w:lineRule="auto"/>
        <w:jc w:val="both"/>
        <w:rPr>
          <w:rFonts w:eastAsia="Arial" w:cs="Arial"/>
          <w:szCs w:val="24"/>
        </w:rPr>
      </w:pPr>
      <w:r w:rsidRPr="008B68A9">
        <w:rPr>
          <w:szCs w:val="24"/>
        </w:rPr>
        <w:t>June 2009 – December 2011;</w:t>
      </w:r>
      <w:r w:rsidRPr="008B68A9">
        <w:rPr>
          <w:rFonts w:eastAsia="Arial" w:cs="Arial"/>
          <w:szCs w:val="24"/>
        </w:rPr>
        <w:t xml:space="preserve"> funded grant £18,000</w:t>
      </w:r>
    </w:p>
    <w:p w14:paraId="4EEC88B8" w14:textId="278D86F3" w:rsidR="006C7B37" w:rsidRPr="008B68A9" w:rsidRDefault="006C7B37" w:rsidP="006C7B37">
      <w:pPr>
        <w:pStyle w:val="3L3header"/>
      </w:pPr>
      <w:bookmarkStart w:id="128" w:name="_Toc413827433"/>
      <w:bookmarkStart w:id="129" w:name="_Toc466800332"/>
      <w:r w:rsidRPr="008B68A9">
        <w:t>5.4.1 Summary of evaluation</w:t>
      </w:r>
      <w:bookmarkEnd w:id="128"/>
      <w:bookmarkEnd w:id="129"/>
    </w:p>
    <w:p w14:paraId="6345DF2C" w14:textId="77777777" w:rsidR="006C7B37" w:rsidRPr="008B68A9" w:rsidRDefault="006C7B37" w:rsidP="002F0FD7">
      <w:pPr>
        <w:pStyle w:val="5arangedleft"/>
      </w:pPr>
      <w:r w:rsidRPr="008B68A9">
        <w:t xml:space="preserve">A North West Metropolitan Borough Council and local health care NHS trust introduced self-directed support and personal budgets to EITs for twelve months. The pilot initially focused on evaluating one team, though was quickly extended to all mental health teams within the authority’s footprint. </w:t>
      </w:r>
    </w:p>
    <w:p w14:paraId="0A8F7D25" w14:textId="0B181E05" w:rsidR="006C7B37" w:rsidRPr="008B68A9" w:rsidRDefault="006C7B37" w:rsidP="006C7B37">
      <w:pPr>
        <w:pStyle w:val="3L3header"/>
      </w:pPr>
      <w:bookmarkStart w:id="130" w:name="_Toc413827434"/>
      <w:bookmarkStart w:id="131" w:name="_Toc466800333"/>
      <w:r w:rsidRPr="008B68A9">
        <w:t>5.4.2 Aims</w:t>
      </w:r>
      <w:bookmarkEnd w:id="130"/>
      <w:bookmarkEnd w:id="131"/>
    </w:p>
    <w:p w14:paraId="3DC0A5F8"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cs="Arial"/>
          <w:color w:val="000000" w:themeColor="text1"/>
          <w:szCs w:val="24"/>
        </w:rPr>
      </w:pPr>
      <w:r w:rsidRPr="008B68A9">
        <w:rPr>
          <w:rFonts w:cs="Arial"/>
          <w:color w:val="000000" w:themeColor="text1"/>
          <w:szCs w:val="24"/>
        </w:rPr>
        <w:t>Understand the experiences and satisfaction of budget recipients accessing the self-directed support.</w:t>
      </w:r>
    </w:p>
    <w:p w14:paraId="22ABF768"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szCs w:val="24"/>
        </w:rPr>
      </w:pPr>
      <w:r w:rsidRPr="008B68A9">
        <w:rPr>
          <w:szCs w:val="24"/>
        </w:rPr>
        <w:t>Understand the impact of the self-directed support pilot on care practitioners and other staff responsible for implementing the pilot.</w:t>
      </w:r>
    </w:p>
    <w:p w14:paraId="3A3F223B"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szCs w:val="24"/>
        </w:rPr>
      </w:pPr>
      <w:r w:rsidRPr="008B68A9">
        <w:rPr>
          <w:szCs w:val="24"/>
        </w:rPr>
        <w:t>Understand the experiences of care practitioners using self-directed support and gathering feedback on the positives and challenges of implementing self-directed support.</w:t>
      </w:r>
    </w:p>
    <w:p w14:paraId="2310F5EC"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cs="Arial"/>
          <w:color w:val="000000" w:themeColor="text1"/>
          <w:szCs w:val="24"/>
        </w:rPr>
      </w:pPr>
      <w:r w:rsidRPr="008B68A9">
        <w:rPr>
          <w:rFonts w:cs="Arial"/>
          <w:color w:val="000000" w:themeColor="text1"/>
          <w:szCs w:val="24"/>
        </w:rPr>
        <w:t xml:space="preserve">Explore the characteristics and processes of different brokerage systems. </w:t>
      </w:r>
    </w:p>
    <w:p w14:paraId="5CB712F5" w14:textId="77777777" w:rsidR="006C7B37" w:rsidRPr="008B68A9" w:rsidRDefault="006C7B37" w:rsidP="006C7B37">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rPr>
          <w:rFonts w:cs="Arial"/>
          <w:color w:val="000000" w:themeColor="text1"/>
          <w:szCs w:val="24"/>
        </w:rPr>
      </w:pPr>
      <w:r w:rsidRPr="008B68A9">
        <w:rPr>
          <w:rFonts w:cs="Arial"/>
          <w:color w:val="000000" w:themeColor="text1"/>
          <w:szCs w:val="24"/>
        </w:rPr>
        <w:t>Attempt to map budget expenditure from council data.</w:t>
      </w:r>
    </w:p>
    <w:p w14:paraId="765F31FE" w14:textId="420E3F6A" w:rsidR="006C7B37" w:rsidRPr="008B68A9" w:rsidRDefault="006C7B37" w:rsidP="006C7B37">
      <w:pPr>
        <w:pStyle w:val="3L3header"/>
      </w:pPr>
      <w:bookmarkStart w:id="132" w:name="_Toc413827435"/>
      <w:bookmarkStart w:id="133" w:name="_Toc466800334"/>
      <w:r w:rsidRPr="008B68A9">
        <w:t>5.4.</w:t>
      </w:r>
      <w:r w:rsidR="003B2E50" w:rsidRPr="008B68A9">
        <w:t>3</w:t>
      </w:r>
      <w:r w:rsidRPr="008B68A9">
        <w:t xml:space="preserve"> Method</w:t>
      </w:r>
      <w:bookmarkEnd w:id="132"/>
      <w:bookmarkEnd w:id="133"/>
    </w:p>
    <w:p w14:paraId="3D0DDA2E" w14:textId="40994F7E" w:rsidR="006C7B37" w:rsidRPr="008B68A9" w:rsidRDefault="006C7B37" w:rsidP="002F0FD7">
      <w:pPr>
        <w:pStyle w:val="5arangedleft"/>
      </w:pPr>
      <w:r w:rsidRPr="008B68A9">
        <w:t xml:space="preserve">A reflexive methodology was used in the study to access and analyse experiences of people using budgets, care practitioners and brokers. Recruitment was challenging within the evaluation time scale. The study was guided by Patton’s (2002) view that with case study evaluations a reflexive stance was needed when approaching data </w:t>
      </w:r>
      <w:r w:rsidRPr="008B68A9">
        <w:lastRenderedPageBreak/>
        <w:t xml:space="preserve">collection. </w:t>
      </w:r>
      <w:r w:rsidR="008156FD" w:rsidRPr="008B68A9">
        <w:t>A pragmatic f</w:t>
      </w:r>
      <w:r w:rsidRPr="008B68A9">
        <w:t xml:space="preserve">lexibility </w:t>
      </w:r>
      <w:r w:rsidR="008156FD" w:rsidRPr="008B68A9">
        <w:t>was undertaken in this study</w:t>
      </w:r>
      <w:r w:rsidRPr="008B68A9">
        <w:t xml:space="preserve">, acknowledging </w:t>
      </w:r>
      <w:r w:rsidR="008156FD" w:rsidRPr="008B68A9">
        <w:t xml:space="preserve">that </w:t>
      </w:r>
      <w:r w:rsidRPr="008B68A9">
        <w:t xml:space="preserve">organisational </w:t>
      </w:r>
      <w:r w:rsidR="008156FD" w:rsidRPr="008B68A9">
        <w:t>demands</w:t>
      </w:r>
      <w:r w:rsidRPr="008B68A9">
        <w:t xml:space="preserve"> change </w:t>
      </w:r>
      <w:r w:rsidR="00E87109" w:rsidRPr="008B68A9">
        <w:t xml:space="preserve">commissioned research </w:t>
      </w:r>
      <w:r w:rsidRPr="008B68A9">
        <w:t>beyond the researcher’s control.</w:t>
      </w:r>
    </w:p>
    <w:p w14:paraId="5777E8C2" w14:textId="699CB89C" w:rsidR="006C7B37" w:rsidRPr="008B68A9" w:rsidRDefault="006C7B37" w:rsidP="002F0FD7">
      <w:pPr>
        <w:pStyle w:val="5arangedleft"/>
      </w:pPr>
      <w:r w:rsidRPr="008B68A9">
        <w:t xml:space="preserve">An information sheet asking for participants to join the study was distributed to care practitioners across the participating teams in electronic and paper formats. Participants were offered a £20 high street gift voucher for their time in returning the completed data. Uptake was poor with two diaries being requested and none returned. As the experience of the consumer was central to the overall project, facilitated open days were offered as an alternative approach to recruitment. Members of the research team with external and peer brokers were present. Two service users completed the questionnaires on the day, and two service users agreed to complete a diary for the study. One diary was returned. Budget recipients were contacted by their worker, and asked </w:t>
      </w:r>
      <w:r w:rsidR="00281EE7" w:rsidRPr="008B68A9">
        <w:t>to</w:t>
      </w:r>
      <w:r w:rsidRPr="008B68A9">
        <w:t xml:space="preserve"> contribute a short précis through narrative of the self-directed support and the contribution the budget had on their lives. Recipients were also asked to reflect on the challenges and difficulties in these short narratives, of which 12 were received.</w:t>
      </w:r>
    </w:p>
    <w:p w14:paraId="2E293059" w14:textId="33487A69" w:rsidR="006C7B37" w:rsidRPr="008B68A9" w:rsidRDefault="006C7B37" w:rsidP="002F0FD7">
      <w:pPr>
        <w:pStyle w:val="5arangedleft"/>
      </w:pPr>
      <w:r w:rsidRPr="008B68A9">
        <w:t>The evaluation used a focus group method (Charmaz 1999), to capture the experience of care practitioners comprised</w:t>
      </w:r>
      <w:r w:rsidR="00F15D46" w:rsidRPr="008B68A9">
        <w:t xml:space="preserve"> of</w:t>
      </w:r>
      <w:r w:rsidRPr="008B68A9">
        <w:t xml:space="preserve"> social workers, occupational therapists and registered community mental health nurses. The </w:t>
      </w:r>
      <w:r w:rsidR="00F15D46" w:rsidRPr="008B68A9">
        <w:t>focus group</w:t>
      </w:r>
      <w:r w:rsidRPr="008B68A9">
        <w:t xml:space="preserve"> </w:t>
      </w:r>
      <w:r w:rsidR="00F15D46" w:rsidRPr="008B68A9">
        <w:t>was undertaken</w:t>
      </w:r>
      <w:r w:rsidRPr="008B68A9">
        <w:t xml:space="preserve"> some way into the pilot, allowing </w:t>
      </w:r>
      <w:r w:rsidR="00407F55" w:rsidRPr="008B68A9">
        <w:t>participant’s</w:t>
      </w:r>
      <w:r w:rsidRPr="008B68A9">
        <w:t xml:space="preserve"> time to have engaged with the self-directed support process.</w:t>
      </w:r>
    </w:p>
    <w:p w14:paraId="7D307FF3" w14:textId="52C4F394" w:rsidR="006C7B37" w:rsidRPr="008B68A9" w:rsidRDefault="006C7B37" w:rsidP="006C7B37">
      <w:pPr>
        <w:pStyle w:val="3L3header"/>
      </w:pPr>
      <w:bookmarkStart w:id="134" w:name="_Toc413827436"/>
      <w:bookmarkStart w:id="135" w:name="_Toc466800335"/>
      <w:r w:rsidRPr="008B68A9">
        <w:t>5.4.</w:t>
      </w:r>
      <w:r w:rsidR="003B2E50" w:rsidRPr="008B68A9">
        <w:t>4</w:t>
      </w:r>
      <w:r w:rsidRPr="008B68A9">
        <w:t xml:space="preserve"> Examining brokerage</w:t>
      </w:r>
      <w:bookmarkEnd w:id="134"/>
      <w:bookmarkEnd w:id="135"/>
    </w:p>
    <w:p w14:paraId="48A98144" w14:textId="636EA77B" w:rsidR="006C7B37" w:rsidRPr="008B68A9" w:rsidRDefault="006C7B37" w:rsidP="002F0FD7">
      <w:pPr>
        <w:pStyle w:val="5arangedleft"/>
      </w:pPr>
      <w:r w:rsidRPr="008B68A9">
        <w:t xml:space="preserve">The study sought to explore </w:t>
      </w:r>
      <w:r w:rsidR="00E17F29" w:rsidRPr="008B68A9">
        <w:t>four</w:t>
      </w:r>
      <w:r w:rsidR="00F15D46" w:rsidRPr="008B68A9">
        <w:t xml:space="preserve"> </w:t>
      </w:r>
      <w:r w:rsidRPr="008B68A9">
        <w:t>different brokerage methods and processes</w:t>
      </w:r>
      <w:r w:rsidR="00F15D46" w:rsidRPr="008B68A9">
        <w:t>;</w:t>
      </w:r>
      <w:r w:rsidRPr="008B68A9">
        <w:t xml:space="preserve"> </w:t>
      </w:r>
      <w:r w:rsidR="00F15D46" w:rsidRPr="008B68A9">
        <w:t xml:space="preserve">an </w:t>
      </w:r>
      <w:r w:rsidRPr="008B68A9">
        <w:t>independent broker</w:t>
      </w:r>
      <w:r w:rsidR="00F15D46" w:rsidRPr="008B68A9">
        <w:t xml:space="preserve">, internal brokers a peer brokers. </w:t>
      </w:r>
      <w:r w:rsidR="00E17F29" w:rsidRPr="008B68A9">
        <w:t>E</w:t>
      </w:r>
      <w:r w:rsidR="00F15D46" w:rsidRPr="008B68A9">
        <w:t>ach were</w:t>
      </w:r>
      <w:r w:rsidRPr="008B68A9">
        <w:t xml:space="preserve"> interviewed on two occasions during the course of the pilot, at approximately three months and nine months into the s</w:t>
      </w:r>
      <w:r w:rsidR="00F15D46" w:rsidRPr="008B68A9">
        <w:t>tudy</w:t>
      </w:r>
      <w:r w:rsidRPr="008B68A9">
        <w:t xml:space="preserve">. </w:t>
      </w:r>
      <w:r w:rsidR="00F15D46" w:rsidRPr="008B68A9">
        <w:t>B</w:t>
      </w:r>
      <w:r w:rsidRPr="008B68A9">
        <w:t xml:space="preserve">rokers received additional training with respect to developing support plans, and initially worked alongside the independent broker. The internal brokers were interviewed in August 2010, to explore their experience of the role. </w:t>
      </w:r>
      <w:r w:rsidR="00F15D46" w:rsidRPr="008B68A9">
        <w:t>The</w:t>
      </w:r>
      <w:r w:rsidRPr="008B68A9">
        <w:t xml:space="preserve"> four </w:t>
      </w:r>
      <w:r w:rsidR="00E17F29" w:rsidRPr="008B68A9">
        <w:t xml:space="preserve">peer </w:t>
      </w:r>
      <w:r w:rsidR="00F15D46" w:rsidRPr="008B68A9">
        <w:t>broker</w:t>
      </w:r>
      <w:r w:rsidR="00E17F29" w:rsidRPr="008B68A9">
        <w:t>s</w:t>
      </w:r>
      <w:r w:rsidRPr="008B68A9">
        <w:t xml:space="preserve"> received support planning training in using person centred thinking tools and were supported in brokerage functions</w:t>
      </w:r>
      <w:r w:rsidRPr="008B68A9">
        <w:rPr>
          <w:rFonts w:cs="Arial"/>
          <w:color w:val="000000" w:themeColor="text1"/>
        </w:rPr>
        <w:t xml:space="preserve">. </w:t>
      </w:r>
      <w:r w:rsidRPr="008B68A9">
        <w:t xml:space="preserve">They began their </w:t>
      </w:r>
      <w:r w:rsidRPr="008B68A9">
        <w:lastRenderedPageBreak/>
        <w:t>brokerage role in the second year of the pilot and were interviewed in August 2010. A fourth route to brokerage was offered, that of self-brokerage, which was not utilised during the evaluation period.</w:t>
      </w:r>
    </w:p>
    <w:p w14:paraId="29D0EE70" w14:textId="2AD1CEC7" w:rsidR="006C7B37" w:rsidRPr="008B68A9" w:rsidRDefault="006C7B37" w:rsidP="006C7B37">
      <w:pPr>
        <w:pStyle w:val="3L3header"/>
      </w:pPr>
      <w:bookmarkStart w:id="136" w:name="_Toc413827437"/>
      <w:bookmarkStart w:id="137" w:name="_Toc466800336"/>
      <w:r w:rsidRPr="008B68A9">
        <w:t>5.4.</w:t>
      </w:r>
      <w:r w:rsidR="003B2E50" w:rsidRPr="008B68A9">
        <w:t>5</w:t>
      </w:r>
      <w:r w:rsidRPr="008B68A9">
        <w:t xml:space="preserve"> Findings and discussion</w:t>
      </w:r>
      <w:bookmarkEnd w:id="136"/>
      <w:bookmarkEnd w:id="137"/>
    </w:p>
    <w:p w14:paraId="4F580545" w14:textId="663A5E44" w:rsidR="006C7B37" w:rsidRPr="008B68A9" w:rsidRDefault="006C7B37" w:rsidP="002F0FD7">
      <w:pPr>
        <w:pStyle w:val="5arangedleft"/>
      </w:pPr>
      <w:r w:rsidRPr="008B68A9">
        <w:t xml:space="preserve">The pilot offered self-directed services to 60 participants by the end of the first year, expanding to 179 by the end of the evaluation after 18 months. Practitioner data showed that staff engaged in selecting which clients to offer the opportunity to participate in the study, which appeared to be based on </w:t>
      </w:r>
      <w:r w:rsidR="00041CDB" w:rsidRPr="008B68A9">
        <w:t>their perception of the client’s suitability</w:t>
      </w:r>
      <w:r w:rsidRPr="008B68A9">
        <w:t xml:space="preserve"> in terms of mental health status, diagnostic characteristics, or </w:t>
      </w:r>
      <w:r w:rsidR="00041CDB" w:rsidRPr="008B68A9">
        <w:t>the</w:t>
      </w:r>
      <w:r w:rsidRPr="008B68A9">
        <w:t xml:space="preserve"> perception that self-directed support represented too great a</w:t>
      </w:r>
      <w:r w:rsidR="00041CDB" w:rsidRPr="008B68A9">
        <w:t xml:space="preserve"> responsibility for the client</w:t>
      </w:r>
      <w:r w:rsidRPr="008B68A9">
        <w:t xml:space="preserve">. </w:t>
      </w:r>
    </w:p>
    <w:p w14:paraId="7ECF05F3" w14:textId="5E49B2BB" w:rsidR="006C7B37" w:rsidRPr="008B68A9" w:rsidRDefault="006C7B37" w:rsidP="002F0FD7">
      <w:pPr>
        <w:pStyle w:val="5arangedleft"/>
      </w:pPr>
      <w:r w:rsidRPr="008B68A9">
        <w:t>There were challenges</w:t>
      </w:r>
      <w:r w:rsidR="00041CDB" w:rsidRPr="008B68A9">
        <w:t xml:space="preserve"> too in</w:t>
      </w:r>
      <w:r w:rsidRPr="008B68A9">
        <w:t xml:space="preserve"> obtaining feedback from service users of self-directed support; nevertheless, where the research assistant made contact with budget holders and their carers, their experiences were recorded. The recipient’s accounts were positive (see Dixon 2010), highlighting the impact personalisation had in their lives. For some the outcome – employing a carer, horse riding lessons or taking a holiday – was the most significant gain, whereas for others the process of personal reflection developing support plans was beneficial in itself.</w:t>
      </w:r>
    </w:p>
    <w:p w14:paraId="67242BF8" w14:textId="5EBBC1DE" w:rsidR="006C7B37" w:rsidRPr="008B68A9" w:rsidRDefault="006C7B37" w:rsidP="002F0FD7">
      <w:pPr>
        <w:pStyle w:val="5arangedleft"/>
      </w:pPr>
      <w:r w:rsidRPr="008B68A9">
        <w:t xml:space="preserve">Fourteen key themes from these accounts were elicited from the analysis of text using MAXQDA (2007). Each item in table </w:t>
      </w:r>
      <w:r w:rsidR="00DF399F" w:rsidRPr="008B68A9">
        <w:t>3</w:t>
      </w:r>
      <w:r w:rsidRPr="008B68A9">
        <w:t xml:space="preserve"> is presented as a theme as it appeared in the data, expressed as account; followed by the interpretation from analysis, expressed as outcome. </w:t>
      </w:r>
    </w:p>
    <w:p w14:paraId="548B74E8" w14:textId="0510C3D9" w:rsidR="00E87109" w:rsidRPr="008B68A9" w:rsidRDefault="00E87109">
      <w:pPr>
        <w:spacing w:line="276" w:lineRule="auto"/>
        <w:rPr>
          <w:szCs w:val="24"/>
        </w:rPr>
      </w:pPr>
      <w:r w:rsidRPr="008B68A9">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5"/>
        <w:gridCol w:w="4515"/>
      </w:tblGrid>
      <w:tr w:rsidR="006C7B37" w:rsidRPr="008B68A9" w14:paraId="2E067015" w14:textId="77777777" w:rsidTr="00041CDB">
        <w:trPr>
          <w:tblHeader/>
        </w:trPr>
        <w:tc>
          <w:tcPr>
            <w:tcW w:w="8436" w:type="dxa"/>
            <w:gridSpan w:val="2"/>
            <w:shd w:val="clear" w:color="auto" w:fill="F2F2F2" w:themeFill="background1" w:themeFillShade="F2"/>
            <w:vAlign w:val="center"/>
          </w:tcPr>
          <w:p w14:paraId="71B7AA20" w14:textId="77777777" w:rsidR="006C7B37" w:rsidRPr="008B68A9" w:rsidRDefault="006C7B37" w:rsidP="00045396">
            <w:pPr>
              <w:spacing w:after="0" w:line="360" w:lineRule="auto"/>
              <w:jc w:val="center"/>
              <w:rPr>
                <w:b/>
                <w:sz w:val="22"/>
              </w:rPr>
            </w:pPr>
            <w:r w:rsidRPr="008B68A9">
              <w:rPr>
                <w:b/>
                <w:sz w:val="22"/>
              </w:rPr>
              <w:lastRenderedPageBreak/>
              <w:t>Reported experiences from people using self-directed support</w:t>
            </w:r>
          </w:p>
        </w:tc>
      </w:tr>
      <w:tr w:rsidR="006C7B37" w:rsidRPr="008B68A9" w14:paraId="700C1405" w14:textId="77777777" w:rsidTr="00041CDB">
        <w:trPr>
          <w:tblHeader/>
        </w:trPr>
        <w:tc>
          <w:tcPr>
            <w:tcW w:w="3790" w:type="dxa"/>
          </w:tcPr>
          <w:p w14:paraId="4806A32E" w14:textId="77777777" w:rsidR="006C7B37" w:rsidRPr="008B68A9" w:rsidRDefault="006C7B37" w:rsidP="00045396">
            <w:pPr>
              <w:spacing w:after="0" w:line="360" w:lineRule="auto"/>
              <w:jc w:val="center"/>
              <w:rPr>
                <w:i/>
                <w:sz w:val="22"/>
              </w:rPr>
            </w:pPr>
            <w:r w:rsidRPr="008B68A9">
              <w:rPr>
                <w:sz w:val="22"/>
              </w:rPr>
              <w:t>Account</w:t>
            </w:r>
          </w:p>
        </w:tc>
        <w:tc>
          <w:tcPr>
            <w:tcW w:w="4646" w:type="dxa"/>
          </w:tcPr>
          <w:p w14:paraId="41AEF57A" w14:textId="77777777" w:rsidR="006C7B37" w:rsidRPr="008B68A9" w:rsidRDefault="006C7B37" w:rsidP="00045396">
            <w:pPr>
              <w:spacing w:after="0" w:line="360" w:lineRule="auto"/>
              <w:jc w:val="center"/>
              <w:rPr>
                <w:i/>
                <w:sz w:val="22"/>
              </w:rPr>
            </w:pPr>
            <w:r w:rsidRPr="008B68A9">
              <w:rPr>
                <w:sz w:val="22"/>
              </w:rPr>
              <w:t>Outcome</w:t>
            </w:r>
          </w:p>
        </w:tc>
      </w:tr>
      <w:tr w:rsidR="006C7B37" w:rsidRPr="008B68A9" w14:paraId="4E75AA71" w14:textId="77777777" w:rsidTr="00041CDB">
        <w:tc>
          <w:tcPr>
            <w:tcW w:w="3790" w:type="dxa"/>
          </w:tcPr>
          <w:p w14:paraId="1A6907B1"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41856" behindDoc="0" locked="0" layoutInCell="1" allowOverlap="1" wp14:anchorId="74642966" wp14:editId="766CC6D3">
                      <wp:simplePos x="0" y="0"/>
                      <wp:positionH relativeFrom="column">
                        <wp:posOffset>1660525</wp:posOffset>
                      </wp:positionH>
                      <wp:positionV relativeFrom="paragraph">
                        <wp:posOffset>32385</wp:posOffset>
                      </wp:positionV>
                      <wp:extent cx="525145" cy="142875"/>
                      <wp:effectExtent l="0" t="19050" r="46355" b="47625"/>
                      <wp:wrapNone/>
                      <wp:docPr id="11" name="Right Arrow 11"/>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D1E8F8"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464296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1" o:spid="_x0000_s1026" type="#_x0000_t13" style="position:absolute;left:0;text-align:left;margin-left:130.75pt;margin-top:2.55pt;width:41.35pt;height:11.25pt;z-index:251641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ccRqgIAAAgGAAAOAAAAZHJzL2Uyb0RvYy54bWysVFFP2zAQfp+0/2D5fSSp2sEqUlSBmCYx&#10;QMDEs+vYjSXH59lu0+7X72yngTG2SWgvyZ3v7ru7z747Pdt1mmyF8wpMTaujkhJhODTKrGv67eHy&#10;wwklPjDTMA1G1HQvPD1bvH932tu5mEALuhGOIIjx897WtA3BzovC81Z0zB+BFQaNElzHAqpuXTSO&#10;9Yje6WJSlh+LHlxjHXDhPZ5eZCNdJHwpBQ83UnoRiK4p1hbS16XvKn6LxSmbrx2zreJDGewNVXRM&#10;GUw6Ql2wwMjGqd+gOsUdeJDhiENXgJSKi9QDdlOVL7q5b5kVqRckx9uRJv//YPn19tYR1eDdVZQY&#10;1uEd3al1G8jSOegJniJFvfVz9Ly3t27QPIqx3510XfxjJ2SXaN2PtIpdIBwPZ5NZNZ1RwtFUTScn&#10;x7OIWTwFW+fDZwEdiUJNXcyf0idK2fbKhxxwcIwZPWjVXCqtkxLfizjXjmwZ3vRqXaVQvem+QpPP&#10;jmdlme4bE6fnFd1TGb8gafMW8Ij9T3BMHNGLyGbmL0lhr0XMqc2dkHgVyNgkVT9WmRtgnAsTcmO+&#10;ZY3Ix39OnQAjskSWRuwB4FfCDtiZ5sE/hoo0Q2Nw+bfCcvAYkTKDCWNwpwy41wA0djVkzv4HkjI1&#10;kaWwW+3QJYoraPb4Zh3kYfaWXyp8N1fMh1vmcHpxznEjhRv8SA19TWGQKGnB/XjtPPrjUKGVkh63&#10;QU399w1zghL9xeC4faqm07g+kjKdHU9Qcc8tq+cWs+nOAZ8hThRWl8ToH/RBlA66R1xcy5gVTcxw&#10;zF1THtxBOQ95S+Hq42K5TG64MiwLV+be8ggeCY4T8bB7ZM4OwxNw6q7hsDnY/MX0ZN8YaWC5CSBV&#10;Gq0nXgfqcd2k2RhWY9xnz/Xk9bTAFz8BAAD//wMAUEsDBBQABgAIAAAAIQCyu6iN3gAAAAgBAAAP&#10;AAAAZHJzL2Rvd25yZXYueG1sTI/BTsMwEETvSPyDtUjcqJPQhBLiVBUSB4SElIJ63sZubBHbIXaT&#10;8Pcsp3JcvdHM22q72J5NagzGOwHpKgGmXOulcZ2Az4+Xuw2wENFJ7L1TAn5UgG19fVVhKf3sGjXt&#10;Y8eoxIUSBegYh5Lz0GplMaz8oByxkx8tRjrHjssRZyq3Pc+SpOAWjaMFjYN61qr92p+tgN3rwb+f&#10;zHfzNuHSP+ZGzwlvhLi9WXZPwKJa4iUMf/qkDjU5Hf3ZycB6AVmR5hQVkKfAiN+v1xmwI4GHAnhd&#10;8f8P1L8AAAD//wMAUEsBAi0AFAAGAAgAAAAhALaDOJL+AAAA4QEAABMAAAAAAAAAAAAAAAAAAAAA&#10;AFtDb250ZW50X1R5cGVzXS54bWxQSwECLQAUAAYACAAAACEAOP0h/9YAAACUAQAACwAAAAAAAAAA&#10;AAAAAAAvAQAAX3JlbHMvLnJlbHNQSwECLQAUAAYACAAAACEAupXHEaoCAAAIBgAADgAAAAAAAAAA&#10;AAAAAAAuAgAAZHJzL2Uyb0RvYy54bWxQSwECLQAUAAYACAAAACEAsruojd4AAAAIAQAADwAAAAAA&#10;AAAAAAAAAAAEBQAAZHJzL2Rvd25yZXYueG1sUEsFBgAAAAAEAAQA8wAAAA8GAAAAAA==&#10;" adj="18662" fillcolor="#bfbfbf [2412]" strokecolor="#7f7f7f [1612]" strokeweight="2pt">
                      <v:textbox>
                        <w:txbxContent>
                          <w:p w14:paraId="42D1E8F8" w14:textId="77777777" w:rsidR="00330D5F" w:rsidRDefault="00330D5F" w:rsidP="006C7B37">
                            <w:pPr>
                              <w:jc w:val="center"/>
                            </w:pPr>
                          </w:p>
                        </w:txbxContent>
                      </v:textbox>
                    </v:shape>
                  </w:pict>
                </mc:Fallback>
              </mc:AlternateContent>
            </w:r>
            <w:r w:rsidRPr="008B68A9">
              <w:rPr>
                <w:sz w:val="22"/>
              </w:rPr>
              <w:t>Authority</w:t>
            </w:r>
          </w:p>
        </w:tc>
        <w:tc>
          <w:tcPr>
            <w:tcW w:w="4646" w:type="dxa"/>
          </w:tcPr>
          <w:p w14:paraId="4A58DF27" w14:textId="77777777" w:rsidR="006C7B37" w:rsidRPr="008B68A9" w:rsidRDefault="006C7B37" w:rsidP="00045396">
            <w:pPr>
              <w:spacing w:after="0" w:line="360" w:lineRule="auto"/>
              <w:jc w:val="both"/>
              <w:rPr>
                <w:sz w:val="22"/>
              </w:rPr>
            </w:pPr>
            <w:r w:rsidRPr="008B68A9">
              <w:rPr>
                <w:sz w:val="22"/>
              </w:rPr>
              <w:t>Personal control</w:t>
            </w:r>
          </w:p>
        </w:tc>
      </w:tr>
      <w:tr w:rsidR="006C7B37" w:rsidRPr="008B68A9" w14:paraId="4B81280C" w14:textId="77777777" w:rsidTr="00041CDB">
        <w:tc>
          <w:tcPr>
            <w:tcW w:w="3790" w:type="dxa"/>
          </w:tcPr>
          <w:p w14:paraId="131891A3"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48000" behindDoc="0" locked="0" layoutInCell="1" allowOverlap="1" wp14:anchorId="121117D4" wp14:editId="46148B48">
                      <wp:simplePos x="0" y="0"/>
                      <wp:positionH relativeFrom="column">
                        <wp:posOffset>1664970</wp:posOffset>
                      </wp:positionH>
                      <wp:positionV relativeFrom="paragraph">
                        <wp:posOffset>35560</wp:posOffset>
                      </wp:positionV>
                      <wp:extent cx="525145" cy="142875"/>
                      <wp:effectExtent l="0" t="19050" r="46355" b="47625"/>
                      <wp:wrapNone/>
                      <wp:docPr id="13" name="Right Arrow 13"/>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E356F3"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21117D4" id="Right Arrow 13" o:spid="_x0000_s1027" type="#_x0000_t13" style="position:absolute;left:0;text-align:left;margin-left:131.1pt;margin-top:2.8pt;width:41.35pt;height:11.25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HOjrwIAAA8GAAAOAAAAZHJzL2Uyb0RvYy54bWysVE1v2zAMvQ/YfxB0X21nydoFdYqgRYcB&#10;XRu0HXpWZDk2IImapMTJfv0oyXY/1m1AsYstiuQj+UTy9GyvJNkJ61rQJS2OckqE5lC1elPS7/eX&#10;H04ocZ7piknQoqQH4ejZ4v27087MxQQakJWwBEG0m3empI33Zp5ljjdCMXcERmhU1mAV8yjaTVZZ&#10;1iG6ktkkzz9lHdjKWODCOby9SEq6iPh1Lbi/qWsnPJElxdx8/Nr4XYdvtjhl841lpml5nwZ7QxaK&#10;tRqDjlAXzDOyte1vUKrlFhzU/oiDyqCuWy5iDVhNkb+o5q5hRsRakBxnRprc/4Pl17uVJW2Fb/eR&#10;Es0UvtFtu2k8WVoLHcFbpKgzbo6Wd2Zle8nhMdS7r60Kf6yE7COth5FWsfeE4+VsMiumM0o4qorp&#10;5OR4FjCzR2djnf8iQJFwKKkN8WP4SCnbXTmfHAbDENGBbKvLVsoohH4R59KSHcOXXm+K6Cq36htU&#10;6e54lufxvTFwbK9gHtN4hiT1W8AD9j/BMXBAzwKbib948gcpQkypb0WNT4GMTWL2Y5apAMa50D4V&#10;5hpWiXT959ARMCDXyNKI3QM8J2zATjT39sFVxBkanfO/JZacR48YGbQfnVWrwb4GILGqPnKyH0hK&#10;1ASW/H69T2069OMaqgO2roU0087wyxbb54o5v2IWhxjHHReTv8FPLaErKfQnShqwP1+7D/Y4W6il&#10;pMOlUFL3Y8usoER+1Th1n4vpNGyRKExnxxMU7FPN+qlGb9U5YDcWuAINj8dg7+VwrC2oB9xfyxAV&#10;VUxzjF1S7u0gnPu0rHADcrFcRjPcHIb5K31neAAPPIfBuN8/MGv6GfI4fNcwLBA2fzFEyTZ4alhu&#10;PdRtnLDAdOK1fwHcOnFE+g0Z1tpTOVo97vHFLwAAAP//AwBQSwMEFAAGAAgAAAAhAP4W3ebeAAAA&#10;CAEAAA8AAABkcnMvZG93bnJldi54bWxMj01Lw0AURfeC/2F4gjs7aWxDm2ZSiuBCBCFVXL9mXjND&#10;5yNmpkn8944rXT7O5d7zqv1sDRtpCNo7ActFBoxc66V2nYCP9+eHDbAQ0Uk03pGAbwqwr29vKiyl&#10;n1xD4zF2LJW4UKIAFWNfch5aRRbDwvfkEjv7wWJM59BxOeCUyq3heZYV3KJ2aUFhT0+K2svxagUc&#10;Xj7921l/Na8jzma71mrKeCPE/d182AGLNMe/MPzqJ3Wok9PJX50MzAjIizxPUQHrAljij6vVFtgp&#10;gc0SeF3x/w/UPwAAAP//AwBQSwECLQAUAAYACAAAACEAtoM4kv4AAADhAQAAEwAAAAAAAAAAAAAA&#10;AAAAAAAAW0NvbnRlbnRfVHlwZXNdLnhtbFBLAQItABQABgAIAAAAIQA4/SH/1gAAAJQBAAALAAAA&#10;AAAAAAAAAAAAAC8BAABfcmVscy8ucmVsc1BLAQItABQABgAIAAAAIQDeIHOjrwIAAA8GAAAOAAAA&#10;AAAAAAAAAAAAAC4CAABkcnMvZTJvRG9jLnhtbFBLAQItABQABgAIAAAAIQD+Ft3m3gAAAAgBAAAP&#10;AAAAAAAAAAAAAAAAAAkFAABkcnMvZG93bnJldi54bWxQSwUGAAAAAAQABADzAAAAFAYAAAAA&#10;" adj="18662" fillcolor="#bfbfbf [2412]" strokecolor="#7f7f7f [1612]" strokeweight="2pt">
                      <v:textbox>
                        <w:txbxContent>
                          <w:p w14:paraId="09E356F3" w14:textId="77777777" w:rsidR="00330D5F" w:rsidRDefault="00330D5F" w:rsidP="006C7B37">
                            <w:pPr>
                              <w:jc w:val="center"/>
                            </w:pPr>
                          </w:p>
                        </w:txbxContent>
                      </v:textbox>
                    </v:shape>
                  </w:pict>
                </mc:Fallback>
              </mc:AlternateContent>
            </w:r>
            <w:r w:rsidRPr="008B68A9">
              <w:rPr>
                <w:sz w:val="22"/>
              </w:rPr>
              <w:t>Direction</w:t>
            </w:r>
          </w:p>
        </w:tc>
        <w:tc>
          <w:tcPr>
            <w:tcW w:w="4646" w:type="dxa"/>
          </w:tcPr>
          <w:p w14:paraId="3097D2DD" w14:textId="77777777" w:rsidR="006C7B37" w:rsidRPr="008B68A9" w:rsidRDefault="006C7B37" w:rsidP="00045396">
            <w:pPr>
              <w:spacing w:after="0" w:line="360" w:lineRule="auto"/>
              <w:jc w:val="both"/>
              <w:rPr>
                <w:sz w:val="22"/>
              </w:rPr>
            </w:pPr>
            <w:r w:rsidRPr="008B68A9">
              <w:rPr>
                <w:sz w:val="22"/>
              </w:rPr>
              <w:t>Working towards something</w:t>
            </w:r>
          </w:p>
        </w:tc>
      </w:tr>
      <w:tr w:rsidR="006C7B37" w:rsidRPr="008B68A9" w14:paraId="4FFF7FA9" w14:textId="77777777" w:rsidTr="00041CDB">
        <w:tc>
          <w:tcPr>
            <w:tcW w:w="3790" w:type="dxa"/>
          </w:tcPr>
          <w:p w14:paraId="34EA444E"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44928" behindDoc="0" locked="0" layoutInCell="1" allowOverlap="1" wp14:anchorId="0C7463D1" wp14:editId="1D302219">
                      <wp:simplePos x="0" y="0"/>
                      <wp:positionH relativeFrom="column">
                        <wp:posOffset>1666240</wp:posOffset>
                      </wp:positionH>
                      <wp:positionV relativeFrom="paragraph">
                        <wp:posOffset>44450</wp:posOffset>
                      </wp:positionV>
                      <wp:extent cx="525145" cy="142875"/>
                      <wp:effectExtent l="0" t="19050" r="46355" b="47625"/>
                      <wp:wrapNone/>
                      <wp:docPr id="12" name="Right Arrow 12"/>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8B6E7C"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C7463D1" id="Right Arrow 12" o:spid="_x0000_s1028" type="#_x0000_t13" style="position:absolute;left:0;text-align:left;margin-left:131.2pt;margin-top:3.5pt;width:41.35pt;height:11.25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kQrrgIAAA8GAAAOAAAAZHJzL2Uyb0RvYy54bWysVN9P3DAMfp+0/yHK++gP3Q12oodOIKZJ&#10;DBAw8ZxL02ulJM6S3LW3v35O0iuMsU1Ce2nj2P5sf7F9ejYoSXbCug50RYujnBKhOdSd3lT028Pl&#10;hxNKnGe6ZhK0qOheOHq2fP/utDcLUUILshaWIIh2i95UtPXeLLLM8VYo5o7ACI3KBqxiHkW7yWrL&#10;ekRXMivz/GPWg62NBS6cw9uLpKTLiN80gvubpnHCE1lRzM3Hr43fdfhmy1O22Fhm2o6PabA3ZKFY&#10;pzHoBHXBPCNb2/0GpTpuwUHjjzioDJqm4yLWgNUU+Ytq7ltmRKwFyXFmosn9P1h+vbu1pKvx7UpK&#10;NFP4RnfdpvVkZS30BG+Rot64BVrem1s7Sg6Pod6hsSr8sRIyRFr3E61i8ITj5bycF7M5JRxVxaw8&#10;OZ4HzOzJ2VjnPwtQJBwqakP8GD5SynZXzieHg2GI6EB29WUnZRRCv4hzacmO4UuvN0V0lVv1Fep0&#10;dzzP8/jeGDi2VzCPafyCJPVbwAP2P8ExcEDPApuJv3jyeylCTKnvRINPgYyVMfspy1QA41xonwpz&#10;LatFuv5z6AgYkBtkacIeAX4l7ICdaB7tg6uIMzQ5539LLDlPHjEyaD85q06DfQ1AYlVj5GR/IClR&#10;E1jyw3qIbTr14xrqPbauhTTTzvDLDtvnijl/yywOMY47LiZ/g59GQl9RGE+UtGB/vHYf7HG2UEtJ&#10;j0uhou77lllBifyiceo+FbNZ2CJRmM2PSxTsc836uUZv1TlgNxa4Ag2Px2Dv5eHYWFCPuL9WISqq&#10;mOYYu6Lc24Nw7tOywg3IxWoVzXBzGOav9L3hATzwHAbjYXhk1owz5HH4ruGwQNjixRAl2+CpYbX1&#10;0HRxwgLTidfxBXDrxBEZN2RYa8/laPW0x5c/AQAA//8DAFBLAwQUAAYACAAAACEAFeSt894AAAAI&#10;AQAADwAAAGRycy9kb3ducmV2LnhtbEyPwU7DMBBE70j8g7VI3KjT0LQ0xKkqJA4ICSkF9ezGbmxh&#10;r0PsJuHvWU5wXL3R7JtqN3vHRj1EG1DAcpEB09gGZbET8PH+fPcALCaJSrqAWsC3jrCrr68qWaow&#10;YaPHQ+oYlWAspQCTUl9yHlujvYyL0Gskdg6Dl4nOoeNqkBOVe8fzLFtzLy3SByN7/WR0+3m4eAH7&#10;l2N4O9uv5nWUs9sW1kwZb4S4vZn3j8CSntNfGH71SR1qcjqFC6rInIB8na8oKmBDk4jfr4olsBOB&#10;bQG8rvj/AfUPAAAA//8DAFBLAQItABQABgAIAAAAIQC2gziS/gAAAOEBAAATAAAAAAAAAAAAAAAA&#10;AAAAAABbQ29udGVudF9UeXBlc10ueG1sUEsBAi0AFAAGAAgAAAAhADj9If/WAAAAlAEAAAsAAAAA&#10;AAAAAAAAAAAALwEAAF9yZWxzLy5yZWxzUEsBAi0AFAAGAAgAAAAhAB1iRCuuAgAADwYAAA4AAAAA&#10;AAAAAAAAAAAALgIAAGRycy9lMm9Eb2MueG1sUEsBAi0AFAAGAAgAAAAhABXkrfPeAAAACAEAAA8A&#10;AAAAAAAAAAAAAAAACAUAAGRycy9kb3ducmV2LnhtbFBLBQYAAAAABAAEAPMAAAATBgAAAAA=&#10;" adj="18662" fillcolor="#bfbfbf [2412]" strokecolor="#7f7f7f [1612]" strokeweight="2pt">
                      <v:textbox>
                        <w:txbxContent>
                          <w:p w14:paraId="718B6E7C" w14:textId="77777777" w:rsidR="00330D5F" w:rsidRDefault="00330D5F" w:rsidP="006C7B37">
                            <w:pPr>
                              <w:jc w:val="center"/>
                            </w:pPr>
                          </w:p>
                        </w:txbxContent>
                      </v:textbox>
                    </v:shape>
                  </w:pict>
                </mc:Fallback>
              </mc:AlternateContent>
            </w:r>
            <w:r w:rsidRPr="008B68A9">
              <w:rPr>
                <w:sz w:val="22"/>
              </w:rPr>
              <w:t>Money</w:t>
            </w:r>
          </w:p>
        </w:tc>
        <w:tc>
          <w:tcPr>
            <w:tcW w:w="4646" w:type="dxa"/>
          </w:tcPr>
          <w:p w14:paraId="1A4B260D" w14:textId="77777777" w:rsidR="006C7B37" w:rsidRPr="008B68A9" w:rsidRDefault="006C7B37" w:rsidP="00045396">
            <w:pPr>
              <w:spacing w:after="0" w:line="360" w:lineRule="auto"/>
              <w:jc w:val="both"/>
              <w:rPr>
                <w:sz w:val="22"/>
              </w:rPr>
            </w:pPr>
            <w:r w:rsidRPr="008B68A9">
              <w:rPr>
                <w:sz w:val="22"/>
              </w:rPr>
              <w:t>Access to resources to change</w:t>
            </w:r>
          </w:p>
        </w:tc>
      </w:tr>
      <w:tr w:rsidR="006C7B37" w:rsidRPr="008B68A9" w14:paraId="1B97479F" w14:textId="77777777" w:rsidTr="00041CDB">
        <w:tc>
          <w:tcPr>
            <w:tcW w:w="3790" w:type="dxa"/>
          </w:tcPr>
          <w:p w14:paraId="17D1666A"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51072" behindDoc="0" locked="0" layoutInCell="1" allowOverlap="1" wp14:anchorId="1567A08C" wp14:editId="5A98E3DC">
                      <wp:simplePos x="0" y="0"/>
                      <wp:positionH relativeFrom="column">
                        <wp:posOffset>1662430</wp:posOffset>
                      </wp:positionH>
                      <wp:positionV relativeFrom="paragraph">
                        <wp:posOffset>37465</wp:posOffset>
                      </wp:positionV>
                      <wp:extent cx="525145" cy="142875"/>
                      <wp:effectExtent l="0" t="19050" r="46355" b="47625"/>
                      <wp:wrapNone/>
                      <wp:docPr id="16" name="Right Arrow 16"/>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1A6C75"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567A08C" id="Right Arrow 16" o:spid="_x0000_s1029" type="#_x0000_t13" style="position:absolute;left:0;text-align:left;margin-left:130.9pt;margin-top:2.95pt;width:41.35pt;height:11.2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xUEsAIAAA8GAAAOAAAAZHJzL2Uyb0RvYy54bWysVNtu2zAMfR+wfxD0vtrOkl6COkXQosOA&#10;ri3aDn1WZCk2IIuapMTJvn6UZLuXdRtQ7MUWRfKQPCJ5erZrFdkK6xrQJS0OckqE5lA1el3S7w+X&#10;n44pcZ7piinQoqR74ejZ4uOH087MxQRqUJWwBEG0m3empLX3Zp5ljteiZe4AjNColGBb5lG066yy&#10;rEP0VmWTPD/MOrCVscCFc3h7kZR0EfGlFNzfSOmEJ6qkmJuPXxu/q/DNFqdsvrbM1A3v02DvyKJl&#10;jcagI9QF84xsbPMbVNtwCw6kP+DQZiBlw0WsAasp8lfV3NfMiFgLkuPMSJP7f7D8entrSVPh2x1S&#10;olmLb3TXrGtPltZCR/AWKeqMm6Plvbm1veTwGOrdSduGP1ZCdpHW/Uir2HnC8XI2mRXTGSUcVcV0&#10;cnw0C5jZk7Oxzn8R0JJwKKkN8WP4SCnbXjmfHAbDENGBaqrLRqkohH4R58qSLcOXXq2L6Ko27Teo&#10;0t3RLM/je2Pg2F7BPKbxAknp94AH7H+CY+CAngU2E3/x5PdKhJhK3wmJT4GMTWL2Y5apAMa50D4V&#10;5mpWiXT959ARMCBLZGnE7gFeEjZgJ5p7++Aq4gyNzvnfEkvOo0eMDNqPzm2jwb4FoLCqPnKyH0hK&#10;1ASW/G61i236eejHFVR7bF0Laaad4ZcNts8Vc/6WWRxiHHdcTP4GP1JBV1LoT5TUYH++dR/scbZQ&#10;S0mHS6Gk7seGWUGJ+qpx6k6K6TRskShMZ0cTFOxzzeq5Rm/ac8BuLHAFGh6Pwd6r4SgttI+4v5Yh&#10;KqqY5hi7pNzbQTj3aVnhBuRiuYxmuDkM81f63vAAHngOg/Gwe2TW9DPkcfiuYVggbP5qiJJt8NSw&#10;3HiQTZywwHTitX8B3DpxRPoNGdbaczlaPe3xxS8AAAD//wMAUEsDBBQABgAIAAAAIQCHrNfy3gAA&#10;AAgBAAAPAAAAZHJzL2Rvd25yZXYueG1sTI9RS8MwFIXfBf9DuIJvLt1sx9Y1HUPwQQShU3zOmrsm&#10;LLmpTdbWf2980sfLdzjnu9V+dpaNOATjScBykQFDar0y1An4eH9+2AALUZKS1hMK+MYA+/r2ppKl&#10;8hM1OB5jx1IJhVIK0DH2Jeeh1ehkWPgeKbGzH5yM6Rw6rgY5pXJn+SrL1txJQ2lByx6fNLaX49UJ&#10;OLx8+rez+WpeRznbbWH0lPFGiPu7+bADFnGOf2H41U/qUCenk7+SCswKWK2XST0KKLbAEn/M8wLY&#10;KYFNDryu+P8H6h8AAAD//wMAUEsBAi0AFAAGAAgAAAAhALaDOJL+AAAA4QEAABMAAAAAAAAAAAAA&#10;AAAAAAAAAFtDb250ZW50X1R5cGVzXS54bWxQSwECLQAUAAYACAAAACEAOP0h/9YAAACUAQAACwAA&#10;AAAAAAAAAAAAAAAvAQAAX3JlbHMvLnJlbHNQSwECLQAUAAYACAAAACEAqYMVBLACAAAPBgAADgAA&#10;AAAAAAAAAAAAAAAuAgAAZHJzL2Uyb0RvYy54bWxQSwECLQAUAAYACAAAACEAh6zX8t4AAAAIAQAA&#10;DwAAAAAAAAAAAAAAAAAKBQAAZHJzL2Rvd25yZXYueG1sUEsFBgAAAAAEAAQA8wAAABUGAAAAAA==&#10;" adj="18662" fillcolor="#bfbfbf [2412]" strokecolor="#7f7f7f [1612]" strokeweight="2pt">
                      <v:textbox>
                        <w:txbxContent>
                          <w:p w14:paraId="0D1A6C75" w14:textId="77777777" w:rsidR="00330D5F" w:rsidRDefault="00330D5F" w:rsidP="006C7B37">
                            <w:pPr>
                              <w:jc w:val="center"/>
                            </w:pPr>
                          </w:p>
                        </w:txbxContent>
                      </v:textbox>
                    </v:shape>
                  </w:pict>
                </mc:Fallback>
              </mc:AlternateContent>
            </w:r>
            <w:r w:rsidRPr="008B68A9">
              <w:rPr>
                <w:sz w:val="22"/>
              </w:rPr>
              <w:t>Home</w:t>
            </w:r>
          </w:p>
        </w:tc>
        <w:tc>
          <w:tcPr>
            <w:tcW w:w="4646" w:type="dxa"/>
          </w:tcPr>
          <w:p w14:paraId="5752B930" w14:textId="77777777" w:rsidR="006C7B37" w:rsidRPr="008B68A9" w:rsidRDefault="006C7B37" w:rsidP="00045396">
            <w:pPr>
              <w:spacing w:after="0" w:line="360" w:lineRule="auto"/>
              <w:jc w:val="both"/>
              <w:rPr>
                <w:sz w:val="22"/>
              </w:rPr>
            </w:pPr>
            <w:r w:rsidRPr="008B68A9">
              <w:rPr>
                <w:sz w:val="22"/>
              </w:rPr>
              <w:t>A better place to be</w:t>
            </w:r>
          </w:p>
        </w:tc>
      </w:tr>
      <w:tr w:rsidR="006C7B37" w:rsidRPr="008B68A9" w14:paraId="1C14A8DC" w14:textId="77777777" w:rsidTr="00041CDB">
        <w:tc>
          <w:tcPr>
            <w:tcW w:w="3790" w:type="dxa"/>
          </w:tcPr>
          <w:p w14:paraId="15A368CB"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60288" behindDoc="0" locked="0" layoutInCell="1" allowOverlap="1" wp14:anchorId="28EB0548" wp14:editId="366A5367">
                      <wp:simplePos x="0" y="0"/>
                      <wp:positionH relativeFrom="column">
                        <wp:posOffset>1653540</wp:posOffset>
                      </wp:positionH>
                      <wp:positionV relativeFrom="paragraph">
                        <wp:posOffset>33020</wp:posOffset>
                      </wp:positionV>
                      <wp:extent cx="525145" cy="142875"/>
                      <wp:effectExtent l="0" t="19050" r="46355" b="47625"/>
                      <wp:wrapNone/>
                      <wp:docPr id="18" name="Right Arrow 18"/>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BF7D13"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8EB0548" id="Right Arrow 18" o:spid="_x0000_s1030" type="#_x0000_t13" style="position:absolute;left:0;text-align:left;margin-left:130.2pt;margin-top:2.6pt;width:41.35pt;height:11.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Rl+rwIAAA8GAAAOAAAAZHJzL2Uyb0RvYy54bWysVFFP3DAMfp+0/xDlfbQ93Q12oodOIKZJ&#10;DBAw8ZxLk2ulNM6S3LW3Xz8naQtjbJPQXto4tj/bn2OfnvWtInthXQO6pMVRTonQHKpGb0v67eHy&#10;wwklzjNdMQValPQgHD1bvX932pmlmEENqhKWIIh2y86UtPbeLLPM8Vq0zB2BERqVEmzLPIp2m1WW&#10;dYjeqmyW5x+zDmxlLHDhHN5eJCVdRXwpBfc3UjrhiSop5ubj18bvJnyz1Slbbi0zdcOHNNgbsmhZ&#10;ozHoBHXBPCM72/wG1TbcggPpjzi0GUjZcBFrwGqK/EU19zUzItaC5Dgz0eT+Hyy/3t9a0lTYO+yU&#10;Zi326K7Z1p6srYWO4C1S1Bm3RMt7c2sHyeEx1NtL24Y/VkL6SOtholX0nnC8XMwWxXxBCUdVMZ+d&#10;HC8CZvbkbKzznwW0JBxKakP8GD5SyvZXzieH0TBEdKCa6rJRKgrhvYhzZcmeYac32yK6ql37Fap0&#10;d7zI89hvDByfVzCPafyCpPRbwAP2P8ExcEDPApuJv3jyByVCTKXvhMRWIGOzmP2UZSqAcS60T4W5&#10;mlUiXf85dAQMyBJZmrAHgF8JG7ETzYN9cBVxhibn/G+JJefJI0YG7SfnttFgXwNQWNUQOdmPJCVq&#10;Aku+3/Txmc7H97iB6oBP10KaaWf4ZYPP54o5f8ssDjGOOy4mf4MfqaArKQwnSmqwP167D/Y4W6il&#10;pMOlUFL3fcesoER90Th1n4r5PGyRKMwXxzMU7HPN5rlG79pzwNdY4Ao0PB6DvVfjUVpoH3F/rUNU&#10;VDHNMXZJubejcO7TssINyMV6Hc1wcxjmr/S94QE88BwG46F/ZNYMM+Rx+K5hXCBs+WKIkm3w1LDe&#10;eZBNnLDAdOJ16ABunTgiw4YMa+25HK2e9vjqJwAAAP//AwBQSwMEFAAGAAgAAAAhAB1QDOTdAAAA&#10;CAEAAA8AAABkcnMvZG93bnJldi54bWxMj8tOwzAQRfdI/IM1SOyo3fQd4lQVEguEhJSCWE9jN7aI&#10;xyF2k/D3mFVZjs7VvWeK/eRaNug+WE8S5jMBTFPtlaVGwsf788MWWIhICltPWsKPDrAvb28KzJUf&#10;qdLDMTYslVDIUYKJscs5D7XRDsPMd5oSO/veYUxn33DV45jKXcszIdbcoaW0YLDTT0bXX8eLk3B4&#10;+fRvZ/tdvQ44tbuVNaPglZT3d9PhEVjUU7yG4U8/qUOZnE7+QiqwVkK2FssUlbDKgCW+WC7mwE4J&#10;bDbAy4L/f6D8BQAA//8DAFBLAQItABQABgAIAAAAIQC2gziS/gAAAOEBAAATAAAAAAAAAAAAAAAA&#10;AAAAAABbQ29udGVudF9UeXBlc10ueG1sUEsBAi0AFAAGAAgAAAAhADj9If/WAAAAlAEAAAsAAAAA&#10;AAAAAAAAAAAALwEAAF9yZWxzLy5yZWxzUEsBAi0AFAAGAAgAAAAhAF/hGX6vAgAADwYAAA4AAAAA&#10;AAAAAAAAAAAALgIAAGRycy9lMm9Eb2MueG1sUEsBAi0AFAAGAAgAAAAhAB1QDOTdAAAACAEAAA8A&#10;AAAAAAAAAAAAAAAACQUAAGRycy9kb3ducmV2LnhtbFBLBQYAAAAABAAEAPMAAAATBgAAAAA=&#10;" adj="18662" fillcolor="#bfbfbf [2412]" strokecolor="#7f7f7f [1612]" strokeweight="2pt">
                      <v:textbox>
                        <w:txbxContent>
                          <w:p w14:paraId="49BF7D13" w14:textId="77777777" w:rsidR="00330D5F" w:rsidRDefault="00330D5F" w:rsidP="006C7B37">
                            <w:pPr>
                              <w:jc w:val="center"/>
                            </w:pPr>
                          </w:p>
                        </w:txbxContent>
                      </v:textbox>
                    </v:shape>
                  </w:pict>
                </mc:Fallback>
              </mc:AlternateContent>
            </w:r>
            <w:r w:rsidRPr="008B68A9">
              <w:rPr>
                <w:sz w:val="22"/>
              </w:rPr>
              <w:t>Support</w:t>
            </w:r>
          </w:p>
        </w:tc>
        <w:tc>
          <w:tcPr>
            <w:tcW w:w="4646" w:type="dxa"/>
          </w:tcPr>
          <w:p w14:paraId="38F7F8E8" w14:textId="77777777" w:rsidR="006C7B37" w:rsidRPr="008B68A9" w:rsidRDefault="006C7B37" w:rsidP="00045396">
            <w:pPr>
              <w:spacing w:after="0" w:line="360" w:lineRule="auto"/>
              <w:jc w:val="both"/>
              <w:rPr>
                <w:sz w:val="22"/>
              </w:rPr>
            </w:pPr>
            <w:r w:rsidRPr="008B68A9">
              <w:rPr>
                <w:sz w:val="22"/>
              </w:rPr>
              <w:t>Broker a guide on the side</w:t>
            </w:r>
          </w:p>
        </w:tc>
      </w:tr>
      <w:tr w:rsidR="006C7B37" w:rsidRPr="008B68A9" w14:paraId="58A68E51" w14:textId="77777777" w:rsidTr="00041CDB">
        <w:tc>
          <w:tcPr>
            <w:tcW w:w="3790" w:type="dxa"/>
          </w:tcPr>
          <w:p w14:paraId="5F9ECBD3"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63360" behindDoc="0" locked="0" layoutInCell="1" allowOverlap="1" wp14:anchorId="51A39E49" wp14:editId="280E6026">
                      <wp:simplePos x="0" y="0"/>
                      <wp:positionH relativeFrom="column">
                        <wp:posOffset>1651000</wp:posOffset>
                      </wp:positionH>
                      <wp:positionV relativeFrom="paragraph">
                        <wp:posOffset>36830</wp:posOffset>
                      </wp:positionV>
                      <wp:extent cx="525145" cy="142875"/>
                      <wp:effectExtent l="0" t="19050" r="46355" b="47625"/>
                      <wp:wrapNone/>
                      <wp:docPr id="2" name="Right Arrow 2"/>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2E210F"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1A39E49" id="Right Arrow 2" o:spid="_x0000_s1031" type="#_x0000_t13" style="position:absolute;left:0;text-align:left;margin-left:130pt;margin-top:2.9pt;width:41.35pt;height:11.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k4xrQIAAA0GAAAOAAAAZHJzL2Uyb0RvYy54bWysVN9P3DAMfp+0/yHK++gP3Q12oodOIKZJ&#10;DBAw8ZxLk2ulNM6S3LW3v35O0iuMsU1Ce2nj2P5sf7F9ejZ0iuyEdS3oihZHOSVCc6hbvanot4fL&#10;DyeUOM90zRRoUdG9cPRs+f7daW8WooQGVC0sQRDtFr2paOO9WWSZ443omDsCIzQqJdiOeRTtJqst&#10;6xG9U1mZ5x+zHmxtLHDhHN5eJCVdRnwpBfc3Ujrhiaoo5ubj18bvOnyz5SlbbCwzTcvHNNgbsuhY&#10;qzHoBHXBPCNb2/4G1bXcggPpjzh0GUjZchFrwGqK/EU19w0zItaC5Dgz0eT+Hyy/3t1a0tYVLSnR&#10;rMMnums3jScra6EnZSCoN26Bdvfm1o6Sw2OodpC2C3+sgwyR1P1Eqhg84Xg5L+fFbE4JR1UxK0+O&#10;5wEze3I21vnPAjoSDhW1IXyMHglluyvnk8PBMER0oNr6slUqCqFbxLmyZMfwndebIrqqbfcV6nR3&#10;PM/z+NoYODZXMI9p/IKk9FvAA/Y/wTFwQM8Cm4m/ePJ7JUJMpe+ExIdAxsqY/ZRlKoBxLrRPhbmG&#10;1SJd/zl0BAzIElmasEeAXwk7YCeaR/vgKuIETc753xJLzpNHjAzaT85dq8G+BqCwqjFysj+QlKgJ&#10;LPlhPcQmjb0TbtZQ77FxLaSJdoZfttg+V8z5W2ZxhHHYcS35G/xIBX1FYTxR0oD98dp9sMfJQi0l&#10;Pa6EirrvW2YFJeqLxpn7VMxmYYdEYTY/LlGwzzXr5xq97c4Bu7HABWh4PAZ7rw5HaaF7xO21ClFR&#10;xTTH2BXl3h6Ec59WFe4/LlaraIZ7wzB/pe8ND+CB5zAYD8Mjs2acIY/Ddw2H9cEWL4Yo2QZPDaut&#10;B9nGCXvidXwB3DlxRMb9GJbaczlaPW3x5U8AAAD//wMAUEsDBBQABgAIAAAAIQDsThmK3QAAAAgB&#10;AAAPAAAAZHJzL2Rvd25yZXYueG1sTI/LTsMwEEX3SPyDNUjsqE1KSwlxqgqJBUJCSkGs3XgaW/gR&#10;YjcJf8+wKsvRGd17brWdvWMjDsnGIOF2IYBhaKO2oZPw8f58swGWsgpauRhQwg8m2NaXF5UqdZxC&#10;g+M+d4xCQiqVBJNzX3KeWoNepUXsMRA7xsGrTOfQcT2oicK944UQa+6VDdRgVI9PBtuv/clL2L18&#10;xrej/W5eRzW7h5U1k+CNlNdX8+4RWMY5n5/hT5/UoSanQzwFnZiTUKwFbckSVrSA+PKuuAd2ILBZ&#10;Aq8r/n9A/QsAAP//AwBQSwECLQAUAAYACAAAACEAtoM4kv4AAADhAQAAEwAAAAAAAAAAAAAAAAAA&#10;AAAAW0NvbnRlbnRfVHlwZXNdLnhtbFBLAQItABQABgAIAAAAIQA4/SH/1gAAAJQBAAALAAAAAAAA&#10;AAAAAAAAAC8BAABfcmVscy8ucmVsc1BLAQItABQABgAIAAAAIQA61k4xrQIAAA0GAAAOAAAAAAAA&#10;AAAAAAAAAC4CAABkcnMvZTJvRG9jLnhtbFBLAQItABQABgAIAAAAIQDsThmK3QAAAAgBAAAPAAAA&#10;AAAAAAAAAAAAAAcFAABkcnMvZG93bnJldi54bWxQSwUGAAAAAAQABADzAAAAEQYAAAAA&#10;" adj="18662" fillcolor="#bfbfbf [2412]" strokecolor="#7f7f7f [1612]" strokeweight="2pt">
                      <v:textbox>
                        <w:txbxContent>
                          <w:p w14:paraId="522E210F" w14:textId="77777777" w:rsidR="00330D5F" w:rsidRDefault="00330D5F" w:rsidP="006C7B37">
                            <w:pPr>
                              <w:jc w:val="center"/>
                            </w:pPr>
                          </w:p>
                        </w:txbxContent>
                      </v:textbox>
                    </v:shape>
                  </w:pict>
                </mc:Fallback>
              </mc:AlternateContent>
            </w:r>
            <w:r w:rsidRPr="008B68A9">
              <w:rPr>
                <w:sz w:val="22"/>
              </w:rPr>
              <w:t>Contribution</w:t>
            </w:r>
          </w:p>
        </w:tc>
        <w:tc>
          <w:tcPr>
            <w:tcW w:w="4646" w:type="dxa"/>
          </w:tcPr>
          <w:p w14:paraId="69FE3790" w14:textId="77777777" w:rsidR="006C7B37" w:rsidRPr="008B68A9" w:rsidRDefault="006C7B37" w:rsidP="00045396">
            <w:pPr>
              <w:spacing w:after="0" w:line="360" w:lineRule="auto"/>
              <w:jc w:val="both"/>
              <w:rPr>
                <w:sz w:val="22"/>
              </w:rPr>
            </w:pPr>
            <w:r w:rsidRPr="008B68A9">
              <w:rPr>
                <w:sz w:val="22"/>
              </w:rPr>
              <w:t>Increased association and capital</w:t>
            </w:r>
          </w:p>
        </w:tc>
      </w:tr>
      <w:tr w:rsidR="006C7B37" w:rsidRPr="008B68A9" w14:paraId="769425EE" w14:textId="77777777" w:rsidTr="00041CDB">
        <w:tc>
          <w:tcPr>
            <w:tcW w:w="3790" w:type="dxa"/>
          </w:tcPr>
          <w:p w14:paraId="08AE8EB3" w14:textId="77777777" w:rsidR="006C7B37" w:rsidRPr="008B68A9" w:rsidRDefault="006C7B37" w:rsidP="00045396">
            <w:pPr>
              <w:spacing w:after="0" w:line="360" w:lineRule="auto"/>
              <w:jc w:val="both"/>
              <w:rPr>
                <w:sz w:val="22"/>
              </w:rPr>
            </w:pPr>
            <w:r w:rsidRPr="008B68A9">
              <w:rPr>
                <w:b/>
                <w:noProof/>
                <w:sz w:val="22"/>
                <w:lang w:eastAsia="en-GB"/>
              </w:rPr>
              <mc:AlternateContent>
                <mc:Choice Requires="wps">
                  <w:drawing>
                    <wp:anchor distT="0" distB="0" distL="114300" distR="114300" simplePos="0" relativeHeight="251654144" behindDoc="0" locked="0" layoutInCell="1" allowOverlap="1" wp14:anchorId="41623065" wp14:editId="4A8B6174">
                      <wp:simplePos x="0" y="0"/>
                      <wp:positionH relativeFrom="column">
                        <wp:posOffset>1654175</wp:posOffset>
                      </wp:positionH>
                      <wp:positionV relativeFrom="paragraph">
                        <wp:posOffset>19685</wp:posOffset>
                      </wp:positionV>
                      <wp:extent cx="525145" cy="142875"/>
                      <wp:effectExtent l="0" t="19050" r="46355" b="47625"/>
                      <wp:wrapNone/>
                      <wp:docPr id="17" name="Right Arrow 17"/>
                      <wp:cNvGraphicFramePr/>
                      <a:graphic xmlns:a="http://schemas.openxmlformats.org/drawingml/2006/main">
                        <a:graphicData uri="http://schemas.microsoft.com/office/word/2010/wordprocessingShape">
                          <wps:wsp>
                            <wps:cNvSpPr/>
                            <wps:spPr>
                              <a:xfrm>
                                <a:off x="0" y="0"/>
                                <a:ext cx="525145" cy="142875"/>
                              </a:xfrm>
                              <a:prstGeom prst="rightArrow">
                                <a:avLst/>
                              </a:prstGeom>
                              <a:solidFill>
                                <a:schemeClr val="bg1">
                                  <a:lumMod val="7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B73083"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1623065" id="Right Arrow 17" o:spid="_x0000_s1032" type="#_x0000_t13" style="position:absolute;left:0;text-align:left;margin-left:130.25pt;margin-top:1.55pt;width:41.35pt;height:11.2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EWrwIAAA8GAAAOAAAAZHJzL2Uyb0RvYy54bWysVE1v2zAMvQ/YfxB0X20HSdMFdYqgRYcB&#10;XVu0HXpWZCk2IIuapMTJfv0oyXY/1m1AsYstiuQj+UTy9GzfKrIT1jWgS1oc5ZQIzaFq9Kak3x8u&#10;P51Q4jzTFVOgRUkPwtGz5ccPp51ZiAnUoCphCYJot+hMSWvvzSLLHK9Fy9wRGKFRKcG2zKNoN1ll&#10;WYforcomeX6cdWArY4EL5/D2IinpMuJLKbi/kdIJT1RJMTcfvzZ+1+GbLU/ZYmOZqRvep8HekUXL&#10;Go1BR6gL5hnZ2uY3qLbhFhxIf8ShzUDKhotYA1ZT5K+qua+ZEbEWJMeZkSb3/2D59e7WkqbCt5tT&#10;olmLb3TXbGpPVtZCR/AWKeqMW6Dlvbm1veTwGOrdS9uGP1ZC9pHWw0ir2HvC8XI2mRXTGSUcVcV0&#10;cjKfBczsydlY578IaEk4lNSG+DF8pJTtrpxPDoNhiOhANdVlo1QUQr+Ic2XJjuFLrzdFdFXb9htU&#10;6W4+y/P43hg4tlcwj2m8QFL6PeAB+5/gGDigZ4HNxF88+YMSIabSd0LiUyBjk5j9mGUqgHEutE+F&#10;uZpVIl3/OXQEDMgSWRqxe4CXhA3YiebePriKOEOjc/63xJLz6BEjg/ajc9tosG8BKKyqj5zsB5IS&#10;NYElv1/vY5seD/24huqArWshzbQz/LLB9rlizt8yi0OM446Lyd/gRyroSgr9iZIa7M+37oM9zhZq&#10;KelwKZTU/dgyKyhRXzVO3ediOg1bJArT2XyCgn2uWT/X6G17DtiNBa5Aw+Mx2Hs1HKWF9hH31ypE&#10;RRXTHGOXlHs7COc+LSvcgFysVtEMN4dh/krfGx7AA89hMB72j8yafoY8Dt81DAuELV4NUbINnhpW&#10;Ww+yiRMWmE689i+AWyeOSL8hw1p7Lkerpz2+/AUAAP//AwBQSwMEFAAGAAgAAAAhAM94hd3dAAAA&#10;CAEAAA8AAABkcnMvZG93bnJldi54bWxMj0FLxDAQhe+C/yGM4M1NtrVFa9NlETyIIHQVz7PNbBNs&#10;ktpk2/rvjSc9Dt/jvW/q3WoHNtMUjHcSthsBjFznlXG9hPe3p5s7YCGiUzh4RxK+KcCuubyosVJ+&#10;cS3Nh9izVOJChRJ0jGPFeeg0WQwbP5JL7OQnizGdU8/VhEsqtwPPhCi5RePSgsaRHjV1n4ezlbB/&#10;/vCvJ/PVvsy4DveF0YvgrZTXV+v+AVikNf6F4Vc/qUOTnI7+7FRgg4SsFEWKSsi3wBLPb/MM2DGB&#10;ogTe1Pz/A80PAAAA//8DAFBLAQItABQABgAIAAAAIQC2gziS/gAAAOEBAAATAAAAAAAAAAAAAAAA&#10;AAAAAABbQ29udGVudF9UeXBlc10ueG1sUEsBAi0AFAAGAAgAAAAhADj9If/WAAAAlAEAAAsAAAAA&#10;AAAAAAAAAAAALwEAAF9yZWxzLy5yZWxzUEsBAi0AFAAGAAgAAAAhAByDcRavAgAADwYAAA4AAAAA&#10;AAAAAAAAAAAALgIAAGRycy9lMm9Eb2MueG1sUEsBAi0AFAAGAAgAAAAhAM94hd3dAAAACAEAAA8A&#10;AAAAAAAAAAAAAAAACQUAAGRycy9kb3ducmV2LnhtbFBLBQYAAAAABAAEAPMAAAATBgAAAAA=&#10;" adj="18662" fillcolor="#bfbfbf [2412]" strokecolor="#7f7f7f [1612]" strokeweight="2pt">
                      <v:textbox>
                        <w:txbxContent>
                          <w:p w14:paraId="4EB73083" w14:textId="77777777" w:rsidR="00330D5F" w:rsidRDefault="00330D5F" w:rsidP="006C7B37">
                            <w:pPr>
                              <w:jc w:val="center"/>
                            </w:pPr>
                          </w:p>
                        </w:txbxContent>
                      </v:textbox>
                    </v:shape>
                  </w:pict>
                </mc:Fallback>
              </mc:AlternateContent>
            </w:r>
            <w:r w:rsidRPr="008B68A9">
              <w:rPr>
                <w:sz w:val="22"/>
              </w:rPr>
              <w:t>Serendipitous outcomes</w:t>
            </w:r>
          </w:p>
        </w:tc>
        <w:tc>
          <w:tcPr>
            <w:tcW w:w="4646" w:type="dxa"/>
          </w:tcPr>
          <w:p w14:paraId="2BA51144" w14:textId="77777777" w:rsidR="006C7B37" w:rsidRPr="008B68A9" w:rsidRDefault="006C7B37" w:rsidP="00045396">
            <w:pPr>
              <w:spacing w:after="0" w:line="360" w:lineRule="auto"/>
              <w:jc w:val="both"/>
              <w:rPr>
                <w:sz w:val="22"/>
              </w:rPr>
            </w:pPr>
            <w:r w:rsidRPr="008B68A9">
              <w:rPr>
                <w:sz w:val="22"/>
              </w:rPr>
              <w:t>Non-traditional interventions</w:t>
            </w:r>
          </w:p>
        </w:tc>
      </w:tr>
    </w:tbl>
    <w:p w14:paraId="2C801F90" w14:textId="1D6D88FA" w:rsidR="006C7B37" w:rsidRPr="008B68A9" w:rsidRDefault="006C7B37" w:rsidP="006C7B37">
      <w:pPr>
        <w:pStyle w:val="9btablecaption"/>
      </w:pPr>
      <w:bookmarkStart w:id="138" w:name="_Toc413827555"/>
      <w:bookmarkStart w:id="139" w:name="_Toc466799797"/>
      <w:r w:rsidRPr="008B68A9">
        <w:t xml:space="preserve">Table </w:t>
      </w:r>
      <w:r w:rsidR="00DF399F" w:rsidRPr="008B68A9">
        <w:t>3</w:t>
      </w:r>
      <w:r w:rsidRPr="008B68A9">
        <w:t>: Themes from budget user narratives</w:t>
      </w:r>
      <w:bookmarkEnd w:id="138"/>
      <w:bookmarkEnd w:id="139"/>
    </w:p>
    <w:p w14:paraId="4A4793C8" w14:textId="77777777" w:rsidR="006C7B37" w:rsidRPr="008B68A9" w:rsidRDefault="006C7B37" w:rsidP="002F0FD7">
      <w:pPr>
        <w:pStyle w:val="5arangedleft"/>
      </w:pPr>
      <w:bookmarkStart w:id="140" w:name="_Toc413827438"/>
    </w:p>
    <w:p w14:paraId="36FD2989" w14:textId="257D7BE0" w:rsidR="006C7B37" w:rsidRPr="008B68A9" w:rsidRDefault="006C7B37" w:rsidP="006C7B37">
      <w:pPr>
        <w:pStyle w:val="3L3header"/>
      </w:pPr>
      <w:bookmarkStart w:id="141" w:name="_Toc466800337"/>
      <w:r w:rsidRPr="008B68A9">
        <w:t>5.4.</w:t>
      </w:r>
      <w:r w:rsidR="003B2E50" w:rsidRPr="008B68A9">
        <w:t>6</w:t>
      </w:r>
      <w:r w:rsidRPr="008B68A9">
        <w:t xml:space="preserve"> Practitioner focus group</w:t>
      </w:r>
      <w:bookmarkEnd w:id="140"/>
      <w:bookmarkEnd w:id="141"/>
      <w:r w:rsidRPr="008B68A9">
        <w:t xml:space="preserve"> </w:t>
      </w:r>
    </w:p>
    <w:p w14:paraId="292F4A5B" w14:textId="4B949DDF" w:rsidR="006C7B37" w:rsidRPr="008B68A9" w:rsidRDefault="006C7B37" w:rsidP="002F0FD7">
      <w:pPr>
        <w:pStyle w:val="5arangedleft"/>
      </w:pPr>
      <w:r w:rsidRPr="008B68A9">
        <w:t>The focus group comprised twelve staff from the NHS trust, including team managers and internal brokers, nurses, social workers, occupational therapists, and the independent broker and their manager. The group was chaired and co-facilitated by the principal investigator and research assistant. Experiences of those staff working with self-directed support are reported below, and highlight the benefits and challenges of self-directed support. The group identified more challenges than benefits in personalisation, and expressed distrust towards self-directed support</w:t>
      </w:r>
      <w:r w:rsidR="00041CDB" w:rsidRPr="008B68A9">
        <w:t xml:space="preserve"> in principle</w:t>
      </w:r>
      <w:r w:rsidRPr="008B68A9">
        <w:t>.</w:t>
      </w:r>
    </w:p>
    <w:p w14:paraId="164459E1" w14:textId="491D1003" w:rsidR="006C7B37" w:rsidRPr="008B68A9" w:rsidRDefault="006C7B37" w:rsidP="006C7B37">
      <w:pPr>
        <w:pStyle w:val="3L3header"/>
      </w:pPr>
      <w:bookmarkStart w:id="142" w:name="_Toc413827439"/>
      <w:bookmarkStart w:id="143" w:name="_Toc466800338"/>
      <w:r w:rsidRPr="008B68A9">
        <w:t>5.4.</w:t>
      </w:r>
      <w:r w:rsidR="003B2E50" w:rsidRPr="008B68A9">
        <w:t>7</w:t>
      </w:r>
      <w:r w:rsidRPr="008B68A9">
        <w:t xml:space="preserve"> Positive and negative experiences</w:t>
      </w:r>
      <w:bookmarkEnd w:id="142"/>
      <w:bookmarkEnd w:id="143"/>
    </w:p>
    <w:p w14:paraId="5738D7E4" w14:textId="54F09C7E" w:rsidR="00E87109" w:rsidRPr="008B68A9" w:rsidRDefault="006C7B37" w:rsidP="002F0FD7">
      <w:pPr>
        <w:pStyle w:val="5arangedleft"/>
      </w:pPr>
      <w:r w:rsidRPr="008B68A9">
        <w:t xml:space="preserve">The staff reported that support planning outcomes made a tangible difference to the budget recipient’s life (table </w:t>
      </w:r>
      <w:r w:rsidR="00DF399F" w:rsidRPr="008B68A9">
        <w:t>4</w:t>
      </w:r>
      <w:r w:rsidRPr="008B68A9">
        <w:t xml:space="preserve">). Practitioners recognised the modest financial cost of the budgets set against the changes for the budget recipient, and it was seen as positive. </w:t>
      </w:r>
    </w:p>
    <w:p w14:paraId="2DB0728E" w14:textId="77777777" w:rsidR="00E87109" w:rsidRPr="008B68A9" w:rsidRDefault="00E87109">
      <w:pPr>
        <w:spacing w:line="276" w:lineRule="auto"/>
        <w:rPr>
          <w:szCs w:val="24"/>
        </w:rPr>
      </w:pPr>
      <w:r w:rsidRPr="008B68A9">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3"/>
        <w:gridCol w:w="4097"/>
      </w:tblGrid>
      <w:tr w:rsidR="006C7B37" w:rsidRPr="008B68A9" w14:paraId="523FC882" w14:textId="77777777" w:rsidTr="00045396">
        <w:trPr>
          <w:tblHeader/>
        </w:trPr>
        <w:tc>
          <w:tcPr>
            <w:tcW w:w="8210" w:type="dxa"/>
            <w:gridSpan w:val="2"/>
            <w:shd w:val="clear" w:color="auto" w:fill="F2F2F2" w:themeFill="background1" w:themeFillShade="F2"/>
          </w:tcPr>
          <w:p w14:paraId="3ABF26C9" w14:textId="77777777" w:rsidR="006C7B37" w:rsidRPr="008B68A9" w:rsidRDefault="006C7B37" w:rsidP="00045396">
            <w:pPr>
              <w:spacing w:after="0" w:line="360" w:lineRule="auto"/>
              <w:jc w:val="center"/>
              <w:rPr>
                <w:b/>
                <w:sz w:val="22"/>
              </w:rPr>
            </w:pPr>
            <w:r w:rsidRPr="008B68A9">
              <w:rPr>
                <w:b/>
                <w:sz w:val="22"/>
              </w:rPr>
              <w:lastRenderedPageBreak/>
              <w:t>Positive experiences from professionals providing self-directed support</w:t>
            </w:r>
          </w:p>
        </w:tc>
      </w:tr>
      <w:tr w:rsidR="006C7B37" w:rsidRPr="008B68A9" w14:paraId="44AAE26F" w14:textId="77777777" w:rsidTr="00045396">
        <w:trPr>
          <w:tblHeader/>
        </w:trPr>
        <w:tc>
          <w:tcPr>
            <w:tcW w:w="4113" w:type="dxa"/>
          </w:tcPr>
          <w:p w14:paraId="73FBF4BF" w14:textId="77777777" w:rsidR="006C7B37" w:rsidRPr="008B68A9" w:rsidRDefault="006C7B37" w:rsidP="00045396">
            <w:pPr>
              <w:spacing w:after="0" w:line="360" w:lineRule="auto"/>
              <w:jc w:val="center"/>
              <w:rPr>
                <w:sz w:val="22"/>
              </w:rPr>
            </w:pPr>
            <w:r w:rsidRPr="008B68A9">
              <w:rPr>
                <w:sz w:val="22"/>
              </w:rPr>
              <w:t>Account</w:t>
            </w:r>
          </w:p>
        </w:tc>
        <w:tc>
          <w:tcPr>
            <w:tcW w:w="4097" w:type="dxa"/>
          </w:tcPr>
          <w:p w14:paraId="23E93534" w14:textId="77777777" w:rsidR="006C7B37" w:rsidRPr="008B68A9" w:rsidRDefault="006C7B37" w:rsidP="00045396">
            <w:pPr>
              <w:spacing w:after="0" w:line="360" w:lineRule="auto"/>
              <w:jc w:val="center"/>
              <w:rPr>
                <w:sz w:val="22"/>
              </w:rPr>
            </w:pPr>
            <w:r w:rsidRPr="008B68A9">
              <w:rPr>
                <w:sz w:val="22"/>
              </w:rPr>
              <w:t>Outcome</w:t>
            </w:r>
          </w:p>
        </w:tc>
      </w:tr>
      <w:tr w:rsidR="006C7B37" w:rsidRPr="008B68A9" w14:paraId="3D010755" w14:textId="77777777" w:rsidTr="00045396">
        <w:tc>
          <w:tcPr>
            <w:tcW w:w="4113" w:type="dxa"/>
          </w:tcPr>
          <w:p w14:paraId="6ABD8E4B" w14:textId="77777777" w:rsidR="006C7B37" w:rsidRPr="008B68A9" w:rsidRDefault="006C7B37" w:rsidP="00045396">
            <w:pPr>
              <w:spacing w:after="0" w:line="360" w:lineRule="auto"/>
              <w:jc w:val="both"/>
              <w:rPr>
                <w:sz w:val="22"/>
              </w:rPr>
            </w:pPr>
            <w:r w:rsidRPr="008B68A9">
              <w:rPr>
                <w:sz w:val="22"/>
              </w:rPr>
              <w:t xml:space="preserve">Working towards outcomes </w:t>
            </w:r>
          </w:p>
        </w:tc>
        <w:tc>
          <w:tcPr>
            <w:tcW w:w="4097" w:type="dxa"/>
          </w:tcPr>
          <w:p w14:paraId="0508C883" w14:textId="77777777" w:rsidR="006C7B37" w:rsidRPr="008B68A9" w:rsidRDefault="006C7B37" w:rsidP="00045396">
            <w:pPr>
              <w:spacing w:after="0" w:line="360" w:lineRule="auto"/>
              <w:jc w:val="both"/>
              <w:rPr>
                <w:sz w:val="22"/>
              </w:rPr>
            </w:pPr>
            <w:r w:rsidRPr="008B68A9">
              <w:rPr>
                <w:sz w:val="22"/>
              </w:rPr>
              <w:t>Working towards tangible change</w:t>
            </w:r>
          </w:p>
        </w:tc>
      </w:tr>
      <w:tr w:rsidR="006C7B37" w:rsidRPr="008B68A9" w14:paraId="71C160DC" w14:textId="77777777" w:rsidTr="00045396">
        <w:tc>
          <w:tcPr>
            <w:tcW w:w="4113" w:type="dxa"/>
          </w:tcPr>
          <w:p w14:paraId="6B831521" w14:textId="77777777" w:rsidR="006C7B37" w:rsidRPr="008B68A9" w:rsidRDefault="006C7B37" w:rsidP="00045396">
            <w:pPr>
              <w:spacing w:after="0" w:line="360" w:lineRule="auto"/>
              <w:jc w:val="both"/>
              <w:rPr>
                <w:sz w:val="22"/>
              </w:rPr>
            </w:pPr>
            <w:r w:rsidRPr="008B68A9">
              <w:rPr>
                <w:sz w:val="22"/>
              </w:rPr>
              <w:t>Creativity in process</w:t>
            </w:r>
          </w:p>
        </w:tc>
        <w:tc>
          <w:tcPr>
            <w:tcW w:w="4097" w:type="dxa"/>
          </w:tcPr>
          <w:p w14:paraId="1ECE773F" w14:textId="77777777" w:rsidR="006C7B37" w:rsidRPr="008B68A9" w:rsidRDefault="006C7B37" w:rsidP="00045396">
            <w:pPr>
              <w:spacing w:after="0" w:line="360" w:lineRule="auto"/>
              <w:jc w:val="both"/>
              <w:rPr>
                <w:sz w:val="22"/>
              </w:rPr>
            </w:pPr>
            <w:r w:rsidRPr="008B68A9">
              <w:rPr>
                <w:sz w:val="22"/>
              </w:rPr>
              <w:t>Creativity in engagement</w:t>
            </w:r>
          </w:p>
        </w:tc>
      </w:tr>
      <w:tr w:rsidR="006C7B37" w:rsidRPr="008B68A9" w14:paraId="5917C436" w14:textId="77777777" w:rsidTr="00045396">
        <w:tc>
          <w:tcPr>
            <w:tcW w:w="4113" w:type="dxa"/>
          </w:tcPr>
          <w:p w14:paraId="22ADC1DF" w14:textId="77777777" w:rsidR="006C7B37" w:rsidRPr="008B68A9" w:rsidRDefault="006C7B37" w:rsidP="00045396">
            <w:pPr>
              <w:spacing w:after="0" w:line="360" w:lineRule="auto"/>
              <w:jc w:val="both"/>
              <w:rPr>
                <w:sz w:val="22"/>
              </w:rPr>
            </w:pPr>
            <w:r w:rsidRPr="008B68A9">
              <w:rPr>
                <w:sz w:val="22"/>
              </w:rPr>
              <w:t>Serendipitous outcomes</w:t>
            </w:r>
          </w:p>
        </w:tc>
        <w:tc>
          <w:tcPr>
            <w:tcW w:w="4097" w:type="dxa"/>
          </w:tcPr>
          <w:p w14:paraId="7EF35BDA" w14:textId="77777777" w:rsidR="006C7B37" w:rsidRPr="008B68A9" w:rsidRDefault="006C7B37" w:rsidP="00045396">
            <w:pPr>
              <w:spacing w:after="0" w:line="360" w:lineRule="auto"/>
              <w:jc w:val="both"/>
              <w:rPr>
                <w:sz w:val="22"/>
              </w:rPr>
            </w:pPr>
            <w:r w:rsidRPr="008B68A9">
              <w:rPr>
                <w:sz w:val="22"/>
              </w:rPr>
              <w:t>Change beyond scope of plan</w:t>
            </w:r>
          </w:p>
        </w:tc>
      </w:tr>
      <w:tr w:rsidR="006C7B37" w:rsidRPr="008B68A9" w14:paraId="13EF6E17" w14:textId="77777777" w:rsidTr="00045396">
        <w:tc>
          <w:tcPr>
            <w:tcW w:w="4113" w:type="dxa"/>
          </w:tcPr>
          <w:p w14:paraId="7FCF3BEE" w14:textId="77777777" w:rsidR="006C7B37" w:rsidRPr="008B68A9" w:rsidRDefault="006C7B37" w:rsidP="00045396">
            <w:pPr>
              <w:spacing w:after="0" w:line="360" w:lineRule="auto"/>
              <w:jc w:val="both"/>
              <w:rPr>
                <w:sz w:val="22"/>
              </w:rPr>
            </w:pPr>
            <w:r w:rsidRPr="008B68A9">
              <w:rPr>
                <w:sz w:val="22"/>
              </w:rPr>
              <w:t>Modest cost</w:t>
            </w:r>
          </w:p>
        </w:tc>
        <w:tc>
          <w:tcPr>
            <w:tcW w:w="4097" w:type="dxa"/>
          </w:tcPr>
          <w:p w14:paraId="4C3B2461" w14:textId="77777777" w:rsidR="006C7B37" w:rsidRPr="008B68A9" w:rsidRDefault="006C7B37" w:rsidP="00045396">
            <w:pPr>
              <w:spacing w:after="0" w:line="360" w:lineRule="auto"/>
              <w:jc w:val="both"/>
              <w:rPr>
                <w:sz w:val="22"/>
              </w:rPr>
            </w:pPr>
            <w:r w:rsidRPr="008B68A9">
              <w:rPr>
                <w:sz w:val="22"/>
              </w:rPr>
              <w:t>Significant change</w:t>
            </w:r>
          </w:p>
        </w:tc>
      </w:tr>
    </w:tbl>
    <w:p w14:paraId="635F1B74" w14:textId="4BB9FB3C" w:rsidR="006C7B37" w:rsidRPr="008B68A9" w:rsidRDefault="006C7B37" w:rsidP="006C7B37">
      <w:pPr>
        <w:pStyle w:val="9btablecaption"/>
      </w:pPr>
      <w:bookmarkStart w:id="144" w:name="_Toc413827556"/>
      <w:bookmarkStart w:id="145" w:name="_Toc466799798"/>
      <w:r w:rsidRPr="008B68A9">
        <w:t xml:space="preserve">Table </w:t>
      </w:r>
      <w:r w:rsidR="00DF399F" w:rsidRPr="008B68A9">
        <w:t>4</w:t>
      </w:r>
      <w:r w:rsidRPr="008B68A9">
        <w:t>: Positive professional experiences</w:t>
      </w:r>
      <w:bookmarkEnd w:id="144"/>
      <w:bookmarkEnd w:id="145"/>
    </w:p>
    <w:p w14:paraId="4DF81F6E" w14:textId="77777777" w:rsidR="009B2628" w:rsidRPr="008B68A9" w:rsidRDefault="009B2628" w:rsidP="002F0FD7">
      <w:pPr>
        <w:pStyle w:val="5aranged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4113"/>
      </w:tblGrid>
      <w:tr w:rsidR="006C7B37" w:rsidRPr="008B68A9" w14:paraId="70D89DBE" w14:textId="77777777" w:rsidTr="00045396">
        <w:tc>
          <w:tcPr>
            <w:tcW w:w="8699" w:type="dxa"/>
            <w:gridSpan w:val="2"/>
            <w:shd w:val="clear" w:color="auto" w:fill="F2F2F2" w:themeFill="background1" w:themeFillShade="F2"/>
          </w:tcPr>
          <w:p w14:paraId="589896A8" w14:textId="77777777" w:rsidR="006C7B37" w:rsidRPr="008B68A9" w:rsidRDefault="006C7B37" w:rsidP="00045396">
            <w:pPr>
              <w:spacing w:after="0" w:line="360" w:lineRule="auto"/>
              <w:jc w:val="center"/>
              <w:rPr>
                <w:b/>
                <w:sz w:val="22"/>
              </w:rPr>
            </w:pPr>
            <w:r w:rsidRPr="008B68A9">
              <w:rPr>
                <w:b/>
                <w:sz w:val="22"/>
              </w:rPr>
              <w:t>Challenges for professionals providing self-directed support</w:t>
            </w:r>
          </w:p>
        </w:tc>
      </w:tr>
      <w:tr w:rsidR="006C7B37" w:rsidRPr="008B68A9" w14:paraId="7100CF03" w14:textId="77777777" w:rsidTr="00045396">
        <w:trPr>
          <w:trHeight w:val="339"/>
        </w:trPr>
        <w:tc>
          <w:tcPr>
            <w:tcW w:w="4345" w:type="dxa"/>
          </w:tcPr>
          <w:p w14:paraId="412885BF" w14:textId="77777777" w:rsidR="006C7B37" w:rsidRPr="008B68A9" w:rsidRDefault="006C7B37" w:rsidP="00045396">
            <w:pPr>
              <w:spacing w:after="0" w:line="360" w:lineRule="auto"/>
              <w:jc w:val="center"/>
              <w:rPr>
                <w:sz w:val="22"/>
              </w:rPr>
            </w:pPr>
            <w:r w:rsidRPr="008B68A9">
              <w:rPr>
                <w:sz w:val="22"/>
              </w:rPr>
              <w:t>Account</w:t>
            </w:r>
          </w:p>
        </w:tc>
        <w:tc>
          <w:tcPr>
            <w:tcW w:w="4354" w:type="dxa"/>
          </w:tcPr>
          <w:p w14:paraId="4A9FD6D0" w14:textId="77777777" w:rsidR="006C7B37" w:rsidRPr="008B68A9" w:rsidRDefault="006C7B37" w:rsidP="00045396">
            <w:pPr>
              <w:spacing w:after="0" w:line="360" w:lineRule="auto"/>
              <w:jc w:val="center"/>
              <w:rPr>
                <w:sz w:val="22"/>
              </w:rPr>
            </w:pPr>
            <w:r w:rsidRPr="008B68A9">
              <w:rPr>
                <w:sz w:val="22"/>
              </w:rPr>
              <w:t>Outcome</w:t>
            </w:r>
          </w:p>
        </w:tc>
      </w:tr>
      <w:tr w:rsidR="006C7B37" w:rsidRPr="008B68A9" w14:paraId="04F5F3EA" w14:textId="77777777" w:rsidTr="00045396">
        <w:tc>
          <w:tcPr>
            <w:tcW w:w="4345" w:type="dxa"/>
          </w:tcPr>
          <w:p w14:paraId="4712A40B" w14:textId="77777777" w:rsidR="006C7B37" w:rsidRPr="008B68A9" w:rsidRDefault="006C7B37" w:rsidP="00045396">
            <w:pPr>
              <w:spacing w:after="0" w:line="360" w:lineRule="auto"/>
              <w:jc w:val="both"/>
              <w:rPr>
                <w:sz w:val="22"/>
              </w:rPr>
            </w:pPr>
            <w:r w:rsidRPr="008B68A9">
              <w:rPr>
                <w:sz w:val="22"/>
              </w:rPr>
              <w:t xml:space="preserve">Challenge to professional authority </w:t>
            </w:r>
          </w:p>
        </w:tc>
        <w:tc>
          <w:tcPr>
            <w:tcW w:w="4354" w:type="dxa"/>
          </w:tcPr>
          <w:p w14:paraId="312C20E0" w14:textId="77777777" w:rsidR="006C7B37" w:rsidRPr="008B68A9" w:rsidRDefault="006C7B37" w:rsidP="00045396">
            <w:pPr>
              <w:spacing w:after="0" w:line="360" w:lineRule="auto"/>
              <w:jc w:val="both"/>
              <w:rPr>
                <w:sz w:val="22"/>
              </w:rPr>
            </w:pPr>
            <w:r w:rsidRPr="008B68A9">
              <w:rPr>
                <w:sz w:val="22"/>
              </w:rPr>
              <w:t xml:space="preserve">Resistance and dominance </w:t>
            </w:r>
          </w:p>
        </w:tc>
      </w:tr>
      <w:tr w:rsidR="006C7B37" w:rsidRPr="008B68A9" w14:paraId="785DFC9C" w14:textId="77777777" w:rsidTr="00045396">
        <w:trPr>
          <w:trHeight w:val="501"/>
        </w:trPr>
        <w:tc>
          <w:tcPr>
            <w:tcW w:w="4345" w:type="dxa"/>
          </w:tcPr>
          <w:p w14:paraId="6A9B16DF" w14:textId="77777777" w:rsidR="006C7B37" w:rsidRPr="008B68A9" w:rsidRDefault="006C7B37" w:rsidP="00045396">
            <w:pPr>
              <w:spacing w:after="0" w:line="360" w:lineRule="auto"/>
              <w:jc w:val="both"/>
              <w:rPr>
                <w:sz w:val="22"/>
              </w:rPr>
            </w:pPr>
            <w:r w:rsidRPr="008B68A9">
              <w:rPr>
                <w:sz w:val="22"/>
              </w:rPr>
              <w:t xml:space="preserve">Approach to risk </w:t>
            </w:r>
          </w:p>
        </w:tc>
        <w:tc>
          <w:tcPr>
            <w:tcW w:w="4354" w:type="dxa"/>
          </w:tcPr>
          <w:p w14:paraId="5AC9520F" w14:textId="77777777" w:rsidR="006C7B37" w:rsidRPr="008B68A9" w:rsidRDefault="006C7B37" w:rsidP="00045396">
            <w:pPr>
              <w:spacing w:after="0" w:line="360" w:lineRule="auto"/>
              <w:jc w:val="both"/>
              <w:rPr>
                <w:sz w:val="22"/>
              </w:rPr>
            </w:pPr>
            <w:r w:rsidRPr="008B68A9">
              <w:rPr>
                <w:sz w:val="22"/>
              </w:rPr>
              <w:t xml:space="preserve">Transparency </w:t>
            </w:r>
          </w:p>
        </w:tc>
      </w:tr>
      <w:tr w:rsidR="006C7B37" w:rsidRPr="008B68A9" w14:paraId="32546095" w14:textId="77777777" w:rsidTr="00045396">
        <w:tc>
          <w:tcPr>
            <w:tcW w:w="4345" w:type="dxa"/>
          </w:tcPr>
          <w:p w14:paraId="48B0F3D8" w14:textId="77777777" w:rsidR="006C7B37" w:rsidRPr="008B68A9" w:rsidRDefault="006C7B37" w:rsidP="00045396">
            <w:pPr>
              <w:spacing w:after="0" w:line="360" w:lineRule="auto"/>
              <w:jc w:val="both"/>
              <w:rPr>
                <w:sz w:val="22"/>
              </w:rPr>
            </w:pPr>
            <w:r w:rsidRPr="008B68A9">
              <w:rPr>
                <w:sz w:val="22"/>
              </w:rPr>
              <w:t>Bureaucracy and process</w:t>
            </w:r>
          </w:p>
        </w:tc>
        <w:tc>
          <w:tcPr>
            <w:tcW w:w="4354" w:type="dxa"/>
          </w:tcPr>
          <w:p w14:paraId="47877305" w14:textId="77777777" w:rsidR="006C7B37" w:rsidRPr="008B68A9" w:rsidRDefault="006C7B37" w:rsidP="00045396">
            <w:pPr>
              <w:spacing w:after="0" w:line="360" w:lineRule="auto"/>
              <w:jc w:val="both"/>
              <w:rPr>
                <w:sz w:val="22"/>
              </w:rPr>
            </w:pPr>
            <w:r w:rsidRPr="008B68A9">
              <w:rPr>
                <w:sz w:val="22"/>
              </w:rPr>
              <w:t>Uncertain workload</w:t>
            </w:r>
          </w:p>
        </w:tc>
      </w:tr>
      <w:tr w:rsidR="006C7B37" w:rsidRPr="008B68A9" w14:paraId="44820EAE" w14:textId="77777777" w:rsidTr="00045396">
        <w:tc>
          <w:tcPr>
            <w:tcW w:w="4345" w:type="dxa"/>
          </w:tcPr>
          <w:p w14:paraId="6A09FED5" w14:textId="77777777" w:rsidR="006C7B37" w:rsidRPr="008B68A9" w:rsidRDefault="006C7B37" w:rsidP="00045396">
            <w:pPr>
              <w:spacing w:after="0" w:line="360" w:lineRule="auto"/>
              <w:jc w:val="both"/>
              <w:rPr>
                <w:sz w:val="22"/>
              </w:rPr>
            </w:pPr>
            <w:r w:rsidRPr="008B68A9">
              <w:rPr>
                <w:sz w:val="22"/>
              </w:rPr>
              <w:t>Professional gift model</w:t>
            </w:r>
          </w:p>
        </w:tc>
        <w:tc>
          <w:tcPr>
            <w:tcW w:w="4354" w:type="dxa"/>
          </w:tcPr>
          <w:p w14:paraId="1C820EE4" w14:textId="77777777" w:rsidR="006C7B37" w:rsidRPr="008B68A9" w:rsidRDefault="006C7B37" w:rsidP="00045396">
            <w:pPr>
              <w:spacing w:after="0" w:line="360" w:lineRule="auto"/>
              <w:jc w:val="both"/>
              <w:rPr>
                <w:sz w:val="22"/>
              </w:rPr>
            </w:pPr>
            <w:r w:rsidRPr="008B68A9">
              <w:rPr>
                <w:sz w:val="22"/>
              </w:rPr>
              <w:t>Resource equity</w:t>
            </w:r>
          </w:p>
        </w:tc>
      </w:tr>
      <w:tr w:rsidR="006C7B37" w:rsidRPr="008B68A9" w14:paraId="40CC387F" w14:textId="77777777" w:rsidTr="00045396">
        <w:tc>
          <w:tcPr>
            <w:tcW w:w="4345" w:type="dxa"/>
          </w:tcPr>
          <w:p w14:paraId="4C79F87C" w14:textId="77777777" w:rsidR="006C7B37" w:rsidRPr="008B68A9" w:rsidRDefault="006C7B37" w:rsidP="00045396">
            <w:pPr>
              <w:spacing w:after="0" w:line="360" w:lineRule="auto"/>
              <w:jc w:val="both"/>
              <w:rPr>
                <w:sz w:val="22"/>
              </w:rPr>
            </w:pPr>
            <w:r w:rsidRPr="008B68A9">
              <w:rPr>
                <w:sz w:val="22"/>
              </w:rPr>
              <w:t>Training</w:t>
            </w:r>
          </w:p>
        </w:tc>
        <w:tc>
          <w:tcPr>
            <w:tcW w:w="4354" w:type="dxa"/>
          </w:tcPr>
          <w:p w14:paraId="7E3E8DA0" w14:textId="77777777" w:rsidR="006C7B37" w:rsidRPr="008B68A9" w:rsidRDefault="006C7B37" w:rsidP="00045396">
            <w:pPr>
              <w:spacing w:after="0" w:line="360" w:lineRule="auto"/>
              <w:jc w:val="both"/>
              <w:rPr>
                <w:sz w:val="22"/>
              </w:rPr>
            </w:pPr>
            <w:r w:rsidRPr="008B68A9">
              <w:rPr>
                <w:sz w:val="22"/>
              </w:rPr>
              <w:t>Barriers to change</w:t>
            </w:r>
          </w:p>
        </w:tc>
      </w:tr>
    </w:tbl>
    <w:p w14:paraId="75A04643" w14:textId="39841F2E" w:rsidR="006C7B37" w:rsidRPr="008B68A9" w:rsidRDefault="006C7B37" w:rsidP="006C7B37">
      <w:pPr>
        <w:pStyle w:val="9btablecaption"/>
      </w:pPr>
      <w:bookmarkStart w:id="146" w:name="_Toc413827557"/>
      <w:bookmarkStart w:id="147" w:name="_Toc466799799"/>
      <w:r w:rsidRPr="008B68A9">
        <w:t xml:space="preserve">Table </w:t>
      </w:r>
      <w:r w:rsidR="00DF399F" w:rsidRPr="008B68A9">
        <w:t>5</w:t>
      </w:r>
      <w:r w:rsidRPr="008B68A9">
        <w:t>: Challenges for professionals</w:t>
      </w:r>
      <w:bookmarkEnd w:id="146"/>
      <w:bookmarkEnd w:id="147"/>
      <w:r w:rsidRPr="008B68A9">
        <w:t xml:space="preserve"> </w:t>
      </w:r>
    </w:p>
    <w:p w14:paraId="20B46849" w14:textId="77777777" w:rsidR="006C7B37" w:rsidRPr="008B68A9" w:rsidRDefault="006C7B37" w:rsidP="002F0FD7">
      <w:pPr>
        <w:pStyle w:val="5arangedleft"/>
      </w:pPr>
    </w:p>
    <w:p w14:paraId="44117A62" w14:textId="285DFF0A" w:rsidR="006C7B37" w:rsidRPr="008B68A9" w:rsidRDefault="006C7B37" w:rsidP="002F0FD7">
      <w:pPr>
        <w:pStyle w:val="5arangedleft"/>
        <w:rPr>
          <w:rFonts w:cs="Arial"/>
        </w:rPr>
      </w:pPr>
      <w:r w:rsidRPr="008B68A9">
        <w:t xml:space="preserve">A concern expressed by staff was </w:t>
      </w:r>
      <w:r w:rsidR="00041CDB" w:rsidRPr="008B68A9">
        <w:t>the</w:t>
      </w:r>
      <w:r w:rsidRPr="008B68A9">
        <w:t xml:space="preserve"> perception that brokers and their roles were unregulated, without governance or accountability. The professional dominance observed requires a shift in thinking and practice for service personnel, though the challenges to professional thinking and practice </w:t>
      </w:r>
      <w:r w:rsidR="00041CDB" w:rsidRPr="008B68A9">
        <w:t xml:space="preserve">that </w:t>
      </w:r>
      <w:r w:rsidRPr="008B68A9">
        <w:t xml:space="preserve">self-directed support represents </w:t>
      </w:r>
      <w:r w:rsidR="00041CDB" w:rsidRPr="008B68A9">
        <w:t>was</w:t>
      </w:r>
      <w:r w:rsidRPr="008B68A9">
        <w:t xml:space="preserve"> recognised.</w:t>
      </w:r>
      <w:r w:rsidRPr="008B68A9">
        <w:rPr>
          <w:rFonts w:cs="Arial"/>
        </w:rPr>
        <w:t xml:space="preserve"> </w:t>
      </w:r>
      <w:r w:rsidRPr="008B68A9">
        <w:t xml:space="preserve">Whilst </w:t>
      </w:r>
      <w:r w:rsidR="00041CDB" w:rsidRPr="008B68A9">
        <w:t>few</w:t>
      </w:r>
      <w:r w:rsidRPr="008B68A9">
        <w:t xml:space="preserve"> practitioners welcomed self-directed support, many remained resistant. Prejudicial and negative values expressed through comments were recorded in the focus group (table</w:t>
      </w:r>
      <w:r w:rsidR="00EC6243" w:rsidRPr="008B68A9">
        <w:t>s</w:t>
      </w:r>
      <w:r w:rsidRPr="008B68A9">
        <w:t xml:space="preserve"> </w:t>
      </w:r>
      <w:r w:rsidR="00EC6243" w:rsidRPr="008B68A9">
        <w:t>4 and 5</w:t>
      </w:r>
      <w:r w:rsidRPr="008B68A9">
        <w:t xml:space="preserve">) which indicated the strength of opposition towards </w:t>
      </w:r>
      <w:r w:rsidR="00371B44" w:rsidRPr="008B68A9">
        <w:t>co-production</w:t>
      </w:r>
      <w:r w:rsidRPr="008B68A9">
        <w:t xml:space="preserve"> and joint work with users of services.</w:t>
      </w:r>
    </w:p>
    <w:p w14:paraId="6D90CE7A" w14:textId="4B32DA6D" w:rsidR="006C7B37" w:rsidRPr="008B68A9" w:rsidRDefault="006C7B37" w:rsidP="006C7B37">
      <w:pPr>
        <w:pStyle w:val="3L3header"/>
      </w:pPr>
      <w:bookmarkStart w:id="148" w:name="_Toc413827440"/>
      <w:bookmarkStart w:id="149" w:name="_Toc466800339"/>
      <w:r w:rsidRPr="008B68A9">
        <w:t>5.4.</w:t>
      </w:r>
      <w:r w:rsidR="003B2E50" w:rsidRPr="008B68A9">
        <w:t>8</w:t>
      </w:r>
      <w:r w:rsidRPr="008B68A9">
        <w:t xml:space="preserve"> External brokerage</w:t>
      </w:r>
      <w:bookmarkEnd w:id="148"/>
      <w:bookmarkEnd w:id="149"/>
    </w:p>
    <w:p w14:paraId="674E0618" w14:textId="77777777" w:rsidR="006C7B37" w:rsidRPr="008B68A9" w:rsidRDefault="006C7B37" w:rsidP="002F0FD7">
      <w:pPr>
        <w:pStyle w:val="5arangedleft"/>
      </w:pPr>
      <w:r w:rsidRPr="008B68A9">
        <w:t xml:space="preserve">An independent brokerage service with experience of support planning services for people with learning disabilities in another region of England was commissioned to act in an external broker role. The broker was sited within the community mental health team, facilitating good communication and building capacity within that team. Proximity, however, meant the broker became a part of wider issues of role </w:t>
      </w:r>
      <w:r w:rsidRPr="008B68A9">
        <w:lastRenderedPageBreak/>
        <w:t xml:space="preserve">responsibility and workload. Some care practitioners withdrew entirely from the support planning processes, handing responsibility for all self-directed support activity entirely to the external broker. Similarly, some care practitioners who worked with self-directed support relied heavily on the external broker for guidance to develop and process support plans. The external brokerage route was not offered universally, due to capacity as the pilot expanded.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4133"/>
      </w:tblGrid>
      <w:tr w:rsidR="006C7B37" w:rsidRPr="008B68A9" w14:paraId="1505799A" w14:textId="77777777" w:rsidTr="00045396">
        <w:trPr>
          <w:trHeight w:val="558"/>
        </w:trPr>
        <w:tc>
          <w:tcPr>
            <w:tcW w:w="9242" w:type="dxa"/>
            <w:gridSpan w:val="2"/>
            <w:shd w:val="clear" w:color="auto" w:fill="F2F2F2" w:themeFill="background1" w:themeFillShade="F2"/>
          </w:tcPr>
          <w:p w14:paraId="374CB696" w14:textId="77777777" w:rsidR="006C7B37" w:rsidRPr="008B68A9" w:rsidRDefault="006C7B37" w:rsidP="00045396">
            <w:pPr>
              <w:spacing w:after="0" w:line="360" w:lineRule="auto"/>
              <w:jc w:val="center"/>
              <w:rPr>
                <w:b/>
                <w:sz w:val="22"/>
              </w:rPr>
            </w:pPr>
            <w:r w:rsidRPr="008B68A9">
              <w:rPr>
                <w:b/>
                <w:sz w:val="22"/>
              </w:rPr>
              <w:t>External broker</w:t>
            </w:r>
          </w:p>
        </w:tc>
      </w:tr>
      <w:tr w:rsidR="006C7B37" w:rsidRPr="008B68A9" w14:paraId="789442ED" w14:textId="77777777" w:rsidTr="00045396">
        <w:trPr>
          <w:trHeight w:val="382"/>
        </w:trPr>
        <w:tc>
          <w:tcPr>
            <w:tcW w:w="4621" w:type="dxa"/>
          </w:tcPr>
          <w:p w14:paraId="0E16CC02" w14:textId="77777777" w:rsidR="006C7B37" w:rsidRPr="008B68A9" w:rsidRDefault="006C7B37" w:rsidP="00045396">
            <w:pPr>
              <w:spacing w:after="0" w:line="360" w:lineRule="auto"/>
              <w:jc w:val="center"/>
              <w:rPr>
                <w:sz w:val="22"/>
              </w:rPr>
            </w:pPr>
            <w:r w:rsidRPr="008B68A9">
              <w:rPr>
                <w:sz w:val="22"/>
              </w:rPr>
              <w:t>Account</w:t>
            </w:r>
          </w:p>
        </w:tc>
        <w:tc>
          <w:tcPr>
            <w:tcW w:w="4621" w:type="dxa"/>
          </w:tcPr>
          <w:p w14:paraId="1B9D3202" w14:textId="77777777" w:rsidR="006C7B37" w:rsidRPr="008B68A9" w:rsidRDefault="006C7B37" w:rsidP="00045396">
            <w:pPr>
              <w:spacing w:after="0" w:line="360" w:lineRule="auto"/>
              <w:jc w:val="center"/>
              <w:rPr>
                <w:sz w:val="22"/>
              </w:rPr>
            </w:pPr>
            <w:r w:rsidRPr="008B68A9">
              <w:rPr>
                <w:sz w:val="22"/>
              </w:rPr>
              <w:t>Outcome</w:t>
            </w:r>
          </w:p>
        </w:tc>
      </w:tr>
      <w:tr w:rsidR="006C7B37" w:rsidRPr="008B68A9" w14:paraId="6B46119A" w14:textId="77777777" w:rsidTr="00045396">
        <w:tc>
          <w:tcPr>
            <w:tcW w:w="4621" w:type="dxa"/>
          </w:tcPr>
          <w:p w14:paraId="6AD873E2" w14:textId="77777777" w:rsidR="006C7B37" w:rsidRPr="008B68A9" w:rsidRDefault="006C7B37" w:rsidP="00045396">
            <w:pPr>
              <w:spacing w:after="0" w:line="360" w:lineRule="auto"/>
              <w:jc w:val="both"/>
              <w:rPr>
                <w:sz w:val="22"/>
              </w:rPr>
            </w:pPr>
            <w:r w:rsidRPr="008B68A9">
              <w:rPr>
                <w:sz w:val="22"/>
              </w:rPr>
              <w:t>Conflict</w:t>
            </w:r>
          </w:p>
        </w:tc>
        <w:tc>
          <w:tcPr>
            <w:tcW w:w="4621" w:type="dxa"/>
          </w:tcPr>
          <w:p w14:paraId="0CE293A0" w14:textId="77777777" w:rsidR="006C7B37" w:rsidRPr="008B68A9" w:rsidRDefault="006C7B37" w:rsidP="00045396">
            <w:pPr>
              <w:spacing w:after="0" w:line="360" w:lineRule="auto"/>
              <w:jc w:val="both"/>
              <w:rPr>
                <w:sz w:val="22"/>
              </w:rPr>
            </w:pPr>
            <w:r w:rsidRPr="008B68A9">
              <w:rPr>
                <w:sz w:val="22"/>
              </w:rPr>
              <w:t xml:space="preserve">Empathy </w:t>
            </w:r>
          </w:p>
        </w:tc>
      </w:tr>
      <w:tr w:rsidR="006C7B37" w:rsidRPr="008B68A9" w14:paraId="5DAB2A50" w14:textId="77777777" w:rsidTr="00045396">
        <w:tc>
          <w:tcPr>
            <w:tcW w:w="4621" w:type="dxa"/>
          </w:tcPr>
          <w:p w14:paraId="7A1E2EC9" w14:textId="77777777" w:rsidR="006C7B37" w:rsidRPr="008B68A9" w:rsidRDefault="006C7B37" w:rsidP="00045396">
            <w:pPr>
              <w:spacing w:after="0" w:line="360" w:lineRule="auto"/>
              <w:jc w:val="both"/>
              <w:rPr>
                <w:sz w:val="22"/>
              </w:rPr>
            </w:pPr>
            <w:r w:rsidRPr="008B68A9">
              <w:rPr>
                <w:sz w:val="22"/>
              </w:rPr>
              <w:t xml:space="preserve">Isolation </w:t>
            </w:r>
          </w:p>
        </w:tc>
        <w:tc>
          <w:tcPr>
            <w:tcW w:w="4621" w:type="dxa"/>
          </w:tcPr>
          <w:p w14:paraId="72F5E04F" w14:textId="77777777" w:rsidR="006C7B37" w:rsidRPr="008B68A9" w:rsidRDefault="006C7B37" w:rsidP="00045396">
            <w:pPr>
              <w:spacing w:after="0" w:line="360" w:lineRule="auto"/>
              <w:jc w:val="both"/>
              <w:rPr>
                <w:sz w:val="22"/>
              </w:rPr>
            </w:pPr>
            <w:r w:rsidRPr="008B68A9">
              <w:rPr>
                <w:sz w:val="22"/>
              </w:rPr>
              <w:t xml:space="preserve">Responsibility </w:t>
            </w:r>
          </w:p>
        </w:tc>
      </w:tr>
      <w:tr w:rsidR="006C7B37" w:rsidRPr="008B68A9" w14:paraId="46008DF0" w14:textId="77777777" w:rsidTr="00045396">
        <w:tc>
          <w:tcPr>
            <w:tcW w:w="4621" w:type="dxa"/>
          </w:tcPr>
          <w:p w14:paraId="0A832365" w14:textId="77777777" w:rsidR="006C7B37" w:rsidRPr="008B68A9" w:rsidRDefault="006C7B37" w:rsidP="00045396">
            <w:pPr>
              <w:spacing w:after="0" w:line="360" w:lineRule="auto"/>
              <w:jc w:val="both"/>
              <w:rPr>
                <w:sz w:val="22"/>
              </w:rPr>
            </w:pPr>
            <w:r w:rsidRPr="008B68A9">
              <w:rPr>
                <w:sz w:val="22"/>
              </w:rPr>
              <w:t xml:space="preserve">Challenge </w:t>
            </w:r>
          </w:p>
        </w:tc>
        <w:tc>
          <w:tcPr>
            <w:tcW w:w="4621" w:type="dxa"/>
          </w:tcPr>
          <w:p w14:paraId="63F1957B" w14:textId="77777777" w:rsidR="006C7B37" w:rsidRPr="008B68A9" w:rsidRDefault="006C7B37" w:rsidP="00045396">
            <w:pPr>
              <w:spacing w:after="0" w:line="360" w:lineRule="auto"/>
              <w:jc w:val="both"/>
              <w:rPr>
                <w:sz w:val="22"/>
              </w:rPr>
            </w:pPr>
            <w:r w:rsidRPr="008B68A9">
              <w:rPr>
                <w:sz w:val="22"/>
              </w:rPr>
              <w:t xml:space="preserve">Creativity </w:t>
            </w:r>
          </w:p>
        </w:tc>
      </w:tr>
    </w:tbl>
    <w:p w14:paraId="1E520C80" w14:textId="31D6EA47" w:rsidR="006C7B37" w:rsidRPr="008B68A9" w:rsidRDefault="006C7B37" w:rsidP="006C7B37">
      <w:pPr>
        <w:pStyle w:val="9btablecaption"/>
      </w:pPr>
      <w:bookmarkStart w:id="150" w:name="_Toc413827558"/>
      <w:bookmarkStart w:id="151" w:name="_Toc466799800"/>
      <w:r w:rsidRPr="008B68A9">
        <w:t xml:space="preserve">Table </w:t>
      </w:r>
      <w:r w:rsidR="00DF399F" w:rsidRPr="008B68A9">
        <w:t>6</w:t>
      </w:r>
      <w:r w:rsidRPr="008B68A9">
        <w:t>: External broker experience</w:t>
      </w:r>
      <w:bookmarkEnd w:id="150"/>
      <w:bookmarkEnd w:id="151"/>
    </w:p>
    <w:p w14:paraId="4CB65BF2" w14:textId="77777777" w:rsidR="006C7B37" w:rsidRPr="008B68A9" w:rsidRDefault="006C7B37" w:rsidP="002F0FD7">
      <w:pPr>
        <w:pStyle w:val="5arangedleft"/>
      </w:pPr>
    </w:p>
    <w:p w14:paraId="0AF23DC4" w14:textId="77777777" w:rsidR="006C7B37" w:rsidRPr="008B68A9" w:rsidRDefault="006C7B37" w:rsidP="002F0FD7">
      <w:pPr>
        <w:pStyle w:val="5arangedleft"/>
      </w:pPr>
      <w:r w:rsidRPr="008B68A9">
        <w:t>The external broker experienced separation and in some instances hostility from practitioners working in the mental health setting as the segment below highlights:</w:t>
      </w:r>
    </w:p>
    <w:p w14:paraId="0A383C6F" w14:textId="77777777" w:rsidR="006C7B37" w:rsidRPr="008B68A9" w:rsidRDefault="006C7B37" w:rsidP="002F0FD7">
      <w:pPr>
        <w:pStyle w:val="6bblockquoteitalic"/>
      </w:pPr>
      <w:r w:rsidRPr="008B68A9">
        <w:t>…it is indicative of the team manager definitely. Because the team manager threw this plan across the desk at me the first time he saw it.</w:t>
      </w:r>
    </w:p>
    <w:p w14:paraId="2A731297" w14:textId="05EAC175" w:rsidR="006C7B37" w:rsidRPr="008B68A9" w:rsidRDefault="006C7B37" w:rsidP="002F0FD7">
      <w:pPr>
        <w:pStyle w:val="5arangedleft"/>
      </w:pPr>
    </w:p>
    <w:p w14:paraId="1B9D0166" w14:textId="7608B2BC" w:rsidR="006C7B37" w:rsidRPr="008B68A9" w:rsidRDefault="006C7B37" w:rsidP="006C7B37">
      <w:pPr>
        <w:pStyle w:val="3L3header"/>
      </w:pPr>
      <w:bookmarkStart w:id="152" w:name="_Toc413827441"/>
      <w:bookmarkStart w:id="153" w:name="_Toc466800340"/>
      <w:r w:rsidRPr="008B68A9">
        <w:t>5.4.</w:t>
      </w:r>
      <w:r w:rsidR="003B2E50" w:rsidRPr="008B68A9">
        <w:t>9</w:t>
      </w:r>
      <w:r w:rsidRPr="008B68A9">
        <w:t xml:space="preserve"> Internal broker</w:t>
      </w:r>
      <w:bookmarkEnd w:id="152"/>
      <w:bookmarkEnd w:id="153"/>
    </w:p>
    <w:p w14:paraId="714B7806" w14:textId="31E07522" w:rsidR="006C7B37" w:rsidRPr="008B68A9" w:rsidRDefault="006C7B37" w:rsidP="002F0FD7">
      <w:pPr>
        <w:pStyle w:val="5arangedleft"/>
      </w:pPr>
      <w:r w:rsidRPr="008B68A9">
        <w:t>The internal broker’s substantive posts were in care coordination within community mental health services; supporting others to develop self-directed support plans was additional to their role. The internal broker’s background in social work was different to nursing staff in</w:t>
      </w:r>
      <w:r w:rsidR="00041CDB" w:rsidRPr="008B68A9">
        <w:t xml:space="preserve"> their approach to</w:t>
      </w:r>
      <w:r w:rsidRPr="008B68A9">
        <w:t xml:space="preserve"> assessment and identifying need</w:t>
      </w:r>
      <w:r w:rsidR="00041CDB" w:rsidRPr="008B68A9">
        <w:t>. The social worker</w:t>
      </w:r>
      <w:r w:rsidRPr="008B68A9">
        <w:t xml:space="preserve"> broker </w:t>
      </w:r>
      <w:r w:rsidR="00041CDB" w:rsidRPr="008B68A9">
        <w:t>was familiar</w:t>
      </w:r>
      <w:r w:rsidRPr="008B68A9">
        <w:t xml:space="preserve"> with and</w:t>
      </w:r>
      <w:r w:rsidR="00041CDB" w:rsidRPr="008B68A9">
        <w:t xml:space="preserve"> had</w:t>
      </w:r>
      <w:r w:rsidRPr="008B68A9">
        <w:t xml:space="preserve"> experience of means testing</w:t>
      </w:r>
      <w:r w:rsidR="00041CDB" w:rsidRPr="008B68A9">
        <w:t xml:space="preserve"> and part payment of services</w:t>
      </w:r>
      <w:r w:rsidRPr="008B68A9">
        <w:t xml:space="preserve"> as part of their role. Nursing </w:t>
      </w:r>
      <w:r w:rsidR="00041CDB" w:rsidRPr="008B68A9">
        <w:t xml:space="preserve">however </w:t>
      </w:r>
      <w:r w:rsidRPr="008B68A9">
        <w:t xml:space="preserve">has a different heritage where costs, money and services </w:t>
      </w:r>
      <w:r w:rsidR="00041CDB" w:rsidRPr="008B68A9">
        <w:t>are</w:t>
      </w:r>
      <w:r w:rsidRPr="008B68A9">
        <w:t xml:space="preserve"> less obvious, which may have contributed to reticence using self-directed support in the pilot.</w:t>
      </w:r>
    </w:p>
    <w:p w14:paraId="452C7221" w14:textId="77777777" w:rsidR="005B240A" w:rsidRPr="008B68A9" w:rsidRDefault="005B240A" w:rsidP="002F0FD7">
      <w:pPr>
        <w:pStyle w:val="5arangedleft"/>
      </w:pPr>
    </w:p>
    <w:p w14:paraId="4F165DA3" w14:textId="77777777" w:rsidR="005B240A" w:rsidRPr="008B68A9" w:rsidRDefault="005B240A" w:rsidP="002F0FD7">
      <w:pPr>
        <w:pStyle w:val="5aranged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4063"/>
      </w:tblGrid>
      <w:tr w:rsidR="006C7B37" w:rsidRPr="008B68A9" w14:paraId="31819A3B" w14:textId="77777777" w:rsidTr="00045396">
        <w:tc>
          <w:tcPr>
            <w:tcW w:w="9242" w:type="dxa"/>
            <w:gridSpan w:val="2"/>
            <w:shd w:val="clear" w:color="auto" w:fill="F2F2F2" w:themeFill="background1" w:themeFillShade="F2"/>
          </w:tcPr>
          <w:p w14:paraId="77487370" w14:textId="77777777" w:rsidR="006C7B37" w:rsidRPr="008B68A9" w:rsidRDefault="006C7B37" w:rsidP="00045396">
            <w:pPr>
              <w:spacing w:after="0" w:line="360" w:lineRule="auto"/>
              <w:jc w:val="center"/>
              <w:rPr>
                <w:b/>
                <w:sz w:val="22"/>
              </w:rPr>
            </w:pPr>
            <w:r w:rsidRPr="008B68A9">
              <w:rPr>
                <w:b/>
                <w:sz w:val="22"/>
              </w:rPr>
              <w:lastRenderedPageBreak/>
              <w:t>Internal broker</w:t>
            </w:r>
          </w:p>
        </w:tc>
      </w:tr>
      <w:tr w:rsidR="006C7B37" w:rsidRPr="008B68A9" w14:paraId="0474D0EE" w14:textId="77777777" w:rsidTr="00045396">
        <w:tc>
          <w:tcPr>
            <w:tcW w:w="4621" w:type="dxa"/>
          </w:tcPr>
          <w:p w14:paraId="54069DBA" w14:textId="77777777" w:rsidR="006C7B37" w:rsidRPr="008B68A9" w:rsidRDefault="006C7B37" w:rsidP="00045396">
            <w:pPr>
              <w:spacing w:after="0" w:line="360" w:lineRule="auto"/>
              <w:jc w:val="center"/>
              <w:rPr>
                <w:sz w:val="22"/>
              </w:rPr>
            </w:pPr>
            <w:r w:rsidRPr="008B68A9">
              <w:rPr>
                <w:sz w:val="22"/>
              </w:rPr>
              <w:t>Account</w:t>
            </w:r>
          </w:p>
        </w:tc>
        <w:tc>
          <w:tcPr>
            <w:tcW w:w="4621" w:type="dxa"/>
          </w:tcPr>
          <w:p w14:paraId="1CDDCFAD" w14:textId="77777777" w:rsidR="006C7B37" w:rsidRPr="008B68A9" w:rsidRDefault="006C7B37" w:rsidP="00045396">
            <w:pPr>
              <w:spacing w:after="0" w:line="360" w:lineRule="auto"/>
              <w:jc w:val="center"/>
              <w:rPr>
                <w:sz w:val="22"/>
              </w:rPr>
            </w:pPr>
            <w:r w:rsidRPr="008B68A9">
              <w:rPr>
                <w:sz w:val="22"/>
              </w:rPr>
              <w:t>Outcome</w:t>
            </w:r>
          </w:p>
        </w:tc>
      </w:tr>
      <w:tr w:rsidR="006C7B37" w:rsidRPr="008B68A9" w14:paraId="596D2DBB" w14:textId="77777777" w:rsidTr="00045396">
        <w:tc>
          <w:tcPr>
            <w:tcW w:w="4621" w:type="dxa"/>
          </w:tcPr>
          <w:p w14:paraId="107FECF7" w14:textId="77777777" w:rsidR="006C7B37" w:rsidRPr="008B68A9" w:rsidRDefault="006C7B37" w:rsidP="00045396">
            <w:pPr>
              <w:spacing w:after="0" w:line="360" w:lineRule="auto"/>
              <w:jc w:val="both"/>
              <w:rPr>
                <w:sz w:val="22"/>
              </w:rPr>
            </w:pPr>
            <w:r w:rsidRPr="008B68A9">
              <w:rPr>
                <w:sz w:val="22"/>
              </w:rPr>
              <w:t>Dual role</w:t>
            </w:r>
          </w:p>
        </w:tc>
        <w:tc>
          <w:tcPr>
            <w:tcW w:w="4621" w:type="dxa"/>
          </w:tcPr>
          <w:p w14:paraId="16B2838B" w14:textId="77777777" w:rsidR="006C7B37" w:rsidRPr="008B68A9" w:rsidRDefault="006C7B37" w:rsidP="00045396">
            <w:pPr>
              <w:spacing w:after="0" w:line="360" w:lineRule="auto"/>
              <w:jc w:val="both"/>
              <w:rPr>
                <w:sz w:val="22"/>
              </w:rPr>
            </w:pPr>
            <w:r w:rsidRPr="008B68A9">
              <w:rPr>
                <w:sz w:val="22"/>
              </w:rPr>
              <w:t>Time and capacity</w:t>
            </w:r>
          </w:p>
        </w:tc>
      </w:tr>
      <w:tr w:rsidR="006C7B37" w:rsidRPr="008B68A9" w14:paraId="12761669" w14:textId="77777777" w:rsidTr="00045396">
        <w:tc>
          <w:tcPr>
            <w:tcW w:w="4621" w:type="dxa"/>
          </w:tcPr>
          <w:p w14:paraId="4C804EA7" w14:textId="77777777" w:rsidR="006C7B37" w:rsidRPr="008B68A9" w:rsidRDefault="006C7B37" w:rsidP="00045396">
            <w:pPr>
              <w:spacing w:after="0" w:line="360" w:lineRule="auto"/>
              <w:jc w:val="both"/>
              <w:rPr>
                <w:sz w:val="22"/>
              </w:rPr>
            </w:pPr>
            <w:r w:rsidRPr="008B68A9">
              <w:rPr>
                <w:sz w:val="22"/>
              </w:rPr>
              <w:t xml:space="preserve">Championing personalisation </w:t>
            </w:r>
          </w:p>
        </w:tc>
        <w:tc>
          <w:tcPr>
            <w:tcW w:w="4621" w:type="dxa"/>
          </w:tcPr>
          <w:p w14:paraId="71562FD6" w14:textId="77777777" w:rsidR="006C7B37" w:rsidRPr="008B68A9" w:rsidRDefault="006C7B37" w:rsidP="00045396">
            <w:pPr>
              <w:spacing w:after="0" w:line="360" w:lineRule="auto"/>
              <w:jc w:val="both"/>
              <w:rPr>
                <w:sz w:val="22"/>
              </w:rPr>
            </w:pPr>
            <w:r w:rsidRPr="008B68A9">
              <w:rPr>
                <w:sz w:val="22"/>
              </w:rPr>
              <w:t>Working with and working against</w:t>
            </w:r>
          </w:p>
        </w:tc>
      </w:tr>
      <w:tr w:rsidR="006C7B37" w:rsidRPr="008B68A9" w14:paraId="3940A6E2" w14:textId="77777777" w:rsidTr="00045396">
        <w:tc>
          <w:tcPr>
            <w:tcW w:w="4621" w:type="dxa"/>
          </w:tcPr>
          <w:p w14:paraId="574682C0" w14:textId="77777777" w:rsidR="006C7B37" w:rsidRPr="008B68A9" w:rsidRDefault="006C7B37" w:rsidP="00045396">
            <w:pPr>
              <w:spacing w:after="0" w:line="360" w:lineRule="auto"/>
              <w:jc w:val="both"/>
              <w:rPr>
                <w:sz w:val="22"/>
              </w:rPr>
            </w:pPr>
            <w:r w:rsidRPr="008B68A9">
              <w:rPr>
                <w:sz w:val="22"/>
              </w:rPr>
              <w:t>Spending monies</w:t>
            </w:r>
          </w:p>
        </w:tc>
        <w:tc>
          <w:tcPr>
            <w:tcW w:w="4621" w:type="dxa"/>
          </w:tcPr>
          <w:p w14:paraId="4712D9F7" w14:textId="77777777" w:rsidR="006C7B37" w:rsidRPr="008B68A9" w:rsidRDefault="006C7B37" w:rsidP="00045396">
            <w:pPr>
              <w:spacing w:after="0" w:line="360" w:lineRule="auto"/>
              <w:jc w:val="both"/>
              <w:rPr>
                <w:sz w:val="22"/>
              </w:rPr>
            </w:pPr>
            <w:r w:rsidRPr="008B68A9">
              <w:rPr>
                <w:sz w:val="22"/>
              </w:rPr>
              <w:t>Service origin</w:t>
            </w:r>
          </w:p>
        </w:tc>
      </w:tr>
    </w:tbl>
    <w:p w14:paraId="004EF0E4" w14:textId="512B81FD" w:rsidR="006C7B37" w:rsidRPr="008B68A9" w:rsidRDefault="006C7B37" w:rsidP="006C7B37">
      <w:pPr>
        <w:pStyle w:val="9btablecaption"/>
      </w:pPr>
      <w:bookmarkStart w:id="154" w:name="_Toc413827559"/>
      <w:bookmarkStart w:id="155" w:name="_Toc466799801"/>
      <w:r w:rsidRPr="008B68A9">
        <w:t xml:space="preserve">Table </w:t>
      </w:r>
      <w:r w:rsidR="00DF399F" w:rsidRPr="008B68A9">
        <w:t>7</w:t>
      </w:r>
      <w:r w:rsidRPr="008B68A9">
        <w:t>: Internal broker experience</w:t>
      </w:r>
      <w:bookmarkEnd w:id="154"/>
      <w:bookmarkEnd w:id="155"/>
    </w:p>
    <w:p w14:paraId="6F7C0490" w14:textId="77777777" w:rsidR="006C7B37" w:rsidRPr="008B68A9" w:rsidRDefault="006C7B37" w:rsidP="00DF399F"/>
    <w:p w14:paraId="03C7E8D3" w14:textId="7D697641" w:rsidR="006C7B37" w:rsidRPr="008B68A9" w:rsidRDefault="006C7B37" w:rsidP="006C7B37">
      <w:pPr>
        <w:pStyle w:val="3L3header"/>
      </w:pPr>
      <w:bookmarkStart w:id="156" w:name="_Toc413827442"/>
      <w:bookmarkStart w:id="157" w:name="_Toc466800341"/>
      <w:r w:rsidRPr="008B68A9">
        <w:t>5.4.</w:t>
      </w:r>
      <w:r w:rsidR="003B2E50" w:rsidRPr="008B68A9">
        <w:t>10</w:t>
      </w:r>
      <w:r w:rsidRPr="008B68A9">
        <w:t xml:space="preserve"> Peer brokerage</w:t>
      </w:r>
      <w:bookmarkEnd w:id="156"/>
      <w:bookmarkEnd w:id="157"/>
    </w:p>
    <w:p w14:paraId="273BA6B8" w14:textId="37D78642" w:rsidR="006C7B37" w:rsidRPr="008B68A9" w:rsidRDefault="006C7B37" w:rsidP="002F0FD7">
      <w:pPr>
        <w:pStyle w:val="5arangedleft"/>
      </w:pPr>
      <w:r w:rsidRPr="008B68A9">
        <w:t xml:space="preserve">The peer brokers were enthusiastic about self-directed support, viewing </w:t>
      </w:r>
      <w:r w:rsidR="00041CDB" w:rsidRPr="008B68A9">
        <w:t>the initiative</w:t>
      </w:r>
      <w:r w:rsidRPr="008B68A9">
        <w:t xml:space="preserve"> </w:t>
      </w:r>
      <w:r w:rsidR="00041CDB" w:rsidRPr="008B68A9">
        <w:t>positively</w:t>
      </w:r>
      <w:r w:rsidRPr="008B68A9">
        <w:t xml:space="preserve">. Peer brokers </w:t>
      </w:r>
      <w:r w:rsidR="00041CDB" w:rsidRPr="008B68A9">
        <w:t>were</w:t>
      </w:r>
      <w:r w:rsidRPr="008B68A9">
        <w:t xml:space="preserve"> trained and </w:t>
      </w:r>
      <w:r w:rsidR="00041CDB" w:rsidRPr="008B68A9">
        <w:t xml:space="preserve">offered </w:t>
      </w:r>
      <w:r w:rsidRPr="008B68A9">
        <w:t xml:space="preserve">a viable support planning option, </w:t>
      </w:r>
      <w:r w:rsidR="006861EF" w:rsidRPr="008B68A9">
        <w:t>they offered</w:t>
      </w:r>
      <w:r w:rsidRPr="008B68A9">
        <w:t xml:space="preserve"> a unique approach to self-directed s</w:t>
      </w:r>
      <w:r w:rsidR="006861EF" w:rsidRPr="008B68A9">
        <w:t xml:space="preserve">upport and </w:t>
      </w:r>
      <w:r w:rsidRPr="008B68A9">
        <w:t>planning</w:t>
      </w:r>
      <w:r w:rsidR="00041CDB" w:rsidRPr="008B68A9">
        <w:t xml:space="preserve"> combined with</w:t>
      </w:r>
      <w:r w:rsidR="006861EF" w:rsidRPr="008B68A9">
        <w:t xml:space="preserve"> a</w:t>
      </w:r>
      <w:r w:rsidRPr="008B68A9">
        <w:t xml:space="preserve"> wealth of expertise</w:t>
      </w:r>
      <w:r w:rsidR="00041CDB" w:rsidRPr="008B68A9">
        <w:t xml:space="preserve"> by experience</w:t>
      </w:r>
      <w:r w:rsidRPr="008B68A9">
        <w:t>. By the second year of the pilot, the peer brokers had undertaken six documented support plans. The</w:t>
      </w:r>
      <w:r w:rsidR="006861EF" w:rsidRPr="008B68A9">
        <w:t>se</w:t>
      </w:r>
      <w:r w:rsidRPr="008B68A9">
        <w:t xml:space="preserve"> brokers were largely ignored and </w:t>
      </w:r>
      <w:r w:rsidR="006861EF" w:rsidRPr="008B68A9">
        <w:t>this</w:t>
      </w:r>
      <w:r w:rsidRPr="008B68A9">
        <w:t xml:space="preserve"> route not utilised. Practitioners </w:t>
      </w:r>
      <w:r w:rsidR="006861EF" w:rsidRPr="008B68A9">
        <w:t>appeared to dismiss</w:t>
      </w:r>
      <w:r w:rsidRPr="008B68A9">
        <w:t xml:space="preserve"> peer brokerage with</w:t>
      </w:r>
      <w:r w:rsidR="006861EF" w:rsidRPr="008B68A9">
        <w:t xml:space="preserve"> prejudice and suspicion an example of which was where brokers</w:t>
      </w:r>
      <w:r w:rsidRPr="008B68A9">
        <w:t xml:space="preserve"> were denied access to community mental health offices, unless escorted by staff or the external broker.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4"/>
        <w:gridCol w:w="3986"/>
      </w:tblGrid>
      <w:tr w:rsidR="006C7B37" w:rsidRPr="008B68A9" w14:paraId="263F6B6B" w14:textId="77777777" w:rsidTr="00045396">
        <w:tc>
          <w:tcPr>
            <w:tcW w:w="7655" w:type="dxa"/>
            <w:gridSpan w:val="2"/>
            <w:shd w:val="clear" w:color="auto" w:fill="F2F2F2" w:themeFill="background1" w:themeFillShade="F2"/>
          </w:tcPr>
          <w:p w14:paraId="36779FEF" w14:textId="77777777" w:rsidR="006C7B37" w:rsidRPr="008B68A9" w:rsidRDefault="006C7B37" w:rsidP="00045396">
            <w:pPr>
              <w:keepNext/>
              <w:spacing w:after="0" w:line="360" w:lineRule="auto"/>
              <w:jc w:val="center"/>
              <w:rPr>
                <w:b/>
                <w:sz w:val="22"/>
              </w:rPr>
            </w:pPr>
            <w:r w:rsidRPr="008B68A9">
              <w:rPr>
                <w:b/>
                <w:sz w:val="22"/>
              </w:rPr>
              <w:t>Peer broker</w:t>
            </w:r>
          </w:p>
        </w:tc>
      </w:tr>
      <w:tr w:rsidR="006C7B37" w:rsidRPr="008B68A9" w14:paraId="1B43C9D7" w14:textId="77777777" w:rsidTr="00045396">
        <w:tc>
          <w:tcPr>
            <w:tcW w:w="3938" w:type="dxa"/>
          </w:tcPr>
          <w:p w14:paraId="6A08A84F" w14:textId="77777777" w:rsidR="006C7B37" w:rsidRPr="008B68A9" w:rsidRDefault="006C7B37" w:rsidP="00045396">
            <w:pPr>
              <w:spacing w:after="0" w:line="360" w:lineRule="auto"/>
              <w:jc w:val="center"/>
              <w:rPr>
                <w:sz w:val="22"/>
              </w:rPr>
            </w:pPr>
            <w:r w:rsidRPr="008B68A9">
              <w:rPr>
                <w:sz w:val="22"/>
              </w:rPr>
              <w:t>Account</w:t>
            </w:r>
          </w:p>
        </w:tc>
        <w:tc>
          <w:tcPr>
            <w:tcW w:w="3717" w:type="dxa"/>
          </w:tcPr>
          <w:p w14:paraId="692DC0A1" w14:textId="77777777" w:rsidR="006C7B37" w:rsidRPr="008B68A9" w:rsidRDefault="006C7B37" w:rsidP="00045396">
            <w:pPr>
              <w:spacing w:after="0" w:line="360" w:lineRule="auto"/>
              <w:jc w:val="center"/>
              <w:rPr>
                <w:sz w:val="22"/>
              </w:rPr>
            </w:pPr>
            <w:r w:rsidRPr="008B68A9">
              <w:rPr>
                <w:sz w:val="22"/>
              </w:rPr>
              <w:t>Outcome</w:t>
            </w:r>
          </w:p>
        </w:tc>
      </w:tr>
      <w:tr w:rsidR="006C7B37" w:rsidRPr="008B68A9" w14:paraId="76025936" w14:textId="77777777" w:rsidTr="00045396">
        <w:tc>
          <w:tcPr>
            <w:tcW w:w="3938" w:type="dxa"/>
          </w:tcPr>
          <w:p w14:paraId="12A2FF6C" w14:textId="77777777" w:rsidR="006C7B37" w:rsidRPr="008B68A9" w:rsidRDefault="006C7B37" w:rsidP="00045396">
            <w:pPr>
              <w:spacing w:after="0" w:line="360" w:lineRule="auto"/>
              <w:jc w:val="both"/>
              <w:rPr>
                <w:sz w:val="22"/>
              </w:rPr>
            </w:pPr>
            <w:r w:rsidRPr="008B68A9">
              <w:rPr>
                <w:sz w:val="22"/>
              </w:rPr>
              <w:t xml:space="preserve">Ignored </w:t>
            </w:r>
          </w:p>
        </w:tc>
        <w:tc>
          <w:tcPr>
            <w:tcW w:w="3717" w:type="dxa"/>
          </w:tcPr>
          <w:p w14:paraId="122D7C33" w14:textId="77777777" w:rsidR="006C7B37" w:rsidRPr="008B68A9" w:rsidRDefault="006C7B37" w:rsidP="00045396">
            <w:pPr>
              <w:spacing w:after="0" w:line="360" w:lineRule="auto"/>
              <w:jc w:val="both"/>
              <w:rPr>
                <w:sz w:val="22"/>
              </w:rPr>
            </w:pPr>
            <w:r w:rsidRPr="008B68A9">
              <w:rPr>
                <w:sz w:val="22"/>
              </w:rPr>
              <w:t xml:space="preserve">Excluded </w:t>
            </w:r>
          </w:p>
        </w:tc>
      </w:tr>
      <w:tr w:rsidR="006C7B37" w:rsidRPr="008B68A9" w14:paraId="20459A2A" w14:textId="77777777" w:rsidTr="00045396">
        <w:tc>
          <w:tcPr>
            <w:tcW w:w="3938" w:type="dxa"/>
          </w:tcPr>
          <w:p w14:paraId="53255EA8" w14:textId="77777777" w:rsidR="006C7B37" w:rsidRPr="008B68A9" w:rsidRDefault="006C7B37" w:rsidP="00045396">
            <w:pPr>
              <w:spacing w:after="0" w:line="360" w:lineRule="auto"/>
              <w:jc w:val="both"/>
              <w:rPr>
                <w:sz w:val="22"/>
              </w:rPr>
            </w:pPr>
            <w:r w:rsidRPr="008B68A9">
              <w:rPr>
                <w:sz w:val="22"/>
              </w:rPr>
              <w:t>Remain positive</w:t>
            </w:r>
          </w:p>
        </w:tc>
        <w:tc>
          <w:tcPr>
            <w:tcW w:w="3717" w:type="dxa"/>
          </w:tcPr>
          <w:p w14:paraId="5BAD3E8D" w14:textId="77777777" w:rsidR="006C7B37" w:rsidRPr="008B68A9" w:rsidRDefault="006C7B37" w:rsidP="00045396">
            <w:pPr>
              <w:spacing w:after="0" w:line="360" w:lineRule="auto"/>
              <w:jc w:val="both"/>
              <w:rPr>
                <w:sz w:val="22"/>
              </w:rPr>
            </w:pPr>
            <w:r w:rsidRPr="008B68A9">
              <w:rPr>
                <w:sz w:val="22"/>
              </w:rPr>
              <w:t xml:space="preserve">Opportunity for change </w:t>
            </w:r>
          </w:p>
        </w:tc>
      </w:tr>
      <w:tr w:rsidR="006C7B37" w:rsidRPr="008B68A9" w14:paraId="356A34D7" w14:textId="77777777" w:rsidTr="00045396">
        <w:tc>
          <w:tcPr>
            <w:tcW w:w="3938" w:type="dxa"/>
          </w:tcPr>
          <w:p w14:paraId="29380929" w14:textId="77777777" w:rsidR="006C7B37" w:rsidRPr="008B68A9" w:rsidRDefault="006C7B37" w:rsidP="00045396">
            <w:pPr>
              <w:spacing w:after="0" w:line="360" w:lineRule="auto"/>
              <w:jc w:val="both"/>
              <w:rPr>
                <w:sz w:val="22"/>
              </w:rPr>
            </w:pPr>
            <w:r w:rsidRPr="008B68A9">
              <w:rPr>
                <w:sz w:val="22"/>
              </w:rPr>
              <w:t>Invisible in process</w:t>
            </w:r>
          </w:p>
        </w:tc>
        <w:tc>
          <w:tcPr>
            <w:tcW w:w="3717" w:type="dxa"/>
          </w:tcPr>
          <w:p w14:paraId="65C443CE" w14:textId="77777777" w:rsidR="006C7B37" w:rsidRPr="008B68A9" w:rsidRDefault="006C7B37" w:rsidP="00045396">
            <w:pPr>
              <w:spacing w:after="0" w:line="360" w:lineRule="auto"/>
              <w:jc w:val="both"/>
              <w:rPr>
                <w:sz w:val="22"/>
              </w:rPr>
            </w:pPr>
            <w:r w:rsidRPr="008B68A9">
              <w:rPr>
                <w:sz w:val="22"/>
              </w:rPr>
              <w:t>Boundary transgression</w:t>
            </w:r>
          </w:p>
        </w:tc>
      </w:tr>
    </w:tbl>
    <w:p w14:paraId="4679F160" w14:textId="20029FA1" w:rsidR="006C7B37" w:rsidRPr="008B68A9" w:rsidRDefault="006C7B37" w:rsidP="006C7B37">
      <w:pPr>
        <w:pStyle w:val="9btablecaption"/>
      </w:pPr>
      <w:bookmarkStart w:id="158" w:name="_Toc413827560"/>
      <w:bookmarkStart w:id="159" w:name="_Toc466799802"/>
      <w:r w:rsidRPr="008B68A9">
        <w:t xml:space="preserve">Table </w:t>
      </w:r>
      <w:r w:rsidR="00DF399F" w:rsidRPr="008B68A9">
        <w:t>8</w:t>
      </w:r>
      <w:r w:rsidRPr="008B68A9">
        <w:t>: Peer brokerage experience</w:t>
      </w:r>
      <w:bookmarkEnd w:id="158"/>
      <w:bookmarkEnd w:id="159"/>
    </w:p>
    <w:p w14:paraId="4F2DBE79" w14:textId="77777777" w:rsidR="006C7B37" w:rsidRPr="008B68A9" w:rsidRDefault="006C7B37" w:rsidP="002F0FD7">
      <w:pPr>
        <w:pStyle w:val="5arangedleft"/>
      </w:pPr>
      <w:bookmarkStart w:id="160" w:name="_Toc413827443"/>
    </w:p>
    <w:p w14:paraId="28F1168E" w14:textId="74D3933A" w:rsidR="006C7B37" w:rsidRPr="008B68A9" w:rsidRDefault="006C7B37" w:rsidP="006C7B37">
      <w:pPr>
        <w:pStyle w:val="3L3header"/>
      </w:pPr>
      <w:bookmarkStart w:id="161" w:name="_Toc466800342"/>
      <w:r w:rsidRPr="008B68A9">
        <w:t>5.4.1</w:t>
      </w:r>
      <w:r w:rsidR="003B2E50" w:rsidRPr="008B68A9">
        <w:t>1</w:t>
      </w:r>
      <w:r w:rsidRPr="008B68A9">
        <w:t xml:space="preserve"> Demographic: referral route: process data and spend patterns</w:t>
      </w:r>
      <w:bookmarkEnd w:id="160"/>
      <w:bookmarkEnd w:id="161"/>
    </w:p>
    <w:p w14:paraId="43FAFCF5" w14:textId="671F7C93" w:rsidR="006C7B37" w:rsidRPr="008B68A9" w:rsidRDefault="00995AA0" w:rsidP="002F0FD7">
      <w:pPr>
        <w:pStyle w:val="5arangedleft"/>
      </w:pPr>
      <w:r w:rsidRPr="008B68A9">
        <w:t>This section and the one that follows details</w:t>
      </w:r>
      <w:r w:rsidR="006C7B37" w:rsidRPr="008B68A9">
        <w:t xml:space="preserve"> technical demographic information, mapping spend patterns and brokerage routes. Chart 2 indicates growth of the self-directed support pilot. From less than 20 recipients in the first month to 179 recipients 18 months later, the chart shows a gradual increase of self-directed support recipients through the first year. Steep increases of people correspond to commissioning-led re-launches of self-directed support within the two authorities. At </w:t>
      </w:r>
      <w:r w:rsidR="006C7B37" w:rsidRPr="008B68A9">
        <w:lastRenderedPageBreak/>
        <w:t>the time, the work represented the largest mental health services self-directed support pilot in the UK.</w:t>
      </w:r>
    </w:p>
    <w:p w14:paraId="0EC725C3" w14:textId="77777777" w:rsidR="006C7B37" w:rsidRPr="008B68A9" w:rsidRDefault="006C7B37" w:rsidP="006C7B37">
      <w:pPr>
        <w:pStyle w:val="Stockportnormaltext"/>
        <w:jc w:val="both"/>
        <w:rPr>
          <w:rFonts w:asciiTheme="minorHAnsi" w:hAnsiTheme="minorHAnsi"/>
        </w:rPr>
      </w:pPr>
      <w:r w:rsidRPr="008B68A9">
        <w:rPr>
          <w:rFonts w:asciiTheme="minorHAnsi" w:hAnsiTheme="minorHAnsi" w:cs="Arial"/>
          <w:noProof/>
        </w:rPr>
        <w:drawing>
          <wp:inline distT="0" distB="0" distL="0" distR="0" wp14:anchorId="417D3515" wp14:editId="60267C33">
            <wp:extent cx="5088835" cy="3244132"/>
            <wp:effectExtent l="0" t="0" r="17145" b="13970"/>
            <wp:docPr id="8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9006CC1" w14:textId="77777777" w:rsidR="006C7B37" w:rsidRPr="008B68A9" w:rsidRDefault="006C7B37" w:rsidP="006C7B37">
      <w:pPr>
        <w:pStyle w:val="9afigurecaption"/>
        <w:rPr>
          <w:rStyle w:val="StockportfiguresChar"/>
          <w:rFonts w:asciiTheme="minorHAnsi" w:eastAsiaTheme="minorHAnsi" w:hAnsiTheme="minorHAnsi"/>
        </w:rPr>
      </w:pPr>
      <w:bookmarkStart w:id="162" w:name="_Toc413827571"/>
      <w:bookmarkStart w:id="163" w:name="_Toc466799812"/>
      <w:r w:rsidRPr="008B68A9">
        <w:t>Chart 2: Number of participants on S.D.S study site 2</w:t>
      </w:r>
      <w:bookmarkEnd w:id="162"/>
      <w:bookmarkEnd w:id="163"/>
      <w:r w:rsidRPr="008B68A9">
        <w:t xml:space="preserve"> </w:t>
      </w:r>
    </w:p>
    <w:p w14:paraId="7058E374" w14:textId="77777777" w:rsidR="006C7B37" w:rsidRPr="008B68A9" w:rsidRDefault="006C7B37" w:rsidP="006C7B37">
      <w:pPr>
        <w:pStyle w:val="9afigurecaption"/>
        <w:rPr>
          <w:rStyle w:val="StockportfiguresChar"/>
          <w:rFonts w:asciiTheme="minorHAnsi" w:eastAsiaTheme="minorHAnsi" w:hAnsiTheme="minorHAnsi"/>
          <w:b/>
        </w:rPr>
      </w:pPr>
    </w:p>
    <w:p w14:paraId="1D1AD3F3" w14:textId="77777777" w:rsidR="006C7B37" w:rsidRPr="008B68A9" w:rsidRDefault="006C7B37" w:rsidP="002F0FD7">
      <w:pPr>
        <w:pStyle w:val="5arangedleft"/>
      </w:pPr>
      <w:r w:rsidRPr="008B68A9">
        <w:t>Brokerage by different routes was recorded, showing an uptake of internal brokerage role following the withdrawal of the external broker.</w:t>
      </w:r>
    </w:p>
    <w:p w14:paraId="2941E007" w14:textId="77777777" w:rsidR="006C7B37" w:rsidRPr="008B68A9" w:rsidRDefault="006C7B37" w:rsidP="006C7B37">
      <w:pPr>
        <w:pStyle w:val="9afigurecaption"/>
      </w:pPr>
      <w:bookmarkStart w:id="164" w:name="_Toc466799813"/>
      <w:r w:rsidRPr="008B68A9">
        <w:rPr>
          <w:b w:val="0"/>
          <w:i w:val="0"/>
          <w:noProof/>
          <w:lang w:eastAsia="en-GB"/>
        </w:rPr>
        <w:drawing>
          <wp:anchor distT="0" distB="0" distL="114300" distR="114300" simplePos="0" relativeHeight="251666432" behindDoc="0" locked="0" layoutInCell="1" allowOverlap="1" wp14:anchorId="388272E2" wp14:editId="3F77A14B">
            <wp:simplePos x="0" y="0"/>
            <wp:positionH relativeFrom="column">
              <wp:posOffset>20320</wp:posOffset>
            </wp:positionH>
            <wp:positionV relativeFrom="paragraph">
              <wp:posOffset>19685</wp:posOffset>
            </wp:positionV>
            <wp:extent cx="5033175" cy="2563379"/>
            <wp:effectExtent l="19050" t="19050" r="15240" b="27940"/>
            <wp:wrapThrough wrapText="bothSides">
              <wp:wrapPolygon edited="0">
                <wp:start x="-82" y="-161"/>
                <wp:lineTo x="-82" y="21675"/>
                <wp:lineTo x="21584" y="21675"/>
                <wp:lineTo x="21584" y="-161"/>
                <wp:lineTo x="-82" y="-161"/>
              </wp:wrapPolygon>
            </wp:wrapThrough>
            <wp:docPr id="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l="11827" r="10386"/>
                    <a:stretch>
                      <a:fillRect/>
                    </a:stretch>
                  </pic:blipFill>
                  <pic:spPr bwMode="auto">
                    <a:xfrm>
                      <a:off x="0" y="0"/>
                      <a:ext cx="5033175" cy="2563379"/>
                    </a:xfrm>
                    <a:prstGeom prst="rect">
                      <a:avLst/>
                    </a:prstGeom>
                    <a:noFill/>
                    <a:ln w="3175">
                      <a:solidFill>
                        <a:schemeClr val="bg1">
                          <a:lumMod val="75000"/>
                        </a:schemeClr>
                      </a:solidFill>
                      <a:miter lim="800000"/>
                      <a:headEnd/>
                      <a:tailEnd/>
                    </a:ln>
                  </pic:spPr>
                </pic:pic>
              </a:graphicData>
            </a:graphic>
          </wp:anchor>
        </w:drawing>
      </w:r>
      <w:bookmarkStart w:id="165" w:name="_Toc413827572"/>
      <w:r w:rsidRPr="008B68A9">
        <w:t>Chart 3: Brokerage route on S.D.S study site 2</w:t>
      </w:r>
      <w:bookmarkEnd w:id="164"/>
      <w:bookmarkEnd w:id="165"/>
      <w:r w:rsidRPr="008B68A9">
        <w:t xml:space="preserve"> </w:t>
      </w:r>
    </w:p>
    <w:p w14:paraId="5F3C42B5" w14:textId="77777777" w:rsidR="006C7B37" w:rsidRPr="008B68A9" w:rsidRDefault="006C7B37" w:rsidP="006C7B37">
      <w:pPr>
        <w:pStyle w:val="9afigurecaption"/>
        <w:rPr>
          <w:sz w:val="12"/>
          <w:szCs w:val="12"/>
        </w:rPr>
      </w:pPr>
    </w:p>
    <w:p w14:paraId="25D8159D" w14:textId="14A8DCE0" w:rsidR="006C7B37" w:rsidRPr="008B68A9" w:rsidRDefault="006C7B37" w:rsidP="006C7B37">
      <w:pPr>
        <w:pStyle w:val="3L3header"/>
      </w:pPr>
      <w:bookmarkStart w:id="166" w:name="_Toc413827444"/>
      <w:bookmarkStart w:id="167" w:name="_Toc466800343"/>
      <w:r w:rsidRPr="008B68A9">
        <w:lastRenderedPageBreak/>
        <w:t>5.4.1</w:t>
      </w:r>
      <w:r w:rsidR="003B2E50" w:rsidRPr="008B68A9">
        <w:t>2</w:t>
      </w:r>
      <w:r w:rsidRPr="008B68A9">
        <w:t xml:space="preserve"> Self-directed support spent patterns</w:t>
      </w:r>
      <w:bookmarkEnd w:id="166"/>
      <w:bookmarkEnd w:id="167"/>
    </w:p>
    <w:p w14:paraId="6DC1E52D" w14:textId="77777777" w:rsidR="006C7B37" w:rsidRPr="008B68A9" w:rsidRDefault="006C7B37" w:rsidP="002F0FD7">
      <w:pPr>
        <w:pStyle w:val="5arangedleft"/>
      </w:pPr>
      <w:r w:rsidRPr="008B68A9">
        <w:t xml:space="preserve">The median spend for each budget recipient was £3,976 in the first year, dropping to £2,989 in the second year as price point reductions were implemented. The amount was comparable to those of the IBSEN study (Glendinning </w:t>
      </w:r>
      <w:r w:rsidRPr="008B68A9">
        <w:rPr>
          <w:i/>
        </w:rPr>
        <w:t>et al.</w:t>
      </w:r>
      <w:r w:rsidRPr="008B68A9">
        <w:t xml:space="preserve"> 2008), which reported a median national spend in mental health services of £4,800. There were difficulties comparing self-directed support spending with existing traditional service costs, as services involved in self-directed support were not previously available.</w:t>
      </w:r>
    </w:p>
    <w:p w14:paraId="4281D194" w14:textId="77777777" w:rsidR="006C7B37" w:rsidRPr="008B68A9" w:rsidRDefault="006C7B37" w:rsidP="002F0FD7">
      <w:pPr>
        <w:pStyle w:val="5arangedleft"/>
      </w:pPr>
      <w:r w:rsidRPr="008B68A9">
        <w:t xml:space="preserve">The data available within the metropolitan borough council did not allow a breakdown to individual service or contract costs. However, it was unlikely that costs reduced significantly, in part because personal budgets provided novel activities and existing services were funded in parallel. This has been found in other self-directed support and personalisation studies (Glendinning </w:t>
      </w:r>
      <w:r w:rsidRPr="008B68A9">
        <w:rPr>
          <w:i/>
        </w:rPr>
        <w:t>et al.</w:t>
      </w:r>
      <w:r w:rsidRPr="008B68A9">
        <w:t xml:space="preserve"> 2008, Forder </w:t>
      </w:r>
      <w:r w:rsidRPr="008B68A9">
        <w:rPr>
          <w:i/>
        </w:rPr>
        <w:t>et al.</w:t>
      </w:r>
      <w:r w:rsidRPr="008B68A9">
        <w:t xml:space="preserve"> 2012).</w:t>
      </w:r>
    </w:p>
    <w:p w14:paraId="28E52730" w14:textId="42DA9EA5" w:rsidR="006C7B37" w:rsidRPr="008B68A9" w:rsidRDefault="006C7B37" w:rsidP="002F0FD7">
      <w:pPr>
        <w:pStyle w:val="5arangedleft"/>
      </w:pPr>
      <w:r w:rsidRPr="008B68A9">
        <w:t xml:space="preserve">Mapping where and how recipients utilised their resources, through the trust’s database, created a picture of how personal budgets from self-directed support were used. Table </w:t>
      </w:r>
      <w:r w:rsidR="00DF399F" w:rsidRPr="008B68A9">
        <w:t>9</w:t>
      </w:r>
      <w:r w:rsidRPr="008B68A9">
        <w:t xml:space="preserve"> shows non-traditional use of public monies towards individual outcomes. Chart 4 shows a representation of the budget spend, where it is striking that over a third of monies were used to increase leisure and holiday activity. The importance of breaks was clear to budget recipients, though contentious to practitioners, who expressed concern and resentment.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1"/>
        <w:gridCol w:w="1269"/>
      </w:tblGrid>
      <w:tr w:rsidR="006C7B37" w:rsidRPr="008B68A9" w14:paraId="4BE6686A" w14:textId="77777777" w:rsidTr="00045396">
        <w:tc>
          <w:tcPr>
            <w:tcW w:w="8210" w:type="dxa"/>
            <w:gridSpan w:val="2"/>
            <w:shd w:val="clear" w:color="auto" w:fill="F2F2F2" w:themeFill="background1" w:themeFillShade="F2"/>
          </w:tcPr>
          <w:p w14:paraId="7A1D2A23" w14:textId="77777777" w:rsidR="006C7B37" w:rsidRPr="008B68A9" w:rsidRDefault="006C7B37" w:rsidP="00045396">
            <w:pPr>
              <w:spacing w:after="0" w:line="360" w:lineRule="auto"/>
              <w:jc w:val="center"/>
              <w:rPr>
                <w:b/>
                <w:color w:val="000000" w:themeColor="text1"/>
                <w:sz w:val="22"/>
              </w:rPr>
            </w:pPr>
            <w:r w:rsidRPr="008B68A9">
              <w:rPr>
                <w:b/>
                <w:color w:val="000000" w:themeColor="text1"/>
                <w:sz w:val="22"/>
              </w:rPr>
              <w:t>Mapping budget spend</w:t>
            </w:r>
          </w:p>
        </w:tc>
      </w:tr>
      <w:tr w:rsidR="006C7B37" w:rsidRPr="008B68A9" w14:paraId="759BE5E2" w14:textId="77777777" w:rsidTr="00045396">
        <w:tc>
          <w:tcPr>
            <w:tcW w:w="6941" w:type="dxa"/>
          </w:tcPr>
          <w:p w14:paraId="61409355"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Leisure activities/holidays</w:t>
            </w:r>
          </w:p>
        </w:tc>
        <w:tc>
          <w:tcPr>
            <w:tcW w:w="1269" w:type="dxa"/>
          </w:tcPr>
          <w:p w14:paraId="05610225"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38%</w:t>
            </w:r>
          </w:p>
        </w:tc>
      </w:tr>
      <w:tr w:rsidR="006C7B37" w:rsidRPr="008B68A9" w14:paraId="64AA1CC3" w14:textId="77777777" w:rsidTr="00045396">
        <w:tc>
          <w:tcPr>
            <w:tcW w:w="6941" w:type="dxa"/>
          </w:tcPr>
          <w:p w14:paraId="78CF01E3"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 xml:space="preserve">Assistance with everyday tasks </w:t>
            </w:r>
          </w:p>
        </w:tc>
        <w:tc>
          <w:tcPr>
            <w:tcW w:w="1269" w:type="dxa"/>
          </w:tcPr>
          <w:p w14:paraId="38886C28"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29%</w:t>
            </w:r>
          </w:p>
        </w:tc>
      </w:tr>
      <w:tr w:rsidR="006C7B37" w:rsidRPr="008B68A9" w14:paraId="5D19F03D" w14:textId="77777777" w:rsidTr="00045396">
        <w:tc>
          <w:tcPr>
            <w:tcW w:w="6941" w:type="dxa"/>
          </w:tcPr>
          <w:p w14:paraId="6D1E43B2"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Home improvements/cleaning services</w:t>
            </w:r>
          </w:p>
        </w:tc>
        <w:tc>
          <w:tcPr>
            <w:tcW w:w="1269" w:type="dxa"/>
          </w:tcPr>
          <w:p w14:paraId="3D180238"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23%</w:t>
            </w:r>
          </w:p>
        </w:tc>
      </w:tr>
      <w:tr w:rsidR="006C7B37" w:rsidRPr="008B68A9" w14:paraId="56B79706" w14:textId="77777777" w:rsidTr="00045396">
        <w:tc>
          <w:tcPr>
            <w:tcW w:w="6941" w:type="dxa"/>
          </w:tcPr>
          <w:p w14:paraId="47224274"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Access to the gym or other sporting activities</w:t>
            </w:r>
          </w:p>
        </w:tc>
        <w:tc>
          <w:tcPr>
            <w:tcW w:w="1269" w:type="dxa"/>
          </w:tcPr>
          <w:p w14:paraId="085C445F"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21%</w:t>
            </w:r>
          </w:p>
        </w:tc>
      </w:tr>
      <w:tr w:rsidR="006C7B37" w:rsidRPr="008B68A9" w14:paraId="4AD5E476" w14:textId="77777777" w:rsidTr="00045396">
        <w:tc>
          <w:tcPr>
            <w:tcW w:w="6941" w:type="dxa"/>
          </w:tcPr>
          <w:p w14:paraId="5C29A8F4"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 xml:space="preserve">Computing and other electronic equipment </w:t>
            </w:r>
          </w:p>
        </w:tc>
        <w:tc>
          <w:tcPr>
            <w:tcW w:w="1269" w:type="dxa"/>
          </w:tcPr>
          <w:p w14:paraId="4543886F"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13%</w:t>
            </w:r>
          </w:p>
        </w:tc>
      </w:tr>
      <w:tr w:rsidR="006C7B37" w:rsidRPr="008B68A9" w14:paraId="7A6AC13A" w14:textId="77777777" w:rsidTr="00045396">
        <w:tc>
          <w:tcPr>
            <w:tcW w:w="6941" w:type="dxa"/>
          </w:tcPr>
          <w:p w14:paraId="0AAA706A"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 xml:space="preserve">Help to increase socialising </w:t>
            </w:r>
          </w:p>
        </w:tc>
        <w:tc>
          <w:tcPr>
            <w:tcW w:w="1269" w:type="dxa"/>
          </w:tcPr>
          <w:p w14:paraId="47A75B6A"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11%</w:t>
            </w:r>
          </w:p>
        </w:tc>
      </w:tr>
      <w:tr w:rsidR="006C7B37" w:rsidRPr="008B68A9" w14:paraId="324050E9" w14:textId="77777777" w:rsidTr="00045396">
        <w:tc>
          <w:tcPr>
            <w:tcW w:w="6941" w:type="dxa"/>
          </w:tcPr>
          <w:p w14:paraId="6C83D876"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Transport</w:t>
            </w:r>
          </w:p>
        </w:tc>
        <w:tc>
          <w:tcPr>
            <w:tcW w:w="1269" w:type="dxa"/>
          </w:tcPr>
          <w:p w14:paraId="19141397"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11%</w:t>
            </w:r>
          </w:p>
        </w:tc>
      </w:tr>
      <w:tr w:rsidR="006C7B37" w:rsidRPr="008B68A9" w14:paraId="18B206A9" w14:textId="77777777" w:rsidTr="00045396">
        <w:tc>
          <w:tcPr>
            <w:tcW w:w="6941" w:type="dxa"/>
          </w:tcPr>
          <w:p w14:paraId="686CD84E"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 xml:space="preserve">Education courses </w:t>
            </w:r>
          </w:p>
        </w:tc>
        <w:tc>
          <w:tcPr>
            <w:tcW w:w="1269" w:type="dxa"/>
          </w:tcPr>
          <w:p w14:paraId="32B30420" w14:textId="77777777" w:rsidR="006C7B37" w:rsidRPr="008B68A9" w:rsidRDefault="006C7B37" w:rsidP="00045396">
            <w:pPr>
              <w:spacing w:after="0" w:line="360" w:lineRule="auto"/>
              <w:jc w:val="both"/>
              <w:rPr>
                <w:color w:val="000000" w:themeColor="text1"/>
                <w:sz w:val="22"/>
              </w:rPr>
            </w:pPr>
            <w:r w:rsidRPr="008B68A9">
              <w:rPr>
                <w:color w:val="000000" w:themeColor="text1"/>
                <w:sz w:val="22"/>
              </w:rPr>
              <w:t>9%</w:t>
            </w:r>
          </w:p>
        </w:tc>
      </w:tr>
    </w:tbl>
    <w:p w14:paraId="00B63C5E" w14:textId="229E04A9" w:rsidR="006C7B37" w:rsidRPr="008B68A9" w:rsidRDefault="006C7B37" w:rsidP="006C7B37">
      <w:pPr>
        <w:pStyle w:val="9btablecaption"/>
      </w:pPr>
      <w:bookmarkStart w:id="168" w:name="_Toc413827561"/>
      <w:bookmarkStart w:id="169" w:name="_Toc466799803"/>
      <w:r w:rsidRPr="008B68A9">
        <w:t xml:space="preserve">Table </w:t>
      </w:r>
      <w:r w:rsidR="00DF399F" w:rsidRPr="008B68A9">
        <w:t>9</w:t>
      </w:r>
      <w:r w:rsidRPr="008B68A9">
        <w:t>: Mapping budget spend</w:t>
      </w:r>
      <w:bookmarkEnd w:id="168"/>
      <w:bookmarkEnd w:id="169"/>
    </w:p>
    <w:p w14:paraId="6A3693C0" w14:textId="77777777" w:rsidR="006C7B37" w:rsidRPr="008B68A9" w:rsidRDefault="006C7B37" w:rsidP="002F0FD7">
      <w:pPr>
        <w:pStyle w:val="5arangedleft"/>
      </w:pPr>
    </w:p>
    <w:p w14:paraId="4ACF1008" w14:textId="77777777" w:rsidR="006C7B37" w:rsidRPr="008B68A9" w:rsidRDefault="006C7B37" w:rsidP="006C7B37">
      <w:pPr>
        <w:spacing w:after="0" w:line="360" w:lineRule="auto"/>
        <w:ind w:left="-142"/>
        <w:jc w:val="center"/>
        <w:rPr>
          <w:szCs w:val="24"/>
        </w:rPr>
      </w:pPr>
      <w:r w:rsidRPr="008B68A9">
        <w:rPr>
          <w:noProof/>
          <w:color w:val="FF0000"/>
          <w:szCs w:val="24"/>
          <w:lang w:eastAsia="en-GB"/>
        </w:rPr>
        <w:lastRenderedPageBreak/>
        <w:drawing>
          <wp:inline distT="0" distB="0" distL="0" distR="0" wp14:anchorId="255BE70D" wp14:editId="6B73A23F">
            <wp:extent cx="5124450" cy="2070100"/>
            <wp:effectExtent l="0" t="0" r="0" b="635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4A6DBB3" w14:textId="70C651CE" w:rsidR="006C7B37" w:rsidRPr="008B68A9" w:rsidRDefault="006C7B37" w:rsidP="006C7B37">
      <w:pPr>
        <w:pStyle w:val="9afigurecaption"/>
      </w:pPr>
      <w:bookmarkStart w:id="170" w:name="_Toc413827573"/>
      <w:bookmarkStart w:id="171" w:name="_Toc466799814"/>
      <w:r w:rsidRPr="008B68A9">
        <w:t>Chart 4: Visual breakdown of budget spend</w:t>
      </w:r>
      <w:bookmarkEnd w:id="170"/>
      <w:r w:rsidR="00407F55" w:rsidRPr="008B68A9">
        <w:t>: item by frequency</w:t>
      </w:r>
      <w:bookmarkEnd w:id="171"/>
      <w:r w:rsidR="00407F55" w:rsidRPr="008B68A9">
        <w:t xml:space="preserve"> </w:t>
      </w:r>
    </w:p>
    <w:p w14:paraId="2813264F" w14:textId="77777777" w:rsidR="005B240A" w:rsidRPr="008B68A9" w:rsidRDefault="005B240A" w:rsidP="00F22458">
      <w:pPr>
        <w:pStyle w:val="4brangedleft"/>
      </w:pPr>
    </w:p>
    <w:p w14:paraId="10471EDF" w14:textId="4F8C09B6" w:rsidR="006C7B37" w:rsidRPr="008B68A9" w:rsidRDefault="00F22458" w:rsidP="00F22458">
      <w:pPr>
        <w:pStyle w:val="4brangedleft"/>
      </w:pPr>
      <w:r w:rsidRPr="008B68A9">
        <w:t xml:space="preserve">Over half the funds were used in daily support and improving the recipient’s living conditions, with over twenty percent used towards some form of further education. This corresponds with other programmes of self-directed support where monies were used to improve employment potential (Cook </w:t>
      </w:r>
      <w:r w:rsidRPr="008B68A9">
        <w:rPr>
          <w:i/>
        </w:rPr>
        <w:t>et al.</w:t>
      </w:r>
      <w:r w:rsidRPr="008B68A9">
        <w:t xml:space="preserve"> 2008).</w:t>
      </w:r>
    </w:p>
    <w:p w14:paraId="01B1745A" w14:textId="77777777" w:rsidR="005B240A" w:rsidRPr="008B68A9" w:rsidRDefault="005B240A" w:rsidP="00F22458">
      <w:pPr>
        <w:pStyle w:val="4brangedleft"/>
      </w:pPr>
    </w:p>
    <w:p w14:paraId="1378175F" w14:textId="3C47558A" w:rsidR="006C7B37" w:rsidRPr="008B68A9" w:rsidRDefault="006C7B37" w:rsidP="006C7B37">
      <w:pPr>
        <w:pStyle w:val="3L3header"/>
      </w:pPr>
      <w:bookmarkStart w:id="172" w:name="_Toc413827445"/>
      <w:bookmarkStart w:id="173" w:name="_Toc466800344"/>
      <w:r w:rsidRPr="008B68A9">
        <w:t>5.4.1</w:t>
      </w:r>
      <w:r w:rsidR="003B2E50" w:rsidRPr="008B68A9">
        <w:t>3</w:t>
      </w:r>
      <w:r w:rsidRPr="008B68A9">
        <w:t xml:space="preserve"> Commentary</w:t>
      </w:r>
      <w:bookmarkEnd w:id="172"/>
      <w:r w:rsidRPr="008B68A9">
        <w:t xml:space="preserve"> and reflexivity</w:t>
      </w:r>
      <w:bookmarkEnd w:id="173"/>
      <w:r w:rsidRPr="008B68A9">
        <w:t xml:space="preserve"> </w:t>
      </w:r>
    </w:p>
    <w:p w14:paraId="0125607F" w14:textId="0A0C9FB0" w:rsidR="006C7B37" w:rsidRPr="008B68A9" w:rsidRDefault="006C7B37" w:rsidP="002F0FD7">
      <w:pPr>
        <w:pStyle w:val="5arangedleft"/>
      </w:pPr>
      <w:r w:rsidRPr="008B68A9">
        <w:t xml:space="preserve">This study represented the largest of the four evaluations undertaken. </w:t>
      </w:r>
      <w:r w:rsidR="00995AA0" w:rsidRPr="008B68A9">
        <w:t>Some</w:t>
      </w:r>
      <w:r w:rsidRPr="008B68A9">
        <w:t xml:space="preserve"> staff and all service users welcomed the introduction of self-directed support as an opportunity for positive change</w:t>
      </w:r>
      <w:r w:rsidR="00995AA0" w:rsidRPr="008B68A9">
        <w:t xml:space="preserve"> where some b</w:t>
      </w:r>
      <w:r w:rsidRPr="008B68A9">
        <w:t xml:space="preserve">udget holders </w:t>
      </w:r>
      <w:r w:rsidR="00995AA0" w:rsidRPr="008B68A9">
        <w:t>hailed</w:t>
      </w:r>
      <w:r w:rsidRPr="008B68A9">
        <w:t xml:space="preserve"> the pilot as a life-changing opportunity. The pilot demonstrated the importance of staff perception of personalisation, which enabled or hindered access and opportunity for participation. In common with other personalisation projects, the outcomes for budget users were positive and achieved at a minimal financial cost. Participants reported gains in recovery, connecting to family and community, and in some cases </w:t>
      </w:r>
      <w:r w:rsidR="00995AA0" w:rsidRPr="008B68A9">
        <w:t>the</w:t>
      </w:r>
      <w:r w:rsidRPr="008B68A9">
        <w:t xml:space="preserve"> re-establishment of roles was reported.</w:t>
      </w:r>
    </w:p>
    <w:p w14:paraId="11F39878" w14:textId="772CCB74" w:rsidR="006C7B37" w:rsidRPr="008B68A9" w:rsidRDefault="006C7B37" w:rsidP="002F0FD7">
      <w:pPr>
        <w:pStyle w:val="5arangedleft"/>
      </w:pPr>
      <w:r w:rsidRPr="008B68A9">
        <w:t xml:space="preserve">The tensions however for professionals were manifest. Challenges to role function </w:t>
      </w:r>
      <w:r w:rsidR="00995AA0" w:rsidRPr="008B68A9">
        <w:t>and</w:t>
      </w:r>
      <w:r w:rsidRPr="008B68A9">
        <w:t xml:space="preserve"> professional asymmetry were </w:t>
      </w:r>
      <w:r w:rsidR="00995AA0" w:rsidRPr="008B68A9">
        <w:t>seen</w:t>
      </w:r>
      <w:r w:rsidRPr="008B68A9">
        <w:t xml:space="preserve">. Personalisation </w:t>
      </w:r>
      <w:r w:rsidR="00995AA0" w:rsidRPr="008B68A9">
        <w:t>does</w:t>
      </w:r>
      <w:r w:rsidRPr="008B68A9">
        <w:t xml:space="preserve"> not respect the silos of traditional service delivery and routes of professionally mediated referral. Instead, personalisation poses simple but fundamental questions of what is important to and </w:t>
      </w:r>
      <w:r w:rsidRPr="008B68A9">
        <w:lastRenderedPageBreak/>
        <w:t>for the person at the centre. Attempting to work within a traditional model and simultaneously with individual budgets was challenging for many staff.</w:t>
      </w:r>
    </w:p>
    <w:p w14:paraId="492CED24" w14:textId="77777777" w:rsidR="006C7B37" w:rsidRPr="008B68A9" w:rsidRDefault="006C7B37" w:rsidP="002F0FD7">
      <w:pPr>
        <w:pStyle w:val="5arangedleft"/>
      </w:pPr>
      <w:r w:rsidRPr="008B68A9">
        <w:t>The study was ambitious within the limitations of the grant, though built on the learning from the IRB study. The processes of brokerage were interesting, particularly in respect to the user-led organisation being effectively shut out of services. The divide between professional space and role, and that of user and peer, was stark, demonstrating professionals’ unwillingness to participate in co-productive acts of work. Recruitment was poor, though explainable when the filtering of suitable potential participants by staff was identified. The professionals were unwilling or unable, owing to capacity issues, to engage in a new way of working that represented an additional burden and administrative load.</w:t>
      </w:r>
    </w:p>
    <w:p w14:paraId="5B92503C" w14:textId="3D5F9754" w:rsidR="006C7B37" w:rsidRPr="008B68A9" w:rsidRDefault="006C7B37" w:rsidP="006C7B37">
      <w:pPr>
        <w:pStyle w:val="2L2header"/>
      </w:pPr>
      <w:bookmarkStart w:id="174" w:name="_Toc413827446"/>
      <w:bookmarkStart w:id="175" w:name="_Toc466800345"/>
      <w:r w:rsidRPr="008B68A9">
        <w:t>5.5 Study 3: Exploring the use of individual budgets in a North West Metropolitan Council</w:t>
      </w:r>
      <w:bookmarkEnd w:id="174"/>
      <w:bookmarkEnd w:id="175"/>
    </w:p>
    <w:p w14:paraId="171D0157" w14:textId="77777777" w:rsidR="006C7B37" w:rsidRPr="008B68A9" w:rsidRDefault="006C7B37" w:rsidP="006C7B37">
      <w:pPr>
        <w:spacing w:line="360" w:lineRule="auto"/>
        <w:jc w:val="both"/>
        <w:rPr>
          <w:rFonts w:eastAsia="Arial" w:cs="Arial"/>
          <w:szCs w:val="24"/>
        </w:rPr>
      </w:pPr>
      <w:r w:rsidRPr="008B68A9">
        <w:rPr>
          <w:szCs w:val="24"/>
        </w:rPr>
        <w:t>April 2010 – June 2011;</w:t>
      </w:r>
      <w:r w:rsidRPr="008B68A9">
        <w:rPr>
          <w:rFonts w:eastAsia="Arial" w:cs="Arial"/>
          <w:szCs w:val="24"/>
        </w:rPr>
        <w:t xml:space="preserve"> funded grant £15,000</w:t>
      </w:r>
    </w:p>
    <w:p w14:paraId="4EC91D87" w14:textId="7B088F3D" w:rsidR="006C7B37" w:rsidRPr="008B68A9" w:rsidRDefault="006C7B37" w:rsidP="006C7B37">
      <w:pPr>
        <w:pStyle w:val="3L3header"/>
      </w:pPr>
      <w:bookmarkStart w:id="176" w:name="_Toc413827447"/>
      <w:bookmarkStart w:id="177" w:name="_Toc466800346"/>
      <w:r w:rsidRPr="008B68A9">
        <w:t>5.5.1 Summary of evaluation</w:t>
      </w:r>
      <w:bookmarkEnd w:id="176"/>
      <w:bookmarkEnd w:id="177"/>
    </w:p>
    <w:p w14:paraId="147EA35B" w14:textId="3F65223D" w:rsidR="006C7B37" w:rsidRPr="008B68A9" w:rsidRDefault="006C7B37" w:rsidP="002F0FD7">
      <w:pPr>
        <w:pStyle w:val="5arangedleft"/>
      </w:pPr>
      <w:r w:rsidRPr="008B68A9">
        <w:t xml:space="preserve">The commission for this study arose from the self-directed support study previously reported. The Metropolitan Borough Council was strongly promoting personalised services complying with the </w:t>
      </w:r>
      <w:r w:rsidRPr="008B68A9">
        <w:rPr>
          <w:i/>
        </w:rPr>
        <w:t>Putting People First</w:t>
      </w:r>
      <w:r w:rsidRPr="008B68A9">
        <w:t xml:space="preserve"> national indicators key data targets. The personalisation manager asked the principal researcher to tender a proposal exploring a wider application of personalisation, utilising brokers seconded from the older persons, learning disability and physical impairment teams. A twelve month evaluation followed and another part-time research assistant was employed, as both this and </w:t>
      </w:r>
      <w:r w:rsidR="00861337" w:rsidRPr="008B68A9">
        <w:t xml:space="preserve">the self-directed support study, (see section 5.4), </w:t>
      </w:r>
      <w:r w:rsidR="00E87109" w:rsidRPr="008B68A9">
        <w:t>ran</w:t>
      </w:r>
      <w:r w:rsidRPr="008B68A9">
        <w:t xml:space="preserve"> simultaneously.</w:t>
      </w:r>
    </w:p>
    <w:p w14:paraId="0C861D4D" w14:textId="101EC5B4" w:rsidR="00995AA0" w:rsidRPr="008B68A9" w:rsidRDefault="00995AA0">
      <w:pPr>
        <w:spacing w:line="276" w:lineRule="auto"/>
        <w:rPr>
          <w:szCs w:val="24"/>
        </w:rPr>
      </w:pPr>
      <w:r w:rsidRPr="008B68A9">
        <w:br w:type="page"/>
      </w:r>
    </w:p>
    <w:p w14:paraId="594D8F55" w14:textId="66C1229D" w:rsidR="006C7B37" w:rsidRPr="008B68A9" w:rsidRDefault="006C7B37" w:rsidP="006C7B37">
      <w:pPr>
        <w:pStyle w:val="3L3header"/>
        <w:rPr>
          <w:rFonts w:eastAsiaTheme="minorEastAsia" w:cs="Arial"/>
          <w:sz w:val="24"/>
          <w:lang w:eastAsia="en-GB"/>
        </w:rPr>
      </w:pPr>
      <w:bookmarkStart w:id="178" w:name="_Toc413827448"/>
      <w:bookmarkStart w:id="179" w:name="_Toc466800347"/>
      <w:r w:rsidRPr="008B68A9">
        <w:lastRenderedPageBreak/>
        <w:t>5.5.2 Aim</w:t>
      </w:r>
      <w:r w:rsidRPr="008B68A9">
        <w:rPr>
          <w:rFonts w:eastAsiaTheme="minorEastAsia" w:cs="Arial"/>
          <w:lang w:eastAsia="en-GB"/>
        </w:rPr>
        <w:t>s</w:t>
      </w:r>
      <w:bookmarkEnd w:id="178"/>
      <w:bookmarkEnd w:id="179"/>
    </w:p>
    <w:p w14:paraId="0F808F57" w14:textId="77777777" w:rsidR="006C7B37" w:rsidRPr="008B68A9" w:rsidRDefault="006C7B37" w:rsidP="006C7B37">
      <w:pPr>
        <w:pStyle w:val="BulletlistStockport"/>
        <w:pBdr>
          <w:top w:val="single" w:sz="4" w:space="1" w:color="auto"/>
          <w:left w:val="single" w:sz="4" w:space="4" w:color="auto"/>
          <w:bottom w:val="single" w:sz="4" w:space="1" w:color="auto"/>
          <w:right w:val="single" w:sz="4" w:space="4" w:color="auto"/>
        </w:pBdr>
        <w:shd w:val="clear" w:color="auto" w:fill="D9D9D9" w:themeFill="background1" w:themeFillShade="D9"/>
        <w:spacing w:after="120" w:line="240" w:lineRule="auto"/>
        <w:ind w:left="0" w:firstLine="0"/>
        <w:contextualSpacing w:val="0"/>
        <w:jc w:val="left"/>
        <w:rPr>
          <w:rFonts w:asciiTheme="minorHAnsi" w:hAnsiTheme="minorHAnsi" w:cs="Arial"/>
        </w:rPr>
      </w:pPr>
      <w:r w:rsidRPr="008B68A9">
        <w:rPr>
          <w:rFonts w:asciiTheme="minorHAnsi" w:hAnsiTheme="minorHAnsi" w:cs="Arial"/>
        </w:rPr>
        <w:t xml:space="preserve">Ascertain the satisfaction of carers and staff in support planning and individual budgets. </w:t>
      </w:r>
    </w:p>
    <w:p w14:paraId="5207BFD1" w14:textId="77777777" w:rsidR="006C7B37" w:rsidRPr="008B68A9" w:rsidRDefault="006C7B37" w:rsidP="006C7B37">
      <w:pPr>
        <w:pStyle w:val="BulletlistStockport"/>
        <w:pBdr>
          <w:top w:val="single" w:sz="4" w:space="1" w:color="auto"/>
          <w:left w:val="single" w:sz="4" w:space="4" w:color="auto"/>
          <w:bottom w:val="single" w:sz="4" w:space="1" w:color="auto"/>
          <w:right w:val="single" w:sz="4" w:space="4" w:color="auto"/>
        </w:pBdr>
        <w:shd w:val="clear" w:color="auto" w:fill="D9D9D9" w:themeFill="background1" w:themeFillShade="D9"/>
        <w:spacing w:after="120" w:line="240" w:lineRule="auto"/>
        <w:ind w:left="0" w:firstLine="0"/>
        <w:contextualSpacing w:val="0"/>
        <w:jc w:val="left"/>
        <w:rPr>
          <w:rFonts w:asciiTheme="minorHAnsi" w:hAnsiTheme="minorHAnsi" w:cs="Arial"/>
        </w:rPr>
      </w:pPr>
      <w:r w:rsidRPr="008B68A9">
        <w:rPr>
          <w:rFonts w:asciiTheme="minorHAnsi" w:hAnsiTheme="minorHAnsi" w:cs="Arial"/>
        </w:rPr>
        <w:t xml:space="preserve">Explore the development of the dedicated review team in individual budget planning. </w:t>
      </w:r>
    </w:p>
    <w:p w14:paraId="0E568C25" w14:textId="77777777" w:rsidR="006C7B37" w:rsidRPr="008B68A9" w:rsidRDefault="006C7B37" w:rsidP="006C7B37">
      <w:pPr>
        <w:pStyle w:val="BulletlistStockport"/>
        <w:pBdr>
          <w:top w:val="single" w:sz="4" w:space="1" w:color="auto"/>
          <w:left w:val="single" w:sz="4" w:space="4" w:color="auto"/>
          <w:bottom w:val="single" w:sz="4" w:space="1" w:color="auto"/>
          <w:right w:val="single" w:sz="4" w:space="4" w:color="auto"/>
        </w:pBdr>
        <w:shd w:val="clear" w:color="auto" w:fill="D9D9D9" w:themeFill="background1" w:themeFillShade="D9"/>
        <w:spacing w:after="120" w:line="240" w:lineRule="auto"/>
        <w:ind w:left="0" w:firstLine="0"/>
        <w:contextualSpacing w:val="0"/>
        <w:jc w:val="left"/>
        <w:rPr>
          <w:rFonts w:asciiTheme="minorHAnsi" w:hAnsiTheme="minorHAnsi" w:cs="Arial"/>
        </w:rPr>
      </w:pPr>
      <w:r w:rsidRPr="008B68A9">
        <w:rPr>
          <w:rFonts w:asciiTheme="minorHAnsi" w:hAnsiTheme="minorHAnsi" w:cs="Arial"/>
        </w:rPr>
        <w:t xml:space="preserve">Ascertain the satisfaction of carers and staff in support planning and individual budgets. </w:t>
      </w:r>
    </w:p>
    <w:p w14:paraId="294B2B67" w14:textId="77777777" w:rsidR="006C7B37" w:rsidRPr="008B68A9" w:rsidRDefault="006C7B37" w:rsidP="006C7B37">
      <w:pPr>
        <w:pStyle w:val="BulletlistStockport"/>
        <w:pBdr>
          <w:top w:val="single" w:sz="4" w:space="1" w:color="auto"/>
          <w:left w:val="single" w:sz="4" w:space="4" w:color="auto"/>
          <w:bottom w:val="single" w:sz="4" w:space="1" w:color="auto"/>
          <w:right w:val="single" w:sz="4" w:space="4" w:color="auto"/>
        </w:pBdr>
        <w:shd w:val="clear" w:color="auto" w:fill="D9D9D9" w:themeFill="background1" w:themeFillShade="D9"/>
        <w:spacing w:after="120" w:line="240" w:lineRule="auto"/>
        <w:ind w:left="0" w:firstLine="0"/>
        <w:contextualSpacing w:val="0"/>
        <w:jc w:val="left"/>
        <w:rPr>
          <w:rFonts w:asciiTheme="minorHAnsi" w:hAnsiTheme="minorHAnsi" w:cs="Arial"/>
        </w:rPr>
      </w:pPr>
      <w:r w:rsidRPr="008B68A9">
        <w:rPr>
          <w:rFonts w:asciiTheme="minorHAnsi" w:hAnsiTheme="minorHAnsi" w:cs="Arial"/>
        </w:rPr>
        <w:t xml:space="preserve">Undertake semi-structured interviews of social work staff exploring challenges and improvements required in personal budgets. </w:t>
      </w:r>
      <w:bookmarkStart w:id="180" w:name="_Toc413827449"/>
    </w:p>
    <w:p w14:paraId="43CCDE97" w14:textId="65C3031F" w:rsidR="006C7B37" w:rsidRPr="008B68A9" w:rsidRDefault="006C7B37" w:rsidP="006C7B37">
      <w:pPr>
        <w:pStyle w:val="3L3header"/>
      </w:pPr>
      <w:bookmarkStart w:id="181" w:name="_Toc466800348"/>
      <w:r w:rsidRPr="008B68A9">
        <w:t>5.5.3 Method</w:t>
      </w:r>
      <w:bookmarkEnd w:id="180"/>
      <w:bookmarkEnd w:id="181"/>
    </w:p>
    <w:p w14:paraId="25842E55" w14:textId="4C5129C8" w:rsidR="006C7B37" w:rsidRPr="008B68A9" w:rsidRDefault="006C7B37" w:rsidP="002F0FD7">
      <w:pPr>
        <w:pStyle w:val="5arangedleft"/>
      </w:pPr>
      <w:r w:rsidRPr="008B68A9">
        <w:t xml:space="preserve">This evaluation was </w:t>
      </w:r>
      <w:r w:rsidRPr="008B68A9">
        <w:rPr>
          <w:rFonts w:eastAsia="Calibri"/>
        </w:rPr>
        <w:t xml:space="preserve">based on the principles of utilisation-focused evaluation </w:t>
      </w:r>
      <w:r w:rsidRPr="008B68A9">
        <w:t>(Patton 2002),</w:t>
      </w:r>
      <w:r w:rsidRPr="008B68A9">
        <w:rPr>
          <w:rFonts w:eastAsia="Calibri"/>
        </w:rPr>
        <w:t xml:space="preserve"> and </w:t>
      </w:r>
      <w:r w:rsidRPr="008B68A9">
        <w:t xml:space="preserve">aimed to build on lessons from prior research within the commissioning organisation. The project originally intended to send a postal questionnaire to all groups receiving a personal budget within the council’s remit. A survey questionnaire was developed combining a modified Oregon personalisation tool (‘Service Quality and Outcome Evaluation of Current Mental Health Services') (Sullivan 2006), and a modified version of personalisation survey questions evaluating personalisation in social care (Bartlett 2009) </w:t>
      </w:r>
      <w:r w:rsidR="009B2628" w:rsidRPr="008B68A9">
        <w:t>were</w:t>
      </w:r>
      <w:r w:rsidRPr="008B68A9">
        <w:t xml:space="preserve"> </w:t>
      </w:r>
      <w:r w:rsidR="009B2628" w:rsidRPr="008B68A9">
        <w:t>developed</w:t>
      </w:r>
      <w:r w:rsidRPr="008B68A9">
        <w:t>. The survey was intended to be posted to approximately 900 recipients of the services at two points during the research period. However, the method was changed in response to the commissioner’s direction, problems accessing the client group and, most significantly, changes in the organisation and delivery of personalisation within the council’s remit.</w:t>
      </w:r>
    </w:p>
    <w:p w14:paraId="5AF246CC" w14:textId="1A38FA63" w:rsidR="006C7B37" w:rsidRPr="008B68A9" w:rsidRDefault="006C7B37" w:rsidP="006C7B37">
      <w:pPr>
        <w:pStyle w:val="3L3header"/>
      </w:pPr>
      <w:bookmarkStart w:id="182" w:name="_Toc413827450"/>
      <w:bookmarkStart w:id="183" w:name="_Toc466800349"/>
      <w:r w:rsidRPr="008B68A9">
        <w:t>5.5.4 Focus group with social work staff</w:t>
      </w:r>
      <w:bookmarkEnd w:id="182"/>
      <w:bookmarkEnd w:id="183"/>
    </w:p>
    <w:p w14:paraId="1B92EABC" w14:textId="77777777" w:rsidR="006C7B37" w:rsidRPr="008B68A9" w:rsidRDefault="006C7B37" w:rsidP="002F0FD7">
      <w:pPr>
        <w:pStyle w:val="5arangedleft"/>
      </w:pPr>
      <w:r w:rsidRPr="008B68A9">
        <w:t>Managers were asked to arrange participation by members of their teams. Six members of staff attended the focus group in October 2010. One member of staff represented the physical disability and sensory loss team (working with younger adults); one represented the intermediate care teams; and four staff members represented the older people's teams. The evaluation undertook qualitative interviews with staff, focusing on the systems and processes of personalisation in the authority.</w:t>
      </w:r>
    </w:p>
    <w:p w14:paraId="6E43F3FA" w14:textId="4F4B2731" w:rsidR="006C7B37" w:rsidRPr="008B68A9" w:rsidRDefault="006C7B37" w:rsidP="006C7B37">
      <w:pPr>
        <w:pStyle w:val="3L3header"/>
      </w:pPr>
      <w:bookmarkStart w:id="184" w:name="_Toc413827451"/>
      <w:bookmarkStart w:id="185" w:name="_Toc466800350"/>
      <w:r w:rsidRPr="008B68A9">
        <w:lastRenderedPageBreak/>
        <w:t>5.5.</w:t>
      </w:r>
      <w:r w:rsidR="00F22458" w:rsidRPr="008B68A9">
        <w:t>5</w:t>
      </w:r>
      <w:r w:rsidRPr="008B68A9">
        <w:t xml:space="preserve"> Service users and carers: semi-structured interviews</w:t>
      </w:r>
      <w:bookmarkEnd w:id="184"/>
      <w:bookmarkEnd w:id="185"/>
    </w:p>
    <w:p w14:paraId="3FF3BB2D" w14:textId="77777777" w:rsidR="006C7B37" w:rsidRPr="008B68A9" w:rsidRDefault="006C7B37" w:rsidP="002F0FD7">
      <w:pPr>
        <w:pStyle w:val="5arangedleft"/>
      </w:pPr>
      <w:r w:rsidRPr="008B68A9">
        <w:t>Access to participants was gained through the Direct Payment Support Service and targeted those considered likely to be amenable to participation in the research. Concordant with qualitative approaches, representative samples are sufficient where the subjects are suitable and where they can contribute to the subject at hand (Bryman 2010). Interviews were conducted by telephone with a family carer of a service user with learning disabilities, and with a family carer of a service user using older people’s services. Face-to-face interviews were conducted with a family carer of a service user with learning disabilities, and a service user with physical disabilities together with their carer. The interviews explored the type of support participants currently received and which aspects of daily living they needed help with. They were transcribed and analysed using MAXQDA software.</w:t>
      </w:r>
    </w:p>
    <w:p w14:paraId="046082D8" w14:textId="2A4A4E16" w:rsidR="006C7B37" w:rsidRPr="008B68A9" w:rsidRDefault="006C7B37" w:rsidP="006C7B37">
      <w:pPr>
        <w:pStyle w:val="3L3header"/>
      </w:pPr>
      <w:bookmarkStart w:id="186" w:name="_Toc413827452"/>
      <w:bookmarkStart w:id="187" w:name="_Toc466800351"/>
      <w:r w:rsidRPr="008B68A9">
        <w:t>5.5.</w:t>
      </w:r>
      <w:r w:rsidR="00F22458" w:rsidRPr="008B68A9">
        <w:t>6</w:t>
      </w:r>
      <w:r w:rsidRPr="008B68A9">
        <w:t xml:space="preserve"> Findings and discussion</w:t>
      </w:r>
      <w:bookmarkEnd w:id="186"/>
      <w:r w:rsidRPr="008B68A9">
        <w:t xml:space="preserve"> theme one: people</w:t>
      </w:r>
      <w:bookmarkEnd w:id="187"/>
    </w:p>
    <w:p w14:paraId="0588559D" w14:textId="51AD224D" w:rsidR="006C7B37" w:rsidRPr="008B68A9" w:rsidRDefault="006C7B37" w:rsidP="002F0FD7">
      <w:pPr>
        <w:pStyle w:val="5arangedleft"/>
      </w:pPr>
      <w:r w:rsidRPr="008B68A9">
        <w:t>Three master themes, people, process and preparation emerged from the analysis of the interview texts. Themes related to work undertaken by staff through their interaction with consumers and carers, and the actions and attributes that contributed directly or indirectly to the success or otherwise of personalisation. Key people were identified, based on where the outcomes of planning processes hinged on the work and role of that staff/lay member. Brokerage was initially undertaken by a dedicated team seconded to that role, although the task of coproducing support planning was later incorporated into all social worker/nurse roles. The broker role was deemed to have less significance than the attributes and approach of the person fulfilling that role.</w:t>
      </w:r>
    </w:p>
    <w:p w14:paraId="5A4923E7" w14:textId="77777777" w:rsidR="006C7B37" w:rsidRPr="008B68A9" w:rsidRDefault="006C7B37" w:rsidP="002F0FD7">
      <w:pPr>
        <w:pStyle w:val="5arangedleft"/>
      </w:pPr>
      <w:r w:rsidRPr="008B68A9">
        <w:t>Where applicants for individual budgets were seeking information about processes, staff provided it. It was therefore important that staff delivering personalised support had a working knowledge of the system. Where advocacy for the progression of the budget was required, the worker was reported to work with the family to achieve the goal of the individual budget. Staff working in the council found the task of negotiating the difficult boundary between worker and advocate a challenge.</w:t>
      </w:r>
    </w:p>
    <w:p w14:paraId="4B0C038C" w14:textId="24C18468" w:rsidR="002F0FD7" w:rsidRPr="008B68A9" w:rsidRDefault="006C7B37" w:rsidP="002F0FD7">
      <w:pPr>
        <w:pStyle w:val="5arangedleft"/>
      </w:pPr>
      <w:r w:rsidRPr="008B68A9">
        <w:lastRenderedPageBreak/>
        <w:t>Most importantly, it was reported the worker maintained close working and communication with the potential individual budget holder and their family, keeping them fully apprised of the progress and acting as a link to the family throughout. The interviews suggested that a key feature of the people who make personalisation a reality for the families was showing creativity in</w:t>
      </w:r>
      <w:r w:rsidR="00995AA0" w:rsidRPr="008B68A9">
        <w:t xml:space="preserve"> person-centred thinking tools.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3"/>
        <w:gridCol w:w="3577"/>
      </w:tblGrid>
      <w:tr w:rsidR="006C7B37" w:rsidRPr="008B68A9" w14:paraId="797533DE" w14:textId="77777777" w:rsidTr="00045396">
        <w:trPr>
          <w:trHeight w:val="402"/>
        </w:trPr>
        <w:tc>
          <w:tcPr>
            <w:tcW w:w="7650" w:type="dxa"/>
            <w:gridSpan w:val="2"/>
            <w:shd w:val="clear" w:color="auto" w:fill="F2F2F2" w:themeFill="background1" w:themeFillShade="F2"/>
          </w:tcPr>
          <w:p w14:paraId="0716317D" w14:textId="77777777" w:rsidR="006C7B37" w:rsidRPr="008B68A9" w:rsidRDefault="006C7B37" w:rsidP="00045396">
            <w:pPr>
              <w:spacing w:after="0" w:line="360" w:lineRule="auto"/>
              <w:jc w:val="center"/>
              <w:rPr>
                <w:b/>
                <w:sz w:val="22"/>
              </w:rPr>
            </w:pPr>
            <w:r w:rsidRPr="008B68A9">
              <w:rPr>
                <w:b/>
                <w:sz w:val="22"/>
              </w:rPr>
              <w:t>People in personalisation</w:t>
            </w:r>
          </w:p>
        </w:tc>
      </w:tr>
      <w:tr w:rsidR="006C7B37" w:rsidRPr="008B68A9" w14:paraId="6B771935" w14:textId="77777777" w:rsidTr="00045396">
        <w:tc>
          <w:tcPr>
            <w:tcW w:w="4073" w:type="dxa"/>
          </w:tcPr>
          <w:p w14:paraId="2053B2FA"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Having the right people around</w:t>
            </w:r>
          </w:p>
        </w:tc>
        <w:tc>
          <w:tcPr>
            <w:tcW w:w="3577" w:type="dxa"/>
          </w:tcPr>
          <w:p w14:paraId="4605E6E1" w14:textId="77777777" w:rsidR="006C7B37" w:rsidRPr="008B68A9" w:rsidRDefault="006C7B37" w:rsidP="00045396">
            <w:pPr>
              <w:spacing w:after="0" w:line="360" w:lineRule="auto"/>
              <w:jc w:val="both"/>
              <w:rPr>
                <w:sz w:val="22"/>
              </w:rPr>
            </w:pPr>
            <w:r w:rsidRPr="008B68A9">
              <w:rPr>
                <w:sz w:val="22"/>
              </w:rPr>
              <w:t>Different relationships</w:t>
            </w:r>
          </w:p>
        </w:tc>
      </w:tr>
      <w:tr w:rsidR="006C7B37" w:rsidRPr="008B68A9" w14:paraId="5ED4B820" w14:textId="77777777" w:rsidTr="00045396">
        <w:trPr>
          <w:trHeight w:val="390"/>
        </w:trPr>
        <w:tc>
          <w:tcPr>
            <w:tcW w:w="4073" w:type="dxa"/>
          </w:tcPr>
          <w:p w14:paraId="530EED6E"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Choice</w:t>
            </w:r>
          </w:p>
        </w:tc>
        <w:tc>
          <w:tcPr>
            <w:tcW w:w="3577" w:type="dxa"/>
          </w:tcPr>
          <w:p w14:paraId="7EB77371" w14:textId="77777777" w:rsidR="006C7B37" w:rsidRPr="008B68A9" w:rsidRDefault="006C7B37" w:rsidP="00045396">
            <w:pPr>
              <w:spacing w:after="0" w:line="360" w:lineRule="auto"/>
              <w:jc w:val="both"/>
              <w:rPr>
                <w:sz w:val="22"/>
              </w:rPr>
            </w:pPr>
            <w:r w:rsidRPr="008B68A9">
              <w:rPr>
                <w:sz w:val="22"/>
              </w:rPr>
              <w:t>Flexibility</w:t>
            </w:r>
          </w:p>
        </w:tc>
      </w:tr>
      <w:tr w:rsidR="006C7B37" w:rsidRPr="008B68A9" w14:paraId="74BE67F0" w14:textId="77777777" w:rsidTr="00045396">
        <w:tc>
          <w:tcPr>
            <w:tcW w:w="4073" w:type="dxa"/>
          </w:tcPr>
          <w:p w14:paraId="21A88A0E"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Things council did well</w:t>
            </w:r>
          </w:p>
        </w:tc>
        <w:tc>
          <w:tcPr>
            <w:tcW w:w="3577" w:type="dxa"/>
          </w:tcPr>
          <w:p w14:paraId="59C4FA2D" w14:textId="77777777" w:rsidR="006C7B37" w:rsidRPr="008B68A9" w:rsidRDefault="006C7B37" w:rsidP="00045396">
            <w:pPr>
              <w:spacing w:after="0" w:line="360" w:lineRule="auto"/>
              <w:jc w:val="both"/>
              <w:rPr>
                <w:sz w:val="22"/>
              </w:rPr>
            </w:pPr>
          </w:p>
        </w:tc>
      </w:tr>
    </w:tbl>
    <w:p w14:paraId="47A648FD" w14:textId="6CFAE714" w:rsidR="006C7B37" w:rsidRPr="008B68A9" w:rsidRDefault="006C7B37" w:rsidP="006C7B37">
      <w:pPr>
        <w:pStyle w:val="9btablecaption"/>
      </w:pPr>
      <w:bookmarkStart w:id="188" w:name="_Toc413827562"/>
      <w:bookmarkStart w:id="189" w:name="_Toc466799804"/>
      <w:r w:rsidRPr="008B68A9">
        <w:t>Table 1</w:t>
      </w:r>
      <w:r w:rsidR="00DF399F" w:rsidRPr="008B68A9">
        <w:t>0</w:t>
      </w:r>
      <w:r w:rsidRPr="008B68A9">
        <w:t>: People in personalisation</w:t>
      </w:r>
      <w:bookmarkEnd w:id="188"/>
      <w:bookmarkEnd w:id="189"/>
    </w:p>
    <w:p w14:paraId="514AF3D7" w14:textId="77777777" w:rsidR="006C7B37" w:rsidRPr="008B68A9" w:rsidRDefault="006C7B37" w:rsidP="002F0FD7">
      <w:pPr>
        <w:pStyle w:val="5arangedleft"/>
      </w:pPr>
    </w:p>
    <w:p w14:paraId="43796874" w14:textId="6A4089C9" w:rsidR="006C7B37" w:rsidRPr="008B68A9" w:rsidRDefault="006C7B37" w:rsidP="006C7B37">
      <w:pPr>
        <w:pStyle w:val="3L3header"/>
      </w:pPr>
      <w:bookmarkStart w:id="190" w:name="_Toc413827454"/>
      <w:bookmarkStart w:id="191" w:name="_Toc466800352"/>
      <w:r w:rsidRPr="008B68A9">
        <w:t>5.5.</w:t>
      </w:r>
      <w:r w:rsidR="00F22458" w:rsidRPr="008B68A9">
        <w:t>7</w:t>
      </w:r>
      <w:r w:rsidRPr="008B68A9">
        <w:t xml:space="preserve"> Core themes</w:t>
      </w:r>
      <w:r w:rsidRPr="008B68A9">
        <w:rPr>
          <w:sz w:val="32"/>
        </w:rPr>
        <w:t xml:space="preserve"> </w:t>
      </w:r>
      <w:r w:rsidRPr="008B68A9">
        <w:t>process</w:t>
      </w:r>
      <w:bookmarkEnd w:id="190"/>
      <w:bookmarkEnd w:id="191"/>
    </w:p>
    <w:p w14:paraId="23A912D1" w14:textId="77777777" w:rsidR="006C7B37" w:rsidRPr="008B68A9" w:rsidRDefault="006C7B37" w:rsidP="002F0FD7">
      <w:pPr>
        <w:pStyle w:val="5arangedleft"/>
      </w:pPr>
      <w:r w:rsidRPr="008B68A9">
        <w:t>Themes from interviews and focus group data highlighted that principles of individual budgets and person-centred support planning were important to personalisation being well received. Person centred thinking tools (Sanderson and Lewis 2011) were used in one group where facilitator expertise was reported to have been central to the success of the plan. Policy implementation in the council and the practice implications of personalisation were raised and highlighted; the council might have improved their processes.</w:t>
      </w:r>
    </w:p>
    <w:p w14:paraId="2843AC40" w14:textId="77777777" w:rsidR="006C7B37" w:rsidRPr="008B68A9" w:rsidRDefault="006C7B37" w:rsidP="002F0FD7">
      <w:pPr>
        <w:pStyle w:val="5arangedleft"/>
      </w:pPr>
      <w:r w:rsidRPr="008B68A9">
        <w:t>Carers reported positively that budgets encouraged personalised packages of care harnessing the aspirations of their children in flexible and innovative ways. There was an acknowledgement that the work undertaken by the social workers was complex, though was often held back through bureaucratic and service-led issues. Individual choice coupled with flexible approaches that were responsive to changing physical status was highlighted as beneficial by carers. Additionally flexibility permitted budget holder’s resources to be spent when they wanted/needed to, rather than when services were available.</w:t>
      </w:r>
    </w:p>
    <w:p w14:paraId="2F0157EF" w14:textId="77777777" w:rsidR="00995AA0" w:rsidRPr="008B68A9" w:rsidRDefault="00995AA0" w:rsidP="002F0FD7">
      <w:pPr>
        <w:pStyle w:val="5arangedleft"/>
      </w:pPr>
    </w:p>
    <w:p w14:paraId="0FC95765" w14:textId="77777777" w:rsidR="005B240A" w:rsidRPr="008B68A9" w:rsidRDefault="005B240A" w:rsidP="002F0FD7">
      <w:pPr>
        <w:pStyle w:val="5arangedlef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9"/>
        <w:gridCol w:w="3701"/>
      </w:tblGrid>
      <w:tr w:rsidR="006C7B37" w:rsidRPr="008B68A9" w14:paraId="2C7D6FA7" w14:textId="77777777" w:rsidTr="00045396">
        <w:trPr>
          <w:trHeight w:val="447"/>
        </w:trPr>
        <w:tc>
          <w:tcPr>
            <w:tcW w:w="7508" w:type="dxa"/>
            <w:gridSpan w:val="2"/>
            <w:shd w:val="clear" w:color="auto" w:fill="F2F2F2" w:themeFill="background1" w:themeFillShade="F2"/>
          </w:tcPr>
          <w:p w14:paraId="4733E24D" w14:textId="77777777" w:rsidR="006C7B37" w:rsidRPr="008B68A9" w:rsidRDefault="006C7B37" w:rsidP="00045396">
            <w:pPr>
              <w:spacing w:after="0" w:line="360" w:lineRule="auto"/>
              <w:jc w:val="center"/>
              <w:rPr>
                <w:b/>
                <w:sz w:val="22"/>
              </w:rPr>
            </w:pPr>
            <w:r w:rsidRPr="008B68A9">
              <w:rPr>
                <w:b/>
                <w:sz w:val="22"/>
              </w:rPr>
              <w:lastRenderedPageBreak/>
              <w:t>Processes in personalisation</w:t>
            </w:r>
          </w:p>
        </w:tc>
      </w:tr>
      <w:tr w:rsidR="006C7B37" w:rsidRPr="008B68A9" w14:paraId="4203FA57" w14:textId="77777777" w:rsidTr="00045396">
        <w:tc>
          <w:tcPr>
            <w:tcW w:w="4123" w:type="dxa"/>
          </w:tcPr>
          <w:p w14:paraId="63311EAD"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Person-centred thinking tools</w:t>
            </w:r>
          </w:p>
        </w:tc>
        <w:tc>
          <w:tcPr>
            <w:tcW w:w="3385" w:type="dxa"/>
          </w:tcPr>
          <w:p w14:paraId="6E72B7D9" w14:textId="77777777" w:rsidR="006C7B37" w:rsidRPr="008B68A9" w:rsidRDefault="006C7B37" w:rsidP="00045396">
            <w:pPr>
              <w:spacing w:after="0" w:line="360" w:lineRule="auto"/>
              <w:jc w:val="both"/>
              <w:rPr>
                <w:sz w:val="22"/>
              </w:rPr>
            </w:pPr>
            <w:r w:rsidRPr="008B68A9">
              <w:rPr>
                <w:sz w:val="22"/>
              </w:rPr>
              <w:t>Outcomes</w:t>
            </w:r>
          </w:p>
        </w:tc>
      </w:tr>
      <w:tr w:rsidR="006C7B37" w:rsidRPr="008B68A9" w14:paraId="2751DE42" w14:textId="77777777" w:rsidTr="00045396">
        <w:tc>
          <w:tcPr>
            <w:tcW w:w="4123" w:type="dxa"/>
          </w:tcPr>
          <w:p w14:paraId="2DA7B4D9"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Co-production</w:t>
            </w:r>
          </w:p>
        </w:tc>
        <w:tc>
          <w:tcPr>
            <w:tcW w:w="3385" w:type="dxa"/>
          </w:tcPr>
          <w:p w14:paraId="15D1A920" w14:textId="77777777" w:rsidR="006C7B37" w:rsidRPr="008B68A9" w:rsidRDefault="006C7B37" w:rsidP="00045396">
            <w:pPr>
              <w:spacing w:after="0" w:line="360" w:lineRule="auto"/>
              <w:jc w:val="both"/>
              <w:rPr>
                <w:sz w:val="22"/>
              </w:rPr>
            </w:pPr>
            <w:r w:rsidRPr="008B68A9">
              <w:rPr>
                <w:sz w:val="22"/>
              </w:rPr>
              <w:t>Making IBs work</w:t>
            </w:r>
          </w:p>
        </w:tc>
      </w:tr>
      <w:tr w:rsidR="006C7B37" w:rsidRPr="008B68A9" w14:paraId="4D28904B" w14:textId="77777777" w:rsidTr="00045396">
        <w:tc>
          <w:tcPr>
            <w:tcW w:w="4123" w:type="dxa"/>
          </w:tcPr>
          <w:p w14:paraId="0AC85535"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In control</w:t>
            </w:r>
          </w:p>
        </w:tc>
        <w:tc>
          <w:tcPr>
            <w:tcW w:w="3385" w:type="dxa"/>
          </w:tcPr>
          <w:p w14:paraId="427993D1" w14:textId="77777777" w:rsidR="006C7B37" w:rsidRPr="008B68A9" w:rsidRDefault="006C7B37" w:rsidP="00045396">
            <w:pPr>
              <w:spacing w:after="0" w:line="360" w:lineRule="auto"/>
              <w:jc w:val="both"/>
              <w:rPr>
                <w:sz w:val="22"/>
              </w:rPr>
            </w:pPr>
            <w:r w:rsidRPr="008B68A9">
              <w:rPr>
                <w:sz w:val="22"/>
              </w:rPr>
              <w:t xml:space="preserve">Autonomy </w:t>
            </w:r>
          </w:p>
        </w:tc>
      </w:tr>
      <w:tr w:rsidR="006C7B37" w:rsidRPr="008B68A9" w14:paraId="4556E2BD" w14:textId="77777777" w:rsidTr="00045396">
        <w:tc>
          <w:tcPr>
            <w:tcW w:w="4123" w:type="dxa"/>
          </w:tcPr>
          <w:p w14:paraId="28345F25"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Choice</w:t>
            </w:r>
          </w:p>
        </w:tc>
        <w:tc>
          <w:tcPr>
            <w:tcW w:w="3385" w:type="dxa"/>
          </w:tcPr>
          <w:p w14:paraId="7C32D65F" w14:textId="77777777" w:rsidR="006C7B37" w:rsidRPr="008B68A9" w:rsidRDefault="006C7B37" w:rsidP="00045396">
            <w:pPr>
              <w:spacing w:after="0" w:line="360" w:lineRule="auto"/>
              <w:jc w:val="both"/>
              <w:rPr>
                <w:sz w:val="22"/>
              </w:rPr>
            </w:pPr>
            <w:r w:rsidRPr="008B68A9">
              <w:rPr>
                <w:sz w:val="22"/>
              </w:rPr>
              <w:t>Flexibility</w:t>
            </w:r>
          </w:p>
        </w:tc>
      </w:tr>
      <w:tr w:rsidR="006C7B37" w:rsidRPr="008B68A9" w14:paraId="2C76422E" w14:textId="77777777" w:rsidTr="00045396">
        <w:tc>
          <w:tcPr>
            <w:tcW w:w="4123" w:type="dxa"/>
          </w:tcPr>
          <w:p w14:paraId="3145399D"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Things council did well</w:t>
            </w:r>
          </w:p>
        </w:tc>
        <w:tc>
          <w:tcPr>
            <w:tcW w:w="3385" w:type="dxa"/>
          </w:tcPr>
          <w:p w14:paraId="47C0046A" w14:textId="77777777" w:rsidR="006C7B37" w:rsidRPr="008B68A9" w:rsidRDefault="006C7B37" w:rsidP="00045396">
            <w:pPr>
              <w:spacing w:after="0" w:line="360" w:lineRule="auto"/>
              <w:jc w:val="both"/>
              <w:rPr>
                <w:sz w:val="22"/>
              </w:rPr>
            </w:pPr>
            <w:r w:rsidRPr="008B68A9">
              <w:rPr>
                <w:sz w:val="22"/>
              </w:rPr>
              <w:t>Could have been better</w:t>
            </w:r>
          </w:p>
        </w:tc>
      </w:tr>
      <w:tr w:rsidR="006C7B37" w:rsidRPr="008B68A9" w14:paraId="208F4599" w14:textId="77777777" w:rsidTr="00045396">
        <w:tc>
          <w:tcPr>
            <w:tcW w:w="4123" w:type="dxa"/>
          </w:tcPr>
          <w:p w14:paraId="4FD5B939"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Disadvantages</w:t>
            </w:r>
          </w:p>
        </w:tc>
        <w:tc>
          <w:tcPr>
            <w:tcW w:w="3385" w:type="dxa"/>
          </w:tcPr>
          <w:p w14:paraId="552FA9BB" w14:textId="77777777" w:rsidR="006C7B37" w:rsidRPr="008B68A9" w:rsidRDefault="006C7B37" w:rsidP="00045396">
            <w:pPr>
              <w:spacing w:after="0" w:line="360" w:lineRule="auto"/>
              <w:jc w:val="both"/>
              <w:rPr>
                <w:sz w:val="22"/>
              </w:rPr>
            </w:pPr>
            <w:r w:rsidRPr="008B68A9">
              <w:rPr>
                <w:sz w:val="22"/>
              </w:rPr>
              <w:t>Advantages</w:t>
            </w:r>
          </w:p>
        </w:tc>
      </w:tr>
    </w:tbl>
    <w:p w14:paraId="336DD02E" w14:textId="75EE33CA" w:rsidR="006C7B37" w:rsidRPr="008B68A9" w:rsidRDefault="006C7B37" w:rsidP="006C7B37">
      <w:pPr>
        <w:pStyle w:val="9btablecaption"/>
      </w:pPr>
      <w:bookmarkStart w:id="192" w:name="_Toc413827563"/>
      <w:bookmarkStart w:id="193" w:name="_Toc466799805"/>
      <w:r w:rsidRPr="008B68A9">
        <w:t>Table 1</w:t>
      </w:r>
      <w:r w:rsidR="00DF399F" w:rsidRPr="008B68A9">
        <w:t>1</w:t>
      </w:r>
      <w:r w:rsidRPr="008B68A9">
        <w:t>: Processes in personalisation</w:t>
      </w:r>
      <w:bookmarkEnd w:id="192"/>
      <w:bookmarkEnd w:id="193"/>
    </w:p>
    <w:p w14:paraId="16D84723" w14:textId="77777777" w:rsidR="006C7B37" w:rsidRPr="008B68A9" w:rsidRDefault="006C7B37" w:rsidP="002F0FD7">
      <w:pPr>
        <w:pStyle w:val="5arangedleft"/>
      </w:pPr>
    </w:p>
    <w:p w14:paraId="022DB5B4" w14:textId="774A9E32" w:rsidR="006C7B37" w:rsidRPr="008B68A9" w:rsidRDefault="006C7B37" w:rsidP="006C7B37">
      <w:pPr>
        <w:pStyle w:val="3L3header"/>
      </w:pPr>
      <w:bookmarkStart w:id="194" w:name="_Toc413827455"/>
      <w:bookmarkStart w:id="195" w:name="_Toc466800353"/>
      <w:r w:rsidRPr="008B68A9">
        <w:t>5.5.</w:t>
      </w:r>
      <w:r w:rsidR="00F22458" w:rsidRPr="008B68A9">
        <w:t>8</w:t>
      </w:r>
      <w:r w:rsidRPr="008B68A9">
        <w:t xml:space="preserve"> Core themes</w:t>
      </w:r>
      <w:r w:rsidRPr="008B68A9">
        <w:rPr>
          <w:sz w:val="32"/>
        </w:rPr>
        <w:t xml:space="preserve"> </w:t>
      </w:r>
      <w:r w:rsidRPr="008B68A9">
        <w:t>preparation</w:t>
      </w:r>
      <w:bookmarkEnd w:id="194"/>
      <w:bookmarkEnd w:id="195"/>
      <w:r w:rsidRPr="008B68A9">
        <w:t xml:space="preserve"> </w:t>
      </w:r>
    </w:p>
    <w:p w14:paraId="2EA05F68" w14:textId="04B5A460" w:rsidR="006C7B37" w:rsidRPr="008B68A9" w:rsidRDefault="006C7B37" w:rsidP="002F0FD7">
      <w:pPr>
        <w:pStyle w:val="5arangedleft"/>
      </w:pPr>
      <w:r w:rsidRPr="008B68A9">
        <w:t xml:space="preserve">Themes relating to organisational adaptation in individual budgets were analysed using Bronfenbrenner’s (1979), ecological framework. Macro issues beyond the organisation are highlighted as the decisions of central allocation and costing in austerity affected the council’s work. The process of working with new tools or in different ways requires adjustment of meso level structures, meaning local and authority processes. The staff group experienced transitional challenges, as did the consumers and carers. The theme </w:t>
      </w:r>
      <w:r w:rsidR="00861337" w:rsidRPr="008B68A9">
        <w:t>g</w:t>
      </w:r>
      <w:r w:rsidRPr="008B68A9">
        <w:t>etting used to the model was strongly expressed and evident across a range of interviews and transcripts. Micro level adjustment between practitioners and budget holders was observed in the comparisons made by these groups in their talk about personalisation. Person-centred thinking tools</w:t>
      </w:r>
      <w:r w:rsidR="004B1685" w:rsidRPr="008B68A9">
        <w:t xml:space="preserve"> (Sanderson 2001)</w:t>
      </w:r>
      <w:r w:rsidRPr="008B68A9">
        <w:t xml:space="preserve"> were less well received by staff in their preparation for personalisation, being seen as patronising and dismissive of their previous ways of working. Staff preparation needed to address how to plan support, but also include equal emphasis on the values and attitudes at the heart of co-production. Policy and practices made co-production difficult to achieve. </w:t>
      </w:r>
    </w:p>
    <w:p w14:paraId="5978E848" w14:textId="77777777" w:rsidR="006C7B37" w:rsidRPr="008B68A9" w:rsidRDefault="006C7B37" w:rsidP="002F0FD7">
      <w:pPr>
        <w:pStyle w:val="5arangedleft"/>
      </w:pPr>
      <w:r w:rsidRPr="008B68A9">
        <w:t xml:space="preserve">The work undertaken by the commissioning council advancing personalisation was good and it became known as an innovative leader in personalisation; this arose from its leadership providing appropriate approaches. Within a climate of severe reduction of core funding and austerity, the council attempted to remain true to the guiding principles of individualisation and inclusion. However, the austerity and reorganisation at national governmental level impaired the evaluation’s aims.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0"/>
        <w:gridCol w:w="3712"/>
      </w:tblGrid>
      <w:tr w:rsidR="006C7B37" w:rsidRPr="008B68A9" w14:paraId="1208D21A" w14:textId="77777777" w:rsidTr="00045396">
        <w:tc>
          <w:tcPr>
            <w:tcW w:w="7792" w:type="dxa"/>
            <w:gridSpan w:val="2"/>
            <w:shd w:val="clear" w:color="auto" w:fill="F2F2F2" w:themeFill="background1" w:themeFillShade="F2"/>
          </w:tcPr>
          <w:p w14:paraId="0E73F849" w14:textId="77777777" w:rsidR="006C7B37" w:rsidRPr="008B68A9" w:rsidRDefault="006C7B37" w:rsidP="00045396">
            <w:pPr>
              <w:spacing w:after="0" w:line="360" w:lineRule="auto"/>
              <w:jc w:val="center"/>
              <w:rPr>
                <w:b/>
                <w:sz w:val="22"/>
              </w:rPr>
            </w:pPr>
            <w:r w:rsidRPr="008B68A9">
              <w:rPr>
                <w:b/>
                <w:sz w:val="22"/>
              </w:rPr>
              <w:lastRenderedPageBreak/>
              <w:t>Preparation for personalisation</w:t>
            </w:r>
          </w:p>
        </w:tc>
      </w:tr>
      <w:tr w:rsidR="006C7B37" w:rsidRPr="008B68A9" w14:paraId="37558B66" w14:textId="77777777" w:rsidTr="00045396">
        <w:tc>
          <w:tcPr>
            <w:tcW w:w="4080" w:type="dxa"/>
          </w:tcPr>
          <w:p w14:paraId="7770F128"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Getting used to it</w:t>
            </w:r>
          </w:p>
        </w:tc>
        <w:tc>
          <w:tcPr>
            <w:tcW w:w="3712" w:type="dxa"/>
          </w:tcPr>
          <w:p w14:paraId="42E070D6" w14:textId="77777777" w:rsidR="006C7B37" w:rsidRPr="008B68A9" w:rsidRDefault="006C7B37" w:rsidP="00045396">
            <w:pPr>
              <w:pStyle w:val="BodytextStockport"/>
              <w:spacing w:after="0"/>
              <w:ind w:left="357" w:hanging="357"/>
              <w:rPr>
                <w:rFonts w:asciiTheme="minorHAnsi" w:hAnsiTheme="minorHAnsi" w:cs="Calibri"/>
                <w:sz w:val="22"/>
                <w:szCs w:val="22"/>
              </w:rPr>
            </w:pPr>
            <w:r w:rsidRPr="008B68A9">
              <w:rPr>
                <w:rFonts w:asciiTheme="minorHAnsi" w:hAnsiTheme="minorHAnsi" w:cs="Calibri"/>
                <w:sz w:val="22"/>
                <w:szCs w:val="22"/>
              </w:rPr>
              <w:t>Dismissing existing ways of working</w:t>
            </w:r>
          </w:p>
        </w:tc>
      </w:tr>
      <w:tr w:rsidR="006C7B37" w:rsidRPr="008B68A9" w14:paraId="3BD101B7" w14:textId="77777777" w:rsidTr="00045396">
        <w:tc>
          <w:tcPr>
            <w:tcW w:w="4080" w:type="dxa"/>
          </w:tcPr>
          <w:p w14:paraId="67D190BC" w14:textId="77777777" w:rsidR="006C7B37" w:rsidRPr="008B68A9" w:rsidRDefault="006C7B37" w:rsidP="00045396">
            <w:pPr>
              <w:pStyle w:val="BodytextStockport"/>
              <w:spacing w:after="0"/>
              <w:rPr>
                <w:rFonts w:asciiTheme="minorHAnsi" w:hAnsiTheme="minorHAnsi"/>
                <w:sz w:val="22"/>
                <w:szCs w:val="22"/>
              </w:rPr>
            </w:pPr>
            <w:r w:rsidRPr="008B68A9">
              <w:rPr>
                <w:rFonts w:asciiTheme="minorHAnsi" w:hAnsiTheme="minorHAnsi"/>
                <w:sz w:val="22"/>
                <w:szCs w:val="22"/>
              </w:rPr>
              <w:t>Training</w:t>
            </w:r>
          </w:p>
        </w:tc>
        <w:tc>
          <w:tcPr>
            <w:tcW w:w="3712" w:type="dxa"/>
          </w:tcPr>
          <w:p w14:paraId="6DAA5D7A" w14:textId="77777777" w:rsidR="006C7B37" w:rsidRPr="008B68A9" w:rsidRDefault="006C7B37" w:rsidP="00045396">
            <w:pPr>
              <w:spacing w:after="0" w:line="360" w:lineRule="auto"/>
              <w:jc w:val="both"/>
              <w:rPr>
                <w:sz w:val="22"/>
              </w:rPr>
            </w:pPr>
            <w:r w:rsidRPr="008B68A9">
              <w:rPr>
                <w:rFonts w:cs="Calibri"/>
                <w:sz w:val="22"/>
              </w:rPr>
              <w:t>Relevance of focus</w:t>
            </w:r>
          </w:p>
        </w:tc>
      </w:tr>
    </w:tbl>
    <w:p w14:paraId="5C3B8EA3" w14:textId="655678CA" w:rsidR="006C7B37" w:rsidRPr="008B68A9" w:rsidRDefault="006C7B37" w:rsidP="006C7B37">
      <w:pPr>
        <w:pStyle w:val="9btablecaption"/>
      </w:pPr>
      <w:bookmarkStart w:id="196" w:name="_Toc413827564"/>
      <w:bookmarkStart w:id="197" w:name="_Toc466799806"/>
      <w:r w:rsidRPr="008B68A9">
        <w:t>Table 1</w:t>
      </w:r>
      <w:r w:rsidR="00DF399F" w:rsidRPr="008B68A9">
        <w:t>2</w:t>
      </w:r>
      <w:r w:rsidRPr="008B68A9">
        <w:t>: Preparation for personalisation</w:t>
      </w:r>
      <w:bookmarkEnd w:id="196"/>
      <w:bookmarkEnd w:id="197"/>
    </w:p>
    <w:p w14:paraId="73DBF627" w14:textId="77777777" w:rsidR="006C7B37" w:rsidRPr="008B68A9" w:rsidRDefault="006C7B37" w:rsidP="00DF399F">
      <w:pPr>
        <w:pStyle w:val="4brangedleft"/>
      </w:pPr>
    </w:p>
    <w:p w14:paraId="587F286F" w14:textId="44ACC6E8" w:rsidR="006C7B37" w:rsidRPr="008B68A9" w:rsidRDefault="006C7B37" w:rsidP="006C7B37">
      <w:pPr>
        <w:pStyle w:val="3L3header"/>
      </w:pPr>
      <w:bookmarkStart w:id="198" w:name="_Toc413827456"/>
      <w:bookmarkStart w:id="199" w:name="_Toc466800354"/>
      <w:r w:rsidRPr="008B68A9">
        <w:t>5.5.</w:t>
      </w:r>
      <w:r w:rsidR="00F22458" w:rsidRPr="008B68A9">
        <w:t>9</w:t>
      </w:r>
      <w:r w:rsidRPr="008B68A9">
        <w:t xml:space="preserve"> Conclusion</w:t>
      </w:r>
      <w:bookmarkEnd w:id="198"/>
      <w:bookmarkEnd w:id="199"/>
      <w:r w:rsidRPr="008B68A9">
        <w:t xml:space="preserve"> </w:t>
      </w:r>
    </w:p>
    <w:p w14:paraId="213F0451" w14:textId="77777777" w:rsidR="006C7B37" w:rsidRPr="008B68A9" w:rsidRDefault="006C7B37" w:rsidP="002F0FD7">
      <w:pPr>
        <w:pStyle w:val="5arangedleft"/>
      </w:pPr>
      <w:r w:rsidRPr="008B68A9">
        <w:t>Focusing on meeting volume targets for individual budgets, rather than measuring life changes and enhancement, may have lessened the impact of personalisation in this pilot. An adherence to measuring quality that focuses on choice and independence should have been central. Existing contracts with providers over the short and medium terms limited the options for meaningful personalised services, resulting in inflexibility and fewer choices which were problematic when attempting to create individual service delivery.</w:t>
      </w:r>
    </w:p>
    <w:p w14:paraId="099550AD" w14:textId="77777777" w:rsidR="006C7B37" w:rsidRPr="008B68A9" w:rsidRDefault="006C7B37" w:rsidP="002F0FD7">
      <w:pPr>
        <w:pStyle w:val="5arangedleft"/>
      </w:pPr>
      <w:r w:rsidRPr="008B68A9">
        <w:t>Elements of the organisation attempting to pilot personalised approaches met barriers in systems, resulting in slowing the progress towards personalisation, and reducing the process to layers of bureaucracy. Although the data set was small, positive stories emerged where families gained good levels of satisfaction and experienced flexibility in their support arrangements. Co-production and meaningful person-centred thinking tools remained a priority for all organisations aiming towards personalised services, though in practice are more challenging to create.</w:t>
      </w:r>
    </w:p>
    <w:p w14:paraId="4044A7A2" w14:textId="77777777" w:rsidR="006C7B37" w:rsidRPr="008B68A9" w:rsidRDefault="006C7B37" w:rsidP="002F0FD7">
      <w:pPr>
        <w:pStyle w:val="5arangedleft"/>
      </w:pPr>
      <w:r w:rsidRPr="008B68A9">
        <w:t>The personnel at the heart of working in a person-centred way need to be able to work as professional experts, navigating the often labyrinthine corridors of entitlement and access whilst simultaneously co-producing with users or their carers. Historically, service systems have moved towards an increased professionalisation of interaction, quality assurance, audit and an emphasis on evidence based practice, and as a consequence recipients may experience a separation from the process of care delivery.</w:t>
      </w:r>
    </w:p>
    <w:p w14:paraId="6197309B" w14:textId="77777777" w:rsidR="00995AA0" w:rsidRPr="008B68A9" w:rsidRDefault="00995AA0" w:rsidP="002F0FD7">
      <w:pPr>
        <w:pStyle w:val="5arangedleft"/>
      </w:pPr>
    </w:p>
    <w:p w14:paraId="70663179" w14:textId="77777777" w:rsidR="005B240A" w:rsidRPr="008B68A9" w:rsidRDefault="005B240A" w:rsidP="002F0FD7">
      <w:pPr>
        <w:pStyle w:val="5aranged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099"/>
      </w:tblGrid>
      <w:tr w:rsidR="006C7B37" w:rsidRPr="008B68A9" w14:paraId="36F549BA" w14:textId="77777777" w:rsidTr="00045396">
        <w:tc>
          <w:tcPr>
            <w:tcW w:w="9242" w:type="dxa"/>
            <w:gridSpan w:val="2"/>
            <w:shd w:val="clear" w:color="auto" w:fill="F2F2F2" w:themeFill="background1" w:themeFillShade="F2"/>
          </w:tcPr>
          <w:p w14:paraId="24DFC0D4" w14:textId="77777777" w:rsidR="006C7B37" w:rsidRPr="008B68A9" w:rsidRDefault="006C7B37" w:rsidP="00045396">
            <w:pPr>
              <w:spacing w:after="0" w:line="360" w:lineRule="auto"/>
              <w:jc w:val="center"/>
              <w:rPr>
                <w:b/>
                <w:sz w:val="22"/>
              </w:rPr>
            </w:pPr>
            <w:r w:rsidRPr="008B68A9">
              <w:rPr>
                <w:b/>
                <w:sz w:val="22"/>
              </w:rPr>
              <w:lastRenderedPageBreak/>
              <w:t>Issues for the organisation</w:t>
            </w:r>
          </w:p>
        </w:tc>
      </w:tr>
      <w:tr w:rsidR="006C7B37" w:rsidRPr="008B68A9" w14:paraId="6B83D4C5" w14:textId="77777777" w:rsidTr="00045396">
        <w:tc>
          <w:tcPr>
            <w:tcW w:w="4621" w:type="dxa"/>
          </w:tcPr>
          <w:p w14:paraId="7B1A2DB2" w14:textId="77777777" w:rsidR="006C7B37" w:rsidRPr="008B68A9" w:rsidRDefault="006C7B37" w:rsidP="00045396">
            <w:pPr>
              <w:spacing w:after="0" w:line="360" w:lineRule="auto"/>
              <w:jc w:val="both"/>
              <w:rPr>
                <w:sz w:val="22"/>
              </w:rPr>
            </w:pPr>
            <w:r w:rsidRPr="008B68A9">
              <w:rPr>
                <w:sz w:val="22"/>
              </w:rPr>
              <w:t>Preparation</w:t>
            </w:r>
          </w:p>
        </w:tc>
        <w:tc>
          <w:tcPr>
            <w:tcW w:w="4621" w:type="dxa"/>
          </w:tcPr>
          <w:p w14:paraId="365810A8" w14:textId="77777777" w:rsidR="006C7B37" w:rsidRPr="008B68A9" w:rsidRDefault="006C7B37" w:rsidP="00045396">
            <w:pPr>
              <w:spacing w:after="0" w:line="360" w:lineRule="auto"/>
              <w:jc w:val="both"/>
              <w:rPr>
                <w:sz w:val="22"/>
              </w:rPr>
            </w:pPr>
            <w:r w:rsidRPr="008B68A9">
              <w:rPr>
                <w:sz w:val="22"/>
              </w:rPr>
              <w:t>Information and advice</w:t>
            </w:r>
          </w:p>
        </w:tc>
      </w:tr>
      <w:tr w:rsidR="006C7B37" w:rsidRPr="008B68A9" w14:paraId="2118A006" w14:textId="77777777" w:rsidTr="00045396">
        <w:tc>
          <w:tcPr>
            <w:tcW w:w="4621" w:type="dxa"/>
          </w:tcPr>
          <w:p w14:paraId="3B867E4E" w14:textId="77777777" w:rsidR="006C7B37" w:rsidRPr="008B68A9" w:rsidRDefault="006C7B37" w:rsidP="00045396">
            <w:pPr>
              <w:spacing w:after="0" w:line="360" w:lineRule="auto"/>
              <w:jc w:val="both"/>
              <w:rPr>
                <w:sz w:val="22"/>
              </w:rPr>
            </w:pPr>
            <w:r w:rsidRPr="008B68A9">
              <w:rPr>
                <w:sz w:val="22"/>
              </w:rPr>
              <w:t>Active and supportive communities</w:t>
            </w:r>
          </w:p>
        </w:tc>
        <w:tc>
          <w:tcPr>
            <w:tcW w:w="4621" w:type="dxa"/>
          </w:tcPr>
          <w:p w14:paraId="31A8502D" w14:textId="77777777" w:rsidR="006C7B37" w:rsidRPr="008B68A9" w:rsidRDefault="006C7B37" w:rsidP="00045396">
            <w:pPr>
              <w:spacing w:after="0" w:line="360" w:lineRule="auto"/>
              <w:jc w:val="both"/>
              <w:rPr>
                <w:sz w:val="22"/>
              </w:rPr>
            </w:pPr>
            <w:r w:rsidRPr="008B68A9">
              <w:rPr>
                <w:sz w:val="22"/>
              </w:rPr>
              <w:t>Flexible integrated care and support</w:t>
            </w:r>
          </w:p>
        </w:tc>
      </w:tr>
      <w:tr w:rsidR="006C7B37" w:rsidRPr="008B68A9" w14:paraId="371FDE70" w14:textId="77777777" w:rsidTr="00045396">
        <w:tc>
          <w:tcPr>
            <w:tcW w:w="4621" w:type="dxa"/>
          </w:tcPr>
          <w:p w14:paraId="48BFB935" w14:textId="77777777" w:rsidR="006C7B37" w:rsidRPr="008B68A9" w:rsidRDefault="006C7B37" w:rsidP="00045396">
            <w:pPr>
              <w:spacing w:after="0" w:line="360" w:lineRule="auto"/>
              <w:jc w:val="both"/>
              <w:rPr>
                <w:sz w:val="22"/>
              </w:rPr>
            </w:pPr>
            <w:r w:rsidRPr="008B68A9">
              <w:rPr>
                <w:sz w:val="22"/>
              </w:rPr>
              <w:t>Workforce</w:t>
            </w:r>
          </w:p>
        </w:tc>
        <w:tc>
          <w:tcPr>
            <w:tcW w:w="4621" w:type="dxa"/>
          </w:tcPr>
          <w:p w14:paraId="7E30F47A" w14:textId="77777777" w:rsidR="006C7B37" w:rsidRPr="008B68A9" w:rsidRDefault="006C7B37" w:rsidP="00045396">
            <w:pPr>
              <w:spacing w:after="0" w:line="360" w:lineRule="auto"/>
              <w:jc w:val="both"/>
              <w:rPr>
                <w:sz w:val="22"/>
              </w:rPr>
            </w:pPr>
            <w:r w:rsidRPr="008B68A9">
              <w:rPr>
                <w:sz w:val="22"/>
              </w:rPr>
              <w:t>Risk enablement</w:t>
            </w:r>
          </w:p>
        </w:tc>
      </w:tr>
    </w:tbl>
    <w:p w14:paraId="5CA53ABD" w14:textId="551FBA77" w:rsidR="006C7B37" w:rsidRPr="008B68A9" w:rsidRDefault="006C7B37" w:rsidP="006C7B37">
      <w:pPr>
        <w:pStyle w:val="9btablecaption"/>
      </w:pPr>
      <w:bookmarkStart w:id="200" w:name="_Toc413827565"/>
      <w:bookmarkStart w:id="201" w:name="_Toc466799807"/>
      <w:r w:rsidRPr="008B68A9">
        <w:t>Table 1</w:t>
      </w:r>
      <w:r w:rsidR="00DF399F" w:rsidRPr="008B68A9">
        <w:t>3</w:t>
      </w:r>
      <w:r w:rsidRPr="008B68A9">
        <w:t>: Issues for the organisation</w:t>
      </w:r>
      <w:bookmarkEnd w:id="200"/>
      <w:bookmarkEnd w:id="201"/>
    </w:p>
    <w:p w14:paraId="49CB4C83" w14:textId="77777777" w:rsidR="006C7B37" w:rsidRPr="008B68A9" w:rsidRDefault="006C7B37" w:rsidP="002F0FD7">
      <w:pPr>
        <w:pStyle w:val="5arangedleft"/>
      </w:pPr>
    </w:p>
    <w:p w14:paraId="17430DFE" w14:textId="6E695648" w:rsidR="006C7B37" w:rsidRPr="008B68A9" w:rsidRDefault="006C7B37" w:rsidP="006C7B37">
      <w:pPr>
        <w:pStyle w:val="3L3header"/>
      </w:pPr>
      <w:bookmarkStart w:id="202" w:name="_Toc413827457"/>
      <w:bookmarkStart w:id="203" w:name="_Toc466800355"/>
      <w:r w:rsidRPr="008B68A9">
        <w:t>5.5.1</w:t>
      </w:r>
      <w:r w:rsidR="00F22458" w:rsidRPr="008B68A9">
        <w:t>0</w:t>
      </w:r>
      <w:r w:rsidRPr="008B68A9">
        <w:t xml:space="preserve"> Commentary</w:t>
      </w:r>
      <w:bookmarkEnd w:id="202"/>
      <w:r w:rsidRPr="008B68A9">
        <w:t xml:space="preserve"> and reflexivity</w:t>
      </w:r>
      <w:bookmarkEnd w:id="203"/>
    </w:p>
    <w:p w14:paraId="027C78EF" w14:textId="77777777" w:rsidR="006C7B37" w:rsidRPr="008B68A9" w:rsidRDefault="006C7B37" w:rsidP="002F0FD7">
      <w:pPr>
        <w:pStyle w:val="5arangedleft"/>
      </w:pPr>
      <w:r w:rsidRPr="008B68A9">
        <w:t>The study was small in scale, and intended to follow a team of social workers and nurses as they piloted a modified personalisation approach within the council. The study’s priorities and aims changed as the organisation shifted in relation to personalisation and the Putting People First (HM Government 2007) agenda though internal change and austerity. The evaluation and its conclusions should therefore be seen in the context of a changing environment, and within a climate of central government transition and public sector reduction.</w:t>
      </w:r>
    </w:p>
    <w:p w14:paraId="7C380A04" w14:textId="77777777" w:rsidR="006C7B37" w:rsidRPr="008B68A9" w:rsidRDefault="006C7B37" w:rsidP="002F0FD7">
      <w:pPr>
        <w:pStyle w:val="5arangedleft"/>
      </w:pPr>
      <w:r w:rsidRPr="008B68A9">
        <w:t>The council was a progressive authority, at the forefront of developments within personalisation in England. As such it served as a pathfinder for other local authorities, through strong and innovative working practices with health and other providers. Much good work was done within the authority, with strong support from senior management attempting to translate the principles of personalisation into a workable format for frontline staff. In spite of rapid development and changes in policy and central government, combined with a climate of austerity, personalisation for some was achieved.</w:t>
      </w:r>
    </w:p>
    <w:p w14:paraId="0CE52735" w14:textId="2B5D28B5" w:rsidR="006C7B37" w:rsidRPr="008B68A9" w:rsidRDefault="006C7B37" w:rsidP="002F0FD7">
      <w:pPr>
        <w:pStyle w:val="5arangedleft"/>
      </w:pPr>
      <w:r w:rsidRPr="008B68A9">
        <w:t xml:space="preserve">The political shift from a Labour administration to a Conservative/Liberal Democrat coalition one month into this project had a significant impact on the proposed study, and created a climate of uncertainty for the council in which the study was based. Financial uncertainty had existed from the economic crash in 2007, however the change of government signalled a new (or rather, old) ideology of small government over individual choice and personal freedom. The impact of a reduced central allocation to local authorities would take time for its full effects to be felt; however, the uncertainty of imminent cuts in public spending, coupled with an increased </w:t>
      </w:r>
      <w:r w:rsidRPr="008B68A9">
        <w:lastRenderedPageBreak/>
        <w:t xml:space="preserve">suspicion from staff and users of public services that personalisation </w:t>
      </w:r>
      <w:r w:rsidR="00281EE7" w:rsidRPr="008B68A9">
        <w:t xml:space="preserve">as </w:t>
      </w:r>
      <w:r w:rsidRPr="008B68A9">
        <w:t>a cost cutting mechanism, took root.</w:t>
      </w:r>
    </w:p>
    <w:p w14:paraId="4E1DC816" w14:textId="22C41FB4" w:rsidR="006C7B37" w:rsidRPr="008B68A9" w:rsidRDefault="006C7B37" w:rsidP="002F0FD7">
      <w:pPr>
        <w:pStyle w:val="5arangedleft"/>
      </w:pPr>
      <w:r w:rsidRPr="008B68A9">
        <w:t>The changes imposed on this study compromised its initial range and scope, though by taking a reflexive approach to the design useful findings and recommendations were made. Differences between this study and the self-directed care evaluation were marked and surprising. Both were located in the same council, though this study focused mostly on local authority staff, as opposed to the larger group of health workers in the self-directed care study. The issues of equity and user control had a lower p</w:t>
      </w:r>
      <w:r w:rsidR="00861337" w:rsidRPr="008B68A9">
        <w:t>rofile in this study, suggesting</w:t>
      </w:r>
      <w:r w:rsidRPr="008B68A9">
        <w:t xml:space="preserve"> that </w:t>
      </w:r>
      <w:r w:rsidR="00861337" w:rsidRPr="008B68A9">
        <w:t>this local authority’s</w:t>
      </w:r>
      <w:r w:rsidRPr="008B68A9">
        <w:t xml:space="preserve"> staff </w:t>
      </w:r>
      <w:r w:rsidR="00861337" w:rsidRPr="008B68A9">
        <w:t>may have been</w:t>
      </w:r>
      <w:r w:rsidRPr="008B68A9">
        <w:t xml:space="preserve"> more comfortable with a monetary led way of working. The client group in this study were mostly either elderly or had learning disabilities, as opposed to the other study where participants were diagnosed with mental health problems. I suggest that constructions of mental health, autonomy and personal decision making within a larger discourse of power and control between mental health professionals and their clients, may have been a part of the differences observed.</w:t>
      </w:r>
    </w:p>
    <w:p w14:paraId="6791D7CB" w14:textId="1E592B9C" w:rsidR="006C7B37" w:rsidRPr="008B68A9" w:rsidRDefault="006C7B37" w:rsidP="006C7B37">
      <w:pPr>
        <w:pStyle w:val="2L2header"/>
      </w:pPr>
      <w:bookmarkStart w:id="204" w:name="_Toc413827458"/>
      <w:bookmarkStart w:id="205" w:name="_Toc466800356"/>
      <w:r w:rsidRPr="008B68A9">
        <w:t>5.6 Study 4: Virtual individual budgets evaluation in substance misuse services in a North West city</w:t>
      </w:r>
      <w:bookmarkEnd w:id="204"/>
      <w:bookmarkEnd w:id="205"/>
    </w:p>
    <w:p w14:paraId="611084D9" w14:textId="77777777" w:rsidR="006C7B37" w:rsidRPr="008B68A9" w:rsidRDefault="006C7B37" w:rsidP="006C7B37">
      <w:pPr>
        <w:spacing w:line="360" w:lineRule="auto"/>
        <w:jc w:val="both"/>
        <w:rPr>
          <w:rFonts w:eastAsia="Arial" w:cs="Arial"/>
          <w:szCs w:val="24"/>
        </w:rPr>
      </w:pPr>
      <w:r w:rsidRPr="008B68A9">
        <w:rPr>
          <w:szCs w:val="24"/>
        </w:rPr>
        <w:t>July 2011 – December 2012</w:t>
      </w:r>
      <w:r w:rsidRPr="008B68A9">
        <w:rPr>
          <w:rFonts w:eastAsia="Arial" w:cs="Arial"/>
          <w:szCs w:val="24"/>
        </w:rPr>
        <w:t>; funded grant £24,700</w:t>
      </w:r>
    </w:p>
    <w:p w14:paraId="51C56D92" w14:textId="0347264A" w:rsidR="006C7B37" w:rsidRPr="008B68A9" w:rsidRDefault="006C7B37" w:rsidP="006C7B37">
      <w:pPr>
        <w:pStyle w:val="3L3header"/>
      </w:pPr>
      <w:bookmarkStart w:id="206" w:name="_Toc413827459"/>
      <w:bookmarkStart w:id="207" w:name="_Toc466800357"/>
      <w:r w:rsidRPr="008B68A9">
        <w:t>5.6.1 Summary of evaluation</w:t>
      </w:r>
      <w:bookmarkEnd w:id="206"/>
      <w:bookmarkEnd w:id="207"/>
      <w:r w:rsidRPr="008B68A9">
        <w:t xml:space="preserve"> </w:t>
      </w:r>
    </w:p>
    <w:p w14:paraId="1E0953BB" w14:textId="77777777" w:rsidR="006C7B37" w:rsidRPr="008B68A9" w:rsidRDefault="006C7B37" w:rsidP="002F0FD7">
      <w:pPr>
        <w:pStyle w:val="5arangedleft"/>
        <w:rPr>
          <w:rFonts w:cs="Arial"/>
        </w:rPr>
      </w:pPr>
      <w:r w:rsidRPr="008B68A9">
        <w:t xml:space="preserve">Site four commissioned a 12 month evaluation of a pilot offering individual budgets through what were called virtual individual budgets in parallel to their usual care package. </w:t>
      </w:r>
      <w:r w:rsidRPr="008B68A9">
        <w:rPr>
          <w:rFonts w:cs="Arial"/>
        </w:rPr>
        <w:t xml:space="preserve">This pilot was a small-scale, but in-depth investigation of service users at different stages in their treatment journeys, accessing the drug and alcohol team within a North West Metropolitan Borough Council. </w:t>
      </w:r>
    </w:p>
    <w:p w14:paraId="0030A0C6" w14:textId="64948612" w:rsidR="00995AA0" w:rsidRPr="008B68A9" w:rsidRDefault="00995AA0">
      <w:pPr>
        <w:spacing w:line="276" w:lineRule="auto"/>
        <w:rPr>
          <w:rFonts w:cs="Arial"/>
          <w:szCs w:val="24"/>
        </w:rPr>
      </w:pPr>
      <w:r w:rsidRPr="008B68A9">
        <w:rPr>
          <w:rFonts w:cs="Arial"/>
        </w:rPr>
        <w:br w:type="page"/>
      </w:r>
    </w:p>
    <w:p w14:paraId="66DDF0AB" w14:textId="72C125F8" w:rsidR="006C7B37" w:rsidRPr="008B68A9" w:rsidRDefault="006C7B37" w:rsidP="006C7B37">
      <w:pPr>
        <w:pStyle w:val="3L3header"/>
      </w:pPr>
      <w:bookmarkStart w:id="208" w:name="_Toc413827460"/>
      <w:bookmarkStart w:id="209" w:name="_Toc466800358"/>
      <w:r w:rsidRPr="008B68A9">
        <w:lastRenderedPageBreak/>
        <w:t>5.6.2 Aims</w:t>
      </w:r>
      <w:bookmarkEnd w:id="208"/>
      <w:bookmarkEnd w:id="209"/>
    </w:p>
    <w:p w14:paraId="6B66B1C0" w14:textId="77777777" w:rsidR="006C7B37" w:rsidRPr="008B68A9" w:rsidRDefault="006C7B37" w:rsidP="006C7B37">
      <w:pPr>
        <w:pStyle w:val="ListParagraph"/>
        <w:widowControl w:val="0"/>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ind w:left="0"/>
        <w:contextualSpacing w:val="0"/>
        <w:rPr>
          <w:rFonts w:cs="Arial"/>
          <w:szCs w:val="24"/>
        </w:rPr>
      </w:pPr>
      <w:r w:rsidRPr="008B68A9">
        <w:rPr>
          <w:rFonts w:cs="Arial"/>
          <w:szCs w:val="24"/>
        </w:rPr>
        <w:t>To evaluate a personalisation pilot within the addiction services in a North West city:</w:t>
      </w:r>
    </w:p>
    <w:p w14:paraId="5DBE0696" w14:textId="77777777" w:rsidR="006C7B37" w:rsidRPr="008B68A9" w:rsidRDefault="006C7B37" w:rsidP="006C7B37">
      <w:pPr>
        <w:pStyle w:val="ListParagraph"/>
        <w:widowControl w:val="0"/>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ind w:left="0"/>
        <w:contextualSpacing w:val="0"/>
        <w:rPr>
          <w:rFonts w:cs="Arial"/>
          <w:szCs w:val="24"/>
        </w:rPr>
      </w:pPr>
      <w:r w:rsidRPr="008B68A9">
        <w:rPr>
          <w:rFonts w:cs="Arial"/>
          <w:szCs w:val="24"/>
        </w:rPr>
        <w:t>Undertake a case study design for a cohort of service users in different treatment stages using virtual individual budgets.</w:t>
      </w:r>
    </w:p>
    <w:p w14:paraId="5E0FA1CD" w14:textId="77777777" w:rsidR="006C7B37" w:rsidRPr="008B68A9" w:rsidRDefault="006C7B37" w:rsidP="006C7B37">
      <w:pPr>
        <w:pStyle w:val="ListParagraph"/>
        <w:widowControl w:val="0"/>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ind w:left="0"/>
        <w:contextualSpacing w:val="0"/>
        <w:rPr>
          <w:rFonts w:cs="Arial"/>
          <w:szCs w:val="24"/>
        </w:rPr>
      </w:pPr>
      <w:r w:rsidRPr="008B68A9">
        <w:rPr>
          <w:rFonts w:cs="Arial"/>
          <w:szCs w:val="24"/>
        </w:rPr>
        <w:t>Explore two groups of service users’ experiences of using virtual individual budgets over a fixed time frame.</w:t>
      </w:r>
    </w:p>
    <w:p w14:paraId="18BF123D" w14:textId="77777777" w:rsidR="006C7B37" w:rsidRPr="008B68A9" w:rsidRDefault="006C7B37" w:rsidP="006C7B37">
      <w:pPr>
        <w:pStyle w:val="ListParagraph"/>
        <w:widowControl w:val="0"/>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ind w:left="0"/>
        <w:contextualSpacing w:val="0"/>
        <w:rPr>
          <w:rFonts w:cs="Arial"/>
          <w:szCs w:val="24"/>
        </w:rPr>
      </w:pPr>
      <w:r w:rsidRPr="008B68A9">
        <w:rPr>
          <w:rFonts w:cs="Arial"/>
          <w:szCs w:val="24"/>
        </w:rPr>
        <w:t>Explore the experiences of health and social addiction service providers of working with virtual individual budgets.</w:t>
      </w:r>
      <w:bookmarkStart w:id="210" w:name="_Toc413827461"/>
    </w:p>
    <w:p w14:paraId="752B5CB0" w14:textId="374C7AB8" w:rsidR="006C7B37" w:rsidRPr="008B68A9" w:rsidRDefault="006C7B37" w:rsidP="006C7B37">
      <w:pPr>
        <w:pStyle w:val="3L3header"/>
      </w:pPr>
      <w:bookmarkStart w:id="211" w:name="_Toc466800359"/>
      <w:r w:rsidRPr="008B68A9">
        <w:t>5.6.3 Method</w:t>
      </w:r>
      <w:bookmarkEnd w:id="210"/>
      <w:bookmarkEnd w:id="211"/>
    </w:p>
    <w:p w14:paraId="1B8FC46D" w14:textId="77777777" w:rsidR="006C7B37" w:rsidRPr="008B68A9" w:rsidRDefault="006C7B37" w:rsidP="002F0FD7">
      <w:pPr>
        <w:pStyle w:val="5arangedleft"/>
      </w:pPr>
      <w:r w:rsidRPr="008B68A9">
        <w:t xml:space="preserve">A case study design involving individual budget recipients was used representing two treatment stages of contact with addiction services, at commencement and at 36&gt; months in service. This study was designed to explore experiences of users and providers at two points in the individual budget process. </w:t>
      </w:r>
    </w:p>
    <w:p w14:paraId="756F4011" w14:textId="77777777" w:rsidR="006C7B37" w:rsidRPr="008B68A9" w:rsidRDefault="006C7B37" w:rsidP="006C7B37">
      <w:pPr>
        <w:pStyle w:val="8unnumberedcross-head"/>
        <w:rPr>
          <w:rFonts w:cs="Arial"/>
          <w:szCs w:val="24"/>
        </w:rPr>
      </w:pPr>
      <w:r w:rsidRPr="008B68A9">
        <w:t>Aim 1: To describe the experiences of recipients accessing virtual budgets</w:t>
      </w:r>
    </w:p>
    <w:p w14:paraId="47F9CE67" w14:textId="77777777" w:rsidR="006C7B37" w:rsidRPr="008B68A9" w:rsidRDefault="006C7B37" w:rsidP="002F0FD7">
      <w:pPr>
        <w:pStyle w:val="5arangedleft"/>
      </w:pPr>
      <w:r w:rsidRPr="008B68A9">
        <w:t>Seventeen participants were successfully recruited by the service broker into the pilot; eight were new to the drug and alcohol services, and nine had been in services for over three years. Strict inclusion criteria meant each participant was required to have capacity to consent, and were not suffering from acute episodes of mental ill health or prolonged intoxication. It was decided that if a participant recruited to the study became acutely ill, relapsed or was incarcerated within the first months of the pilot, they were to be removed and their place offered to another participant.</w:t>
      </w:r>
    </w:p>
    <w:p w14:paraId="55701391" w14:textId="77777777" w:rsidR="006C7B37" w:rsidRPr="008B68A9" w:rsidRDefault="006C7B37" w:rsidP="002F0FD7">
      <w:pPr>
        <w:pStyle w:val="5arangedleft"/>
      </w:pPr>
      <w:r w:rsidRPr="008B68A9">
        <w:t xml:space="preserve">Thirteen service users representing both groups (9=new to service, 4=36&gt; months) were approached to take part in the pilot, but, for various reasons, were not able to engage with the process and left at different points in the budget planning process. Participants were asked give two interviews and complete two questionnaires over the course of the pilot. The first interview and questionnaire were carried out soon after recruitment, but before completing the support planning processes. The second interview and questionnaire were conducted after the planning process and in some instances, post-budget. </w:t>
      </w:r>
    </w:p>
    <w:p w14:paraId="47AB8CD3" w14:textId="686FE3F5" w:rsidR="006C7B37" w:rsidRPr="008B68A9" w:rsidRDefault="006C7B37" w:rsidP="002F0FD7">
      <w:pPr>
        <w:pStyle w:val="5arangedleft"/>
      </w:pPr>
      <w:r w:rsidRPr="008B68A9">
        <w:lastRenderedPageBreak/>
        <w:t xml:space="preserve">The Initial interview asked participants to complete a baseline questionnaire and to provide a self-narrative guided by the interviewer using a framework. The second interview and questionnaire followed up participants, attempting to understand changes through the pilot. Participants were asked about their experiences of working with the broker, processes of person centred thinking tools and support planning. Where participants received their service/item, they were asked how the individual budget pilot had impacted on their life, and whether outcomes in the support planning had been achieved. Budget recipients completed a follow-up questionnaire exploring changes from being on the pilot. A £20 Argos voucher was given to each respondent upon completion of each interview. Vouchers were chosen as a ‘low risk’ option, it being considered unlikely that unsuitable items could be purchased from this shop. </w:t>
      </w:r>
    </w:p>
    <w:p w14:paraId="1B464AC1" w14:textId="77777777" w:rsidR="006C7B37" w:rsidRPr="008B68A9" w:rsidRDefault="006C7B37" w:rsidP="002F0FD7">
      <w:pPr>
        <w:pStyle w:val="5arangedleft"/>
      </w:pPr>
      <w:r w:rsidRPr="008B68A9">
        <w:t xml:space="preserve">Seventeen baseline questionnaires and interviews were conducted; however, one initial questionnaire was unusable and therefore sixteen questionnaires were used in analysis of the findings (eight new to services and eight 3&gt; years). The questionnaires were a modified form of a self-directed service user-led evaluation (Sullivan 2006). Some ratings appear in Bartlett (2009), included with kind permission from the author. </w:t>
      </w:r>
    </w:p>
    <w:p w14:paraId="72AE8841" w14:textId="762CD7B7" w:rsidR="006C7B37" w:rsidRPr="008B68A9" w:rsidRDefault="006C7B37" w:rsidP="002F0FD7">
      <w:pPr>
        <w:pStyle w:val="5arangedleft"/>
      </w:pPr>
      <w:r w:rsidRPr="008B68A9">
        <w:t>Interviews were digitally recorded, transcribed by a third party. Whilst some qualitative researchers state transcribing the interview data themselves is preferable (Charmaz 1999), budgetary limits made this practice unaffordable. Therefore immersion through reading and re-reading in accordance with established qualitative methodology processes (</w:t>
      </w:r>
      <w:r w:rsidR="0064440D" w:rsidRPr="008B68A9">
        <w:t>Reissman</w:t>
      </w:r>
      <w:r w:rsidRPr="008B68A9">
        <w:t xml:space="preserve"> 1993, 2008, Silverman 2013) was a central part of the analysis. Using MAXQDA, qualitative software themes were developed and coding groups created.</w:t>
      </w:r>
    </w:p>
    <w:p w14:paraId="2CAE2405" w14:textId="77777777" w:rsidR="006C7B37" w:rsidRPr="008B68A9" w:rsidRDefault="006C7B37" w:rsidP="006C7B37">
      <w:pPr>
        <w:pStyle w:val="8unnumberedcross-head"/>
      </w:pPr>
      <w:r w:rsidRPr="008B68A9">
        <w:t>Aim 2: To understand the service providers’ experience and perception of individual budgets</w:t>
      </w:r>
    </w:p>
    <w:p w14:paraId="2FA897C7" w14:textId="77777777" w:rsidR="006C7B37" w:rsidRPr="008B68A9" w:rsidRDefault="006C7B37" w:rsidP="002F0FD7">
      <w:pPr>
        <w:pStyle w:val="5arangedleft"/>
      </w:pPr>
      <w:r w:rsidRPr="008B68A9">
        <w:t xml:space="preserve">Nine stakeholder interviews were conducted capturing the service providers’ experiences implementing the pilot, at approximately nine months into the pilot. The interviews were recorded and transcribed verbatim. Through reading and re-reading </w:t>
      </w:r>
      <w:r w:rsidRPr="008B68A9">
        <w:lastRenderedPageBreak/>
        <w:t xml:space="preserve">transcripts, the interviews were like the participant transcripts analysed through a narrative approach and coded using MAXQDA software. </w:t>
      </w:r>
    </w:p>
    <w:p w14:paraId="71D37D77" w14:textId="77777777" w:rsidR="006C7B37" w:rsidRPr="008B68A9" w:rsidRDefault="006C7B37" w:rsidP="002F0FD7">
      <w:pPr>
        <w:pStyle w:val="5arangedleft"/>
      </w:pPr>
      <w:r w:rsidRPr="008B68A9">
        <w:t>In addition to the face-to-face stakeholder interviews, four telephone interviews with key workers on the pilot were undertaken after 12 months. This group were intentionally different in their composition, as they were primarily concerned with the day-to-day process and application of support planning processes and implementation, rather than managers or senior staff who were included in the face-to-face interviews.</w:t>
      </w:r>
    </w:p>
    <w:p w14:paraId="598125B5" w14:textId="77777777" w:rsidR="006C7B37" w:rsidRPr="008B68A9" w:rsidRDefault="006C7B37" w:rsidP="002F0FD7">
      <w:pPr>
        <w:pStyle w:val="5arangedleft"/>
      </w:pPr>
      <w:r w:rsidRPr="008B68A9">
        <w:t xml:space="preserve">A separate interview was conducted with the broker responsible in the pilot. The interview was scheduled towards the end of the funded project, and therefore provided the research team with a retrospective account of their journey and perceptions of personalisation, and a unique insight into the challenges personalisation in this client group presented. </w:t>
      </w:r>
    </w:p>
    <w:p w14:paraId="4A9064C0" w14:textId="77777777" w:rsidR="006C7B37" w:rsidRPr="008B68A9" w:rsidRDefault="006C7B37" w:rsidP="006C7B37">
      <w:pPr>
        <w:pStyle w:val="8unnumberedcross-head"/>
      </w:pPr>
      <w:r w:rsidRPr="008B68A9">
        <w:t>Aim 3: To calculate the relative costs of using an individual budget for services, using data from current costing</w:t>
      </w:r>
    </w:p>
    <w:p w14:paraId="2075E4FB" w14:textId="77777777" w:rsidR="006C7B37" w:rsidRPr="008B68A9" w:rsidRDefault="006C7B37" w:rsidP="002F0FD7">
      <w:pPr>
        <w:pStyle w:val="5arangedleft"/>
      </w:pPr>
      <w:r w:rsidRPr="008B68A9">
        <w:t>A smaller and unsuccessful component to the evaluation was to collate cost and purchase data to track spend patterns through the pilot. The aim was to estimate the cost per participant of the virtual individual budget in that aspect of their plan not exempted from the scheme (health cost and treatment cost, such as detoxification or residential care).</w:t>
      </w:r>
    </w:p>
    <w:p w14:paraId="65DE32BE" w14:textId="77777777" w:rsidR="006C7B37" w:rsidRPr="008B68A9" w:rsidRDefault="006C7B37" w:rsidP="002F0FD7">
      <w:pPr>
        <w:pStyle w:val="5arangedleft"/>
      </w:pPr>
      <w:r w:rsidRPr="008B68A9">
        <w:t xml:space="preserve">A database was created, and populated by commissioning staff. This database was intended to be used to record participant details, amounts received, personal budget spend and process timings from initial planning to budget spend. Sixteen participants’ details were recorded. The research team were not sent the database to compile this data, in spite of requests and discussion with the commissioning personnel. </w:t>
      </w:r>
    </w:p>
    <w:p w14:paraId="1B84E3EC" w14:textId="77777777" w:rsidR="005B240A" w:rsidRPr="008B68A9" w:rsidRDefault="005B240A" w:rsidP="002F0FD7">
      <w:pPr>
        <w:pStyle w:val="5arangedleft"/>
      </w:pPr>
    </w:p>
    <w:p w14:paraId="184DA0C1" w14:textId="4BA03294" w:rsidR="006C7B37" w:rsidRPr="008B68A9" w:rsidRDefault="006C7B37" w:rsidP="006C7B37">
      <w:pPr>
        <w:pStyle w:val="3L3header"/>
      </w:pPr>
      <w:bookmarkStart w:id="212" w:name="_Toc413827462"/>
      <w:bookmarkStart w:id="213" w:name="_Toc466800360"/>
      <w:r w:rsidRPr="008B68A9">
        <w:lastRenderedPageBreak/>
        <w:t>5.6.4 Results and findings</w:t>
      </w:r>
      <w:bookmarkEnd w:id="212"/>
      <w:bookmarkEnd w:id="213"/>
    </w:p>
    <w:p w14:paraId="751CDE02" w14:textId="77777777" w:rsidR="006C7B37" w:rsidRPr="008B68A9" w:rsidRDefault="006C7B37" w:rsidP="006C7B37">
      <w:pPr>
        <w:pStyle w:val="8unnumberedcross-head"/>
      </w:pPr>
      <w:r w:rsidRPr="008B68A9">
        <w:t>Budget recipients</w:t>
      </w:r>
    </w:p>
    <w:p w14:paraId="6F7DE105" w14:textId="77777777" w:rsidR="006C7B37" w:rsidRPr="008B68A9" w:rsidRDefault="006C7B37" w:rsidP="002F0FD7">
      <w:pPr>
        <w:pStyle w:val="5arangedleft"/>
      </w:pPr>
      <w:r w:rsidRPr="008B68A9">
        <w:t xml:space="preserve">The impact of the budgets on the users was great: access to courses, equipment to write to or connect with family, improvements in living conditions, bicycles, breaks and clothing to prepare for interviews were all items purchased through the VIBE pilot. The impact of support planning and identifying outcomes with the broker were reported as greater than the monetary worth of the purchases. The recipients’ narratives showed lives interrupted by addiction to substances, incarceration and related consequences. Their stories were powerfully sad, where poor decision making and environmental constraints had led to lives lived on the periphery of mainstream society, but very much in the gaze of criminal justice and probation services. </w:t>
      </w:r>
    </w:p>
    <w:p w14:paraId="4B2E650B" w14:textId="7CCB73B2" w:rsidR="006C7B37" w:rsidRPr="008B68A9" w:rsidRDefault="006C7B37" w:rsidP="002F0FD7">
      <w:pPr>
        <w:pStyle w:val="5arangedleft"/>
      </w:pPr>
      <w:r w:rsidRPr="008B68A9">
        <w:t>Their accounts of personalisation and the opportunities it offered showed that with intensive brokerage processes change was possible. The budget recipients were grateful for the time and concern from the broker, and for the subsequent budget. Even when the initial support plans were denied by the sign-off panel overseeing the proposed budgets, the client group remained positive towards the process. Time taken with the broker developing the support plans was for some the most important aspect of the budget process. One budget recipient expressed that no-one from services had ever asked them what they wanted from life or had asked for their story</w:t>
      </w:r>
      <w:r w:rsidR="00963C78" w:rsidRPr="008B68A9">
        <w:t xml:space="preserve"> and how their lives became what they have</w:t>
      </w:r>
      <w:r w:rsidRPr="008B68A9">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6"/>
        <w:gridCol w:w="4084"/>
      </w:tblGrid>
      <w:tr w:rsidR="006C7B37" w:rsidRPr="008B68A9" w14:paraId="375AE9A9" w14:textId="77777777" w:rsidTr="00045396">
        <w:trPr>
          <w:tblHeader/>
        </w:trPr>
        <w:tc>
          <w:tcPr>
            <w:tcW w:w="9236" w:type="dxa"/>
            <w:gridSpan w:val="2"/>
            <w:shd w:val="clear" w:color="auto" w:fill="F2F2F2" w:themeFill="background1" w:themeFillShade="F2"/>
          </w:tcPr>
          <w:p w14:paraId="4DE723F2" w14:textId="77777777" w:rsidR="006C7B37" w:rsidRPr="008B68A9" w:rsidRDefault="006C7B37" w:rsidP="00045396">
            <w:pPr>
              <w:spacing w:after="0" w:line="360" w:lineRule="auto"/>
              <w:jc w:val="center"/>
              <w:rPr>
                <w:rFonts w:cs="Arial"/>
                <w:b/>
                <w:sz w:val="22"/>
              </w:rPr>
            </w:pPr>
            <w:r w:rsidRPr="008B68A9">
              <w:rPr>
                <w:rFonts w:cs="Arial"/>
                <w:b/>
                <w:sz w:val="22"/>
              </w:rPr>
              <w:t>Themes arising from budget recipients’ interviews</w:t>
            </w:r>
          </w:p>
        </w:tc>
      </w:tr>
      <w:tr w:rsidR="006C7B37" w:rsidRPr="008B68A9" w14:paraId="606893F1" w14:textId="77777777" w:rsidTr="00045396">
        <w:tc>
          <w:tcPr>
            <w:tcW w:w="4618" w:type="dxa"/>
            <w:shd w:val="clear" w:color="auto" w:fill="FFFFFF" w:themeFill="background1"/>
          </w:tcPr>
          <w:p w14:paraId="35C2BDB4" w14:textId="77777777" w:rsidR="006C7B37" w:rsidRPr="008B68A9" w:rsidRDefault="006C7B37" w:rsidP="00045396">
            <w:pPr>
              <w:spacing w:after="0" w:line="360" w:lineRule="auto"/>
              <w:jc w:val="both"/>
              <w:rPr>
                <w:rFonts w:cs="Arial"/>
                <w:sz w:val="22"/>
              </w:rPr>
            </w:pPr>
            <w:r w:rsidRPr="008B68A9">
              <w:rPr>
                <w:rFonts w:cs="Arial"/>
                <w:sz w:val="22"/>
              </w:rPr>
              <w:t>Negative narrative</w:t>
            </w:r>
          </w:p>
        </w:tc>
        <w:tc>
          <w:tcPr>
            <w:tcW w:w="4618" w:type="dxa"/>
            <w:shd w:val="clear" w:color="auto" w:fill="FFFFFF" w:themeFill="background1"/>
          </w:tcPr>
          <w:p w14:paraId="0AF47CE8" w14:textId="77777777" w:rsidR="006C7B37" w:rsidRPr="008B68A9" w:rsidRDefault="006C7B37" w:rsidP="00045396">
            <w:pPr>
              <w:spacing w:after="0" w:line="360" w:lineRule="auto"/>
              <w:jc w:val="both"/>
              <w:rPr>
                <w:rFonts w:cs="Arial"/>
                <w:sz w:val="22"/>
              </w:rPr>
            </w:pPr>
            <w:r w:rsidRPr="008B68A9">
              <w:rPr>
                <w:rFonts w:cs="Arial"/>
                <w:sz w:val="22"/>
              </w:rPr>
              <w:t>Moving forward</w:t>
            </w:r>
          </w:p>
        </w:tc>
      </w:tr>
      <w:tr w:rsidR="006C7B37" w:rsidRPr="008B68A9" w14:paraId="58710A30" w14:textId="77777777" w:rsidTr="00045396">
        <w:tc>
          <w:tcPr>
            <w:tcW w:w="4618" w:type="dxa"/>
            <w:shd w:val="clear" w:color="auto" w:fill="FFFFFF" w:themeFill="background1"/>
          </w:tcPr>
          <w:p w14:paraId="27005F37" w14:textId="77777777" w:rsidR="006C7B37" w:rsidRPr="008B68A9" w:rsidRDefault="006C7B37" w:rsidP="00045396">
            <w:pPr>
              <w:spacing w:after="0" w:line="360" w:lineRule="auto"/>
              <w:jc w:val="both"/>
              <w:rPr>
                <w:rFonts w:cs="Arial"/>
                <w:sz w:val="22"/>
              </w:rPr>
            </w:pPr>
            <w:r w:rsidRPr="008B68A9">
              <w:rPr>
                <w:rFonts w:cs="Arial"/>
                <w:sz w:val="22"/>
              </w:rPr>
              <w:t>Support planning</w:t>
            </w:r>
          </w:p>
        </w:tc>
        <w:tc>
          <w:tcPr>
            <w:tcW w:w="4618" w:type="dxa"/>
            <w:shd w:val="clear" w:color="auto" w:fill="FFFFFF" w:themeFill="background1"/>
          </w:tcPr>
          <w:p w14:paraId="54519294" w14:textId="77777777" w:rsidR="006C7B37" w:rsidRPr="008B68A9" w:rsidRDefault="006C7B37" w:rsidP="00045396">
            <w:pPr>
              <w:spacing w:after="0" w:line="360" w:lineRule="auto"/>
              <w:jc w:val="both"/>
              <w:rPr>
                <w:rFonts w:cs="Arial"/>
                <w:sz w:val="22"/>
              </w:rPr>
            </w:pPr>
            <w:r w:rsidRPr="008B68A9">
              <w:rPr>
                <w:rFonts w:cs="Arial"/>
                <w:sz w:val="22"/>
              </w:rPr>
              <w:t>Role of broker</w:t>
            </w:r>
          </w:p>
        </w:tc>
      </w:tr>
      <w:tr w:rsidR="006C7B37" w:rsidRPr="008B68A9" w14:paraId="6661A78D" w14:textId="77777777" w:rsidTr="00045396">
        <w:tc>
          <w:tcPr>
            <w:tcW w:w="4618" w:type="dxa"/>
            <w:shd w:val="clear" w:color="auto" w:fill="FFFFFF" w:themeFill="background1"/>
          </w:tcPr>
          <w:p w14:paraId="03A0A5CA" w14:textId="77777777" w:rsidR="006C7B37" w:rsidRPr="008B68A9" w:rsidRDefault="006C7B37" w:rsidP="00045396">
            <w:pPr>
              <w:spacing w:after="0" w:line="360" w:lineRule="auto"/>
              <w:jc w:val="both"/>
              <w:rPr>
                <w:rFonts w:cs="Arial"/>
                <w:sz w:val="22"/>
              </w:rPr>
            </w:pPr>
            <w:r w:rsidRPr="008B68A9">
              <w:rPr>
                <w:rFonts w:cs="Arial"/>
                <w:sz w:val="22"/>
              </w:rPr>
              <w:t>Opportunity for change</w:t>
            </w:r>
          </w:p>
        </w:tc>
        <w:tc>
          <w:tcPr>
            <w:tcW w:w="4618" w:type="dxa"/>
            <w:shd w:val="clear" w:color="auto" w:fill="FFFFFF" w:themeFill="background1"/>
          </w:tcPr>
          <w:p w14:paraId="4504DB66" w14:textId="77777777" w:rsidR="006C7B37" w:rsidRPr="008B68A9" w:rsidRDefault="006C7B37" w:rsidP="00045396">
            <w:pPr>
              <w:spacing w:after="0" w:line="360" w:lineRule="auto"/>
              <w:jc w:val="both"/>
              <w:rPr>
                <w:rFonts w:cs="Arial"/>
                <w:sz w:val="22"/>
              </w:rPr>
            </w:pPr>
            <w:r w:rsidRPr="008B68A9">
              <w:rPr>
                <w:rFonts w:cs="Arial"/>
                <w:sz w:val="22"/>
              </w:rPr>
              <w:t>Hope</w:t>
            </w:r>
          </w:p>
        </w:tc>
      </w:tr>
      <w:tr w:rsidR="006C7B37" w:rsidRPr="008B68A9" w14:paraId="3DAC6117" w14:textId="77777777" w:rsidTr="00045396">
        <w:tc>
          <w:tcPr>
            <w:tcW w:w="4618" w:type="dxa"/>
            <w:shd w:val="clear" w:color="auto" w:fill="FFFFFF" w:themeFill="background1"/>
          </w:tcPr>
          <w:p w14:paraId="4B65C1B6" w14:textId="77777777" w:rsidR="006C7B37" w:rsidRPr="008B68A9" w:rsidRDefault="006C7B37" w:rsidP="00045396">
            <w:pPr>
              <w:spacing w:after="0" w:line="360" w:lineRule="auto"/>
              <w:jc w:val="both"/>
              <w:rPr>
                <w:rFonts w:cs="Arial"/>
                <w:sz w:val="22"/>
              </w:rPr>
            </w:pPr>
            <w:r w:rsidRPr="008B68A9">
              <w:rPr>
                <w:rFonts w:cs="Arial"/>
                <w:sz w:val="22"/>
              </w:rPr>
              <w:t>Time to change</w:t>
            </w:r>
          </w:p>
        </w:tc>
        <w:tc>
          <w:tcPr>
            <w:tcW w:w="4618" w:type="dxa"/>
            <w:shd w:val="clear" w:color="auto" w:fill="FFFFFF" w:themeFill="background1"/>
          </w:tcPr>
          <w:p w14:paraId="19C535C4" w14:textId="77777777" w:rsidR="006C7B37" w:rsidRPr="008B68A9" w:rsidRDefault="006C7B37" w:rsidP="00045396">
            <w:pPr>
              <w:spacing w:after="0" w:line="360" w:lineRule="auto"/>
              <w:jc w:val="both"/>
              <w:rPr>
                <w:rFonts w:cs="Arial"/>
                <w:sz w:val="22"/>
              </w:rPr>
            </w:pPr>
            <w:r w:rsidRPr="008B68A9">
              <w:rPr>
                <w:rFonts w:cs="Arial"/>
                <w:sz w:val="22"/>
              </w:rPr>
              <w:t xml:space="preserve">Recovery </w:t>
            </w:r>
          </w:p>
        </w:tc>
      </w:tr>
    </w:tbl>
    <w:p w14:paraId="191594BC" w14:textId="0DABE738" w:rsidR="006C7B37" w:rsidRPr="008B68A9" w:rsidRDefault="006C7B37" w:rsidP="006C7B37">
      <w:pPr>
        <w:pStyle w:val="9btablecaption"/>
      </w:pPr>
      <w:bookmarkStart w:id="214" w:name="_Toc413827566"/>
      <w:bookmarkStart w:id="215" w:name="_Toc466799808"/>
      <w:r w:rsidRPr="008B68A9">
        <w:t>Table 1</w:t>
      </w:r>
      <w:r w:rsidR="00DF399F" w:rsidRPr="008B68A9">
        <w:t>4</w:t>
      </w:r>
      <w:r w:rsidRPr="008B68A9">
        <w:t>: Themes from interviews</w:t>
      </w:r>
      <w:bookmarkEnd w:id="214"/>
      <w:bookmarkEnd w:id="215"/>
    </w:p>
    <w:p w14:paraId="6BF7C0EB" w14:textId="77777777" w:rsidR="006C7B37" w:rsidRPr="008B68A9" w:rsidRDefault="006C7B37" w:rsidP="002F0FD7">
      <w:pPr>
        <w:pStyle w:val="5arangedleft"/>
      </w:pPr>
    </w:p>
    <w:p w14:paraId="72ECBCCA" w14:textId="77777777" w:rsidR="00457F15" w:rsidRPr="008B68A9" w:rsidRDefault="00457F15" w:rsidP="002F0FD7">
      <w:pPr>
        <w:pStyle w:val="5arangedleft"/>
      </w:pPr>
    </w:p>
    <w:p w14:paraId="1AB0E24C" w14:textId="77777777" w:rsidR="006C7B37" w:rsidRPr="008B68A9" w:rsidRDefault="006C7B37" w:rsidP="002F0FD7">
      <w:pPr>
        <w:pStyle w:val="5arangedleft"/>
      </w:pPr>
      <w:r w:rsidRPr="008B68A9">
        <w:lastRenderedPageBreak/>
        <w:t xml:space="preserve">For some budget recipients their accommodation, social circumstances or drug use deteriorated, making it difficult to maintain engagement in the project. This is not an uncommon phenomenon with this client group, but represented a challenge to re-engaging following relapse, threatened incarceration or other break in support plan processes. </w:t>
      </w:r>
    </w:p>
    <w:p w14:paraId="0EE638E2" w14:textId="77777777" w:rsidR="006C7B37" w:rsidRPr="008B68A9" w:rsidRDefault="006C7B37" w:rsidP="006C7B37">
      <w:pPr>
        <w:pStyle w:val="8unnumberedcross-head"/>
      </w:pPr>
      <w:r w:rsidRPr="008B68A9">
        <w:t>Stakeholder perspectives</w:t>
      </w:r>
    </w:p>
    <w:p w14:paraId="3120DD37" w14:textId="77777777" w:rsidR="006C7B37" w:rsidRPr="008B68A9" w:rsidRDefault="006C7B37" w:rsidP="002F0FD7">
      <w:pPr>
        <w:pStyle w:val="5arangedleft"/>
      </w:pPr>
      <w:r w:rsidRPr="008B68A9">
        <w:t xml:space="preserve">Some keyworkers used selected person centred thinking tools in their work, and others reported that they already used this approach. However, heavy workloads and time constraints of the keyworker role limited use of person centred thinking. Participants recognised the difficult and complex nature of services attempting to manage boundaries, responsibilities and expectations of professionals involved in substance misuse and criminal justice systems. </w:t>
      </w:r>
    </w:p>
    <w:p w14:paraId="54D359C6" w14:textId="77777777" w:rsidR="006C7B37" w:rsidRPr="008B68A9" w:rsidRDefault="006C7B37" w:rsidP="002F0FD7">
      <w:pPr>
        <w:pStyle w:val="5arangedleft"/>
      </w:pPr>
      <w:r w:rsidRPr="008B68A9">
        <w:t xml:space="preserve">The budget approval panel, at which plans were accepted or rejected, comprised practitioners and managers from health, probation, medicine and social work, and demonstrated control and risk aversion. A perceived need for risk-control was framed within the context of answerability to participants, whose perspective and priorities were disparate or oppositional. </w:t>
      </w:r>
    </w:p>
    <w:p w14:paraId="4B27F61E" w14:textId="77777777" w:rsidR="006C7B37" w:rsidRPr="008B68A9" w:rsidRDefault="006C7B37" w:rsidP="002F0FD7">
      <w:pPr>
        <w:pStyle w:val="5arangedleft"/>
      </w:pPr>
      <w:r w:rsidRPr="008B68A9">
        <w:t>Support plans and the mechanisms within individual budget sign-off usually operate with a lighter touch than in this pilot. A number of budget applicants used the term ‘request’ in their support plan, suggestive of a power imbalance between the requester and authoriser. Tenets of person centred thinking in the seven principles of support planning (Duffy 2006b) and co-production (Needham and Carr 2012) were unusually distant in the panel’s working. The inertia created by iterations of amended support plans led to delays and reduced participant engagement in their recovery journeys. The panel appeared to have confused its function, incorporating executive steering group with governance functions with support plan sign-off. Some support plans were not signed-off as they conflicted with legislative restrictions imposed by agencies such as the Driver Vehicle Licencing Authority, with a resultant loss of potentially enhanced mobility which could have created opportunities for employment and increased ‘recovery capital’ (White &amp; Cloud 2008).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6"/>
        <w:gridCol w:w="4064"/>
      </w:tblGrid>
      <w:tr w:rsidR="006C7B37" w:rsidRPr="008B68A9" w14:paraId="1102BCA5" w14:textId="77777777" w:rsidTr="00045396">
        <w:tc>
          <w:tcPr>
            <w:tcW w:w="9236" w:type="dxa"/>
            <w:gridSpan w:val="2"/>
            <w:shd w:val="clear" w:color="auto" w:fill="F2F2F2" w:themeFill="background1" w:themeFillShade="F2"/>
          </w:tcPr>
          <w:p w14:paraId="5719BA09" w14:textId="77777777" w:rsidR="006C7B37" w:rsidRPr="008B68A9" w:rsidRDefault="006C7B37" w:rsidP="00045396">
            <w:pPr>
              <w:spacing w:after="0" w:line="360" w:lineRule="auto"/>
              <w:jc w:val="center"/>
              <w:rPr>
                <w:rFonts w:cs="Arial"/>
                <w:b/>
                <w:sz w:val="22"/>
              </w:rPr>
            </w:pPr>
            <w:r w:rsidRPr="008B68A9">
              <w:rPr>
                <w:rFonts w:cs="Arial"/>
                <w:b/>
                <w:sz w:val="22"/>
              </w:rPr>
              <w:lastRenderedPageBreak/>
              <w:t>Themes arising from participants’ interviews</w:t>
            </w:r>
          </w:p>
        </w:tc>
      </w:tr>
      <w:tr w:rsidR="006C7B37" w:rsidRPr="008B68A9" w14:paraId="269D8E3C" w14:textId="77777777" w:rsidTr="00045396">
        <w:tc>
          <w:tcPr>
            <w:tcW w:w="4618" w:type="dxa"/>
            <w:shd w:val="clear" w:color="auto" w:fill="FFFFFF" w:themeFill="background1"/>
          </w:tcPr>
          <w:p w14:paraId="310BC375" w14:textId="77777777" w:rsidR="006C7B37" w:rsidRPr="008B68A9" w:rsidRDefault="006C7B37" w:rsidP="00045396">
            <w:pPr>
              <w:spacing w:after="0" w:line="360" w:lineRule="auto"/>
              <w:jc w:val="both"/>
              <w:rPr>
                <w:rFonts w:cs="Arial"/>
                <w:sz w:val="22"/>
              </w:rPr>
            </w:pPr>
            <w:r w:rsidRPr="008B68A9">
              <w:rPr>
                <w:rFonts w:cs="Arial"/>
                <w:sz w:val="22"/>
              </w:rPr>
              <w:t>Everyday barriers</w:t>
            </w:r>
          </w:p>
        </w:tc>
        <w:tc>
          <w:tcPr>
            <w:tcW w:w="4618" w:type="dxa"/>
            <w:shd w:val="clear" w:color="auto" w:fill="FFFFFF" w:themeFill="background1"/>
          </w:tcPr>
          <w:p w14:paraId="2B563E37" w14:textId="77777777" w:rsidR="006C7B37" w:rsidRPr="008B68A9" w:rsidRDefault="006C7B37" w:rsidP="00045396">
            <w:pPr>
              <w:spacing w:after="0" w:line="360" w:lineRule="auto"/>
              <w:jc w:val="both"/>
              <w:rPr>
                <w:rFonts w:cs="Arial"/>
                <w:sz w:val="22"/>
              </w:rPr>
            </w:pPr>
            <w:r w:rsidRPr="008B68A9">
              <w:rPr>
                <w:rFonts w:cs="Arial"/>
                <w:sz w:val="22"/>
              </w:rPr>
              <w:t>Risk and public perception</w:t>
            </w:r>
          </w:p>
        </w:tc>
      </w:tr>
      <w:tr w:rsidR="006C7B37" w:rsidRPr="008B68A9" w14:paraId="78A23686" w14:textId="77777777" w:rsidTr="00045396">
        <w:tc>
          <w:tcPr>
            <w:tcW w:w="4618" w:type="dxa"/>
            <w:shd w:val="clear" w:color="auto" w:fill="FFFFFF" w:themeFill="background1"/>
          </w:tcPr>
          <w:p w14:paraId="05666DDD" w14:textId="77777777" w:rsidR="006C7B37" w:rsidRPr="008B68A9" w:rsidRDefault="006C7B37" w:rsidP="00045396">
            <w:pPr>
              <w:spacing w:after="0" w:line="360" w:lineRule="auto"/>
              <w:jc w:val="both"/>
              <w:rPr>
                <w:rFonts w:cs="Arial"/>
                <w:sz w:val="22"/>
              </w:rPr>
            </w:pPr>
            <w:r w:rsidRPr="008B68A9">
              <w:rPr>
                <w:rFonts w:cs="Arial"/>
                <w:sz w:val="22"/>
              </w:rPr>
              <w:t>Appropriateness of IBs for client group</w:t>
            </w:r>
          </w:p>
        </w:tc>
        <w:tc>
          <w:tcPr>
            <w:tcW w:w="4618" w:type="dxa"/>
            <w:shd w:val="clear" w:color="auto" w:fill="FFFFFF" w:themeFill="background1"/>
          </w:tcPr>
          <w:p w14:paraId="45917780" w14:textId="77777777" w:rsidR="006C7B37" w:rsidRPr="008B68A9" w:rsidRDefault="006C7B37" w:rsidP="00045396">
            <w:pPr>
              <w:spacing w:after="0" w:line="360" w:lineRule="auto"/>
              <w:jc w:val="both"/>
              <w:rPr>
                <w:rFonts w:cs="Arial"/>
                <w:sz w:val="22"/>
              </w:rPr>
            </w:pPr>
            <w:r w:rsidRPr="008B68A9">
              <w:rPr>
                <w:rFonts w:cs="Arial"/>
                <w:sz w:val="22"/>
              </w:rPr>
              <w:t>Impact on ways of working</w:t>
            </w:r>
          </w:p>
        </w:tc>
      </w:tr>
      <w:tr w:rsidR="006C7B37" w:rsidRPr="008B68A9" w14:paraId="56B2D180" w14:textId="77777777" w:rsidTr="00045396">
        <w:tc>
          <w:tcPr>
            <w:tcW w:w="4618" w:type="dxa"/>
            <w:shd w:val="clear" w:color="auto" w:fill="FFFFFF" w:themeFill="background1"/>
          </w:tcPr>
          <w:p w14:paraId="0212A865" w14:textId="77777777" w:rsidR="006C7B37" w:rsidRPr="008B68A9" w:rsidRDefault="006C7B37" w:rsidP="00045396">
            <w:pPr>
              <w:spacing w:after="0" w:line="360" w:lineRule="auto"/>
              <w:jc w:val="both"/>
              <w:rPr>
                <w:rFonts w:cs="Arial"/>
                <w:sz w:val="22"/>
              </w:rPr>
            </w:pPr>
            <w:r w:rsidRPr="008B68A9">
              <w:rPr>
                <w:rFonts w:cs="Arial"/>
                <w:sz w:val="22"/>
              </w:rPr>
              <w:t>Benefit through time of IB</w:t>
            </w:r>
          </w:p>
        </w:tc>
        <w:tc>
          <w:tcPr>
            <w:tcW w:w="4618" w:type="dxa"/>
            <w:shd w:val="clear" w:color="auto" w:fill="FFFFFF" w:themeFill="background1"/>
          </w:tcPr>
          <w:p w14:paraId="20D2EBF5" w14:textId="77777777" w:rsidR="006C7B37" w:rsidRPr="008B68A9" w:rsidRDefault="006C7B37" w:rsidP="00045396">
            <w:pPr>
              <w:spacing w:after="0" w:line="360" w:lineRule="auto"/>
              <w:jc w:val="both"/>
              <w:rPr>
                <w:rFonts w:cs="Arial"/>
                <w:sz w:val="22"/>
              </w:rPr>
            </w:pPr>
            <w:r w:rsidRPr="008B68A9">
              <w:rPr>
                <w:rFonts w:cs="Arial"/>
                <w:sz w:val="22"/>
              </w:rPr>
              <w:t>Evidence of change</w:t>
            </w:r>
          </w:p>
        </w:tc>
      </w:tr>
      <w:tr w:rsidR="006C7B37" w:rsidRPr="008B68A9" w14:paraId="28CAC522" w14:textId="77777777" w:rsidTr="00045396">
        <w:tc>
          <w:tcPr>
            <w:tcW w:w="4618" w:type="dxa"/>
            <w:shd w:val="clear" w:color="auto" w:fill="FFFFFF" w:themeFill="background1"/>
          </w:tcPr>
          <w:p w14:paraId="251BEE86" w14:textId="77777777" w:rsidR="006C7B37" w:rsidRPr="008B68A9" w:rsidRDefault="006C7B37" w:rsidP="00045396">
            <w:pPr>
              <w:spacing w:after="0" w:line="360" w:lineRule="auto"/>
              <w:jc w:val="both"/>
              <w:rPr>
                <w:rFonts w:cs="Arial"/>
                <w:sz w:val="22"/>
              </w:rPr>
            </w:pPr>
            <w:r w:rsidRPr="008B68A9">
              <w:rPr>
                <w:rFonts w:cs="Arial"/>
                <w:sz w:val="22"/>
              </w:rPr>
              <w:t>Suggestions for change</w:t>
            </w:r>
          </w:p>
        </w:tc>
        <w:tc>
          <w:tcPr>
            <w:tcW w:w="4618" w:type="dxa"/>
            <w:shd w:val="clear" w:color="auto" w:fill="FFFFFF" w:themeFill="background1"/>
          </w:tcPr>
          <w:p w14:paraId="3B9A480C" w14:textId="77777777" w:rsidR="006C7B37" w:rsidRPr="008B68A9" w:rsidRDefault="006C7B37" w:rsidP="00045396">
            <w:pPr>
              <w:spacing w:after="0" w:line="360" w:lineRule="auto"/>
              <w:jc w:val="both"/>
              <w:rPr>
                <w:rFonts w:cs="Arial"/>
                <w:sz w:val="22"/>
              </w:rPr>
            </w:pPr>
            <w:r w:rsidRPr="008B68A9">
              <w:rPr>
                <w:rFonts w:cs="Arial"/>
                <w:sz w:val="22"/>
              </w:rPr>
              <w:t>Role of broker</w:t>
            </w:r>
          </w:p>
        </w:tc>
      </w:tr>
      <w:tr w:rsidR="006C7B37" w:rsidRPr="008B68A9" w14:paraId="5C32320F" w14:textId="77777777" w:rsidTr="00045396">
        <w:tc>
          <w:tcPr>
            <w:tcW w:w="4618" w:type="dxa"/>
            <w:shd w:val="clear" w:color="auto" w:fill="FFFFFF" w:themeFill="background1"/>
          </w:tcPr>
          <w:p w14:paraId="05F97BDA" w14:textId="77777777" w:rsidR="006C7B37" w:rsidRPr="008B68A9" w:rsidRDefault="006C7B37" w:rsidP="00045396">
            <w:pPr>
              <w:spacing w:after="0" w:line="360" w:lineRule="auto"/>
              <w:jc w:val="both"/>
              <w:rPr>
                <w:rFonts w:cs="Arial"/>
                <w:sz w:val="22"/>
              </w:rPr>
            </w:pPr>
            <w:r w:rsidRPr="008B68A9">
              <w:rPr>
                <w:rFonts w:cs="Arial"/>
                <w:sz w:val="22"/>
              </w:rPr>
              <w:t>Training and preparation</w:t>
            </w:r>
          </w:p>
        </w:tc>
        <w:tc>
          <w:tcPr>
            <w:tcW w:w="4618" w:type="dxa"/>
            <w:shd w:val="clear" w:color="auto" w:fill="FFFFFF" w:themeFill="background1"/>
          </w:tcPr>
          <w:p w14:paraId="4F110D25" w14:textId="77777777" w:rsidR="006C7B37" w:rsidRPr="008B68A9" w:rsidRDefault="006C7B37" w:rsidP="00045396">
            <w:pPr>
              <w:spacing w:after="0" w:line="360" w:lineRule="auto"/>
              <w:jc w:val="both"/>
              <w:rPr>
                <w:rFonts w:cs="Arial"/>
                <w:sz w:val="22"/>
              </w:rPr>
            </w:pPr>
            <w:r w:rsidRPr="008B68A9">
              <w:rPr>
                <w:rFonts w:cs="Arial"/>
                <w:sz w:val="22"/>
              </w:rPr>
              <w:t>Time and demands of planning</w:t>
            </w:r>
          </w:p>
        </w:tc>
      </w:tr>
    </w:tbl>
    <w:p w14:paraId="0CB75FB1" w14:textId="140A89B6" w:rsidR="006C7B37" w:rsidRPr="008B68A9" w:rsidRDefault="006C7B37" w:rsidP="006C7B37">
      <w:pPr>
        <w:pStyle w:val="9btablecaption"/>
      </w:pPr>
      <w:bookmarkStart w:id="216" w:name="_Toc413827567"/>
      <w:bookmarkStart w:id="217" w:name="_Toc466799809"/>
      <w:r w:rsidRPr="008B68A9">
        <w:t>Table 1</w:t>
      </w:r>
      <w:r w:rsidR="00DF399F" w:rsidRPr="008B68A9">
        <w:t>5</w:t>
      </w:r>
      <w:r w:rsidRPr="008B68A9">
        <w:t>: Themes from stakeholder interviews</w:t>
      </w:r>
      <w:bookmarkEnd w:id="216"/>
      <w:bookmarkEnd w:id="217"/>
    </w:p>
    <w:p w14:paraId="71DEAE8A" w14:textId="77777777" w:rsidR="006C7B37" w:rsidRPr="008B68A9" w:rsidRDefault="006C7B37" w:rsidP="002F0FD7">
      <w:pPr>
        <w:pStyle w:val="5arangedleft"/>
      </w:pPr>
    </w:p>
    <w:p w14:paraId="06DAC88A" w14:textId="77777777" w:rsidR="006C7B37" w:rsidRPr="008B68A9" w:rsidRDefault="006C7B37" w:rsidP="006C7B37">
      <w:pPr>
        <w:pStyle w:val="8unnumberedcross-head"/>
      </w:pPr>
      <w:r w:rsidRPr="008B68A9">
        <w:t>Brokerage within probation</w:t>
      </w:r>
    </w:p>
    <w:p w14:paraId="0C63DCF7" w14:textId="75FEB31A" w:rsidR="006C7B37" w:rsidRPr="008B68A9" w:rsidRDefault="006C7B37" w:rsidP="002F0FD7">
      <w:pPr>
        <w:pStyle w:val="5arangedleft"/>
      </w:pPr>
      <w:r w:rsidRPr="008B68A9">
        <w:t xml:space="preserve">The broker </w:t>
      </w:r>
      <w:r w:rsidR="00457F15" w:rsidRPr="008B68A9">
        <w:t>used</w:t>
      </w:r>
      <w:r w:rsidRPr="008B68A9">
        <w:t xml:space="preserve"> relationships of propinquity to increase the likelihood of </w:t>
      </w:r>
      <w:r w:rsidR="00457F15" w:rsidRPr="008B68A9">
        <w:t>success;</w:t>
      </w:r>
      <w:r w:rsidRPr="008B68A9">
        <w:t xml:space="preserve"> </w:t>
      </w:r>
      <w:r w:rsidR="00457F15" w:rsidRPr="008B68A9">
        <w:t>working</w:t>
      </w:r>
      <w:r w:rsidRPr="008B68A9">
        <w:t xml:space="preserve"> around</w:t>
      </w:r>
      <w:r w:rsidR="00457F15" w:rsidRPr="008B68A9">
        <w:t xml:space="preserve"> the system rather than with it.</w:t>
      </w:r>
      <w:r w:rsidRPr="008B68A9">
        <w:t xml:space="preserve"> </w:t>
      </w:r>
      <w:r w:rsidR="00457F15" w:rsidRPr="008B68A9">
        <w:t>By</w:t>
      </w:r>
      <w:r w:rsidRPr="008B68A9">
        <w:t xml:space="preserve"> identifying risk and potential consequences </w:t>
      </w:r>
      <w:r w:rsidR="00457F15" w:rsidRPr="008B68A9">
        <w:t xml:space="preserve">the broker prepared </w:t>
      </w:r>
      <w:r w:rsidRPr="008B68A9">
        <w:t xml:space="preserve">the panel members ahead of meetings to gain traction for some of the plans. </w:t>
      </w:r>
      <w:r w:rsidR="000B293F" w:rsidRPr="008B68A9">
        <w:t>K</w:t>
      </w:r>
      <w:r w:rsidRPr="008B68A9">
        <w:t>ey workers would</w:t>
      </w:r>
      <w:r w:rsidR="000B293F" w:rsidRPr="008B68A9">
        <w:t xml:space="preserve"> not</w:t>
      </w:r>
      <w:r w:rsidRPr="008B68A9">
        <w:t xml:space="preserve"> have time to work in this way. </w:t>
      </w:r>
    </w:p>
    <w:tbl>
      <w:tblPr>
        <w:tblpPr w:leftFromText="180" w:rightFromText="180" w:vertAnchor="text" w:horzAnchor="margin" w:tblpY="11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4387"/>
      </w:tblGrid>
      <w:tr w:rsidR="006C7B37" w:rsidRPr="008B68A9" w14:paraId="758F3502" w14:textId="77777777" w:rsidTr="00045396">
        <w:trPr>
          <w:trHeight w:val="412"/>
        </w:trPr>
        <w:tc>
          <w:tcPr>
            <w:tcW w:w="8210" w:type="dxa"/>
            <w:gridSpan w:val="2"/>
            <w:shd w:val="clear" w:color="auto" w:fill="F2F2F2" w:themeFill="background1" w:themeFillShade="F2"/>
          </w:tcPr>
          <w:p w14:paraId="6E20A60D" w14:textId="77777777" w:rsidR="006C7B37" w:rsidRPr="008B68A9" w:rsidRDefault="006C7B37" w:rsidP="00045396">
            <w:pPr>
              <w:spacing w:after="0" w:line="240" w:lineRule="auto"/>
              <w:jc w:val="center"/>
              <w:rPr>
                <w:rFonts w:cs="Arial"/>
                <w:b/>
                <w:sz w:val="22"/>
              </w:rPr>
            </w:pPr>
            <w:r w:rsidRPr="008B68A9">
              <w:rPr>
                <w:rFonts w:cs="Arial"/>
                <w:b/>
                <w:sz w:val="22"/>
              </w:rPr>
              <w:t>Themes from interview with broker</w:t>
            </w:r>
          </w:p>
        </w:tc>
      </w:tr>
      <w:tr w:rsidR="006C7B37" w:rsidRPr="008B68A9" w14:paraId="1FA6B7DD" w14:textId="77777777" w:rsidTr="00045396">
        <w:trPr>
          <w:trHeight w:val="553"/>
        </w:trPr>
        <w:tc>
          <w:tcPr>
            <w:tcW w:w="3823" w:type="dxa"/>
            <w:shd w:val="clear" w:color="auto" w:fill="FFFFFF" w:themeFill="background1"/>
          </w:tcPr>
          <w:p w14:paraId="11F18A56" w14:textId="77777777" w:rsidR="006C7B37" w:rsidRPr="008B68A9" w:rsidRDefault="006C7B37" w:rsidP="00045396">
            <w:pPr>
              <w:spacing w:after="0" w:line="240" w:lineRule="auto"/>
              <w:rPr>
                <w:rFonts w:cs="Arial"/>
                <w:sz w:val="22"/>
              </w:rPr>
            </w:pPr>
            <w:r w:rsidRPr="008B68A9">
              <w:rPr>
                <w:rFonts w:cs="Arial"/>
                <w:sz w:val="22"/>
              </w:rPr>
              <w:t>Background</w:t>
            </w:r>
          </w:p>
        </w:tc>
        <w:tc>
          <w:tcPr>
            <w:tcW w:w="4387" w:type="dxa"/>
            <w:shd w:val="clear" w:color="auto" w:fill="FFFFFF" w:themeFill="background1"/>
          </w:tcPr>
          <w:p w14:paraId="7A54BB6A" w14:textId="77777777" w:rsidR="006C7B37" w:rsidRPr="008B68A9" w:rsidRDefault="006C7B37" w:rsidP="00045396">
            <w:pPr>
              <w:spacing w:after="0" w:line="240" w:lineRule="auto"/>
              <w:rPr>
                <w:rFonts w:cs="Arial"/>
                <w:sz w:val="22"/>
              </w:rPr>
            </w:pPr>
            <w:r w:rsidRPr="008B68A9">
              <w:rPr>
                <w:rFonts w:cs="Arial"/>
                <w:sz w:val="22"/>
              </w:rPr>
              <w:t>Previous experience/building on experience</w:t>
            </w:r>
          </w:p>
        </w:tc>
      </w:tr>
      <w:tr w:rsidR="006C7B37" w:rsidRPr="008B68A9" w14:paraId="13FC41FC" w14:textId="77777777" w:rsidTr="00045396">
        <w:trPr>
          <w:trHeight w:val="417"/>
        </w:trPr>
        <w:tc>
          <w:tcPr>
            <w:tcW w:w="3823" w:type="dxa"/>
            <w:shd w:val="clear" w:color="auto" w:fill="FFFFFF" w:themeFill="background1"/>
          </w:tcPr>
          <w:p w14:paraId="59E8518E" w14:textId="77777777" w:rsidR="006C7B37" w:rsidRPr="008B68A9" w:rsidRDefault="006C7B37" w:rsidP="00045396">
            <w:pPr>
              <w:spacing w:after="0" w:line="240" w:lineRule="auto"/>
              <w:rPr>
                <w:rFonts w:cs="Arial"/>
                <w:sz w:val="22"/>
              </w:rPr>
            </w:pPr>
            <w:r w:rsidRPr="008B68A9">
              <w:rPr>
                <w:rFonts w:cs="Arial"/>
                <w:sz w:val="22"/>
              </w:rPr>
              <w:t>New techniques</w:t>
            </w:r>
          </w:p>
        </w:tc>
        <w:tc>
          <w:tcPr>
            <w:tcW w:w="4387" w:type="dxa"/>
            <w:shd w:val="clear" w:color="auto" w:fill="FFFFFF" w:themeFill="background1"/>
          </w:tcPr>
          <w:p w14:paraId="408D9E3C" w14:textId="77777777" w:rsidR="006C7B37" w:rsidRPr="008B68A9" w:rsidRDefault="006C7B37" w:rsidP="00045396">
            <w:pPr>
              <w:spacing w:after="0" w:line="240" w:lineRule="auto"/>
              <w:rPr>
                <w:rFonts w:cs="Arial"/>
                <w:sz w:val="22"/>
              </w:rPr>
            </w:pPr>
            <w:r w:rsidRPr="008B68A9">
              <w:rPr>
                <w:rFonts w:cs="Arial"/>
                <w:sz w:val="22"/>
              </w:rPr>
              <w:t>Co-production</w:t>
            </w:r>
          </w:p>
        </w:tc>
      </w:tr>
      <w:tr w:rsidR="006C7B37" w:rsidRPr="008B68A9" w14:paraId="4A19E18E" w14:textId="77777777" w:rsidTr="00045396">
        <w:trPr>
          <w:trHeight w:val="416"/>
        </w:trPr>
        <w:tc>
          <w:tcPr>
            <w:tcW w:w="3823" w:type="dxa"/>
            <w:shd w:val="clear" w:color="auto" w:fill="FFFFFF" w:themeFill="background1"/>
          </w:tcPr>
          <w:p w14:paraId="4F7C2063" w14:textId="77777777" w:rsidR="006C7B37" w:rsidRPr="008B68A9" w:rsidRDefault="006C7B37" w:rsidP="00045396">
            <w:pPr>
              <w:widowControl w:val="0"/>
              <w:autoSpaceDE w:val="0"/>
              <w:autoSpaceDN w:val="0"/>
              <w:adjustRightInd w:val="0"/>
              <w:spacing w:after="0" w:line="240" w:lineRule="auto"/>
              <w:rPr>
                <w:rFonts w:cs="Arial"/>
                <w:sz w:val="22"/>
              </w:rPr>
            </w:pPr>
            <w:r w:rsidRPr="008B68A9">
              <w:rPr>
                <w:rFonts w:cs="Arial"/>
                <w:sz w:val="22"/>
              </w:rPr>
              <w:t>The process in practice</w:t>
            </w:r>
            <w:r w:rsidRPr="008B68A9" w:rsidDel="00F019BC">
              <w:rPr>
                <w:rFonts w:cs="Arial"/>
                <w:sz w:val="22"/>
              </w:rPr>
              <w:t xml:space="preserve"> </w:t>
            </w:r>
          </w:p>
          <w:p w14:paraId="67F34683" w14:textId="77777777" w:rsidR="006C7B37" w:rsidRPr="008B68A9" w:rsidRDefault="006C7B37" w:rsidP="00045396">
            <w:pPr>
              <w:widowControl w:val="0"/>
              <w:autoSpaceDE w:val="0"/>
              <w:autoSpaceDN w:val="0"/>
              <w:adjustRightInd w:val="0"/>
              <w:spacing w:after="0" w:line="240" w:lineRule="auto"/>
              <w:rPr>
                <w:rFonts w:cs="Arial"/>
                <w:sz w:val="22"/>
              </w:rPr>
            </w:pPr>
          </w:p>
        </w:tc>
        <w:tc>
          <w:tcPr>
            <w:tcW w:w="4387" w:type="dxa"/>
            <w:shd w:val="clear" w:color="auto" w:fill="FFFFFF" w:themeFill="background1"/>
          </w:tcPr>
          <w:p w14:paraId="7AE4F38A" w14:textId="77777777" w:rsidR="006C7B37" w:rsidRPr="008B68A9" w:rsidRDefault="006C7B37" w:rsidP="00045396">
            <w:pPr>
              <w:widowControl w:val="0"/>
              <w:autoSpaceDE w:val="0"/>
              <w:autoSpaceDN w:val="0"/>
              <w:adjustRightInd w:val="0"/>
              <w:spacing w:after="0" w:line="240" w:lineRule="auto"/>
              <w:rPr>
                <w:rFonts w:cs="Arial"/>
                <w:sz w:val="22"/>
              </w:rPr>
            </w:pPr>
            <w:r w:rsidRPr="008B68A9">
              <w:rPr>
                <w:rFonts w:cs="Arial"/>
                <w:sz w:val="22"/>
              </w:rPr>
              <w:t>Selecting people for the pilot</w:t>
            </w:r>
            <w:r w:rsidRPr="008B68A9" w:rsidDel="00F019BC">
              <w:rPr>
                <w:rFonts w:cs="Arial"/>
                <w:sz w:val="22"/>
              </w:rPr>
              <w:t xml:space="preserve"> </w:t>
            </w:r>
          </w:p>
          <w:p w14:paraId="3C60012D" w14:textId="77777777" w:rsidR="006C7B37" w:rsidRPr="008B68A9" w:rsidRDefault="006C7B37" w:rsidP="00045396">
            <w:pPr>
              <w:widowControl w:val="0"/>
              <w:autoSpaceDE w:val="0"/>
              <w:autoSpaceDN w:val="0"/>
              <w:adjustRightInd w:val="0"/>
              <w:spacing w:after="0" w:line="240" w:lineRule="auto"/>
              <w:rPr>
                <w:rFonts w:cs="Arial"/>
                <w:sz w:val="22"/>
              </w:rPr>
            </w:pPr>
          </w:p>
        </w:tc>
      </w:tr>
      <w:tr w:rsidR="006C7B37" w:rsidRPr="008B68A9" w14:paraId="06B2706B" w14:textId="77777777" w:rsidTr="00045396">
        <w:trPr>
          <w:trHeight w:val="443"/>
        </w:trPr>
        <w:tc>
          <w:tcPr>
            <w:tcW w:w="3823" w:type="dxa"/>
            <w:shd w:val="clear" w:color="auto" w:fill="FFFFFF" w:themeFill="background1"/>
          </w:tcPr>
          <w:p w14:paraId="5DEEE5FE"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Time spent on each plan</w:t>
            </w:r>
          </w:p>
        </w:tc>
        <w:tc>
          <w:tcPr>
            <w:tcW w:w="4387" w:type="dxa"/>
            <w:shd w:val="clear" w:color="auto" w:fill="FFFFFF" w:themeFill="background1"/>
          </w:tcPr>
          <w:p w14:paraId="30FA2035"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More work involved than expected</w:t>
            </w:r>
          </w:p>
        </w:tc>
      </w:tr>
      <w:tr w:rsidR="006C7B37" w:rsidRPr="008B68A9" w14:paraId="2A465178" w14:textId="77777777" w:rsidTr="00045396">
        <w:trPr>
          <w:trHeight w:val="422"/>
        </w:trPr>
        <w:tc>
          <w:tcPr>
            <w:tcW w:w="3823" w:type="dxa"/>
            <w:shd w:val="clear" w:color="auto" w:fill="FFFFFF" w:themeFill="background1"/>
          </w:tcPr>
          <w:p w14:paraId="068F6036" w14:textId="77777777" w:rsidR="006C7B37" w:rsidRPr="008B68A9" w:rsidRDefault="006C7B37" w:rsidP="00045396">
            <w:pPr>
              <w:spacing w:after="0" w:line="240" w:lineRule="auto"/>
              <w:rPr>
                <w:rFonts w:cs="Arial"/>
                <w:sz w:val="22"/>
              </w:rPr>
            </w:pPr>
            <w:r w:rsidRPr="008B68A9">
              <w:rPr>
                <w:rFonts w:cs="Arial"/>
                <w:sz w:val="22"/>
              </w:rPr>
              <w:t>Feeling unsure</w:t>
            </w:r>
          </w:p>
        </w:tc>
        <w:tc>
          <w:tcPr>
            <w:tcW w:w="4387" w:type="dxa"/>
            <w:shd w:val="clear" w:color="auto" w:fill="FFFFFF" w:themeFill="background1"/>
          </w:tcPr>
          <w:p w14:paraId="456AB8F4" w14:textId="77777777" w:rsidR="006C7B37" w:rsidRPr="008B68A9" w:rsidRDefault="006C7B37" w:rsidP="00045396">
            <w:pPr>
              <w:spacing w:after="0" w:line="240" w:lineRule="auto"/>
              <w:rPr>
                <w:rFonts w:cs="Arial"/>
                <w:sz w:val="22"/>
              </w:rPr>
            </w:pPr>
            <w:r w:rsidRPr="008B68A9">
              <w:rPr>
                <w:rFonts w:cs="Arial"/>
                <w:sz w:val="22"/>
              </w:rPr>
              <w:t>Isolated/feeling like an outsider</w:t>
            </w:r>
          </w:p>
        </w:tc>
      </w:tr>
      <w:tr w:rsidR="006C7B37" w:rsidRPr="008B68A9" w14:paraId="307C488F" w14:textId="77777777" w:rsidTr="00045396">
        <w:trPr>
          <w:trHeight w:val="414"/>
        </w:trPr>
        <w:tc>
          <w:tcPr>
            <w:tcW w:w="3823" w:type="dxa"/>
            <w:shd w:val="clear" w:color="auto" w:fill="FFFFFF" w:themeFill="background1"/>
          </w:tcPr>
          <w:p w14:paraId="66B0207D"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Communicating with other workers</w:t>
            </w:r>
          </w:p>
        </w:tc>
        <w:tc>
          <w:tcPr>
            <w:tcW w:w="4387" w:type="dxa"/>
            <w:shd w:val="clear" w:color="auto" w:fill="FFFFFF" w:themeFill="background1"/>
          </w:tcPr>
          <w:p w14:paraId="0DDB4896"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Relationship with other workers</w:t>
            </w:r>
          </w:p>
        </w:tc>
      </w:tr>
      <w:tr w:rsidR="006C7B37" w:rsidRPr="008B68A9" w14:paraId="18D09527" w14:textId="77777777" w:rsidTr="00045396">
        <w:trPr>
          <w:trHeight w:val="406"/>
        </w:trPr>
        <w:tc>
          <w:tcPr>
            <w:tcW w:w="3823" w:type="dxa"/>
            <w:shd w:val="clear" w:color="auto" w:fill="FFFFFF" w:themeFill="background1"/>
          </w:tcPr>
          <w:p w14:paraId="2AF853EB"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Opposition from other workers</w:t>
            </w:r>
          </w:p>
        </w:tc>
        <w:tc>
          <w:tcPr>
            <w:tcW w:w="4387" w:type="dxa"/>
            <w:shd w:val="clear" w:color="auto" w:fill="FFFFFF" w:themeFill="background1"/>
          </w:tcPr>
          <w:p w14:paraId="13B81A2B"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Working as a bridge</w:t>
            </w:r>
          </w:p>
        </w:tc>
      </w:tr>
      <w:tr w:rsidR="006C7B37" w:rsidRPr="008B68A9" w14:paraId="282691D1" w14:textId="77777777" w:rsidTr="00045396">
        <w:trPr>
          <w:trHeight w:val="411"/>
        </w:trPr>
        <w:tc>
          <w:tcPr>
            <w:tcW w:w="3823" w:type="dxa"/>
            <w:shd w:val="clear" w:color="auto" w:fill="FFFFFF" w:themeFill="background1"/>
          </w:tcPr>
          <w:p w14:paraId="14F6AF1F"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Presenting cases to the panel</w:t>
            </w:r>
          </w:p>
        </w:tc>
        <w:tc>
          <w:tcPr>
            <w:tcW w:w="4387" w:type="dxa"/>
            <w:shd w:val="clear" w:color="auto" w:fill="FFFFFF" w:themeFill="background1"/>
          </w:tcPr>
          <w:p w14:paraId="56A8E358" w14:textId="77777777" w:rsidR="006C7B37" w:rsidRPr="008B68A9" w:rsidRDefault="006C7B37" w:rsidP="00045396">
            <w:pPr>
              <w:widowControl w:val="0"/>
              <w:autoSpaceDE w:val="0"/>
              <w:autoSpaceDN w:val="0"/>
              <w:adjustRightInd w:val="0"/>
              <w:spacing w:after="0" w:line="240" w:lineRule="auto"/>
              <w:rPr>
                <w:sz w:val="22"/>
              </w:rPr>
            </w:pPr>
            <w:r w:rsidRPr="008B68A9">
              <w:rPr>
                <w:rFonts w:cs="Arial"/>
                <w:sz w:val="22"/>
              </w:rPr>
              <w:t>Risk aversion</w:t>
            </w:r>
          </w:p>
        </w:tc>
      </w:tr>
      <w:tr w:rsidR="006C7B37" w:rsidRPr="008B68A9" w14:paraId="7ED795AB" w14:textId="77777777" w:rsidTr="00045396">
        <w:trPr>
          <w:trHeight w:val="418"/>
        </w:trPr>
        <w:tc>
          <w:tcPr>
            <w:tcW w:w="3823" w:type="dxa"/>
            <w:shd w:val="clear" w:color="auto" w:fill="FFFFFF" w:themeFill="background1"/>
          </w:tcPr>
          <w:p w14:paraId="6AB4D983" w14:textId="77777777" w:rsidR="006C7B37" w:rsidRPr="008B68A9" w:rsidRDefault="006C7B37" w:rsidP="00045396">
            <w:pPr>
              <w:widowControl w:val="0"/>
              <w:autoSpaceDE w:val="0"/>
              <w:autoSpaceDN w:val="0"/>
              <w:adjustRightInd w:val="0"/>
              <w:spacing w:after="0" w:line="240" w:lineRule="auto"/>
              <w:rPr>
                <w:rFonts w:cs="Arial"/>
                <w:sz w:val="22"/>
              </w:rPr>
            </w:pPr>
            <w:r w:rsidRPr="008B68A9">
              <w:rPr>
                <w:rFonts w:cs="Arial"/>
                <w:sz w:val="22"/>
              </w:rPr>
              <w:t>Managing expectation</w:t>
            </w:r>
          </w:p>
        </w:tc>
        <w:tc>
          <w:tcPr>
            <w:tcW w:w="4387" w:type="dxa"/>
            <w:shd w:val="clear" w:color="auto" w:fill="FFFFFF" w:themeFill="background1"/>
          </w:tcPr>
          <w:p w14:paraId="37096795" w14:textId="77777777" w:rsidR="006C7B37" w:rsidRPr="008B68A9" w:rsidRDefault="006C7B37" w:rsidP="00045396">
            <w:pPr>
              <w:widowControl w:val="0"/>
              <w:autoSpaceDE w:val="0"/>
              <w:autoSpaceDN w:val="0"/>
              <w:adjustRightInd w:val="0"/>
              <w:spacing w:after="0" w:line="240" w:lineRule="auto"/>
              <w:rPr>
                <w:rFonts w:cs="Arial"/>
                <w:sz w:val="22"/>
              </w:rPr>
            </w:pPr>
            <w:r w:rsidRPr="008B68A9">
              <w:rPr>
                <w:rFonts w:cs="Arial"/>
                <w:sz w:val="22"/>
              </w:rPr>
              <w:t>Outcomes for service users</w:t>
            </w:r>
          </w:p>
        </w:tc>
      </w:tr>
      <w:tr w:rsidR="006C7B37" w:rsidRPr="008B68A9" w14:paraId="6334EF43" w14:textId="77777777" w:rsidTr="00045396">
        <w:trPr>
          <w:trHeight w:val="282"/>
        </w:trPr>
        <w:tc>
          <w:tcPr>
            <w:tcW w:w="3823" w:type="dxa"/>
            <w:shd w:val="clear" w:color="auto" w:fill="FFFFFF" w:themeFill="background1"/>
          </w:tcPr>
          <w:p w14:paraId="2F95B975" w14:textId="77777777" w:rsidR="006C7B37" w:rsidRPr="008B68A9" w:rsidRDefault="006C7B37" w:rsidP="00045396">
            <w:pPr>
              <w:spacing w:after="0" w:line="240" w:lineRule="auto"/>
              <w:rPr>
                <w:rFonts w:cs="Arial"/>
                <w:sz w:val="22"/>
              </w:rPr>
            </w:pPr>
            <w:r w:rsidRPr="008B68A9">
              <w:rPr>
                <w:rFonts w:cs="Arial"/>
                <w:sz w:val="22"/>
              </w:rPr>
              <w:t>Peer groups</w:t>
            </w:r>
          </w:p>
        </w:tc>
        <w:tc>
          <w:tcPr>
            <w:tcW w:w="4387" w:type="dxa"/>
            <w:shd w:val="clear" w:color="auto" w:fill="FFFFFF" w:themeFill="background1"/>
          </w:tcPr>
          <w:p w14:paraId="1DF88C8E" w14:textId="77777777" w:rsidR="006C7B37" w:rsidRPr="008B68A9" w:rsidRDefault="006C7B37" w:rsidP="00045396">
            <w:pPr>
              <w:spacing w:after="0" w:line="240" w:lineRule="auto"/>
              <w:rPr>
                <w:rFonts w:cs="Arial"/>
                <w:sz w:val="22"/>
              </w:rPr>
            </w:pPr>
            <w:r w:rsidRPr="008B68A9">
              <w:rPr>
                <w:rFonts w:cs="Arial"/>
                <w:sz w:val="22"/>
              </w:rPr>
              <w:t>Challenges/learning</w:t>
            </w:r>
          </w:p>
        </w:tc>
      </w:tr>
      <w:tr w:rsidR="006C7B37" w:rsidRPr="008B68A9" w14:paraId="39B32068" w14:textId="77777777" w:rsidTr="00045396">
        <w:trPr>
          <w:trHeight w:val="322"/>
        </w:trPr>
        <w:tc>
          <w:tcPr>
            <w:tcW w:w="3823" w:type="dxa"/>
            <w:shd w:val="clear" w:color="auto" w:fill="FFFFFF" w:themeFill="background1"/>
          </w:tcPr>
          <w:p w14:paraId="00CBC8B7" w14:textId="77777777" w:rsidR="006C7B37" w:rsidRPr="008B68A9" w:rsidRDefault="006C7B37" w:rsidP="00045396">
            <w:pPr>
              <w:spacing w:after="0" w:line="240" w:lineRule="auto"/>
              <w:rPr>
                <w:rFonts w:cs="Arial"/>
                <w:sz w:val="22"/>
              </w:rPr>
            </w:pPr>
            <w:r w:rsidRPr="008B68A9">
              <w:rPr>
                <w:rFonts w:cs="Arial"/>
                <w:sz w:val="22"/>
              </w:rPr>
              <w:t>Moving on with the pilot</w:t>
            </w:r>
          </w:p>
        </w:tc>
        <w:tc>
          <w:tcPr>
            <w:tcW w:w="4387" w:type="dxa"/>
            <w:shd w:val="clear" w:color="auto" w:fill="FFFFFF" w:themeFill="background1"/>
          </w:tcPr>
          <w:p w14:paraId="24DFD31F" w14:textId="77777777" w:rsidR="006C7B37" w:rsidRPr="008B68A9" w:rsidRDefault="006C7B37" w:rsidP="00045396">
            <w:pPr>
              <w:spacing w:after="0" w:line="240" w:lineRule="auto"/>
              <w:rPr>
                <w:rFonts w:cs="Arial"/>
                <w:sz w:val="22"/>
              </w:rPr>
            </w:pPr>
            <w:r w:rsidRPr="008B68A9">
              <w:rPr>
                <w:rFonts w:cs="Arial"/>
                <w:sz w:val="22"/>
              </w:rPr>
              <w:t>Exit strategies</w:t>
            </w:r>
          </w:p>
        </w:tc>
      </w:tr>
    </w:tbl>
    <w:p w14:paraId="27EF1A73" w14:textId="2314F2DE" w:rsidR="006C7B37" w:rsidRPr="008B68A9" w:rsidRDefault="006C7B37" w:rsidP="006C7B37">
      <w:pPr>
        <w:pStyle w:val="9btablecaption"/>
      </w:pPr>
      <w:bookmarkStart w:id="218" w:name="_Toc413827568"/>
      <w:bookmarkStart w:id="219" w:name="_Toc466799810"/>
      <w:r w:rsidRPr="008B68A9">
        <w:t>Table 1</w:t>
      </w:r>
      <w:r w:rsidR="00DF399F" w:rsidRPr="008B68A9">
        <w:t>6</w:t>
      </w:r>
      <w:r w:rsidRPr="008B68A9">
        <w:t>: Themes for broker interviews</w:t>
      </w:r>
      <w:bookmarkEnd w:id="218"/>
      <w:bookmarkEnd w:id="219"/>
    </w:p>
    <w:p w14:paraId="1AD675B6" w14:textId="77777777" w:rsidR="006C7B37" w:rsidRPr="008B68A9" w:rsidRDefault="006C7B37" w:rsidP="002F0FD7">
      <w:pPr>
        <w:pStyle w:val="5arangedleft"/>
      </w:pPr>
    </w:p>
    <w:p w14:paraId="306E88FB" w14:textId="77777777" w:rsidR="006C7B37" w:rsidRPr="008B68A9" w:rsidRDefault="006C7B37" w:rsidP="006C7B37">
      <w:pPr>
        <w:pStyle w:val="8unnumberedcross-head"/>
      </w:pPr>
      <w:r w:rsidRPr="008B68A9">
        <w:lastRenderedPageBreak/>
        <w:t>Demographic and spend patterns</w:t>
      </w:r>
    </w:p>
    <w:p w14:paraId="1B89D210" w14:textId="77777777" w:rsidR="006C7B37" w:rsidRPr="008B68A9" w:rsidRDefault="006C7B37" w:rsidP="006C7B37">
      <w:pPr>
        <w:spacing w:line="360" w:lineRule="auto"/>
        <w:jc w:val="center"/>
        <w:rPr>
          <w:szCs w:val="24"/>
        </w:rPr>
      </w:pPr>
      <w:r w:rsidRPr="008B68A9">
        <w:rPr>
          <w:noProof/>
          <w:szCs w:val="24"/>
          <w:lang w:eastAsia="en-GB"/>
        </w:rPr>
        <w:drawing>
          <wp:inline distT="0" distB="0" distL="0" distR="0" wp14:anchorId="27BD7529" wp14:editId="4E242939">
            <wp:extent cx="5157470" cy="2247803"/>
            <wp:effectExtent l="0" t="0" r="5080" b="635"/>
            <wp:docPr id="892" name="Chart 8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14C713A" w14:textId="77777777" w:rsidR="006C7B37" w:rsidRPr="008B68A9" w:rsidRDefault="006C7B37" w:rsidP="006C7B37">
      <w:pPr>
        <w:pStyle w:val="9afigurecaption"/>
      </w:pPr>
      <w:bookmarkStart w:id="220" w:name="_Toc413827574"/>
      <w:bookmarkStart w:id="221" w:name="_Toc466799815"/>
      <w:r w:rsidRPr="008B68A9">
        <w:t>Chart 5: Age of budget users</w:t>
      </w:r>
      <w:bookmarkEnd w:id="220"/>
      <w:bookmarkEnd w:id="221"/>
      <w:r w:rsidRPr="008B68A9">
        <w:t xml:space="preserve"> </w:t>
      </w:r>
    </w:p>
    <w:p w14:paraId="3CA08780" w14:textId="77777777" w:rsidR="006C7B37" w:rsidRPr="008B68A9" w:rsidRDefault="006C7B37" w:rsidP="006C7B37">
      <w:pPr>
        <w:pStyle w:val="9afigurecaption"/>
      </w:pPr>
    </w:p>
    <w:p w14:paraId="757B13A3" w14:textId="77777777" w:rsidR="006C7B37" w:rsidRPr="008B68A9" w:rsidRDefault="006C7B37" w:rsidP="006C7B37">
      <w:pPr>
        <w:spacing w:line="360" w:lineRule="auto"/>
        <w:jc w:val="center"/>
        <w:rPr>
          <w:szCs w:val="24"/>
        </w:rPr>
      </w:pPr>
      <w:r w:rsidRPr="008B68A9">
        <w:rPr>
          <w:noProof/>
          <w:szCs w:val="24"/>
          <w:lang w:eastAsia="en-GB"/>
        </w:rPr>
        <w:drawing>
          <wp:inline distT="0" distB="0" distL="0" distR="0" wp14:anchorId="1F6F71C9" wp14:editId="5C4E3D8E">
            <wp:extent cx="5110480" cy="3247390"/>
            <wp:effectExtent l="0" t="0" r="13970" b="1016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DAD41C3" w14:textId="77777777" w:rsidR="006C7B37" w:rsidRPr="008B68A9" w:rsidRDefault="006C7B37" w:rsidP="006C7B37">
      <w:pPr>
        <w:pStyle w:val="9afigurecaption"/>
      </w:pPr>
      <w:bookmarkStart w:id="222" w:name="_Toc413827575"/>
      <w:bookmarkStart w:id="223" w:name="_Toc466799816"/>
      <w:r w:rsidRPr="008B68A9">
        <w:t>Chart 6: Percentage of participants accessing support and care options</w:t>
      </w:r>
      <w:bookmarkEnd w:id="222"/>
      <w:bookmarkEnd w:id="223"/>
      <w:r w:rsidRPr="008B68A9">
        <w:t xml:space="preserve"> </w:t>
      </w:r>
    </w:p>
    <w:p w14:paraId="4AC09EE5" w14:textId="590A3898" w:rsidR="006C7B37" w:rsidRPr="008B68A9" w:rsidRDefault="006C7B37" w:rsidP="006C7B37">
      <w:pPr>
        <w:pStyle w:val="3L3header"/>
      </w:pPr>
      <w:bookmarkStart w:id="224" w:name="_Toc413827463"/>
      <w:bookmarkStart w:id="225" w:name="_Toc466800361"/>
      <w:r w:rsidRPr="008B68A9">
        <w:t>5.6.5 Conclusions</w:t>
      </w:r>
      <w:bookmarkEnd w:id="224"/>
      <w:bookmarkEnd w:id="225"/>
    </w:p>
    <w:p w14:paraId="5A9C94DA" w14:textId="77777777" w:rsidR="006C7B37" w:rsidRPr="008B68A9" w:rsidRDefault="006C7B37" w:rsidP="002F0FD7">
      <w:pPr>
        <w:pStyle w:val="5arangedleft"/>
      </w:pPr>
      <w:r w:rsidRPr="008B68A9">
        <w:t xml:space="preserve">The pilot was an innovative attempt to explore the potential of individual budgets with a client group who have traditionally been excluded from personal budgets. The complexity of interagency working was combined with a climate of change, as austerity was present in the pilot area. Serving the demands of multiple participants </w:t>
      </w:r>
      <w:r w:rsidRPr="008B68A9">
        <w:lastRenderedPageBreak/>
        <w:t xml:space="preserve">created tensions within organisations, which impacted on their confidence to take forward a new agenda. </w:t>
      </w:r>
    </w:p>
    <w:p w14:paraId="44074AFC" w14:textId="77777777" w:rsidR="006C7B37" w:rsidRPr="008B68A9" w:rsidRDefault="006C7B37" w:rsidP="002F0FD7">
      <w:pPr>
        <w:pStyle w:val="5arangedleft"/>
      </w:pPr>
      <w:r w:rsidRPr="008B68A9">
        <w:t>This pilot was for some a radical process, for others an opportunity to develop and explore practices that showed promise of enabling a form of recovery. The originators of the programme demonstrated a progressive outlook of developing more user focused services at a system level. Difficulties which mostly centred on risk and integration of planning processes may be addressed at local, intermediate levels; though for more effective and streamlined approaches to enable people with substance misuse issues to access personal budgets, services need to address risk issues and multi-agency responsibilities.</w:t>
      </w:r>
    </w:p>
    <w:p w14:paraId="66D46C94" w14:textId="3A21382E" w:rsidR="006C7B37" w:rsidRPr="008B68A9" w:rsidRDefault="006C7B37" w:rsidP="006C7B37">
      <w:pPr>
        <w:pStyle w:val="3L3header"/>
      </w:pPr>
      <w:bookmarkStart w:id="226" w:name="_Toc413827464"/>
      <w:bookmarkStart w:id="227" w:name="_Toc466800362"/>
      <w:r w:rsidRPr="008B68A9">
        <w:t>5.6.6 Commentary</w:t>
      </w:r>
      <w:bookmarkEnd w:id="226"/>
      <w:r w:rsidRPr="008B68A9">
        <w:t xml:space="preserve"> and reflexivity</w:t>
      </w:r>
      <w:bookmarkEnd w:id="227"/>
    </w:p>
    <w:p w14:paraId="7E564B18" w14:textId="16B2D9EC" w:rsidR="006C7B37" w:rsidRPr="008B68A9" w:rsidRDefault="006C7B37" w:rsidP="002F0FD7">
      <w:pPr>
        <w:pStyle w:val="5arangedleft"/>
      </w:pPr>
      <w:r w:rsidRPr="008B68A9">
        <w:t xml:space="preserve">It was difficult to predict the </w:t>
      </w:r>
      <w:r w:rsidR="00696979" w:rsidRPr="008B68A9">
        <w:t xml:space="preserve">VIBE project’s </w:t>
      </w:r>
      <w:r w:rsidRPr="008B68A9">
        <w:t xml:space="preserve">fidelity and longevity of change in the Drug Action Team and probation services had. The work was set against changes in public sector probation delivery (National Treatment Agency 2010), and </w:t>
      </w:r>
      <w:r w:rsidR="00B732A3" w:rsidRPr="008B68A9">
        <w:t xml:space="preserve">a </w:t>
      </w:r>
      <w:r w:rsidRPr="008B68A9">
        <w:t>wider question of</w:t>
      </w:r>
      <w:r w:rsidR="00B732A3" w:rsidRPr="008B68A9">
        <w:t xml:space="preserve"> which client</w:t>
      </w:r>
      <w:r w:rsidRPr="008B68A9">
        <w:t xml:space="preserve"> </w:t>
      </w:r>
      <w:r w:rsidR="00B732A3" w:rsidRPr="008B68A9">
        <w:t xml:space="preserve">group should </w:t>
      </w:r>
      <w:r w:rsidRPr="008B68A9">
        <w:t>the National Treatment Agency</w:t>
      </w:r>
      <w:r w:rsidR="00B732A3" w:rsidRPr="008B68A9">
        <w:t xml:space="preserve"> should</w:t>
      </w:r>
      <w:r w:rsidR="00696979" w:rsidRPr="008B68A9">
        <w:t xml:space="preserve"> </w:t>
      </w:r>
      <w:r w:rsidR="00B732A3" w:rsidRPr="008B68A9">
        <w:t>focus on</w:t>
      </w:r>
      <w:r w:rsidRPr="008B68A9">
        <w:t xml:space="preserve"> (National Treatment Agency for Substance Misuse 2011). Changes proposed at the time, brought about </w:t>
      </w:r>
      <w:r w:rsidR="00B732A3" w:rsidRPr="008B68A9">
        <w:t>by a</w:t>
      </w:r>
      <w:r w:rsidRPr="008B68A9">
        <w:t xml:space="preserve"> central government policy of mixed private and independent sector provision, inevitably impacted on the working worlds of staff involved in this project. The service was either taking a bold step or a proactive decision attempting to harness the power or trend of personalisation to exert some control over their future services. In this way a parallel might be drawn with the lives of those accessing drug services, which are by nature chaotic and fragmented; with that of a service attempting to create some order in a complex and difficult environment.</w:t>
      </w:r>
    </w:p>
    <w:p w14:paraId="4F8BD60C" w14:textId="33FE87DB" w:rsidR="006C7B37" w:rsidRPr="008B68A9" w:rsidRDefault="006C7B37" w:rsidP="002F0FD7">
      <w:pPr>
        <w:pStyle w:val="5arangedleft"/>
      </w:pPr>
      <w:r w:rsidRPr="008B68A9">
        <w:t xml:space="preserve">The broker in this pilot was crucial to the success of support plans for the budget users: demonstrating tenacity, dogged determination and adherence to person centred support planning, the broker made change possible for budget recipients. </w:t>
      </w:r>
      <w:r w:rsidR="00572C8F" w:rsidRPr="008B68A9">
        <w:t xml:space="preserve">Their role fulfilled many of the broker attributes </w:t>
      </w:r>
      <w:r w:rsidR="00230D10" w:rsidRPr="008B68A9">
        <w:t xml:space="preserve">of support brokerage </w:t>
      </w:r>
      <w:r w:rsidR="00572C8F" w:rsidRPr="008B68A9">
        <w:t>cited by Leach (2015),</w:t>
      </w:r>
      <w:r w:rsidR="00230D10" w:rsidRPr="008B68A9">
        <w:t xml:space="preserve"> though the</w:t>
      </w:r>
      <w:r w:rsidR="00572C8F" w:rsidRPr="008B68A9">
        <w:t xml:space="preserve"> broker </w:t>
      </w:r>
      <w:r w:rsidR="00230D10" w:rsidRPr="008B68A9">
        <w:t>in this pilot employed</w:t>
      </w:r>
      <w:r w:rsidR="00572C8F" w:rsidRPr="008B68A9">
        <w:t xml:space="preserve"> another </w:t>
      </w:r>
      <w:r w:rsidR="00230D10" w:rsidRPr="008B68A9">
        <w:t xml:space="preserve">role </w:t>
      </w:r>
      <w:r w:rsidR="00572C8F" w:rsidRPr="008B68A9">
        <w:t xml:space="preserve">dimension </w:t>
      </w:r>
      <w:r w:rsidRPr="008B68A9">
        <w:t xml:space="preserve">using their established network of relationships with frontline personnel and senior managers, </w:t>
      </w:r>
      <w:r w:rsidRPr="008B68A9">
        <w:lastRenderedPageBreak/>
        <w:t>they achieved support plan objectives where more formal routes of referral and bureaucracy may have faltered. As with most policy change, the central role of management cannot be underestimated as their vision and direction open or close opportunities for real change (Allen and Onyett 2009). This pilot was</w:t>
      </w:r>
      <w:r w:rsidR="00B732A3" w:rsidRPr="008B68A9">
        <w:t xml:space="preserve"> ultimately</w:t>
      </w:r>
      <w:r w:rsidRPr="008B68A9">
        <w:t xml:space="preserve"> limited by </w:t>
      </w:r>
      <w:r w:rsidR="00B732A3" w:rsidRPr="008B68A9">
        <w:t xml:space="preserve">an </w:t>
      </w:r>
      <w:r w:rsidR="000B293F" w:rsidRPr="008B68A9">
        <w:t>over-cautious</w:t>
      </w:r>
      <w:r w:rsidR="00B732A3" w:rsidRPr="008B68A9">
        <w:t xml:space="preserve"> approach</w:t>
      </w:r>
      <w:r w:rsidRPr="008B68A9">
        <w:t xml:space="preserve"> to decision making, which without the </w:t>
      </w:r>
      <w:r w:rsidR="004B1685" w:rsidRPr="008B68A9">
        <w:t>determination and courage</w:t>
      </w:r>
      <w:r w:rsidRPr="008B68A9">
        <w:t xml:space="preserve"> of the broker</w:t>
      </w:r>
      <w:r w:rsidR="000B293F" w:rsidRPr="008B68A9">
        <w:t xml:space="preserve"> would</w:t>
      </w:r>
      <w:r w:rsidRPr="008B68A9">
        <w:t xml:space="preserve"> have </w:t>
      </w:r>
      <w:r w:rsidR="00B732A3" w:rsidRPr="008B68A9">
        <w:t xml:space="preserve">further </w:t>
      </w:r>
      <w:r w:rsidRPr="008B68A9">
        <w:t>limited the pilot.</w:t>
      </w:r>
    </w:p>
    <w:p w14:paraId="429F6DCA" w14:textId="77777777" w:rsidR="006C7B37" w:rsidRPr="008B68A9" w:rsidRDefault="006C7B37" w:rsidP="002F0FD7">
      <w:pPr>
        <w:pStyle w:val="5arangedleft"/>
      </w:pPr>
      <w:r w:rsidRPr="008B68A9">
        <w:t>The challenges of providing individual budgets to offenders with severe and, in many instances, long term chronic substance misuse were many. Managing risk and accountability cast a long shadow, influencing the decision making processes within the pilot. Managing public perception of personalisation for a societally feared and unpopular group lay at the forefront of the budget panel’s decision making. However, significant change in the lives of the budget recipients was achieved, though the question of how much more might have been achieved had the panel been less fearful of a potentially negative backlash.</w:t>
      </w:r>
    </w:p>
    <w:p w14:paraId="7943B9A4" w14:textId="08196020" w:rsidR="006C7B37" w:rsidRPr="008B68A9" w:rsidRDefault="006C7B37" w:rsidP="002F0FD7">
      <w:pPr>
        <w:pStyle w:val="5arangedleft"/>
      </w:pPr>
      <w:r w:rsidRPr="008B68A9">
        <w:t xml:space="preserve">These evaluations were part of health and social care services’ move to generate learning about personalisation in their authorities. As a body of work, they represent development of my thinking about and practice of personalisation. In applying a reflexive lens to this chapter, it is noticeable that as an increased sophistication of analysis can be seen between the first and fourth studies, so too </w:t>
      </w:r>
      <w:r w:rsidR="00B732A3" w:rsidRPr="008B68A9">
        <w:t>does the</w:t>
      </w:r>
      <w:r w:rsidRPr="008B68A9">
        <w:t xml:space="preserve"> emergence of</w:t>
      </w:r>
      <w:r w:rsidR="00B732A3" w:rsidRPr="008B68A9">
        <w:t xml:space="preserve"> an</w:t>
      </w:r>
      <w:r w:rsidRPr="008B68A9">
        <w:t xml:space="preserve"> increased pessimism or scepticism</w:t>
      </w:r>
      <w:r w:rsidR="00257A9B" w:rsidRPr="008B68A9">
        <w:t xml:space="preserve"> towards personalisation</w:t>
      </w:r>
      <w:r w:rsidRPr="008B68A9">
        <w:t xml:space="preserve">. The almost naïve enthusiasm in the IRB project is almost extinguished by study four, as increased bureaucratisation and professionally defensive practices are projected onto a wider landscape of </w:t>
      </w:r>
      <w:r w:rsidR="00257A9B" w:rsidRPr="008B68A9">
        <w:t>UK public sector austerity</w:t>
      </w:r>
      <w:r w:rsidRPr="008B68A9">
        <w:t>. The roles of professionals and their maintenance of control and authority became increasingly questionable, and this researcher had to work hard not to be sympathetic to the demands and stressors of their roles and responsibilities.</w:t>
      </w:r>
    </w:p>
    <w:p w14:paraId="5089658B" w14:textId="77777777" w:rsidR="00257A9B" w:rsidRPr="008B68A9" w:rsidRDefault="00257A9B" w:rsidP="002F0FD7">
      <w:pPr>
        <w:pStyle w:val="5arangedleft"/>
      </w:pPr>
    </w:p>
    <w:p w14:paraId="3635D1EC" w14:textId="77777777" w:rsidR="006C7B37" w:rsidRPr="008B68A9" w:rsidRDefault="006C7B37" w:rsidP="006C7B37">
      <w:pPr>
        <w:spacing w:line="276" w:lineRule="auto"/>
        <w:rPr>
          <w:szCs w:val="24"/>
        </w:rPr>
        <w:sectPr w:rsidR="006C7B37" w:rsidRPr="008B68A9" w:rsidSect="003C39F8">
          <w:footerReference w:type="default" r:id="rId17"/>
          <w:pgSz w:w="11906" w:h="16838"/>
          <w:pgMar w:top="1440" w:right="1418" w:bottom="1440" w:left="2268" w:header="709" w:footer="709" w:gutter="0"/>
          <w:cols w:space="708"/>
          <w:docGrid w:linePitch="360"/>
        </w:sectPr>
      </w:pPr>
    </w:p>
    <w:p w14:paraId="49C322A0" w14:textId="77777777" w:rsidR="006C7B37" w:rsidRPr="008B68A9" w:rsidRDefault="006C7B37" w:rsidP="006C7B37">
      <w:pPr>
        <w:pStyle w:val="1L1header"/>
      </w:pPr>
      <w:bookmarkStart w:id="228" w:name="_Toc413607831"/>
      <w:bookmarkStart w:id="229" w:name="_Toc413827465"/>
      <w:bookmarkStart w:id="230" w:name="_Toc466800363"/>
      <w:bookmarkStart w:id="231" w:name="_Toc413607832"/>
      <w:bookmarkStart w:id="232" w:name="_Toc413827466"/>
      <w:r w:rsidRPr="008B68A9">
        <w:lastRenderedPageBreak/>
        <w:t>Chapter 6</w:t>
      </w:r>
      <w:bookmarkEnd w:id="228"/>
      <w:bookmarkEnd w:id="229"/>
      <w:r w:rsidRPr="008B68A9">
        <w:t>: Results</w:t>
      </w:r>
      <w:bookmarkEnd w:id="230"/>
      <w:r w:rsidRPr="008B68A9">
        <w:t xml:space="preserve"> </w:t>
      </w:r>
    </w:p>
    <w:p w14:paraId="5E14306F" w14:textId="4FD55772" w:rsidR="006C7B37" w:rsidRPr="008B68A9" w:rsidRDefault="006C7B37" w:rsidP="006C7B37">
      <w:pPr>
        <w:pStyle w:val="2L2header"/>
      </w:pPr>
      <w:bookmarkStart w:id="233" w:name="_Toc466800364"/>
      <w:r w:rsidRPr="008B68A9">
        <w:rPr>
          <w:rStyle w:val="Heading2Char"/>
          <w:b/>
          <w:szCs w:val="28"/>
        </w:rPr>
        <w:t>6.1</w:t>
      </w:r>
      <w:bookmarkEnd w:id="231"/>
      <w:bookmarkEnd w:id="232"/>
      <w:r w:rsidRPr="008B68A9">
        <w:t xml:space="preserve"> Introduction</w:t>
      </w:r>
      <w:bookmarkEnd w:id="233"/>
    </w:p>
    <w:p w14:paraId="47930A22" w14:textId="6169C190" w:rsidR="006C7B37" w:rsidRPr="008B68A9" w:rsidRDefault="006C7B37" w:rsidP="002F0FD7">
      <w:pPr>
        <w:pStyle w:val="5arangedleft"/>
      </w:pPr>
      <w:r w:rsidRPr="008B68A9">
        <w:t>In this chapter an analysis of the col</w:t>
      </w:r>
      <w:r w:rsidR="0080086A" w:rsidRPr="008B68A9">
        <w:t>lective case study (Stake 2000) is</w:t>
      </w:r>
      <w:r w:rsidRPr="008B68A9">
        <w:t xml:space="preserve"> </w:t>
      </w:r>
      <w:r w:rsidR="0080086A" w:rsidRPr="008B68A9">
        <w:t xml:space="preserve">presented, </w:t>
      </w:r>
      <w:r w:rsidRPr="008B68A9">
        <w:t xml:space="preserve">exploring personalisation through the narratives of representative participants as they negotiate their roles and identities in mental health services. In keeping with methodological choices described in chapter four, </w:t>
      </w:r>
      <w:r w:rsidR="0080086A" w:rsidRPr="008B68A9">
        <w:t>an</w:t>
      </w:r>
      <w:r w:rsidRPr="008B68A9">
        <w:t xml:space="preserve"> outline these data </w:t>
      </w:r>
      <w:r w:rsidR="0080086A" w:rsidRPr="008B68A9">
        <w:t xml:space="preserve">is offered </w:t>
      </w:r>
      <w:r w:rsidRPr="008B68A9">
        <w:t>though a</w:t>
      </w:r>
      <w:r w:rsidR="0080086A" w:rsidRPr="008B68A9">
        <w:t xml:space="preserve"> narrative method</w:t>
      </w:r>
      <w:r w:rsidRPr="008B68A9">
        <w:t xml:space="preserve"> (Gergen and Gergen 1983, </w:t>
      </w:r>
      <w:r w:rsidR="0064440D" w:rsidRPr="008B68A9">
        <w:t>Reissman</w:t>
      </w:r>
      <w:r w:rsidRPr="008B68A9">
        <w:t xml:space="preserve"> 1993). The narratives will outline the stakeholder’s perception towards personalisation and interactions that co-construct story</w:t>
      </w:r>
      <w:r w:rsidR="009A7254" w:rsidRPr="008B68A9">
        <w:t>-</w:t>
      </w:r>
      <w:r w:rsidRPr="008B68A9">
        <w:t>lines through positioning and conventions of warrant (Gergen 1989). The roles of actors in claiming identity and how personalisation shapes and challenges their construction will be described, so as to offer a framework of orientation of mental health self-determination.</w:t>
      </w:r>
    </w:p>
    <w:p w14:paraId="6EF8A532" w14:textId="77777777" w:rsidR="006C7B37" w:rsidRPr="008B68A9" w:rsidRDefault="006C7B37" w:rsidP="002F0FD7">
      <w:pPr>
        <w:pStyle w:val="5arangedleft"/>
      </w:pPr>
      <w:r w:rsidRPr="008B68A9">
        <w:t>The coding was produced from themes drawn from the data as described in chapter three using classical coding approaches (Miles et al 2014) similar to thematic analysis (Burnard 1991), the MaxQDA software and the immersive visual approach (in appendix 4). The coding scheme formation, processes and development of themes are evidenced through a presentation of narrative sections from stakeholder interviews. Word limits in this thesis prevent full and multiple transcript data being presented within the text or as appendices.</w:t>
      </w:r>
    </w:p>
    <w:p w14:paraId="53E6701D" w14:textId="59BF1B51" w:rsidR="006C7B37" w:rsidRPr="008B68A9" w:rsidRDefault="006C7B37" w:rsidP="002F0FD7">
      <w:pPr>
        <w:pStyle w:val="5arangedleft"/>
      </w:pPr>
      <w:r w:rsidRPr="008B68A9">
        <w:t xml:space="preserve">The collective case study encompassed a sizeable dataset for a qualitative analysis; therefore in addition to the methodological choice, a practical and pragmatic approach was required. Stake’s (2000) </w:t>
      </w:r>
      <w:r w:rsidR="006F3DF3" w:rsidRPr="008B68A9">
        <w:t>collective</w:t>
      </w:r>
      <w:r w:rsidRPr="008B68A9">
        <w:t xml:space="preserve"> case method is capable of drawing upon large datasets, extracting the essence and items of interest from the study. The analysis produced </w:t>
      </w:r>
      <w:r w:rsidR="006F3DF3" w:rsidRPr="008B68A9">
        <w:t>thick descriptions</w:t>
      </w:r>
      <w:r w:rsidRPr="008B68A9">
        <w:t>, though the salient issues and themes that emerged only served to lead to a deeper and more focused examination of the narrative journey and processes in personalisation.</w:t>
      </w:r>
    </w:p>
    <w:p w14:paraId="4A67F99A" w14:textId="2257A0C4" w:rsidR="006C7B37" w:rsidRPr="008B68A9" w:rsidRDefault="006C7B37" w:rsidP="006C7B37">
      <w:pPr>
        <w:pStyle w:val="2L2header"/>
      </w:pPr>
      <w:bookmarkStart w:id="234" w:name="_Toc413607833"/>
      <w:bookmarkStart w:id="235" w:name="_Toc413827467"/>
      <w:bookmarkStart w:id="236" w:name="_Toc466800365"/>
      <w:r w:rsidRPr="008B68A9">
        <w:lastRenderedPageBreak/>
        <w:t>6.2 Coding formation and strategy</w:t>
      </w:r>
      <w:bookmarkEnd w:id="234"/>
      <w:bookmarkEnd w:id="235"/>
      <w:bookmarkEnd w:id="236"/>
    </w:p>
    <w:p w14:paraId="11DF6675" w14:textId="48CFF811" w:rsidR="006C7B37" w:rsidRPr="008B68A9" w:rsidRDefault="006C7B37" w:rsidP="002F0FD7">
      <w:pPr>
        <w:pStyle w:val="5arangedleft"/>
      </w:pPr>
      <w:r w:rsidRPr="008B68A9">
        <w:t xml:space="preserve">Coding was developed from multiple reading of participant narratives guided by </w:t>
      </w:r>
      <w:r w:rsidR="0064440D" w:rsidRPr="008B68A9">
        <w:t>Reissman</w:t>
      </w:r>
      <w:r w:rsidRPr="008B68A9">
        <w:t xml:space="preserve"> (1993,</w:t>
      </w:r>
      <w:r w:rsidRPr="008B68A9">
        <w:rPr>
          <w:rFonts w:ascii="Verdana" w:hAnsi="Verdana"/>
          <w:sz w:val="19"/>
          <w:szCs w:val="19"/>
        </w:rPr>
        <w:t xml:space="preserve"> p. 8</w:t>
      </w:r>
      <w:r w:rsidRPr="008B68A9">
        <w:t xml:space="preserve">), that </w:t>
      </w:r>
      <w:r w:rsidR="00995AA0" w:rsidRPr="008B68A9">
        <w:t>not having</w:t>
      </w:r>
      <w:r w:rsidRPr="008B68A9">
        <w:t xml:space="preserve"> direct access to others’ experience: I could only “deal with ambiguous representations of it – talk, text, interaction, and interpretation."</w:t>
      </w:r>
      <w:r w:rsidRPr="008B68A9">
        <w:rPr>
          <w:rFonts w:ascii="Verdana" w:hAnsi="Verdana"/>
          <w:sz w:val="19"/>
          <w:szCs w:val="19"/>
        </w:rPr>
        <w:t xml:space="preserve"> </w:t>
      </w:r>
      <w:r w:rsidRPr="008B68A9">
        <w:t>Therefore I utilised narrative</w:t>
      </w:r>
      <w:r w:rsidR="00995AA0" w:rsidRPr="008B68A9">
        <w:t xml:space="preserve"> methods’ </w:t>
      </w:r>
      <w:r w:rsidRPr="008B68A9">
        <w:t>flexibility (Holloway and Freshwater 2007), with biographic accounts describing the participants’ construction of their present</w:t>
      </w:r>
      <w:r w:rsidR="00995AA0" w:rsidRPr="008B68A9">
        <w:t>,</w:t>
      </w:r>
      <w:r w:rsidRPr="008B68A9">
        <w:t xml:space="preserve"> </w:t>
      </w:r>
      <w:r w:rsidR="00995AA0" w:rsidRPr="008B68A9">
        <w:t>locating</w:t>
      </w:r>
      <w:r w:rsidRPr="008B68A9">
        <w:t xml:space="preserve"> past actions in context (Ricoeur 1987). An initial coding frame was </w:t>
      </w:r>
      <w:r w:rsidR="00995AA0" w:rsidRPr="008B68A9">
        <w:t>developed</w:t>
      </w:r>
      <w:r w:rsidRPr="008B68A9">
        <w:t xml:space="preserve"> from the </w:t>
      </w:r>
      <w:r w:rsidR="00995AA0" w:rsidRPr="008B68A9">
        <w:t xml:space="preserve">initial </w:t>
      </w:r>
      <w:r w:rsidRPr="008B68A9">
        <w:t>reading, which functioned as a preliminary guide in subsequent analysis (see appendix 2). The coding frame provided a datum for</w:t>
      </w:r>
      <w:r w:rsidR="00B342BC" w:rsidRPr="008B68A9">
        <w:t xml:space="preserve"> later</w:t>
      </w:r>
      <w:r w:rsidRPr="008B68A9">
        <w:t xml:space="preserve"> analysis </w:t>
      </w:r>
      <w:r w:rsidR="00B342BC" w:rsidRPr="008B68A9">
        <w:t>which also served as</w:t>
      </w:r>
      <w:r w:rsidRPr="008B68A9">
        <w:t xml:space="preserve"> a way of resolving </w:t>
      </w:r>
      <w:r w:rsidR="00B342BC" w:rsidRPr="008B68A9">
        <w:t>contested codes</w:t>
      </w:r>
      <w:r w:rsidRPr="008B68A9">
        <w:t>.</w:t>
      </w:r>
    </w:p>
    <w:p w14:paraId="426A645B" w14:textId="08A31D5E" w:rsidR="006C7B37" w:rsidRPr="008B68A9" w:rsidRDefault="006C7B37" w:rsidP="002F0FD7">
      <w:pPr>
        <w:pStyle w:val="5arangedleft"/>
      </w:pPr>
      <w:r w:rsidRPr="008B68A9">
        <w:t xml:space="preserve">Temporal sequence in the stakeholder narratives was reproduced in the final coding, as the stories </w:t>
      </w:r>
      <w:r w:rsidR="00F071FA" w:rsidRPr="008B68A9">
        <w:t>referred</w:t>
      </w:r>
      <w:r w:rsidRPr="008B68A9">
        <w:t xml:space="preserve"> </w:t>
      </w:r>
      <w:r w:rsidR="00F071FA" w:rsidRPr="008B68A9">
        <w:t>to</w:t>
      </w:r>
      <w:r w:rsidRPr="008B68A9">
        <w:t xml:space="preserve"> tim</w:t>
      </w:r>
      <w:r w:rsidR="00F071FA" w:rsidRPr="008B68A9">
        <w:t>es before the individual budgets</w:t>
      </w:r>
      <w:r w:rsidRPr="008B68A9">
        <w:t xml:space="preserve"> and of post-budget and reflection. Each </w:t>
      </w:r>
      <w:r w:rsidR="00F071FA" w:rsidRPr="008B68A9">
        <w:t>narrative</w:t>
      </w:r>
      <w:r w:rsidRPr="008B68A9">
        <w:t xml:space="preserve"> used temporality in the sense of Ricoeur’s mimesis </w:t>
      </w:r>
      <w:r w:rsidRPr="008B68A9">
        <w:rPr>
          <w:vertAlign w:val="subscript"/>
        </w:rPr>
        <w:t>1,2,3</w:t>
      </w:r>
      <w:r w:rsidRPr="008B68A9">
        <w:t xml:space="preserve"> as </w:t>
      </w:r>
      <w:r w:rsidR="00F071FA" w:rsidRPr="008B68A9">
        <w:t>participants</w:t>
      </w:r>
      <w:r w:rsidRPr="008B68A9">
        <w:t xml:space="preserve"> spoke of events from their past, which revealed their understanding of personalisation. The coding framework in this study reflects an arc of temporality, where the actors’ involvement in personalisation </w:t>
      </w:r>
      <w:r w:rsidR="005B240A" w:rsidRPr="008B68A9">
        <w:t>was</w:t>
      </w:r>
      <w:r w:rsidRPr="008B68A9">
        <w:t xml:space="preserve"> observed. The use of positioning, conventions of warrant, and </w:t>
      </w:r>
      <w:r w:rsidR="009A7254" w:rsidRPr="008B68A9">
        <w:t>story-line</w:t>
      </w:r>
      <w:r w:rsidRPr="008B68A9">
        <w:t xml:space="preserve"> cement the work within the constructed world of actors as they negotiate</w:t>
      </w:r>
      <w:r w:rsidR="00F071FA" w:rsidRPr="008B68A9">
        <w:t>d</w:t>
      </w:r>
      <w:r w:rsidRPr="008B68A9">
        <w:t xml:space="preserve"> their patient/ broker/ carer and professional identities. The full coding and sub-codes with frequency of theme to transcript are presented below, showing the key themes and their subsets developed. Examples </w:t>
      </w:r>
      <w:r w:rsidR="00F071FA" w:rsidRPr="008B68A9">
        <w:t>of</w:t>
      </w:r>
      <w:r w:rsidRPr="008B68A9">
        <w:t xml:space="preserve"> participant narratives </w:t>
      </w:r>
      <w:r w:rsidR="00F071FA" w:rsidRPr="008B68A9">
        <w:t xml:space="preserve">demonstrate links between content </w:t>
      </w:r>
      <w:r w:rsidRPr="008B68A9">
        <w:t>and the subsequent coding.</w:t>
      </w:r>
    </w:p>
    <w:p w14:paraId="0698C656" w14:textId="77777777" w:rsidR="006C7B37" w:rsidRPr="008B68A9" w:rsidRDefault="006C7B37" w:rsidP="002F0FD7">
      <w:pPr>
        <w:pStyle w:val="5arangedleft"/>
        <w:sectPr w:rsidR="006C7B37" w:rsidRPr="008B68A9" w:rsidSect="003C39F8">
          <w:pgSz w:w="11906" w:h="16838"/>
          <w:pgMar w:top="1440" w:right="1418" w:bottom="1440" w:left="2268" w:header="709" w:footer="709" w:gutter="0"/>
          <w:cols w:space="708"/>
          <w:docGrid w:linePitch="360"/>
        </w:sectPr>
      </w:pPr>
    </w:p>
    <w:p w14:paraId="2DFD8B77" w14:textId="77777777" w:rsidR="006C7B37" w:rsidRPr="008B68A9" w:rsidRDefault="006C7B37" w:rsidP="006C7B37">
      <w:pPr>
        <w:spacing w:line="360" w:lineRule="auto"/>
        <w:jc w:val="center"/>
        <w:rPr>
          <w:szCs w:val="24"/>
        </w:rPr>
      </w:pPr>
      <w:r w:rsidRPr="008B68A9">
        <w:rPr>
          <w:noProof/>
          <w:szCs w:val="24"/>
          <w:lang w:eastAsia="en-GB"/>
        </w:rPr>
        <w:lastRenderedPageBreak/>
        <w:drawing>
          <wp:inline distT="0" distB="0" distL="0" distR="0" wp14:anchorId="1881DFEA" wp14:editId="409C6639">
            <wp:extent cx="8704408" cy="1982470"/>
            <wp:effectExtent l="0" t="0" r="1905"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at full code march 15.JPG"/>
                    <pic:cNvPicPr/>
                  </pic:nvPicPr>
                  <pic:blipFill>
                    <a:blip r:embed="rId18">
                      <a:extLst>
                        <a:ext uri="{28A0092B-C50C-407E-A947-70E740481C1C}">
                          <a14:useLocalDpi xmlns:a14="http://schemas.microsoft.com/office/drawing/2010/main" val="0"/>
                        </a:ext>
                      </a:extLst>
                    </a:blip>
                    <a:stretch>
                      <a:fillRect/>
                    </a:stretch>
                  </pic:blipFill>
                  <pic:spPr>
                    <a:xfrm>
                      <a:off x="0" y="0"/>
                      <a:ext cx="8742669" cy="1991184"/>
                    </a:xfrm>
                    <a:prstGeom prst="rect">
                      <a:avLst/>
                    </a:prstGeom>
                  </pic:spPr>
                </pic:pic>
              </a:graphicData>
            </a:graphic>
          </wp:inline>
        </w:drawing>
      </w:r>
    </w:p>
    <w:p w14:paraId="72DC0CE0" w14:textId="77777777" w:rsidR="006C7B37" w:rsidRPr="008B68A9" w:rsidRDefault="006C7B37" w:rsidP="006C7B37">
      <w:pPr>
        <w:pStyle w:val="9afigurecaption"/>
      </w:pPr>
      <w:bookmarkStart w:id="237" w:name="_Toc466799817"/>
      <w:r w:rsidRPr="008B68A9">
        <w:t>Figure 1: Frequency and temporal formation of coding</w:t>
      </w:r>
      <w:bookmarkEnd w:id="237"/>
      <w:r w:rsidRPr="008B68A9">
        <w:t xml:space="preserve"> </w:t>
      </w:r>
    </w:p>
    <w:p w14:paraId="7EE6D380" w14:textId="77777777" w:rsidR="006C7B37" w:rsidRPr="008B68A9" w:rsidRDefault="006C7B37" w:rsidP="002F0FD7">
      <w:pPr>
        <w:pStyle w:val="5arangedleft"/>
      </w:pPr>
    </w:p>
    <w:p w14:paraId="784CC584" w14:textId="77777777" w:rsidR="006C7B37" w:rsidRPr="008B68A9" w:rsidRDefault="006C7B37" w:rsidP="002F0FD7">
      <w:pPr>
        <w:pStyle w:val="5arangedleft"/>
      </w:pPr>
      <w:r w:rsidRPr="008B68A9">
        <w:t>The image from the MaxQDA re-analysis dataset shows the thematic development of coding. The narratives begin with regressive accounts, moving towards stability narrative, progressive and contingent narrative accounts. The stability and contingent narratives were later positioned within regressive accounts as they formed part of the participants’ regressive narrative accounts.</w:t>
      </w:r>
    </w:p>
    <w:p w14:paraId="34424813" w14:textId="77777777" w:rsidR="006C7B37" w:rsidRPr="008B68A9" w:rsidRDefault="006C7B37" w:rsidP="006C7B37">
      <w:pPr>
        <w:spacing w:line="360" w:lineRule="auto"/>
        <w:jc w:val="center"/>
        <w:rPr>
          <w:szCs w:val="24"/>
        </w:rPr>
      </w:pPr>
      <w:r w:rsidRPr="008B68A9">
        <w:rPr>
          <w:noProof/>
          <w:szCs w:val="24"/>
          <w:lang w:eastAsia="en-GB"/>
        </w:rPr>
        <w:lastRenderedPageBreak/>
        <w:drawing>
          <wp:inline distT="0" distB="0" distL="0" distR="0" wp14:anchorId="166E4C38" wp14:editId="4B0A794A">
            <wp:extent cx="8266801" cy="3792927"/>
            <wp:effectExtent l="0" t="0" r="1270" b="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at full code and sub code mar 15.JPG"/>
                    <pic:cNvPicPr/>
                  </pic:nvPicPr>
                  <pic:blipFill>
                    <a:blip r:embed="rId19">
                      <a:extLst>
                        <a:ext uri="{28A0092B-C50C-407E-A947-70E740481C1C}">
                          <a14:useLocalDpi xmlns:a14="http://schemas.microsoft.com/office/drawing/2010/main" val="0"/>
                        </a:ext>
                      </a:extLst>
                    </a:blip>
                    <a:stretch>
                      <a:fillRect/>
                    </a:stretch>
                  </pic:blipFill>
                  <pic:spPr>
                    <a:xfrm>
                      <a:off x="0" y="0"/>
                      <a:ext cx="8275781" cy="3797047"/>
                    </a:xfrm>
                    <a:prstGeom prst="rect">
                      <a:avLst/>
                    </a:prstGeom>
                  </pic:spPr>
                </pic:pic>
              </a:graphicData>
            </a:graphic>
          </wp:inline>
        </w:drawing>
      </w:r>
    </w:p>
    <w:p w14:paraId="6DD3C2C3" w14:textId="77777777" w:rsidR="006C7B37" w:rsidRPr="008B68A9" w:rsidRDefault="006C7B37" w:rsidP="006C7B37">
      <w:pPr>
        <w:pStyle w:val="9afigurecaption"/>
      </w:pPr>
      <w:bookmarkStart w:id="238" w:name="_Toc466799818"/>
      <w:r w:rsidRPr="008B68A9">
        <w:t>Figure 2: Full coding frequency</w:t>
      </w:r>
      <w:bookmarkEnd w:id="238"/>
    </w:p>
    <w:p w14:paraId="6FE3A614" w14:textId="77777777" w:rsidR="006C7B37" w:rsidRPr="008B68A9" w:rsidRDefault="006C7B37" w:rsidP="006C7B37">
      <w:pPr>
        <w:spacing w:after="80" w:line="240" w:lineRule="auto"/>
        <w:jc w:val="both"/>
        <w:rPr>
          <w:szCs w:val="24"/>
        </w:rPr>
      </w:pPr>
    </w:p>
    <w:p w14:paraId="0B673532" w14:textId="77777777" w:rsidR="006C7B37" w:rsidRPr="008B68A9" w:rsidRDefault="006C7B37" w:rsidP="006C7B37">
      <w:pPr>
        <w:spacing w:line="240" w:lineRule="auto"/>
        <w:jc w:val="both"/>
        <w:rPr>
          <w:szCs w:val="24"/>
        </w:rPr>
      </w:pPr>
      <w:r w:rsidRPr="008B68A9">
        <w:rPr>
          <w:szCs w:val="24"/>
        </w:rPr>
        <w:t>The coding above shows the overall frequency and model developed from thematic analysis.</w:t>
      </w:r>
    </w:p>
    <w:p w14:paraId="1170703F" w14:textId="77777777" w:rsidR="006C7B37" w:rsidRPr="008B68A9" w:rsidRDefault="006C7B37" w:rsidP="006C7B37">
      <w:pPr>
        <w:spacing w:line="360" w:lineRule="auto"/>
        <w:jc w:val="both"/>
        <w:rPr>
          <w:szCs w:val="24"/>
        </w:rPr>
      </w:pPr>
    </w:p>
    <w:p w14:paraId="218ED364" w14:textId="77777777" w:rsidR="006C7B37" w:rsidRPr="008B68A9" w:rsidRDefault="006C7B37" w:rsidP="006C7B37">
      <w:pPr>
        <w:spacing w:line="360" w:lineRule="auto"/>
        <w:jc w:val="both"/>
        <w:rPr>
          <w:szCs w:val="24"/>
        </w:rPr>
        <w:sectPr w:rsidR="006C7B37" w:rsidRPr="008B68A9" w:rsidSect="003C39F8">
          <w:pgSz w:w="16838" w:h="11906" w:orient="landscape"/>
          <w:pgMar w:top="2268" w:right="1440" w:bottom="1418" w:left="1440" w:header="709" w:footer="709" w:gutter="0"/>
          <w:cols w:space="708"/>
          <w:docGrid w:linePitch="360"/>
        </w:sectPr>
      </w:pPr>
    </w:p>
    <w:p w14:paraId="7F506722" w14:textId="530BE15F" w:rsidR="006C7B37" w:rsidRPr="008B68A9" w:rsidRDefault="006C7B37" w:rsidP="006C7B37">
      <w:pPr>
        <w:pStyle w:val="3L3header"/>
      </w:pPr>
      <w:bookmarkStart w:id="239" w:name="_Toc466800366"/>
      <w:r w:rsidRPr="008B68A9">
        <w:lastRenderedPageBreak/>
        <w:t>6.2.1 An overview of the analysis through advanced organisers</w:t>
      </w:r>
      <w:bookmarkEnd w:id="239"/>
    </w:p>
    <w:p w14:paraId="4A919250" w14:textId="3E738053" w:rsidR="006C7B37" w:rsidRPr="008B68A9" w:rsidRDefault="005460E4" w:rsidP="002F0FD7">
      <w:pPr>
        <w:pStyle w:val="5arangedleft"/>
        <w:rPr>
          <w:rFonts w:cs="Arial"/>
          <w:bCs/>
        </w:rPr>
      </w:pPr>
      <w:r w:rsidRPr="008B68A9">
        <w:t xml:space="preserve">As Stake (2000) </w:t>
      </w:r>
      <w:r w:rsidR="006C0D8F" w:rsidRPr="008B68A9">
        <w:t>suggests</w:t>
      </w:r>
      <w:r w:rsidRPr="008B68A9">
        <w:t xml:space="preserve"> </w:t>
      </w:r>
      <w:r w:rsidR="006C7B37" w:rsidRPr="008B68A9">
        <w:t>an advanced organiser</w:t>
      </w:r>
      <w:r w:rsidR="001E4B8F" w:rsidRPr="008B68A9">
        <w:t>,</w:t>
      </w:r>
      <w:r w:rsidR="006C7B37" w:rsidRPr="008B68A9">
        <w:t xml:space="preserve"> (from Ausubel, cited Curran and Takata 2003</w:t>
      </w:r>
      <w:r w:rsidRPr="008B68A9">
        <w:t>),</w:t>
      </w:r>
      <w:r w:rsidR="006C7B37" w:rsidRPr="008B68A9">
        <w:t xml:space="preserve"> </w:t>
      </w:r>
      <w:r w:rsidR="006C0D8F" w:rsidRPr="008B68A9">
        <w:t>is used</w:t>
      </w:r>
      <w:r w:rsidR="00826A59" w:rsidRPr="008B68A9">
        <w:t xml:space="preserve"> </w:t>
      </w:r>
      <w:r w:rsidR="006C7B37" w:rsidRPr="008B68A9">
        <w:t xml:space="preserve">to show </w:t>
      </w:r>
      <w:r w:rsidR="001E4B8F" w:rsidRPr="008B68A9">
        <w:t>outline</w:t>
      </w:r>
      <w:r w:rsidR="006C7B37" w:rsidRPr="008B68A9">
        <w:t xml:space="preserve"> </w:t>
      </w:r>
      <w:r w:rsidR="001E4B8F" w:rsidRPr="008B68A9">
        <w:t xml:space="preserve">theme and coding development </w:t>
      </w:r>
      <w:r w:rsidR="00826A59" w:rsidRPr="008B68A9">
        <w:t>during analysis</w:t>
      </w:r>
      <w:r w:rsidR="006C7B37" w:rsidRPr="008B68A9">
        <w:t xml:space="preserve"> </w:t>
      </w:r>
      <w:r w:rsidR="006C0D8F" w:rsidRPr="008B68A9">
        <w:t xml:space="preserve">and </w:t>
      </w:r>
      <w:r w:rsidR="00826A59" w:rsidRPr="008B68A9">
        <w:t>how this representation contributes</w:t>
      </w:r>
      <w:r w:rsidR="006C7B37" w:rsidRPr="008B68A9">
        <w:t xml:space="preserve"> to the </w:t>
      </w:r>
      <w:r w:rsidR="006C0D8F" w:rsidRPr="008B68A9">
        <w:t xml:space="preserve">proposed </w:t>
      </w:r>
      <w:r w:rsidR="006C7B37" w:rsidRPr="008B68A9">
        <w:t xml:space="preserve">framework in chapter 7. </w:t>
      </w:r>
      <w:r w:rsidR="001E4B8F" w:rsidRPr="008B68A9">
        <w:t xml:space="preserve">The advanced organiser is found as figure 3 </w:t>
      </w:r>
      <w:r w:rsidR="00330D5F" w:rsidRPr="008B68A9">
        <w:t>on page 164</w:t>
      </w:r>
      <w:r w:rsidR="001E4B8F" w:rsidRPr="008B68A9">
        <w:t>.</w:t>
      </w:r>
    </w:p>
    <w:p w14:paraId="4DA6F6C8" w14:textId="235A2B33" w:rsidR="006C7B37" w:rsidRPr="008B68A9" w:rsidRDefault="006C7B37" w:rsidP="002F0FD7">
      <w:pPr>
        <w:pStyle w:val="5arangedleft"/>
      </w:pPr>
      <w:r w:rsidRPr="008B68A9">
        <w:t>The theme formation began with regressive narrative trajectories, represented as stage 1 in the organiser, where budget users recounted their stories of mental health problems and their contact with services, these were firmly</w:t>
      </w:r>
      <w:r w:rsidR="00765B65" w:rsidRPr="008B68A9">
        <w:t xml:space="preserve"> set in a downward and negative</w:t>
      </w:r>
      <w:r w:rsidRPr="008B68A9">
        <w:t xml:space="preserve"> trajectory as described by Gergen and Gergen (1983). The participants reported their</w:t>
      </w:r>
      <w:r w:rsidR="005460E4" w:rsidRPr="008B68A9">
        <w:t xml:space="preserve"> past</w:t>
      </w:r>
      <w:r w:rsidRPr="008B68A9">
        <w:t xml:space="preserve"> experiences as</w:t>
      </w:r>
      <w:r w:rsidR="005460E4" w:rsidRPr="008B68A9">
        <w:t xml:space="preserve"> being</w:t>
      </w:r>
      <w:r w:rsidRPr="008B68A9">
        <w:t xml:space="preserve"> </w:t>
      </w:r>
      <w:r w:rsidR="005460E4" w:rsidRPr="008B68A9">
        <w:t>miserable</w:t>
      </w:r>
      <w:r w:rsidRPr="008B68A9">
        <w:t xml:space="preserve">, and </w:t>
      </w:r>
      <w:r w:rsidR="005460E4" w:rsidRPr="008B68A9">
        <w:t xml:space="preserve">these situations </w:t>
      </w:r>
      <w:r w:rsidRPr="008B68A9">
        <w:t xml:space="preserve">had been </w:t>
      </w:r>
      <w:r w:rsidR="005460E4" w:rsidRPr="008B68A9">
        <w:t>such</w:t>
      </w:r>
      <w:r w:rsidRPr="008B68A9">
        <w:t xml:space="preserve"> for some time.</w:t>
      </w:r>
    </w:p>
    <w:p w14:paraId="195629D4" w14:textId="1EF97375" w:rsidR="006C7B37" w:rsidRPr="008B68A9" w:rsidRDefault="006C7B37" w:rsidP="002F0FD7">
      <w:pPr>
        <w:pStyle w:val="5arangedleft"/>
      </w:pPr>
      <w:r w:rsidRPr="008B68A9">
        <w:t xml:space="preserve">The contingent narratives, (stage 2 in the organiser), from Bury (2001) are connected to regressive trajectory, where negative stereotypes and causal associations of mental health problems and substance misuse were internalised by budget users. The narratives </w:t>
      </w:r>
      <w:r w:rsidR="006C0D8F" w:rsidRPr="008B68A9">
        <w:t>reported a sense</w:t>
      </w:r>
      <w:r w:rsidRPr="008B68A9">
        <w:t xml:space="preserve"> of ‘not deserving’ the good fortune </w:t>
      </w:r>
      <w:r w:rsidR="006C0D8F" w:rsidRPr="008B68A9">
        <w:t xml:space="preserve">the personal budgets </w:t>
      </w:r>
      <w:r w:rsidRPr="008B68A9">
        <w:t xml:space="preserve">represented. Contingent narratives were also expressed by professionals which </w:t>
      </w:r>
      <w:r w:rsidR="006C0D8F" w:rsidRPr="008B68A9">
        <w:t>demonstrated</w:t>
      </w:r>
      <w:r w:rsidRPr="008B68A9">
        <w:t xml:space="preserve"> </w:t>
      </w:r>
      <w:r w:rsidR="006C0D8F" w:rsidRPr="008B68A9">
        <w:t xml:space="preserve">Gergen’s (1989) </w:t>
      </w:r>
      <w:r w:rsidRPr="008B68A9">
        <w:t xml:space="preserve">warrants of convention towards the service users, </w:t>
      </w:r>
      <w:r w:rsidR="006C0D8F" w:rsidRPr="008B68A9">
        <w:t>which</w:t>
      </w:r>
      <w:r w:rsidRPr="008B68A9">
        <w:t xml:space="preserve"> indicated the limits to which co-production </w:t>
      </w:r>
      <w:r w:rsidR="000B293F" w:rsidRPr="008B68A9">
        <w:t>was</w:t>
      </w:r>
      <w:r w:rsidRPr="008B68A9">
        <w:t xml:space="preserve"> accepted.</w:t>
      </w:r>
    </w:p>
    <w:p w14:paraId="198F7552" w14:textId="1C014D58" w:rsidR="006C7B37" w:rsidRPr="008B68A9" w:rsidRDefault="006C7B37" w:rsidP="002F0FD7">
      <w:pPr>
        <w:pStyle w:val="5arangedleft"/>
      </w:pPr>
      <w:r w:rsidRPr="008B68A9">
        <w:t xml:space="preserve">A coding of traditional services and further sub-coding of the limitations of </w:t>
      </w:r>
      <w:r w:rsidR="006C0D8F" w:rsidRPr="008B68A9">
        <w:t>those</w:t>
      </w:r>
      <w:r w:rsidRPr="008B68A9">
        <w:t xml:space="preserve"> services, represented by stage </w:t>
      </w:r>
      <w:r w:rsidR="006C0D8F" w:rsidRPr="008B68A9">
        <w:t>3 in the organiser, demonstrate</w:t>
      </w:r>
      <w:r w:rsidRPr="008B68A9">
        <w:t xml:space="preserve"> the structures and institutional processes inherent within their service offer. The code is drawn from professionals and users’/carers’ </w:t>
      </w:r>
      <w:r w:rsidR="006C0D8F" w:rsidRPr="008B68A9">
        <w:t>narrative accounts</w:t>
      </w:r>
      <w:r w:rsidRPr="008B68A9">
        <w:t xml:space="preserve">, </w:t>
      </w:r>
      <w:r w:rsidR="006C0D8F" w:rsidRPr="008B68A9">
        <w:t>with provide</w:t>
      </w:r>
      <w:r w:rsidRPr="008B68A9">
        <w:t xml:space="preserve"> e</w:t>
      </w:r>
      <w:r w:rsidR="006C0D8F" w:rsidRPr="008B68A9">
        <w:t>xamples of inflexible treatment</w:t>
      </w:r>
      <w:r w:rsidRPr="008B68A9">
        <w:t xml:space="preserve"> and service delivery options based on classificatory diagnosis rather than individually tailored options. The limits of traditional services as a sub-code </w:t>
      </w:r>
      <w:r w:rsidR="006C0D8F" w:rsidRPr="008B68A9">
        <w:t>was developed</w:t>
      </w:r>
      <w:r w:rsidRPr="008B68A9">
        <w:t xml:space="preserve"> from</w:t>
      </w:r>
      <w:r w:rsidR="006C0D8F" w:rsidRPr="008B68A9">
        <w:t xml:space="preserve"> accounts</w:t>
      </w:r>
      <w:r w:rsidRPr="008B68A9">
        <w:t xml:space="preserve"> where user need was met </w:t>
      </w:r>
      <w:r w:rsidR="006C0D8F" w:rsidRPr="008B68A9">
        <w:t>in novel ways; examples included</w:t>
      </w:r>
      <w:r w:rsidRPr="008B68A9">
        <w:t xml:space="preserve"> purchasing laptops, gym membership</w:t>
      </w:r>
      <w:r w:rsidR="006C0D8F" w:rsidRPr="008B68A9">
        <w:t>s</w:t>
      </w:r>
      <w:r w:rsidRPr="008B68A9">
        <w:t>, driving lessons, tattoo removal and short breaks.</w:t>
      </w:r>
    </w:p>
    <w:p w14:paraId="2F949352" w14:textId="4A1DCC76" w:rsidR="006C7B37" w:rsidRPr="008B68A9" w:rsidRDefault="006C7B37" w:rsidP="002F0FD7">
      <w:pPr>
        <w:pStyle w:val="5arangedleft"/>
      </w:pPr>
      <w:r w:rsidRPr="008B68A9">
        <w:t xml:space="preserve">Brokerage action, positioning and dramatic engagement </w:t>
      </w:r>
      <w:r w:rsidR="00765B65" w:rsidRPr="008B68A9">
        <w:t>are</w:t>
      </w:r>
      <w:r w:rsidRPr="008B68A9">
        <w:t xml:space="preserve"> pivotal aspects of this study as the relationships between budget users, brokers and service professionals </w:t>
      </w:r>
      <w:r w:rsidRPr="008B68A9">
        <w:lastRenderedPageBreak/>
        <w:t xml:space="preserve">defined the construction of personalisation. The stage is </w:t>
      </w:r>
      <w:r w:rsidR="00F27401" w:rsidRPr="008B68A9">
        <w:t>similar</w:t>
      </w:r>
      <w:r w:rsidRPr="008B68A9">
        <w:t xml:space="preserve"> </w:t>
      </w:r>
      <w:r w:rsidR="00F27401" w:rsidRPr="008B68A9">
        <w:t>to</w:t>
      </w:r>
      <w:r w:rsidRPr="008B68A9">
        <w:t xml:space="preserve"> stage 4 in the organiser and </w:t>
      </w:r>
      <w:r w:rsidR="00F27401" w:rsidRPr="008B68A9">
        <w:t>indicates</w:t>
      </w:r>
      <w:r w:rsidRPr="008B68A9">
        <w:t xml:space="preserve"> where the narrative changes trajectory </w:t>
      </w:r>
      <w:r w:rsidR="00F27401" w:rsidRPr="008B68A9">
        <w:t>in</w:t>
      </w:r>
      <w:r w:rsidRPr="008B68A9">
        <w:t xml:space="preserve"> a more positive direction. Budget users positioned brokers as advocates, facilitating budget processes through their actions. The brokers used p</w:t>
      </w:r>
      <w:r w:rsidR="005460E4" w:rsidRPr="008B68A9">
        <w:t xml:space="preserve">ositioning in more complex ways, </w:t>
      </w:r>
      <w:r w:rsidRPr="008B68A9">
        <w:t xml:space="preserve">supporting budget users and professionals to advantage the budget users, </w:t>
      </w:r>
      <w:r w:rsidR="005460E4" w:rsidRPr="008B68A9">
        <w:t>optimising</w:t>
      </w:r>
      <w:r w:rsidRPr="008B68A9">
        <w:t xml:space="preserve"> the </w:t>
      </w:r>
      <w:r w:rsidR="005460E4" w:rsidRPr="008B68A9">
        <w:t xml:space="preserve">potential for </w:t>
      </w:r>
      <w:r w:rsidR="002F3979" w:rsidRPr="008B68A9">
        <w:t>positive</w:t>
      </w:r>
      <w:r w:rsidR="005460E4" w:rsidRPr="008B68A9">
        <w:t xml:space="preserve"> outcomes</w:t>
      </w:r>
      <w:r w:rsidRPr="008B68A9">
        <w:t xml:space="preserve">. Dramatic engagement (Gergen and Gergen 1983) </w:t>
      </w:r>
      <w:r w:rsidR="005460E4" w:rsidRPr="008B68A9">
        <w:t>indicated</w:t>
      </w:r>
      <w:r w:rsidRPr="008B68A9">
        <w:t xml:space="preserve"> </w:t>
      </w:r>
      <w:r w:rsidR="002F3979" w:rsidRPr="008B68A9">
        <w:t>the</w:t>
      </w:r>
      <w:r w:rsidRPr="008B68A9">
        <w:t xml:space="preserve"> change in narrative direction from regressive or stable to progressive trajectories which was achieved through brokerage action. </w:t>
      </w:r>
    </w:p>
    <w:p w14:paraId="71E48408" w14:textId="3D474B1C" w:rsidR="006C7B37" w:rsidRPr="008B68A9" w:rsidRDefault="006C7B37" w:rsidP="002F0FD7">
      <w:pPr>
        <w:pStyle w:val="5arangedleft"/>
      </w:pPr>
      <w:r w:rsidRPr="008B68A9">
        <w:t xml:space="preserve">Progressive narrative trajectories, stage 5 in the organiser </w:t>
      </w:r>
      <w:r w:rsidR="008156FD" w:rsidRPr="008B68A9">
        <w:t>show</w:t>
      </w:r>
      <w:r w:rsidRPr="008B68A9">
        <w:t xml:space="preserve"> the individuality of the users: </w:t>
      </w:r>
      <w:r w:rsidR="008156FD" w:rsidRPr="008B68A9">
        <w:t xml:space="preserve">where </w:t>
      </w:r>
      <w:r w:rsidRPr="008B68A9">
        <w:t>for some, having a clear sense of direction gave hope for recovery and better future self.  For others, improving their physical health signal</w:t>
      </w:r>
      <w:r w:rsidR="000B293F" w:rsidRPr="008B68A9">
        <w:t>led</w:t>
      </w:r>
      <w:r w:rsidRPr="008B68A9">
        <w:t xml:space="preserve"> the start of their recovery journeys, while for others re-connecting with skills or people was their priority. </w:t>
      </w:r>
      <w:r w:rsidR="005460E4" w:rsidRPr="008B68A9">
        <w:t>T</w:t>
      </w:r>
      <w:r w:rsidRPr="008B68A9">
        <w:t xml:space="preserve">hree </w:t>
      </w:r>
      <w:r w:rsidR="005460E4" w:rsidRPr="008B68A9">
        <w:t xml:space="preserve">coding </w:t>
      </w:r>
      <w:r w:rsidRPr="008B68A9">
        <w:t>subheadings, having goals and directions, feeling physically better, connecting were developed from the coding c</w:t>
      </w:r>
      <w:r w:rsidR="005460E4" w:rsidRPr="008B68A9">
        <w:t>ategory progressive narratives to reflect more complex outcomes for the budget users beyond a progressive direction.</w:t>
      </w:r>
    </w:p>
    <w:p w14:paraId="66AA1F8A" w14:textId="2A56E85E" w:rsidR="006C7B37" w:rsidRPr="008B68A9" w:rsidRDefault="006C7B37" w:rsidP="002F0FD7">
      <w:pPr>
        <w:pStyle w:val="5arangedleft"/>
      </w:pPr>
      <w:r w:rsidRPr="008B68A9">
        <w:t xml:space="preserve">The lowermost section of the advanced organiser </w:t>
      </w:r>
      <w:r w:rsidR="005460E4" w:rsidRPr="008B68A9">
        <w:t>identifies</w:t>
      </w:r>
      <w:r w:rsidRPr="008B68A9">
        <w:t xml:space="preserve"> how receptive or oppositional positioning of the </w:t>
      </w:r>
      <w:r w:rsidR="005460E4" w:rsidRPr="008B68A9">
        <w:t>stakeholders</w:t>
      </w:r>
      <w:r w:rsidRPr="008B68A9">
        <w:t xml:space="preserve"> towards personalisation was expressed through story-line. </w:t>
      </w:r>
      <w:r w:rsidR="005460E4" w:rsidRPr="008B68A9">
        <w:t>Which</w:t>
      </w:r>
      <w:r w:rsidRPr="008B68A9">
        <w:t xml:space="preserve"> </w:t>
      </w:r>
      <w:r w:rsidR="001E4B8F" w:rsidRPr="008B68A9">
        <w:t>was later</w:t>
      </w:r>
      <w:r w:rsidRPr="008B68A9">
        <w:t xml:space="preserve"> used to articulate </w:t>
      </w:r>
      <w:r w:rsidR="001E4B8F" w:rsidRPr="008B68A9">
        <w:t>support</w:t>
      </w:r>
      <w:r w:rsidR="005460E4" w:rsidRPr="008B68A9">
        <w:t xml:space="preserve"> towards personalisation</w:t>
      </w:r>
      <w:r w:rsidRPr="008B68A9">
        <w:t xml:space="preserve">, stage 6a or </w:t>
      </w:r>
      <w:r w:rsidR="001E4B8F" w:rsidRPr="008B68A9">
        <w:t>opposition</w:t>
      </w:r>
      <w:r w:rsidRPr="008B68A9">
        <w:t xml:space="preserve"> to personalisation, (stage 6b). Story-lines </w:t>
      </w:r>
      <w:r w:rsidR="002724EB" w:rsidRPr="008B68A9">
        <w:t>and</w:t>
      </w:r>
      <w:r w:rsidRPr="008B68A9">
        <w:t xml:space="preserve"> personalisation</w:t>
      </w:r>
      <w:r w:rsidR="002724EB" w:rsidRPr="008B68A9">
        <w:t xml:space="preserve"> in </w:t>
      </w:r>
      <w:r w:rsidR="001E4B8F" w:rsidRPr="008B68A9">
        <w:t>my</w:t>
      </w:r>
      <w:r w:rsidR="002724EB" w:rsidRPr="008B68A9">
        <w:t xml:space="preserve"> study</w:t>
      </w:r>
      <w:r w:rsidRPr="008B68A9">
        <w:t xml:space="preserve"> </w:t>
      </w:r>
      <w:r w:rsidR="002724EB" w:rsidRPr="008B68A9">
        <w:t xml:space="preserve">show how a participant’s narrative </w:t>
      </w:r>
      <w:r w:rsidR="001E4B8F" w:rsidRPr="008B68A9">
        <w:t>could</w:t>
      </w:r>
      <w:r w:rsidR="002724EB" w:rsidRPr="008B68A9">
        <w:t xml:space="preserve"> be</w:t>
      </w:r>
      <w:r w:rsidRPr="008B68A9">
        <w:t xml:space="preserve"> both receptive and oppositional about the same event. Described by Hajer (1997), story-line:</w:t>
      </w:r>
    </w:p>
    <w:p w14:paraId="2788DC0F" w14:textId="77777777" w:rsidR="006C7B37" w:rsidRPr="008B68A9" w:rsidRDefault="006C7B37" w:rsidP="002F0FD7">
      <w:pPr>
        <w:pStyle w:val="6ablockquoteroman"/>
      </w:pPr>
      <w:r w:rsidRPr="008B68A9">
        <w:t>…is a generative sort of narrative that allows actors to draw upon various discursive categories to give meaning to specific physical or social phenomena. The key function of story-lines is that they suggest unity in the bewildering variety of separate discursive component parts of a problem…. (p. 54)</w:t>
      </w:r>
    </w:p>
    <w:p w14:paraId="486EE6A4" w14:textId="5630E2E1" w:rsidR="006C7B37" w:rsidRPr="008B68A9" w:rsidRDefault="006C7B37" w:rsidP="002F0FD7">
      <w:pPr>
        <w:pStyle w:val="5arangedleft"/>
      </w:pPr>
      <w:r w:rsidRPr="008B68A9">
        <w:t>From story-line</w:t>
      </w:r>
      <w:r w:rsidR="005460E4" w:rsidRPr="008B68A9">
        <w:t xml:space="preserve"> coding</w:t>
      </w:r>
      <w:r w:rsidRPr="008B68A9">
        <w:t xml:space="preserve">, the theme tropes in stage 7 of the organiser represent the figures of speech that became </w:t>
      </w:r>
      <w:r w:rsidR="001E4B8F" w:rsidRPr="008B68A9">
        <w:t xml:space="preserve">stakeholders’ </w:t>
      </w:r>
      <w:r w:rsidRPr="008B68A9">
        <w:t xml:space="preserve">discursive closures (Davies and Harré 1999). </w:t>
      </w:r>
      <w:r w:rsidR="001E4B8F" w:rsidRPr="008B68A9">
        <w:t>T</w:t>
      </w:r>
      <w:r w:rsidRPr="008B68A9">
        <w:t>ropes were important</w:t>
      </w:r>
      <w:r w:rsidR="001E4B8F" w:rsidRPr="008B68A9">
        <w:t>,</w:t>
      </w:r>
      <w:r w:rsidRPr="008B68A9">
        <w:t xml:space="preserve"> </w:t>
      </w:r>
      <w:r w:rsidR="005460E4" w:rsidRPr="008B68A9">
        <w:t>signifying</w:t>
      </w:r>
      <w:r w:rsidRPr="008B68A9">
        <w:t xml:space="preserve"> </w:t>
      </w:r>
      <w:r w:rsidR="005460E4" w:rsidRPr="008B68A9">
        <w:t>the actors</w:t>
      </w:r>
      <w:r w:rsidR="001E4B8F" w:rsidRPr="008B68A9">
        <w:t>’</w:t>
      </w:r>
      <w:r w:rsidR="005460E4" w:rsidRPr="008B68A9">
        <w:t xml:space="preserve"> </w:t>
      </w:r>
      <w:r w:rsidRPr="008B68A9">
        <w:t xml:space="preserve">stance towards personalisation. </w:t>
      </w:r>
      <w:r w:rsidRPr="008B68A9">
        <w:lastRenderedPageBreak/>
        <w:t>The narratives highlight</w:t>
      </w:r>
      <w:r w:rsidR="001E4B8F" w:rsidRPr="008B68A9">
        <w:t>ed</w:t>
      </w:r>
      <w:r w:rsidRPr="008B68A9">
        <w:t xml:space="preserve"> how </w:t>
      </w:r>
      <w:r w:rsidR="009A7254" w:rsidRPr="008B68A9">
        <w:t>story-line</w:t>
      </w:r>
      <w:r w:rsidR="005460E4" w:rsidRPr="008B68A9">
        <w:t xml:space="preserve"> differed</w:t>
      </w:r>
      <w:r w:rsidRPr="008B68A9">
        <w:t xml:space="preserve"> between </w:t>
      </w:r>
      <w:r w:rsidR="005460E4" w:rsidRPr="008B68A9">
        <w:t>stakeholders</w:t>
      </w:r>
      <w:r w:rsidRPr="008B68A9">
        <w:t xml:space="preserve">, </w:t>
      </w:r>
      <w:r w:rsidR="005460E4" w:rsidRPr="008B68A9">
        <w:t xml:space="preserve">for example </w:t>
      </w:r>
      <w:r w:rsidRPr="008B68A9">
        <w:t>where for one</w:t>
      </w:r>
      <w:r w:rsidR="001E4B8F" w:rsidRPr="008B68A9">
        <w:t xml:space="preserve"> participant </w:t>
      </w:r>
      <w:r w:rsidRPr="008B68A9">
        <w:t xml:space="preserve">personalisation trope </w:t>
      </w:r>
      <w:r w:rsidR="001E4B8F" w:rsidRPr="008B68A9">
        <w:t>represented</w:t>
      </w:r>
      <w:r w:rsidRPr="008B68A9">
        <w:t xml:space="preserve"> time</w:t>
      </w:r>
      <w:r w:rsidR="001E4B8F" w:rsidRPr="008B68A9">
        <w:t xml:space="preserve"> demands,</w:t>
      </w:r>
      <w:r w:rsidRPr="008B68A9">
        <w:t xml:space="preserve"> </w:t>
      </w:r>
      <w:r w:rsidR="001E4B8F" w:rsidRPr="008B68A9">
        <w:t>increased workload or responsibility</w:t>
      </w:r>
      <w:r w:rsidR="005460E4" w:rsidRPr="008B68A9">
        <w:t xml:space="preserve"> arising directly from the pilot</w:t>
      </w:r>
      <w:r w:rsidR="001E4B8F" w:rsidRPr="008B68A9">
        <w:t>.</w:t>
      </w:r>
      <w:r w:rsidRPr="008B68A9">
        <w:t xml:space="preserve"> </w:t>
      </w:r>
      <w:r w:rsidR="001E4B8F" w:rsidRPr="008B68A9">
        <w:t>Whereas</w:t>
      </w:r>
      <w:r w:rsidRPr="008B68A9">
        <w:t xml:space="preserve"> other actors’ </w:t>
      </w:r>
      <w:r w:rsidR="005460E4" w:rsidRPr="008B68A9">
        <w:t xml:space="preserve">used </w:t>
      </w:r>
      <w:r w:rsidRPr="008B68A9">
        <w:t xml:space="preserve">bureaucracy </w:t>
      </w:r>
      <w:r w:rsidR="001E4B8F" w:rsidRPr="008B68A9">
        <w:t xml:space="preserve">tropes </w:t>
      </w:r>
      <w:r w:rsidR="005460E4" w:rsidRPr="008B68A9">
        <w:t>to account</w:t>
      </w:r>
      <w:r w:rsidRPr="008B68A9">
        <w:t xml:space="preserve"> for </w:t>
      </w:r>
      <w:r w:rsidR="005460E4" w:rsidRPr="008B68A9">
        <w:t xml:space="preserve">the often lengthy </w:t>
      </w:r>
      <w:r w:rsidRPr="008B68A9">
        <w:t xml:space="preserve">delays planning </w:t>
      </w:r>
      <w:r w:rsidR="005460E4" w:rsidRPr="008B68A9">
        <w:t xml:space="preserve">activities, signing off support plans or </w:t>
      </w:r>
      <w:r w:rsidRPr="008B68A9">
        <w:t>receiving budget</w:t>
      </w:r>
      <w:r w:rsidR="001E4B8F" w:rsidRPr="008B68A9">
        <w:t>s</w:t>
      </w:r>
      <w:r w:rsidRPr="008B68A9">
        <w:t xml:space="preserve">. </w:t>
      </w:r>
    </w:p>
    <w:p w14:paraId="61930E72" w14:textId="2C7CA9A1" w:rsidR="006C7B37" w:rsidRPr="008B68A9" w:rsidRDefault="006C7B37" w:rsidP="002F0FD7">
      <w:pPr>
        <w:pStyle w:val="5arangedleft"/>
      </w:pPr>
      <w:r w:rsidRPr="008B68A9">
        <w:t>The stakeholder’s orientation towards personalisation is described in the bottom right of the organiser as stages 8a and 8b representing either a nuanced position, balanced and cognisant of the complexity inherent in personalisation, or a binary position characterised as positively or negatively fixed constructions. The advanced organiser is intended to serve as a map for the reader as each of the stages of model development outlined above, their evidence and implications, are discussed in the rest of the chapter.</w:t>
      </w:r>
    </w:p>
    <w:p w14:paraId="619E28B1" w14:textId="77777777" w:rsidR="006C7B37" w:rsidRPr="008B68A9" w:rsidRDefault="006C7B37" w:rsidP="006C7B37">
      <w:pPr>
        <w:widowControl w:val="0"/>
        <w:autoSpaceDE w:val="0"/>
        <w:autoSpaceDN w:val="0"/>
        <w:adjustRightInd w:val="0"/>
        <w:spacing w:line="360" w:lineRule="auto"/>
        <w:jc w:val="both"/>
        <w:rPr>
          <w:rFonts w:cs="Arial"/>
          <w:bCs/>
          <w:szCs w:val="24"/>
        </w:rPr>
      </w:pPr>
    </w:p>
    <w:p w14:paraId="0B8C031E" w14:textId="77777777" w:rsidR="006C7B37" w:rsidRPr="008B68A9" w:rsidRDefault="006C7B37" w:rsidP="006C7B37">
      <w:pPr>
        <w:widowControl w:val="0"/>
        <w:autoSpaceDE w:val="0"/>
        <w:autoSpaceDN w:val="0"/>
        <w:adjustRightInd w:val="0"/>
        <w:spacing w:line="360" w:lineRule="auto"/>
        <w:jc w:val="both"/>
        <w:rPr>
          <w:rFonts w:cs="Arial"/>
          <w:bCs/>
          <w:szCs w:val="24"/>
        </w:rPr>
        <w:sectPr w:rsidR="006C7B37" w:rsidRPr="008B68A9" w:rsidSect="003C39F8">
          <w:pgSz w:w="11906" w:h="16838"/>
          <w:pgMar w:top="1440" w:right="1418" w:bottom="1440" w:left="2268" w:header="709" w:footer="709" w:gutter="0"/>
          <w:cols w:space="708"/>
          <w:docGrid w:linePitch="360"/>
        </w:sectPr>
      </w:pPr>
    </w:p>
    <w:p w14:paraId="15605032" w14:textId="77777777" w:rsidR="006C7B37" w:rsidRPr="008B68A9" w:rsidRDefault="006C7B37" w:rsidP="006C7B37">
      <w:pPr>
        <w:spacing w:line="276" w:lineRule="auto"/>
        <w:rPr>
          <w:rFonts w:cs="Arial"/>
          <w:bCs/>
          <w:szCs w:val="24"/>
        </w:rPr>
      </w:pPr>
      <w:r w:rsidRPr="008B68A9">
        <w:rPr>
          <w:noProof/>
          <w:lang w:eastAsia="en-GB"/>
        </w:rPr>
        <w:lastRenderedPageBreak/>
        <mc:AlternateContent>
          <mc:Choice Requires="wpg">
            <w:drawing>
              <wp:anchor distT="0" distB="0" distL="114300" distR="114300" simplePos="0" relativeHeight="251669504" behindDoc="0" locked="0" layoutInCell="1" allowOverlap="1" wp14:anchorId="5103DBD3" wp14:editId="7374817A">
                <wp:simplePos x="0" y="0"/>
                <wp:positionH relativeFrom="page">
                  <wp:posOffset>571907</wp:posOffset>
                </wp:positionH>
                <wp:positionV relativeFrom="paragraph">
                  <wp:posOffset>13347</wp:posOffset>
                </wp:positionV>
                <wp:extent cx="9668088" cy="4631185"/>
                <wp:effectExtent l="0" t="19050" r="28575" b="17145"/>
                <wp:wrapNone/>
                <wp:docPr id="24" name="Group 24"/>
                <wp:cNvGraphicFramePr/>
                <a:graphic xmlns:a="http://schemas.openxmlformats.org/drawingml/2006/main">
                  <a:graphicData uri="http://schemas.microsoft.com/office/word/2010/wordprocessingGroup">
                    <wpg:wgp>
                      <wpg:cNvGrpSpPr/>
                      <wpg:grpSpPr>
                        <a:xfrm>
                          <a:off x="0" y="0"/>
                          <a:ext cx="9668088" cy="4631185"/>
                          <a:chOff x="-48037" y="-49795"/>
                          <a:chExt cx="10236060" cy="3449474"/>
                        </a:xfrm>
                      </wpg:grpSpPr>
                      <wpg:grpSp>
                        <wpg:cNvPr id="25" name="Group 25"/>
                        <wpg:cNvGrpSpPr/>
                        <wpg:grpSpPr>
                          <a:xfrm>
                            <a:off x="-48037" y="343362"/>
                            <a:ext cx="10236060" cy="3056317"/>
                            <a:chOff x="-402645" y="646041"/>
                            <a:chExt cx="8477000" cy="3063628"/>
                          </a:xfrm>
                        </wpg:grpSpPr>
                        <wps:wsp>
                          <wps:cNvPr id="26" name="Rectangle 26"/>
                          <wps:cNvSpPr/>
                          <wps:spPr>
                            <a:xfrm>
                              <a:off x="3079744" y="1662937"/>
                              <a:ext cx="2900551" cy="2046732"/>
                            </a:xfrm>
                            <a:prstGeom prst="rect">
                              <a:avLst/>
                            </a:prstGeom>
                            <a:solidFill>
                              <a:schemeClr val="accent2">
                                <a:lumMod val="40000"/>
                                <a:lumOff val="60000"/>
                                <a:alpha val="49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CCF94A" w14:textId="77777777" w:rsidR="00330D5F" w:rsidRDefault="00330D5F" w:rsidP="006C7B37">
                                <w:pPr>
                                  <w:spacing w:line="240" w:lineRule="auto"/>
                                  <w:jc w:val="center"/>
                                  <w:rPr>
                                    <w:b/>
                                    <w:color w:val="1D1B11" w:themeColor="background2" w:themeShade="1A"/>
                                  </w:rPr>
                                </w:pPr>
                                <w:r>
                                  <w:rPr>
                                    <w:b/>
                                    <w:color w:val="1D1B11" w:themeColor="background2" w:themeShade="1A"/>
                                  </w:rPr>
                                  <w:t>Stage 7</w:t>
                                </w:r>
                              </w:p>
                              <w:p w14:paraId="268474B6" w14:textId="77777777" w:rsidR="00330D5F" w:rsidRPr="00696E8C" w:rsidRDefault="00330D5F" w:rsidP="006C7B37">
                                <w:pPr>
                                  <w:spacing w:line="240" w:lineRule="auto"/>
                                  <w:jc w:val="center"/>
                                  <w:rPr>
                                    <w:b/>
                                    <w:color w:val="1D1B11" w:themeColor="background2" w:themeShade="1A"/>
                                  </w:rPr>
                                </w:pPr>
                                <w:r w:rsidRPr="00696E8C">
                                  <w:rPr>
                                    <w:b/>
                                    <w:color w:val="1D1B11" w:themeColor="background2" w:themeShade="1A"/>
                                  </w:rPr>
                                  <w:t>Tropes</w:t>
                                </w:r>
                                <w:r>
                                  <w:rPr>
                                    <w:b/>
                                    <w:color w:val="1D1B11" w:themeColor="background2" w:themeShade="1A"/>
                                  </w:rPr>
                                  <w:t xml:space="preserve"> observed from users and professionals</w:t>
                                </w:r>
                              </w:p>
                              <w:p w14:paraId="427E2204"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Time v Bureaucracy</w:t>
                                </w:r>
                              </w:p>
                              <w:p w14:paraId="7BEBBA42"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Risk management v Risk enablement</w:t>
                                </w:r>
                              </w:p>
                              <w:p w14:paraId="1D5568C5"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Professional asymmetry v Co-production</w:t>
                                </w:r>
                              </w:p>
                              <w:p w14:paraId="70A10B88"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Equity v Choice</w:t>
                                </w:r>
                              </w:p>
                              <w:p w14:paraId="6D44428F"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Fixed v Flexibility</w:t>
                                </w:r>
                              </w:p>
                              <w:p w14:paraId="6EBA665A" w14:textId="77777777" w:rsidR="00330D5F" w:rsidRPr="00696E8C" w:rsidRDefault="00330D5F" w:rsidP="006C7B37">
                                <w:pPr>
                                  <w:spacing w:after="120" w:line="276" w:lineRule="auto"/>
                                  <w:jc w:val="center"/>
                                  <w:rPr>
                                    <w:color w:val="1D1B11" w:themeColor="background2" w:themeShade="1A"/>
                                    <w:sz w:val="20"/>
                                    <w:szCs w:val="20"/>
                                  </w:rPr>
                                </w:pPr>
                                <w:r>
                                  <w:rPr>
                                    <w:color w:val="1D1B11" w:themeColor="background2" w:themeShade="1A"/>
                                    <w:sz w:val="20"/>
                                    <w:szCs w:val="20"/>
                                  </w:rPr>
                                  <w:t>Equity v Person-centred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ectangle 27"/>
                          <wps:cNvSpPr/>
                          <wps:spPr>
                            <a:xfrm>
                              <a:off x="6080249" y="1662937"/>
                              <a:ext cx="1994106" cy="1007431"/>
                            </a:xfrm>
                            <a:prstGeom prst="rect">
                              <a:avLst/>
                            </a:prstGeom>
                            <a:gradFill flip="none" rotWithShape="1">
                              <a:gsLst>
                                <a:gs pos="0">
                                  <a:schemeClr val="accent6">
                                    <a:lumMod val="60000"/>
                                    <a:lumOff val="40000"/>
                                    <a:tint val="66000"/>
                                    <a:satMod val="160000"/>
                                  </a:schemeClr>
                                </a:gs>
                                <a:gs pos="50000">
                                  <a:schemeClr val="accent6">
                                    <a:lumMod val="60000"/>
                                    <a:lumOff val="40000"/>
                                    <a:tint val="44500"/>
                                    <a:satMod val="160000"/>
                                  </a:schemeClr>
                                </a:gs>
                                <a:gs pos="100000">
                                  <a:schemeClr val="accent6">
                                    <a:lumMod val="60000"/>
                                    <a:lumOff val="40000"/>
                                    <a:tint val="23500"/>
                                    <a:satMod val="160000"/>
                                  </a:scheme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F57504" w14:textId="77777777" w:rsidR="00330D5F" w:rsidRDefault="00330D5F" w:rsidP="006C7B37">
                                <w:pPr>
                                  <w:spacing w:after="0"/>
                                  <w:jc w:val="center"/>
                                  <w:rPr>
                                    <w:b/>
                                    <w:color w:val="1D1B11" w:themeColor="background2" w:themeShade="1A"/>
                                  </w:rPr>
                                </w:pPr>
                                <w:r>
                                  <w:rPr>
                                    <w:b/>
                                    <w:color w:val="1D1B11" w:themeColor="background2" w:themeShade="1A"/>
                                  </w:rPr>
                                  <w:t>Stage 8a</w:t>
                                </w:r>
                              </w:p>
                              <w:p w14:paraId="06971112" w14:textId="77777777" w:rsidR="00330D5F" w:rsidRPr="008743F0" w:rsidRDefault="00330D5F" w:rsidP="006C7B37">
                                <w:pPr>
                                  <w:spacing w:after="0"/>
                                  <w:jc w:val="center"/>
                                  <w:rPr>
                                    <w:color w:val="1D1B11" w:themeColor="background2" w:themeShade="1A"/>
                                  </w:rPr>
                                </w:pPr>
                                <w:r w:rsidRPr="0097356B">
                                  <w:rPr>
                                    <w:b/>
                                    <w:color w:val="1D1B11" w:themeColor="background2" w:themeShade="1A"/>
                                  </w:rPr>
                                  <w:t>Outcome = nuanced</w:t>
                                </w:r>
                                <w:r w:rsidRPr="008743F0">
                                  <w:rPr>
                                    <w:color w:val="1D1B11" w:themeColor="background2" w:themeShade="1A"/>
                                  </w:rPr>
                                  <w:t xml:space="preserve"> </w:t>
                                </w:r>
                                <w:r>
                                  <w:rPr>
                                    <w:color w:val="1D1B11" w:themeColor="background2" w:themeShade="1A"/>
                                  </w:rPr>
                                  <w:t>understanding of personalisation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ight Arrow Callout 29"/>
                          <wps:cNvSpPr/>
                          <wps:spPr>
                            <a:xfrm>
                              <a:off x="-264633" y="2227886"/>
                              <a:ext cx="1584582" cy="1379660"/>
                            </a:xfrm>
                            <a:prstGeom prst="rightArrowCallout">
                              <a:avLst/>
                            </a:prstGeom>
                            <a:gradFill flip="none" rotWithShape="1">
                              <a:gsLst>
                                <a:gs pos="0">
                                  <a:schemeClr val="accent6">
                                    <a:tint val="66000"/>
                                    <a:satMod val="160000"/>
                                  </a:schemeClr>
                                </a:gs>
                                <a:gs pos="50000">
                                  <a:schemeClr val="accent6">
                                    <a:tint val="44500"/>
                                    <a:satMod val="160000"/>
                                  </a:schemeClr>
                                </a:gs>
                                <a:gs pos="100000">
                                  <a:schemeClr val="accent6">
                                    <a:tint val="23500"/>
                                    <a:satMod val="160000"/>
                                  </a:scheme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768154" w14:textId="77777777" w:rsidR="00330D5F" w:rsidRDefault="00330D5F" w:rsidP="006C7B37">
                                <w:pPr>
                                  <w:jc w:val="center"/>
                                  <w:rPr>
                                    <w:color w:val="1D1B11" w:themeColor="background2" w:themeShade="1A"/>
                                  </w:rPr>
                                </w:pPr>
                                <w:r>
                                  <w:rPr>
                                    <w:b/>
                                    <w:color w:val="1D1B11" w:themeColor="background2" w:themeShade="1A"/>
                                  </w:rPr>
                                  <w:t>Stage 6a Story</w:t>
                                </w:r>
                                <w:r w:rsidRPr="00696E8C">
                                  <w:rPr>
                                    <w:b/>
                                    <w:color w:val="1D1B11" w:themeColor="background2" w:themeShade="1A"/>
                                  </w:rPr>
                                  <w:t>line</w:t>
                                </w:r>
                                <w:r w:rsidRPr="008C2BDE">
                                  <w:rPr>
                                    <w:color w:val="1D1B11" w:themeColor="background2" w:themeShade="1A"/>
                                  </w:rPr>
                                  <w:t xml:space="preserve"> </w:t>
                                </w:r>
                              </w:p>
                              <w:p w14:paraId="194C70A6" w14:textId="77777777" w:rsidR="00330D5F" w:rsidRPr="008C2BDE" w:rsidRDefault="00330D5F" w:rsidP="006C7B37">
                                <w:pPr>
                                  <w:jc w:val="center"/>
                                  <w:rPr>
                                    <w:color w:val="1D1B11" w:themeColor="background2" w:themeShade="1A"/>
                                  </w:rPr>
                                </w:pPr>
                                <w:r>
                                  <w:rPr>
                                    <w:color w:val="1D1B11" w:themeColor="background2" w:themeShade="1A"/>
                                  </w:rPr>
                                  <w:t>Receptive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tangle 30"/>
                          <wps:cNvSpPr/>
                          <wps:spPr>
                            <a:xfrm>
                              <a:off x="6079966" y="2729514"/>
                              <a:ext cx="1994062" cy="965416"/>
                            </a:xfrm>
                            <a:prstGeom prst="rect">
                              <a:avLst/>
                            </a:prstGeom>
                            <a:gradFill flip="none" rotWithShape="1">
                              <a:gsLst>
                                <a:gs pos="0">
                                  <a:srgbClr val="7030A0">
                                    <a:tint val="66000"/>
                                    <a:satMod val="160000"/>
                                  </a:srgbClr>
                                </a:gs>
                                <a:gs pos="50000">
                                  <a:srgbClr val="7030A0">
                                    <a:tint val="44500"/>
                                    <a:satMod val="160000"/>
                                  </a:srgbClr>
                                </a:gs>
                                <a:gs pos="100000">
                                  <a:srgbClr val="7030A0">
                                    <a:tint val="23500"/>
                                    <a:satMod val="160000"/>
                                  </a:srgb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8A50F8" w14:textId="77777777" w:rsidR="00330D5F" w:rsidRDefault="00330D5F" w:rsidP="006C7B37">
                                <w:pPr>
                                  <w:spacing w:after="0"/>
                                  <w:jc w:val="center"/>
                                  <w:rPr>
                                    <w:b/>
                                    <w:color w:val="1D1B11" w:themeColor="background2" w:themeShade="1A"/>
                                  </w:rPr>
                                </w:pPr>
                                <w:r>
                                  <w:rPr>
                                    <w:b/>
                                    <w:color w:val="1D1B11" w:themeColor="background2" w:themeShade="1A"/>
                                  </w:rPr>
                                  <w:t xml:space="preserve">Stage 8b </w:t>
                                </w:r>
                              </w:p>
                              <w:p w14:paraId="69510A91" w14:textId="77777777" w:rsidR="00330D5F" w:rsidRPr="008743F0" w:rsidRDefault="00330D5F" w:rsidP="006C7B37">
                                <w:pPr>
                                  <w:spacing w:after="0"/>
                                  <w:jc w:val="center"/>
                                  <w:rPr>
                                    <w:color w:val="1D1B11" w:themeColor="background2" w:themeShade="1A"/>
                                  </w:rPr>
                                </w:pPr>
                                <w:r w:rsidRPr="0097356B">
                                  <w:rPr>
                                    <w:b/>
                                    <w:color w:val="1D1B11" w:themeColor="background2" w:themeShade="1A"/>
                                  </w:rPr>
                                  <w:t>Outcome = binary</w:t>
                                </w:r>
                                <w:r w:rsidRPr="008743F0">
                                  <w:rPr>
                                    <w:color w:val="1D1B11" w:themeColor="background2" w:themeShade="1A"/>
                                  </w:rPr>
                                  <w:t xml:space="preserve"> </w:t>
                                </w:r>
                                <w:r>
                                  <w:rPr>
                                    <w:color w:val="1D1B11" w:themeColor="background2" w:themeShade="1A"/>
                                  </w:rPr>
                                  <w:t>understanding of personalisation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tangle 31"/>
                          <wps:cNvSpPr/>
                          <wps:spPr>
                            <a:xfrm>
                              <a:off x="-402645" y="646041"/>
                              <a:ext cx="1374069" cy="935242"/>
                            </a:xfrm>
                            <a:prstGeom prst="rect">
                              <a:avLst/>
                            </a:prstGeom>
                            <a:solidFill>
                              <a:schemeClr val="accent1">
                                <a:lumMod val="20000"/>
                                <a:lumOff val="80000"/>
                                <a:alpha val="60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0F39A9" w14:textId="77777777" w:rsidR="00330D5F" w:rsidRDefault="00330D5F" w:rsidP="006C7B37">
                                <w:pPr>
                                  <w:spacing w:line="240" w:lineRule="auto"/>
                                  <w:jc w:val="center"/>
                                  <w:rPr>
                                    <w:b/>
                                    <w:color w:val="1D1B11" w:themeColor="background2" w:themeShade="1A"/>
                                  </w:rPr>
                                </w:pPr>
                                <w:r>
                                  <w:rPr>
                                    <w:b/>
                                    <w:color w:val="1D1B11" w:themeColor="background2" w:themeShade="1A"/>
                                  </w:rPr>
                                  <w:t>Stage 1</w:t>
                                </w:r>
                              </w:p>
                              <w:p w14:paraId="1423F232" w14:textId="77777777" w:rsidR="00330D5F" w:rsidRPr="00D104EB" w:rsidRDefault="00330D5F" w:rsidP="006C7B37">
                                <w:pPr>
                                  <w:spacing w:line="240" w:lineRule="auto"/>
                                  <w:rPr>
                                    <w:color w:val="1D1B11" w:themeColor="background2" w:themeShade="1A"/>
                                    <w:sz w:val="20"/>
                                  </w:rPr>
                                </w:pPr>
                                <w:r w:rsidRPr="00CA38BB">
                                  <w:rPr>
                                    <w:b/>
                                    <w:color w:val="1D1B11" w:themeColor="background2" w:themeShade="1A"/>
                                  </w:rPr>
                                  <w:t>Regressive trajectory</w:t>
                                </w:r>
                                <w:r w:rsidRPr="00CA38BB">
                                  <w:rPr>
                                    <w:color w:val="1D1B11" w:themeColor="background2" w:themeShade="1A"/>
                                  </w:rPr>
                                  <w:t xml:space="preserve"> </w:t>
                                </w:r>
                                <w:r w:rsidRPr="006D32D9">
                                  <w:rPr>
                                    <w:color w:val="1D1B11" w:themeColor="background2" w:themeShade="1A"/>
                                    <w:sz w:val="22"/>
                                  </w:rPr>
                                  <w:t>of participant’s narrative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8" name="Right Arrow Callout 288"/>
                          <wps:cNvSpPr/>
                          <wps:spPr>
                            <a:xfrm flipH="1">
                              <a:off x="1406237" y="2227886"/>
                              <a:ext cx="1555361" cy="1379948"/>
                            </a:xfrm>
                            <a:prstGeom prst="rightArrowCallout">
                              <a:avLst/>
                            </a:prstGeom>
                            <a:gradFill flip="none" rotWithShape="1">
                              <a:gsLst>
                                <a:gs pos="0">
                                  <a:srgbClr val="FF0000">
                                    <a:tint val="66000"/>
                                    <a:satMod val="160000"/>
                                  </a:srgbClr>
                                </a:gs>
                                <a:gs pos="50000">
                                  <a:srgbClr val="FF0000">
                                    <a:tint val="44500"/>
                                    <a:satMod val="160000"/>
                                  </a:srgbClr>
                                </a:gs>
                                <a:gs pos="100000">
                                  <a:srgbClr val="FF0000">
                                    <a:tint val="23500"/>
                                    <a:satMod val="160000"/>
                                  </a:srgb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0F2DEC" w14:textId="77777777" w:rsidR="00330D5F" w:rsidRDefault="00330D5F" w:rsidP="006C7B37">
                                <w:pPr>
                                  <w:jc w:val="center"/>
                                  <w:rPr>
                                    <w:color w:val="1D1B11" w:themeColor="background2" w:themeShade="1A"/>
                                  </w:rPr>
                                </w:pPr>
                                <w:r>
                                  <w:rPr>
                                    <w:b/>
                                    <w:color w:val="1D1B11" w:themeColor="background2" w:themeShade="1A"/>
                                  </w:rPr>
                                  <w:t>Stage 6b Story</w:t>
                                </w:r>
                                <w:r w:rsidRPr="00696E8C">
                                  <w:rPr>
                                    <w:b/>
                                    <w:color w:val="1D1B11" w:themeColor="background2" w:themeShade="1A"/>
                                  </w:rPr>
                                  <w:t>line</w:t>
                                </w:r>
                                <w:r w:rsidRPr="008C2BDE">
                                  <w:rPr>
                                    <w:color w:val="1D1B11" w:themeColor="background2" w:themeShade="1A"/>
                                  </w:rPr>
                                  <w:t xml:space="preserve"> </w:t>
                                </w:r>
                              </w:p>
                              <w:p w14:paraId="5B6194B1" w14:textId="77777777" w:rsidR="00330D5F" w:rsidRPr="008C2BDE" w:rsidRDefault="00330D5F" w:rsidP="006C7B37">
                                <w:pPr>
                                  <w:jc w:val="center"/>
                                  <w:rPr>
                                    <w:color w:val="1D1B11" w:themeColor="background2" w:themeShade="1A"/>
                                  </w:rPr>
                                </w:pPr>
                                <w:r>
                                  <w:rPr>
                                    <w:color w:val="1D1B11" w:themeColor="background2" w:themeShade="1A"/>
                                  </w:rPr>
                                  <w:t>O</w:t>
                                </w:r>
                                <w:r w:rsidRPr="003C5AD2">
                                  <w:rPr>
                                    <w:color w:val="1D1B11" w:themeColor="background2" w:themeShade="1A"/>
                                  </w:rPr>
                                  <w:t>ppositional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89" name="Rectangle 289"/>
                        <wps:cNvSpPr/>
                        <wps:spPr>
                          <a:xfrm>
                            <a:off x="5411500" y="338358"/>
                            <a:ext cx="1677670" cy="951230"/>
                          </a:xfrm>
                          <a:prstGeom prst="rect">
                            <a:avLst/>
                          </a:prstGeom>
                          <a:solidFill>
                            <a:schemeClr val="accent6">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9241F6" w14:textId="77777777" w:rsidR="00330D5F" w:rsidRDefault="00330D5F" w:rsidP="006C7B37">
                              <w:pPr>
                                <w:spacing w:after="0" w:line="276" w:lineRule="auto"/>
                                <w:jc w:val="center"/>
                                <w:rPr>
                                  <w:b/>
                                  <w:color w:val="1D1B11" w:themeColor="background2" w:themeShade="1A"/>
                                </w:rPr>
                              </w:pPr>
                              <w:r>
                                <w:rPr>
                                  <w:b/>
                                  <w:color w:val="1D1B11" w:themeColor="background2" w:themeShade="1A"/>
                                </w:rPr>
                                <w:t>Stage 4</w:t>
                              </w:r>
                            </w:p>
                            <w:p w14:paraId="0AF95748" w14:textId="77777777" w:rsidR="00330D5F" w:rsidRPr="00CA38BB" w:rsidRDefault="00330D5F" w:rsidP="006C7B37">
                              <w:pPr>
                                <w:spacing w:after="0" w:line="276" w:lineRule="auto"/>
                                <w:jc w:val="center"/>
                                <w:rPr>
                                  <w:b/>
                                  <w:color w:val="1D1B11" w:themeColor="background2" w:themeShade="1A"/>
                                </w:rPr>
                              </w:pPr>
                              <w:r>
                                <w:rPr>
                                  <w:b/>
                                  <w:color w:val="1D1B11" w:themeColor="background2" w:themeShade="1A"/>
                                </w:rPr>
                                <w:t>Brokerage action</w:t>
                              </w:r>
                            </w:p>
                            <w:p w14:paraId="1A9621A0" w14:textId="77777777" w:rsidR="00330D5F" w:rsidRDefault="00330D5F" w:rsidP="006C7B37">
                              <w:pPr>
                                <w:spacing w:after="0" w:line="276" w:lineRule="auto"/>
                                <w:jc w:val="center"/>
                                <w:rPr>
                                  <w:color w:val="1D1B11" w:themeColor="background2" w:themeShade="1A"/>
                                </w:rPr>
                              </w:pPr>
                              <w:r>
                                <w:rPr>
                                  <w:color w:val="1D1B11" w:themeColor="background2" w:themeShade="1A"/>
                                </w:rPr>
                                <w:t xml:space="preserve">Positioning </w:t>
                              </w:r>
                            </w:p>
                            <w:p w14:paraId="0C94C102" w14:textId="77777777" w:rsidR="00330D5F" w:rsidRDefault="00330D5F" w:rsidP="006C7B37">
                              <w:pPr>
                                <w:spacing w:after="0" w:line="276" w:lineRule="auto"/>
                                <w:jc w:val="center"/>
                                <w:rPr>
                                  <w:color w:val="1D1B11" w:themeColor="background2" w:themeShade="1A"/>
                                </w:rPr>
                              </w:pPr>
                              <w:r>
                                <w:rPr>
                                  <w:color w:val="1D1B11" w:themeColor="background2" w:themeShade="1A"/>
                                </w:rPr>
                                <w:t>&amp;</w:t>
                              </w:r>
                            </w:p>
                            <w:p w14:paraId="41BD20F3" w14:textId="77777777" w:rsidR="00330D5F" w:rsidRPr="004D57B1" w:rsidRDefault="00330D5F" w:rsidP="006C7B37">
                              <w:pPr>
                                <w:spacing w:after="0" w:line="276" w:lineRule="auto"/>
                                <w:jc w:val="center"/>
                                <w:rPr>
                                  <w:color w:val="1D1B11" w:themeColor="background2" w:themeShade="1A"/>
                                </w:rPr>
                              </w:pPr>
                              <w:r w:rsidRPr="004D57B1">
                                <w:rPr>
                                  <w:color w:val="1D1B11" w:themeColor="background2" w:themeShade="1A"/>
                                </w:rPr>
                                <w:t>Dramatic engagement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0" name="Right Arrow 290"/>
                        <wps:cNvSpPr/>
                        <wps:spPr>
                          <a:xfrm>
                            <a:off x="-20003" y="-49795"/>
                            <a:ext cx="7908520" cy="340539"/>
                          </a:xfrm>
                          <a:prstGeom prst="rightArrow">
                            <a:avLst/>
                          </a:prstGeom>
                          <a:solidFill>
                            <a:schemeClr val="bg2">
                              <a:lumMod val="9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A5DF19" w14:textId="77777777" w:rsidR="00330D5F" w:rsidRPr="00CB4459" w:rsidRDefault="00330D5F" w:rsidP="006C7B37">
                              <w:pPr>
                                <w:jc w:val="center"/>
                                <w:rPr>
                                  <w:color w:val="000000" w:themeColor="text1"/>
                                  <w:sz w:val="20"/>
                                </w:rPr>
                              </w:pPr>
                              <w:r w:rsidRPr="00CB4459">
                                <w:rPr>
                                  <w:color w:val="000000" w:themeColor="text1"/>
                                  <w:sz w:val="20"/>
                                </w:rPr>
                                <w:t>Temporal direction of coding 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1" name="Rectangle 291"/>
                        <wps:cNvSpPr/>
                        <wps:spPr>
                          <a:xfrm>
                            <a:off x="1736847" y="325117"/>
                            <a:ext cx="1697355" cy="981107"/>
                          </a:xfrm>
                          <a:prstGeom prst="rect">
                            <a:avLst/>
                          </a:prstGeom>
                          <a:gradFill flip="none" rotWithShape="1">
                            <a:gsLst>
                              <a:gs pos="0">
                                <a:schemeClr val="accent6">
                                  <a:lumMod val="60000"/>
                                  <a:lumOff val="40000"/>
                                  <a:tint val="66000"/>
                                  <a:satMod val="160000"/>
                                </a:schemeClr>
                              </a:gs>
                              <a:gs pos="50000">
                                <a:schemeClr val="accent6">
                                  <a:lumMod val="60000"/>
                                  <a:lumOff val="40000"/>
                                  <a:tint val="44500"/>
                                  <a:satMod val="160000"/>
                                </a:schemeClr>
                              </a:gs>
                              <a:gs pos="100000">
                                <a:schemeClr val="accent6">
                                  <a:lumMod val="60000"/>
                                  <a:lumOff val="40000"/>
                                  <a:tint val="23500"/>
                                  <a:satMod val="160000"/>
                                </a:scheme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6C8D3C"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2</w:t>
                              </w:r>
                            </w:p>
                            <w:p w14:paraId="047317C2" w14:textId="77777777" w:rsidR="00330D5F" w:rsidRPr="00CA38BB" w:rsidRDefault="00330D5F" w:rsidP="006C7B37">
                              <w:pPr>
                                <w:spacing w:after="0" w:line="240" w:lineRule="auto"/>
                                <w:jc w:val="both"/>
                                <w:rPr>
                                  <w:b/>
                                  <w:color w:val="1D1B11" w:themeColor="background2" w:themeShade="1A"/>
                                </w:rPr>
                              </w:pPr>
                              <w:r w:rsidRPr="00CA38BB">
                                <w:rPr>
                                  <w:b/>
                                  <w:color w:val="1D1B11" w:themeColor="background2" w:themeShade="1A"/>
                                </w:rPr>
                                <w:t xml:space="preserve">Contingent </w:t>
                              </w:r>
                              <w:r>
                                <w:rPr>
                                  <w:b/>
                                  <w:color w:val="1D1B11" w:themeColor="background2" w:themeShade="1A"/>
                                </w:rPr>
                                <w:t>n</w:t>
                              </w:r>
                              <w:r w:rsidRPr="00CA38BB">
                                <w:rPr>
                                  <w:b/>
                                  <w:color w:val="1D1B11" w:themeColor="background2" w:themeShade="1A"/>
                                </w:rPr>
                                <w:t>arrative</w:t>
                              </w:r>
                              <w:r>
                                <w:rPr>
                                  <w:b/>
                                  <w:color w:val="1D1B11" w:themeColor="background2" w:themeShade="1A"/>
                                </w:rPr>
                                <w:t>s</w:t>
                              </w:r>
                            </w:p>
                            <w:p w14:paraId="4E63229A"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 xml:space="preserve">Of not deserving  </w:t>
                              </w:r>
                            </w:p>
                            <w:p w14:paraId="4C333F78"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Of warrants of voice</w:t>
                              </w:r>
                            </w:p>
                            <w:p w14:paraId="6516AA0B"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Of substance misuse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 name="Rectangle 292"/>
                        <wps:cNvSpPr/>
                        <wps:spPr>
                          <a:xfrm>
                            <a:off x="7178181" y="343354"/>
                            <a:ext cx="2992120" cy="951230"/>
                          </a:xfrm>
                          <a:prstGeom prst="rect">
                            <a:avLst/>
                          </a:prstGeom>
                          <a:gradFill flip="none" rotWithShape="1">
                            <a:gsLst>
                              <a:gs pos="0">
                                <a:schemeClr val="accent6">
                                  <a:lumMod val="60000"/>
                                  <a:lumOff val="40000"/>
                                  <a:tint val="66000"/>
                                  <a:satMod val="160000"/>
                                </a:schemeClr>
                              </a:gs>
                              <a:gs pos="50000">
                                <a:schemeClr val="accent6">
                                  <a:lumMod val="60000"/>
                                  <a:lumOff val="40000"/>
                                  <a:tint val="44500"/>
                                  <a:satMod val="160000"/>
                                </a:schemeClr>
                              </a:gs>
                              <a:gs pos="100000">
                                <a:schemeClr val="accent6">
                                  <a:lumMod val="60000"/>
                                  <a:lumOff val="40000"/>
                                  <a:tint val="23500"/>
                                  <a:satMod val="160000"/>
                                </a:schemeClr>
                              </a:gs>
                            </a:gsLst>
                            <a:lin ang="13500000" scaled="1"/>
                            <a:tileRect/>
                          </a:gra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8664D4"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5</w:t>
                              </w:r>
                            </w:p>
                            <w:p w14:paraId="0BD6E406" w14:textId="77777777" w:rsidR="00330D5F" w:rsidRPr="000B35D4" w:rsidRDefault="00330D5F" w:rsidP="006C7B37">
                              <w:pPr>
                                <w:spacing w:after="0" w:line="240" w:lineRule="auto"/>
                                <w:jc w:val="center"/>
                                <w:rPr>
                                  <w:b/>
                                  <w:color w:val="1D1B11" w:themeColor="background2" w:themeShade="1A"/>
                                  <w:sz w:val="18"/>
                                </w:rPr>
                              </w:pPr>
                              <w:r>
                                <w:rPr>
                                  <w:b/>
                                  <w:color w:val="1D1B11" w:themeColor="background2" w:themeShade="1A"/>
                                </w:rPr>
                                <w:t>Progressive</w:t>
                              </w:r>
                              <w:r w:rsidRPr="00CA38BB">
                                <w:rPr>
                                  <w:b/>
                                  <w:color w:val="1D1B11" w:themeColor="background2" w:themeShade="1A"/>
                                </w:rPr>
                                <w:t xml:space="preserve"> </w:t>
                              </w:r>
                              <w:r>
                                <w:rPr>
                                  <w:b/>
                                  <w:color w:val="1D1B11" w:themeColor="background2" w:themeShade="1A"/>
                                </w:rPr>
                                <w:t>n</w:t>
                              </w:r>
                              <w:r w:rsidRPr="00CA38BB">
                                <w:rPr>
                                  <w:b/>
                                  <w:color w:val="1D1B11" w:themeColor="background2" w:themeShade="1A"/>
                                </w:rPr>
                                <w:t>arrative</w:t>
                              </w:r>
                              <w:r>
                                <w:rPr>
                                  <w:b/>
                                  <w:color w:val="1D1B11" w:themeColor="background2" w:themeShade="1A"/>
                                </w:rPr>
                                <w:t>s</w:t>
                              </w:r>
                            </w:p>
                            <w:p w14:paraId="4DF666D6" w14:textId="77777777" w:rsidR="00330D5F" w:rsidRDefault="00330D5F" w:rsidP="006C7B37">
                              <w:pPr>
                                <w:spacing w:after="0" w:line="240" w:lineRule="auto"/>
                                <w:jc w:val="center"/>
                                <w:rPr>
                                  <w:color w:val="1D1B11" w:themeColor="background2" w:themeShade="1A"/>
                                </w:rPr>
                              </w:pPr>
                              <w:r>
                                <w:rPr>
                                  <w:color w:val="1D1B11" w:themeColor="background2" w:themeShade="1A"/>
                                </w:rPr>
                                <w:t>Having goals and direction</w:t>
                              </w:r>
                            </w:p>
                            <w:p w14:paraId="00D4037A" w14:textId="77777777" w:rsidR="00330D5F" w:rsidRDefault="00330D5F" w:rsidP="006C7B37">
                              <w:pPr>
                                <w:spacing w:after="0" w:line="240" w:lineRule="auto"/>
                                <w:jc w:val="center"/>
                                <w:rPr>
                                  <w:color w:val="1D1B11" w:themeColor="background2" w:themeShade="1A"/>
                                </w:rPr>
                              </w:pPr>
                              <w:r>
                                <w:rPr>
                                  <w:color w:val="1D1B11" w:themeColor="background2" w:themeShade="1A"/>
                                </w:rPr>
                                <w:t>Feeling better</w:t>
                              </w:r>
                            </w:p>
                            <w:p w14:paraId="609609BA" w14:textId="77777777" w:rsidR="00330D5F" w:rsidRPr="008743F0" w:rsidRDefault="00330D5F" w:rsidP="006C7B37">
                              <w:pPr>
                                <w:spacing w:after="0" w:line="240" w:lineRule="auto"/>
                                <w:jc w:val="center"/>
                                <w:rPr>
                                  <w:color w:val="1D1B11" w:themeColor="background2" w:themeShade="1A"/>
                                </w:rPr>
                              </w:pPr>
                              <w:r>
                                <w:rPr>
                                  <w:color w:val="1D1B11" w:themeColor="background2" w:themeShade="1A"/>
                                </w:rPr>
                                <w:t>Connecting with community and others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5" name="Rectangle 295"/>
                        <wps:cNvSpPr/>
                        <wps:spPr>
                          <a:xfrm>
                            <a:off x="3544347" y="325105"/>
                            <a:ext cx="1769110" cy="951229"/>
                          </a:xfrm>
                          <a:prstGeom prst="rect">
                            <a:avLst/>
                          </a:prstGeom>
                          <a:solidFill>
                            <a:schemeClr val="tx2">
                              <a:lumMod val="20000"/>
                              <a:lumOff val="80000"/>
                            </a:schemeClr>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001D6E"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3</w:t>
                              </w:r>
                            </w:p>
                            <w:p w14:paraId="5A75E9BD" w14:textId="77777777" w:rsidR="00330D5F" w:rsidRPr="007351F8" w:rsidRDefault="00330D5F" w:rsidP="006C7B37">
                              <w:pPr>
                                <w:spacing w:after="0" w:line="240" w:lineRule="auto"/>
                                <w:jc w:val="center"/>
                                <w:rPr>
                                  <w:b/>
                                  <w:color w:val="1D1B11" w:themeColor="background2" w:themeShade="1A"/>
                                </w:rPr>
                              </w:pPr>
                              <w:r w:rsidRPr="007351F8">
                                <w:rPr>
                                  <w:b/>
                                  <w:color w:val="1D1B11" w:themeColor="background2" w:themeShade="1A"/>
                                </w:rPr>
                                <w:t>Traditional services</w:t>
                              </w:r>
                            </w:p>
                            <w:p w14:paraId="7894DD56" w14:textId="77777777" w:rsidR="00330D5F" w:rsidRPr="00F97877" w:rsidRDefault="00330D5F" w:rsidP="006C7B37">
                              <w:pPr>
                                <w:spacing w:after="0" w:line="240" w:lineRule="auto"/>
                                <w:jc w:val="center"/>
                                <w:rPr>
                                  <w:color w:val="1D1B11" w:themeColor="background2" w:themeShade="1A"/>
                                </w:rPr>
                              </w:pPr>
                              <w:r w:rsidRPr="007351F8">
                                <w:rPr>
                                  <w:b/>
                                  <w:color w:val="1D1B11" w:themeColor="background2" w:themeShade="1A"/>
                                </w:rPr>
                                <w:t>Limits of traditional service</w:t>
                              </w:r>
                              <w:r w:rsidRPr="00E60E49">
                                <w:rPr>
                                  <w:color w:val="1D1B11" w:themeColor="background2" w:themeShade="1A"/>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103DBD3" id="Group 24" o:spid="_x0000_s1033" style="position:absolute;margin-left:45.05pt;margin-top:1.05pt;width:761.25pt;height:364.65pt;z-index:251669504;mso-position-horizontal-relative:page;mso-width-relative:margin;mso-height-relative:margin" coordorigin="-480,-497" coordsize="102360,34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sPYyAcAADU/AAAOAAAAZHJzL2Uyb0RvYy54bWzsW0tv2zgQvi+w/0HQPTWpt4w6RZBuugt0&#10;26DtomdGlmwBsqilmNjZX79DUqTktxPHPri62BJFDWeG5DfDmdH7D4tZYT2lrM5pObLxO2RbaZnQ&#10;cV5ORvY/P+6uItuqOSnHpKBlOrKf09r+cP37b+/n1TB16JQW45RZQKSsh/NqZE85r4aDQZ1M0xmp&#10;39EqLeFhRtmMcLhlk8GYkTlQnxUDB6FgMKdsXDGapHUNrR/VQ/ta0s+yNOFfs6xOuVWMbOCNy18m&#10;fx/E7+D6PRlOGKmmedKwQV7BxYzkJQxqSH0knFiPLF8jNcsTRmua8XcJnQ1oluVJKmUAaTBakeYT&#10;o4+VlGUynE8qoyZQ7YqeXk02+fJ0z6x8PLIdz7ZKMoM5ksNacA/KmVeTIfT5xKrv1T1rGibqTsi7&#10;yNhM/IMk1kKq9dmoNV1wK4HGOAgiFMFCSOCZF7gYR75SfDKF2RHvXXkRckPbgg5XXhzG5vkfDQ2M&#10;HDdAAUyhIOJ6XuyFksGB5mEgWDWcmRsjghbTXxFTDvVCMTvsup7rBo4SRwu8wizyQeZwTWLkBB4w&#10;A+IEXoA8rDtokSMvDBHSEqMAholEn60Sww6q20VSH7dIvk9Jlcq1V4sFoLUXaO19g61FykmRWk4g&#10;uJpXsp9ZJfWwhgWzYYm4KIxDDxYbCI6DwIlh3uF9MtTac2KEfB+rmXaQF4Su1K+RmwwrVvNPKZ1Z&#10;4mJkM+BF7j7y9LnmSkW6i6Bc0yIf3+VFIW8EtKS3BbOeCIACSZK05I58vXic/U3Hqt0D1TfwAM1i&#10;mcruQdtMimpKms7AsuwMPEroEvTlTC0NXZTWHISOkY/keEsPzXuKJF/IBSEIttzDXVECXaFspV55&#10;xZ+LVIhWlN/SDDYzbCgl0ApNJStWY0/JOFVD+VqmNe4lQUE5A+UZ2g2BTXrUPDf9xaupRGHzciP5&#10;rpfNG3JkWnLz8iwvKVPsLxMouBlZ9ddKUqoRWuKLh4UEOrncRMsDHT/DumZUWYW6Su5yWE+fSc3v&#10;CQMzAHsPTBv/Cj9ZQWHqaHNlW1PK/tvULvrDxoOntjUHszKy638fCUttq/irhC0ZY88TdkjeeH7o&#10;wA3rPnnoPikfZ7cUFilsBuBOXor+vNCXGaOzn2ABb8So8IiUCYw9shPO9M0tV+YObGiS3tzIbmB7&#10;KsI/l9+rRBAXehb75cfiJ2FVs6k47McvVMMAGa7sLdVXvFnSm0dOs1xuvFavzQwAJClwOD02gf1Q&#10;BqyDTWayAcP2Y1OAIuR48XZswnHsYQQgKKwQRij0XL3wtCXUwHMgNoHvIaHJyoocVksJXhLMMOU/&#10;cz6VytcTNKkB24S+J7VVUVhKO3ZSIKe0C2cd3OrCWQfleF7yBuNEZ4XJNeEGEbGhsYYTk7rLmMIT&#10;0bIRf45jzvOA/BHMwaQJ6U7EneO+hjvQp5ndIi9hF4OHhwUpwapVJ6RIx2IdSDvJ8yIVK1zZOb1+&#10;hEC9fdm5K/ROPbF9kU5ai4O9fbkU+wJ2obEv+WTKrRvG6Ny6JUVBH7nlxGJ3imk/yNJcgfMfuK60&#10;NI7jhFEkvejWC8Z+5PmR01gaN4RDlPYwt1kawZVkquFJ6n3FbAuvWWL16czOmQ1JO9x5TEM7Xg/2&#10;Jbjd0pL+socJs+v7w8RFHSZc8LtWDxPQ9hKIDyDQAaitID50Yh/LgFUH4uEwgSB2JA8TceB7WNoA&#10;8Aa3IfyeOIf2BV99lmCTBxMYCZGLbpSj3EIeGKH93reiIsMfWw8Ge0c6CMy3jtT18vcOdRCOrwzV&#10;u+yXFBLCZmf3MH5ZMA6RszUYl+fAwz11b3OgXoersRsCisPZQISEYtd3vJNHq5XT1Q3vQCpM43I3&#10;vBO1zZ1o9fY4TifU3EcTRBh9R6DoTNEEbFZrD00XBU2OyIjuiCfA473epnT0/tQR4iYHi4VT2SRT&#10;t4QWfN8NmgQbwBe4ocuJxfUE21lDC12H7e5OQpg4ZJ7YC9040mm80I1D9V7orx5LwNJx6CPH58xM&#10;tlUj58pSRm0YuS2hgMa9YC8wsIF4CBVgkWgSNRSuG7m+xO9OZCEIwyCE59In9bGjQhevjywsOYYH&#10;ZvX2+aTAjaEkgwVLg4g6h6Xah07vvkJC11QIHWVvXiGBXb0ae5/zsnzOuA1rdnJYUHGlJ/zA5BU4&#10;ZSp31a3W0yfiMEaRLwpbVKke8l2JbjvQx7iXu1JWS/BgkENhwcNkvYJL1GTplJnpvgloRFFW7Du+&#10;SmW01VY94oj8DtglmLkT58xVaLx3fc7p+ghtn74oK94QgXOg8SXuDg7dAKphlbvj+FgX02rAwUEc&#10;uj7U0kp3J8IYybKvHYBz6kTKcnWiqrs8ru7poMyLHnZ37kX3UtD5FswddEzWw25grpuu0d3ejruD&#10;TtZ6WMMdrJ6+KOtiin5xU+bfV/1eWtVvDAn01RSPA40vMTAhDiMcgaUS52n4oMNfydQ7cexg7dFC&#10;Iv/o8/TRmXoNV2+Hkr2BGXYzaiZJBomwzvcfGwumewPTF4Kp2p3+BHOBJxg4WKwbGONPHBQxAYvi&#10;uZ0TDGo+cDQnmDCI4djSBmxVOfHrTzC7giV8sR4sOTZYK2IoTuSHfRBlw9eF5wqimI+d+rDtucK2&#10;Mn8E32arY6P6jlx8/N29h+vu1+7X/wMAAP//AwBQSwMEFAAGAAgAAAAhAN3M1SfgAAAACQEAAA8A&#10;AABkcnMvZG93bnJldi54bWxMj0FLw0AQhe+C/2EZwZvdbKqxxkxKKeqpCLaC9DZNpklodjdkt0n6&#10;792e9PQY3uO9b7LlpFsxcO8aaxDULALBprBlYyqE7937wwKE82RKaq1hhAs7WOa3NxmlpR3NFw9b&#10;X4lQYlxKCLX3XSqlK2rW5Ga2YxO8o+01+XD2lSx7GkO5bmUcRYnU1JiwUFPH65qL0/asET5GGldz&#10;9TZsTsf1Zb97+vzZKEa8v5tWryA8T/4vDFf8gA55YDrYsymdaBFeIhWSCHGQq52oOAFxQHieq0eQ&#10;eSb/f5D/AgAA//8DAFBLAQItABQABgAIAAAAIQC2gziS/gAAAOEBAAATAAAAAAAAAAAAAAAAAAAA&#10;AABbQ29udGVudF9UeXBlc10ueG1sUEsBAi0AFAAGAAgAAAAhADj9If/WAAAAlAEAAAsAAAAAAAAA&#10;AAAAAAAALwEAAF9yZWxzLy5yZWxzUEsBAi0AFAAGAAgAAAAhAD02w9jIBwAANT8AAA4AAAAAAAAA&#10;AAAAAAAALgIAAGRycy9lMm9Eb2MueG1sUEsBAi0AFAAGAAgAAAAhAN3M1SfgAAAACQEAAA8AAAAA&#10;AAAAAAAAAAAAIgoAAGRycy9kb3ducmV2LnhtbFBLBQYAAAAABAAEAPMAAAAvCwAAAAA=&#10;">
                <v:group id="Group 25" o:spid="_x0000_s1034" style="position:absolute;left:-480;top:3433;width:102360;height:30563" coordorigin="-4026,6460" coordsize="84770,30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ect id="Rectangle 26" o:spid="_x0000_s1035" style="position:absolute;left:30797;top:16629;width:29005;height:20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1CXcQA&#10;AADbAAAADwAAAGRycy9kb3ducmV2LnhtbESPQWsCMRSE74L/ITyhN82uB6lbo6iwUJFStF68vW5e&#10;N0s3L3GTrtt/3xQKPQ4z8w2z2gy2FT11oXGsIJ9lIIgrpxuuFVzeyukjiBCRNbaOScE3Bdisx6MV&#10;Ftrd+UT9OdYiQTgUqMDE6AspQ2XIYpg5T5y8D9dZjEl2tdQd3hPctnKeZQtpseG0YNDT3lD1ef6y&#10;Cg635vW4e7kes9Jq4w8+5v37UqmHybB9AhFpiP/hv/azVjBfwO+X9AP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NQl3EAAAA2wAAAA8AAAAAAAAAAAAAAAAAmAIAAGRycy9k&#10;b3ducmV2LnhtbFBLBQYAAAAABAAEAPUAAACJAwAAAAA=&#10;" fillcolor="#e5b8b7 [1301]" strokecolor="black [3213]" strokeweight="1.5pt">
                    <v:fill opacity="32125f"/>
                    <v:textbox>
                      <w:txbxContent>
                        <w:p w14:paraId="64CCF94A" w14:textId="77777777" w:rsidR="00330D5F" w:rsidRDefault="00330D5F" w:rsidP="006C7B37">
                          <w:pPr>
                            <w:spacing w:line="240" w:lineRule="auto"/>
                            <w:jc w:val="center"/>
                            <w:rPr>
                              <w:b/>
                              <w:color w:val="1D1B11" w:themeColor="background2" w:themeShade="1A"/>
                            </w:rPr>
                          </w:pPr>
                          <w:r>
                            <w:rPr>
                              <w:b/>
                              <w:color w:val="1D1B11" w:themeColor="background2" w:themeShade="1A"/>
                            </w:rPr>
                            <w:t>Stage 7</w:t>
                          </w:r>
                        </w:p>
                        <w:p w14:paraId="268474B6" w14:textId="77777777" w:rsidR="00330D5F" w:rsidRPr="00696E8C" w:rsidRDefault="00330D5F" w:rsidP="006C7B37">
                          <w:pPr>
                            <w:spacing w:line="240" w:lineRule="auto"/>
                            <w:jc w:val="center"/>
                            <w:rPr>
                              <w:b/>
                              <w:color w:val="1D1B11" w:themeColor="background2" w:themeShade="1A"/>
                            </w:rPr>
                          </w:pPr>
                          <w:r w:rsidRPr="00696E8C">
                            <w:rPr>
                              <w:b/>
                              <w:color w:val="1D1B11" w:themeColor="background2" w:themeShade="1A"/>
                            </w:rPr>
                            <w:t>Tropes</w:t>
                          </w:r>
                          <w:r>
                            <w:rPr>
                              <w:b/>
                              <w:color w:val="1D1B11" w:themeColor="background2" w:themeShade="1A"/>
                            </w:rPr>
                            <w:t xml:space="preserve"> observed from users and professionals</w:t>
                          </w:r>
                        </w:p>
                        <w:p w14:paraId="427E2204"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Time v Bureaucracy</w:t>
                          </w:r>
                        </w:p>
                        <w:p w14:paraId="7BEBBA42"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Risk management v Risk enablement</w:t>
                          </w:r>
                        </w:p>
                        <w:p w14:paraId="1D5568C5"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Professional asymmetry v Co-production</w:t>
                          </w:r>
                        </w:p>
                        <w:p w14:paraId="70A10B88"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Equity v Choice</w:t>
                          </w:r>
                        </w:p>
                        <w:p w14:paraId="6D44428F" w14:textId="77777777" w:rsidR="00330D5F" w:rsidRPr="00696E8C" w:rsidRDefault="00330D5F" w:rsidP="006C7B37">
                          <w:pPr>
                            <w:spacing w:after="120" w:line="276" w:lineRule="auto"/>
                            <w:jc w:val="center"/>
                            <w:rPr>
                              <w:color w:val="1D1B11" w:themeColor="background2" w:themeShade="1A"/>
                              <w:sz w:val="20"/>
                              <w:szCs w:val="20"/>
                            </w:rPr>
                          </w:pPr>
                          <w:r w:rsidRPr="00696E8C">
                            <w:rPr>
                              <w:color w:val="1D1B11" w:themeColor="background2" w:themeShade="1A"/>
                              <w:sz w:val="20"/>
                              <w:szCs w:val="20"/>
                            </w:rPr>
                            <w:t>Fixed v Flexibility</w:t>
                          </w:r>
                        </w:p>
                        <w:p w14:paraId="6EBA665A" w14:textId="77777777" w:rsidR="00330D5F" w:rsidRPr="00696E8C" w:rsidRDefault="00330D5F" w:rsidP="006C7B37">
                          <w:pPr>
                            <w:spacing w:after="120" w:line="276" w:lineRule="auto"/>
                            <w:jc w:val="center"/>
                            <w:rPr>
                              <w:color w:val="1D1B11" w:themeColor="background2" w:themeShade="1A"/>
                              <w:sz w:val="20"/>
                              <w:szCs w:val="20"/>
                            </w:rPr>
                          </w:pPr>
                          <w:r>
                            <w:rPr>
                              <w:color w:val="1D1B11" w:themeColor="background2" w:themeShade="1A"/>
                              <w:sz w:val="20"/>
                              <w:szCs w:val="20"/>
                            </w:rPr>
                            <w:t>Equity v Person-centred</w:t>
                          </w:r>
                        </w:p>
                      </w:txbxContent>
                    </v:textbox>
                  </v:rect>
                  <v:rect id="Rectangle 27" o:spid="_x0000_s1036" style="position:absolute;left:60802;top:16629;width:19941;height:100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SxdMMA&#10;AADbAAAADwAAAGRycy9kb3ducmV2LnhtbESPzWrCQBSF9wXfYbiCuzrRRSvRUUQrdNFNklK3l8w1&#10;iWbuhMw0Gfv0nULB5eH8fJzNLphWDNS7xrKCxTwBQVxa3XCl4LM4Pa9AOI+ssbVMCu7kYLedPG0w&#10;1XbkjIbcVyKOsEtRQe19l0rpypoMurntiKN3sb1BH2VfSd3jGMdNK5dJ8iINNhwJNXZ0qKm85d8m&#10;cvVBhoLD8dR9vH1lufs5k74qNZuG/RqEp+Af4f/2u1awfIW/L/EH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SxdMMAAADbAAAADwAAAAAAAAAAAAAAAACYAgAAZHJzL2Rv&#10;d25yZXYueG1sUEsFBgAAAAAEAAQA9QAAAIgDAAAAAA==&#10;" fillcolor="#fabf8f [1945]" strokecolor="black [3213]" strokeweight="1.5pt">
                    <v:fill color2="#fabf8f [1945]" rotate="t" angle="225" colors="0 #ffd5ad;.5 #ffe3cc;1 #fff1e5" focus="100%" type="gradient"/>
                    <v:textbox>
                      <w:txbxContent>
                        <w:p w14:paraId="7FF57504" w14:textId="77777777" w:rsidR="00330D5F" w:rsidRDefault="00330D5F" w:rsidP="006C7B37">
                          <w:pPr>
                            <w:spacing w:after="0"/>
                            <w:jc w:val="center"/>
                            <w:rPr>
                              <w:b/>
                              <w:color w:val="1D1B11" w:themeColor="background2" w:themeShade="1A"/>
                            </w:rPr>
                          </w:pPr>
                          <w:r>
                            <w:rPr>
                              <w:b/>
                              <w:color w:val="1D1B11" w:themeColor="background2" w:themeShade="1A"/>
                            </w:rPr>
                            <w:t>Stage 8a</w:t>
                          </w:r>
                        </w:p>
                        <w:p w14:paraId="06971112" w14:textId="77777777" w:rsidR="00330D5F" w:rsidRPr="008743F0" w:rsidRDefault="00330D5F" w:rsidP="006C7B37">
                          <w:pPr>
                            <w:spacing w:after="0"/>
                            <w:jc w:val="center"/>
                            <w:rPr>
                              <w:color w:val="1D1B11" w:themeColor="background2" w:themeShade="1A"/>
                            </w:rPr>
                          </w:pPr>
                          <w:r w:rsidRPr="0097356B">
                            <w:rPr>
                              <w:b/>
                              <w:color w:val="1D1B11" w:themeColor="background2" w:themeShade="1A"/>
                            </w:rPr>
                            <w:t>Outcome = nuanced</w:t>
                          </w:r>
                          <w:r w:rsidRPr="008743F0">
                            <w:rPr>
                              <w:color w:val="1D1B11" w:themeColor="background2" w:themeShade="1A"/>
                            </w:rPr>
                            <w:t xml:space="preserve"> </w:t>
                          </w:r>
                          <w:r>
                            <w:rPr>
                              <w:color w:val="1D1B11" w:themeColor="background2" w:themeShade="1A"/>
                            </w:rPr>
                            <w:t>understanding of personalisation</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29" o:spid="_x0000_s1037" type="#_x0000_t78" style="position:absolute;left:-2646;top:22278;width:15845;height:13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xkGcUA&#10;AADbAAAADwAAAGRycy9kb3ducmV2LnhtbESPT2vCQBTE70K/w/IKvZlNE9CaukprKfUmWhV6e2Rf&#10;/rTZtyG7jfHbu4LgcZiZ3zDz5WAa0VPnassKnqMYBHFudc2lgv335/gFhPPIGhvLpOBMDpaLh9Ec&#10;M21PvKV+50sRIOwyVFB532ZSurwigy6yLXHwCtsZ9EF2pdQdngLcNDKJ44k0WHNYqLClVUX53+7f&#10;KPh6T9OPvthuJtPf+HhIE/wpVqjU0+Pw9grC0+Dv4Vt7rRUkM7h+C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3GQZxQAAANsAAAAPAAAAAAAAAAAAAAAAAJgCAABkcnMv&#10;ZG93bnJldi54bWxQSwUGAAAAAAQABAD1AAAAigMAAAAA&#10;" adj="14035,,16898" fillcolor="#f9b984 [2137]" strokecolor="black [3213]" strokeweight="1.5pt">
                    <v:fill color2="#fde7d4 [761]" rotate="t" angle="225" colors="0 #ffba8d;.5 #ffd3b9;1 #ffe9dd" focus="100%" type="gradient"/>
                    <v:textbox>
                      <w:txbxContent>
                        <w:p w14:paraId="6C768154" w14:textId="77777777" w:rsidR="00330D5F" w:rsidRDefault="00330D5F" w:rsidP="006C7B37">
                          <w:pPr>
                            <w:jc w:val="center"/>
                            <w:rPr>
                              <w:color w:val="1D1B11" w:themeColor="background2" w:themeShade="1A"/>
                            </w:rPr>
                          </w:pPr>
                          <w:r>
                            <w:rPr>
                              <w:b/>
                              <w:color w:val="1D1B11" w:themeColor="background2" w:themeShade="1A"/>
                            </w:rPr>
                            <w:t>Stage 6a Story</w:t>
                          </w:r>
                          <w:r w:rsidRPr="00696E8C">
                            <w:rPr>
                              <w:b/>
                              <w:color w:val="1D1B11" w:themeColor="background2" w:themeShade="1A"/>
                            </w:rPr>
                            <w:t>line</w:t>
                          </w:r>
                          <w:r w:rsidRPr="008C2BDE">
                            <w:rPr>
                              <w:color w:val="1D1B11" w:themeColor="background2" w:themeShade="1A"/>
                            </w:rPr>
                            <w:t xml:space="preserve"> </w:t>
                          </w:r>
                        </w:p>
                        <w:p w14:paraId="194C70A6" w14:textId="77777777" w:rsidR="00330D5F" w:rsidRPr="008C2BDE" w:rsidRDefault="00330D5F" w:rsidP="006C7B37">
                          <w:pPr>
                            <w:jc w:val="center"/>
                            <w:rPr>
                              <w:color w:val="1D1B11" w:themeColor="background2" w:themeShade="1A"/>
                            </w:rPr>
                          </w:pPr>
                          <w:r>
                            <w:rPr>
                              <w:color w:val="1D1B11" w:themeColor="background2" w:themeShade="1A"/>
                            </w:rPr>
                            <w:t>Receptive</w:t>
                          </w:r>
                        </w:p>
                      </w:txbxContent>
                    </v:textbox>
                  </v:shape>
                  <v:rect id="Rectangle 30" o:spid="_x0000_s1038" style="position:absolute;left:60799;top:27295;width:19941;height:96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enbsMA&#10;AADbAAAADwAAAGRycy9kb3ducmV2LnhtbERPTWvCQBC9F/wPywje6sZIi42uwYiFUipiKpTehuyY&#10;BLOzIbtN4r/vHgo9Pt73Jh1NI3rqXG1ZwWIegSAurK65VHD5fH1cgXAeWWNjmRTcyUG6nTxsMNF2&#10;4DP1uS9FCGGXoILK+zaR0hUVGXRz2xIH7mo7gz7ArpS6wyGEm0bGUfQsDdYcGipsaV9Rcct/jIJz&#10;dn85HD++L+/X+CnPMpJ8+pJKzabjbg3C0+j/xX/uN61gGdaHL+EH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enbsMAAADbAAAADwAAAAAAAAAAAAAAAACYAgAAZHJzL2Rv&#10;d25yZXYueG1sUEsFBgAAAAAEAAQA9QAAAIgDAAAAAA==&#10;" fillcolor="#b196d2" strokecolor="black [3213]" strokeweight="1.5pt">
                    <v:fill color2="#e7e1f0" rotate="t" angle="225" colors="0 #b196d2;.5 #cfc0e2;1 #e7e1f0" focus="100%" type="gradient"/>
                    <v:textbox>
                      <w:txbxContent>
                        <w:p w14:paraId="248A50F8" w14:textId="77777777" w:rsidR="00330D5F" w:rsidRDefault="00330D5F" w:rsidP="006C7B37">
                          <w:pPr>
                            <w:spacing w:after="0"/>
                            <w:jc w:val="center"/>
                            <w:rPr>
                              <w:b/>
                              <w:color w:val="1D1B11" w:themeColor="background2" w:themeShade="1A"/>
                            </w:rPr>
                          </w:pPr>
                          <w:r>
                            <w:rPr>
                              <w:b/>
                              <w:color w:val="1D1B11" w:themeColor="background2" w:themeShade="1A"/>
                            </w:rPr>
                            <w:t xml:space="preserve">Stage 8b </w:t>
                          </w:r>
                        </w:p>
                        <w:p w14:paraId="69510A91" w14:textId="77777777" w:rsidR="00330D5F" w:rsidRPr="008743F0" w:rsidRDefault="00330D5F" w:rsidP="006C7B37">
                          <w:pPr>
                            <w:spacing w:after="0"/>
                            <w:jc w:val="center"/>
                            <w:rPr>
                              <w:color w:val="1D1B11" w:themeColor="background2" w:themeShade="1A"/>
                            </w:rPr>
                          </w:pPr>
                          <w:r w:rsidRPr="0097356B">
                            <w:rPr>
                              <w:b/>
                              <w:color w:val="1D1B11" w:themeColor="background2" w:themeShade="1A"/>
                            </w:rPr>
                            <w:t>Outcome = binary</w:t>
                          </w:r>
                          <w:r w:rsidRPr="008743F0">
                            <w:rPr>
                              <w:color w:val="1D1B11" w:themeColor="background2" w:themeShade="1A"/>
                            </w:rPr>
                            <w:t xml:space="preserve"> </w:t>
                          </w:r>
                          <w:r>
                            <w:rPr>
                              <w:color w:val="1D1B11" w:themeColor="background2" w:themeShade="1A"/>
                            </w:rPr>
                            <w:t>understanding of personalisation</w:t>
                          </w:r>
                        </w:p>
                      </w:txbxContent>
                    </v:textbox>
                  </v:rect>
                  <v:rect id="Rectangle 31" o:spid="_x0000_s1039" style="position:absolute;left:-4026;top:6460;width:13740;height:93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swAsQA&#10;AADbAAAADwAAAGRycy9kb3ducmV2LnhtbESPQWsCMRSE70L/Q3iF3mp226KyGkVbhIIHce2lt+fm&#10;udl287IkUbf/3ggFj8PMfMPMFr1txZl8aBwryIcZCOLK6YZrBV/79fMERIjIGlvHpOCPAizmD4MZ&#10;FtpdeEfnMtYiQTgUqMDE2BVShsqQxTB0HXHyjs5bjEn6WmqPlwS3rXzJspG02HBaMNjRu6HqtzxZ&#10;BXL9Mfp+M+N8s21OfkKHlfw5GqWeHvvlFESkPt7D/+1PreA1h9uX9A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rMALEAAAA2wAAAA8AAAAAAAAAAAAAAAAAmAIAAGRycy9k&#10;b3ducmV2LnhtbFBLBQYAAAAABAAEAPUAAACJAwAAAAA=&#10;" fillcolor="#dbe5f1 [660]" strokecolor="black [3213]" strokeweight="1.5pt">
                    <v:fill opacity="39321f"/>
                    <v:textbox>
                      <w:txbxContent>
                        <w:p w14:paraId="650F39A9" w14:textId="77777777" w:rsidR="00330D5F" w:rsidRDefault="00330D5F" w:rsidP="006C7B37">
                          <w:pPr>
                            <w:spacing w:line="240" w:lineRule="auto"/>
                            <w:jc w:val="center"/>
                            <w:rPr>
                              <w:b/>
                              <w:color w:val="1D1B11" w:themeColor="background2" w:themeShade="1A"/>
                            </w:rPr>
                          </w:pPr>
                          <w:r>
                            <w:rPr>
                              <w:b/>
                              <w:color w:val="1D1B11" w:themeColor="background2" w:themeShade="1A"/>
                            </w:rPr>
                            <w:t>Stage 1</w:t>
                          </w:r>
                        </w:p>
                        <w:p w14:paraId="1423F232" w14:textId="77777777" w:rsidR="00330D5F" w:rsidRPr="00D104EB" w:rsidRDefault="00330D5F" w:rsidP="006C7B37">
                          <w:pPr>
                            <w:spacing w:line="240" w:lineRule="auto"/>
                            <w:rPr>
                              <w:color w:val="1D1B11" w:themeColor="background2" w:themeShade="1A"/>
                              <w:sz w:val="20"/>
                            </w:rPr>
                          </w:pPr>
                          <w:r w:rsidRPr="00CA38BB">
                            <w:rPr>
                              <w:b/>
                              <w:color w:val="1D1B11" w:themeColor="background2" w:themeShade="1A"/>
                            </w:rPr>
                            <w:t>Regressive trajectory</w:t>
                          </w:r>
                          <w:r w:rsidRPr="00CA38BB">
                            <w:rPr>
                              <w:color w:val="1D1B11" w:themeColor="background2" w:themeShade="1A"/>
                            </w:rPr>
                            <w:t xml:space="preserve"> </w:t>
                          </w:r>
                          <w:r w:rsidRPr="006D32D9">
                            <w:rPr>
                              <w:color w:val="1D1B11" w:themeColor="background2" w:themeShade="1A"/>
                              <w:sz w:val="22"/>
                            </w:rPr>
                            <w:t>of participant’s narrative</w:t>
                          </w:r>
                        </w:p>
                      </w:txbxContent>
                    </v:textbox>
                  </v:rect>
                  <v:shape id="Right Arrow Callout 288" o:spid="_x0000_s1040" type="#_x0000_t78" style="position:absolute;left:14062;top:22278;width:15553;height:1380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yj58EA&#10;AADcAAAADwAAAGRycy9kb3ducmV2LnhtbERP3WrCMBS+H+wdwhl4N9PqGNoZyygIjl2t9gEOzbEp&#10;Nie1SWv16ZeLwS4/vv9dPttOTDT41rGCdJmAIK6dbrlRUJ0OrxsQPiBr7ByTgjt5yPfPTzvMtLvx&#10;D01laEQMYZ+hAhNCn0npa0MW/dL1xJE7u8FiiHBopB7wFsNtJ1dJ8i4tthwbDPZUGKov5WgVJNvr&#10;pXkYXaXrqvwqijdsv8erUouX+fMDRKA5/Iv/3EetYLWJa+OZeAT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co+fBAAAA3AAAAA8AAAAAAAAAAAAAAAAAmAIAAGRycy9kb3du&#10;cmV2LnhtbFBLBQYAAAAABAAEAPUAAACGAwAAAAA=&#10;" adj="14035,,16809" fillcolor="#ff8080" strokecolor="black [3213]" strokeweight="1.5pt">
                    <v:fill color2="#ffdada" rotate="t" angle="225" colors="0 #ff8080;.5 #ffb3b3;1 #ffdada" focus="100%" type="gradient"/>
                    <v:textbox>
                      <w:txbxContent>
                        <w:p w14:paraId="420F2DEC" w14:textId="77777777" w:rsidR="00330D5F" w:rsidRDefault="00330D5F" w:rsidP="006C7B37">
                          <w:pPr>
                            <w:jc w:val="center"/>
                            <w:rPr>
                              <w:color w:val="1D1B11" w:themeColor="background2" w:themeShade="1A"/>
                            </w:rPr>
                          </w:pPr>
                          <w:r>
                            <w:rPr>
                              <w:b/>
                              <w:color w:val="1D1B11" w:themeColor="background2" w:themeShade="1A"/>
                            </w:rPr>
                            <w:t>Stage 6b Story</w:t>
                          </w:r>
                          <w:r w:rsidRPr="00696E8C">
                            <w:rPr>
                              <w:b/>
                              <w:color w:val="1D1B11" w:themeColor="background2" w:themeShade="1A"/>
                            </w:rPr>
                            <w:t>line</w:t>
                          </w:r>
                          <w:r w:rsidRPr="008C2BDE">
                            <w:rPr>
                              <w:color w:val="1D1B11" w:themeColor="background2" w:themeShade="1A"/>
                            </w:rPr>
                            <w:t xml:space="preserve"> </w:t>
                          </w:r>
                        </w:p>
                        <w:p w14:paraId="5B6194B1" w14:textId="77777777" w:rsidR="00330D5F" w:rsidRPr="008C2BDE" w:rsidRDefault="00330D5F" w:rsidP="006C7B37">
                          <w:pPr>
                            <w:jc w:val="center"/>
                            <w:rPr>
                              <w:color w:val="1D1B11" w:themeColor="background2" w:themeShade="1A"/>
                            </w:rPr>
                          </w:pPr>
                          <w:r>
                            <w:rPr>
                              <w:color w:val="1D1B11" w:themeColor="background2" w:themeShade="1A"/>
                            </w:rPr>
                            <w:t>O</w:t>
                          </w:r>
                          <w:r w:rsidRPr="003C5AD2">
                            <w:rPr>
                              <w:color w:val="1D1B11" w:themeColor="background2" w:themeShade="1A"/>
                            </w:rPr>
                            <w:t>ppositional</w:t>
                          </w:r>
                        </w:p>
                      </w:txbxContent>
                    </v:textbox>
                  </v:shape>
                </v:group>
                <v:rect id="Rectangle 289" o:spid="_x0000_s1041" style="position:absolute;left:54115;top:3383;width:16776;height:9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Cv8MMA&#10;AADcAAAADwAAAGRycy9kb3ducmV2LnhtbESPzYrCMBSF98K8Q7gD7jQdF2KrUeyAMLOpaGVgdpfm&#10;2habm9JEW9/eCILLw/n5OKvNYBpxo87VlhV8TSMQxIXVNZcKTvlusgDhPLLGxjIpuJODzfpjtMJE&#10;254PdDv6UoQRdgkqqLxvEyldUZFBN7UtcfDOtjPog+xKqTvsw7hp5CyK5tJgzYFQYUvfFRWX49UE&#10;ru/p999lWR5n8V8+7NN7yqlS489huwThafDv8Kv9oxXMFjE8z4Qj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Cv8MMAAADcAAAADwAAAAAAAAAAAAAAAACYAgAAZHJzL2Rv&#10;d25yZXYueG1sUEsFBgAAAAAEAAQA9QAAAIgDAAAAAA==&#10;" fillcolor="#fde9d9 [665]" strokecolor="black [3213]" strokeweight="2pt">
                  <v:textbox>
                    <w:txbxContent>
                      <w:p w14:paraId="499241F6" w14:textId="77777777" w:rsidR="00330D5F" w:rsidRDefault="00330D5F" w:rsidP="006C7B37">
                        <w:pPr>
                          <w:spacing w:after="0" w:line="276" w:lineRule="auto"/>
                          <w:jc w:val="center"/>
                          <w:rPr>
                            <w:b/>
                            <w:color w:val="1D1B11" w:themeColor="background2" w:themeShade="1A"/>
                          </w:rPr>
                        </w:pPr>
                        <w:r>
                          <w:rPr>
                            <w:b/>
                            <w:color w:val="1D1B11" w:themeColor="background2" w:themeShade="1A"/>
                          </w:rPr>
                          <w:t>Stage 4</w:t>
                        </w:r>
                      </w:p>
                      <w:p w14:paraId="0AF95748" w14:textId="77777777" w:rsidR="00330D5F" w:rsidRPr="00CA38BB" w:rsidRDefault="00330D5F" w:rsidP="006C7B37">
                        <w:pPr>
                          <w:spacing w:after="0" w:line="276" w:lineRule="auto"/>
                          <w:jc w:val="center"/>
                          <w:rPr>
                            <w:b/>
                            <w:color w:val="1D1B11" w:themeColor="background2" w:themeShade="1A"/>
                          </w:rPr>
                        </w:pPr>
                        <w:r>
                          <w:rPr>
                            <w:b/>
                            <w:color w:val="1D1B11" w:themeColor="background2" w:themeShade="1A"/>
                          </w:rPr>
                          <w:t>Brokerage action</w:t>
                        </w:r>
                      </w:p>
                      <w:p w14:paraId="1A9621A0" w14:textId="77777777" w:rsidR="00330D5F" w:rsidRDefault="00330D5F" w:rsidP="006C7B37">
                        <w:pPr>
                          <w:spacing w:after="0" w:line="276" w:lineRule="auto"/>
                          <w:jc w:val="center"/>
                          <w:rPr>
                            <w:color w:val="1D1B11" w:themeColor="background2" w:themeShade="1A"/>
                          </w:rPr>
                        </w:pPr>
                        <w:r>
                          <w:rPr>
                            <w:color w:val="1D1B11" w:themeColor="background2" w:themeShade="1A"/>
                          </w:rPr>
                          <w:t xml:space="preserve">Positioning </w:t>
                        </w:r>
                      </w:p>
                      <w:p w14:paraId="0C94C102" w14:textId="77777777" w:rsidR="00330D5F" w:rsidRDefault="00330D5F" w:rsidP="006C7B37">
                        <w:pPr>
                          <w:spacing w:after="0" w:line="276" w:lineRule="auto"/>
                          <w:jc w:val="center"/>
                          <w:rPr>
                            <w:color w:val="1D1B11" w:themeColor="background2" w:themeShade="1A"/>
                          </w:rPr>
                        </w:pPr>
                        <w:r>
                          <w:rPr>
                            <w:color w:val="1D1B11" w:themeColor="background2" w:themeShade="1A"/>
                          </w:rPr>
                          <w:t>&amp;</w:t>
                        </w:r>
                      </w:p>
                      <w:p w14:paraId="41BD20F3" w14:textId="77777777" w:rsidR="00330D5F" w:rsidRPr="004D57B1" w:rsidRDefault="00330D5F" w:rsidP="006C7B37">
                        <w:pPr>
                          <w:spacing w:after="0" w:line="276" w:lineRule="auto"/>
                          <w:jc w:val="center"/>
                          <w:rPr>
                            <w:color w:val="1D1B11" w:themeColor="background2" w:themeShade="1A"/>
                          </w:rPr>
                        </w:pPr>
                        <w:r w:rsidRPr="004D57B1">
                          <w:rPr>
                            <w:color w:val="1D1B11" w:themeColor="background2" w:themeShade="1A"/>
                          </w:rPr>
                          <w:t>Dramatic engagement</w:t>
                        </w:r>
                      </w:p>
                    </w:txbxContent>
                  </v:textbox>
                </v:rect>
                <v:shape id="Right Arrow 290" o:spid="_x0000_s1042" type="#_x0000_t13" style="position:absolute;left:-200;top:-497;width:79085;height:3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34F8EA&#10;AADcAAAADwAAAGRycy9kb3ducmV2LnhtbERPTYvCMBC9C/sfwix4s+lKWbQaRRYEQQ9rFbxOm7Et&#10;NpPaxFr//eaw4PHxvpfrwTSip87VlhV8RTEI4sLqmksF59N2MgPhPLLGxjIpeJGD9epjtMRU2ycf&#10;qc98KUIIuxQVVN63qZSuqMigi2xLHLir7Qz6ALtS6g6fIdw0chrH39JgzaGhwpZ+Kipu2cMo+M2z&#10;w/6ebGdNb4ZHnOe7yyFJlBp/DpsFCE+Df4v/3TutYDoP88OZcAT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9+BfBAAAA3AAAAA8AAAAAAAAAAAAAAAAAmAIAAGRycy9kb3du&#10;cmV2LnhtbFBLBQYAAAAABAAEAPUAAACGAwAAAAA=&#10;" adj="21135" fillcolor="#ddd8c2 [2894]" strokecolor="black [3213]">
                  <v:textbox>
                    <w:txbxContent>
                      <w:p w14:paraId="0FA5DF19" w14:textId="77777777" w:rsidR="00330D5F" w:rsidRPr="00CB4459" w:rsidRDefault="00330D5F" w:rsidP="006C7B37">
                        <w:pPr>
                          <w:jc w:val="center"/>
                          <w:rPr>
                            <w:color w:val="000000" w:themeColor="text1"/>
                            <w:sz w:val="20"/>
                          </w:rPr>
                        </w:pPr>
                        <w:r w:rsidRPr="00CB4459">
                          <w:rPr>
                            <w:color w:val="000000" w:themeColor="text1"/>
                            <w:sz w:val="20"/>
                          </w:rPr>
                          <w:t>Temporal direction of coding formation</w:t>
                        </w:r>
                      </w:p>
                    </w:txbxContent>
                  </v:textbox>
                </v:shape>
                <v:rect id="Rectangle 291" o:spid="_x0000_s1043" style="position:absolute;left:17368;top:3251;width:16974;height:9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e79MMA&#10;AADcAAAADwAAAGRycy9kb3ducmV2LnhtbESPzWrCQBSF9wXfYbiCuzrRhbTRUUQbcNFNouj2krkm&#10;aTN3QmaajH36TqHQ5eH8fJzNLphWDNS7xrKCxTwBQVxa3XCl4HLOnl9AOI+ssbVMCh7kYLedPG0w&#10;1XbknIbCVyKOsEtRQe19l0rpypoMurntiKN3t71BH2VfSd3jGMdNK5dJspIGG46EGjs61FR+Fl8m&#10;cvVBhjOHY9a9v13zwn3fSH8oNZuG/RqEp+D/w3/tk1awfF3A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e79MMAAADcAAAADwAAAAAAAAAAAAAAAACYAgAAZHJzL2Rv&#10;d25yZXYueG1sUEsFBgAAAAAEAAQA9QAAAIgDAAAAAA==&#10;" fillcolor="#fabf8f [1945]" strokecolor="black [3213]" strokeweight="1.5pt">
                  <v:fill color2="#fabf8f [1945]" rotate="t" angle="225" colors="0 #ffd5ad;.5 #ffe3cc;1 #fff1e5" focus="100%" type="gradient"/>
                  <v:textbox>
                    <w:txbxContent>
                      <w:p w14:paraId="696C8D3C"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2</w:t>
                        </w:r>
                      </w:p>
                      <w:p w14:paraId="047317C2" w14:textId="77777777" w:rsidR="00330D5F" w:rsidRPr="00CA38BB" w:rsidRDefault="00330D5F" w:rsidP="006C7B37">
                        <w:pPr>
                          <w:spacing w:after="0" w:line="240" w:lineRule="auto"/>
                          <w:jc w:val="both"/>
                          <w:rPr>
                            <w:b/>
                            <w:color w:val="1D1B11" w:themeColor="background2" w:themeShade="1A"/>
                          </w:rPr>
                        </w:pPr>
                        <w:r w:rsidRPr="00CA38BB">
                          <w:rPr>
                            <w:b/>
                            <w:color w:val="1D1B11" w:themeColor="background2" w:themeShade="1A"/>
                          </w:rPr>
                          <w:t xml:space="preserve">Contingent </w:t>
                        </w:r>
                        <w:r>
                          <w:rPr>
                            <w:b/>
                            <w:color w:val="1D1B11" w:themeColor="background2" w:themeShade="1A"/>
                          </w:rPr>
                          <w:t>n</w:t>
                        </w:r>
                        <w:r w:rsidRPr="00CA38BB">
                          <w:rPr>
                            <w:b/>
                            <w:color w:val="1D1B11" w:themeColor="background2" w:themeShade="1A"/>
                          </w:rPr>
                          <w:t>arrative</w:t>
                        </w:r>
                        <w:r>
                          <w:rPr>
                            <w:b/>
                            <w:color w:val="1D1B11" w:themeColor="background2" w:themeShade="1A"/>
                          </w:rPr>
                          <w:t>s</w:t>
                        </w:r>
                      </w:p>
                      <w:p w14:paraId="4E63229A"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 xml:space="preserve">Of not deserving  </w:t>
                        </w:r>
                      </w:p>
                      <w:p w14:paraId="4C333F78"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Of warrants of voice</w:t>
                        </w:r>
                      </w:p>
                      <w:p w14:paraId="6516AA0B" w14:textId="77777777" w:rsidR="00330D5F" w:rsidRPr="006D32D9" w:rsidRDefault="00330D5F" w:rsidP="006C7B37">
                        <w:pPr>
                          <w:spacing w:after="0" w:line="240" w:lineRule="auto"/>
                          <w:jc w:val="both"/>
                          <w:rPr>
                            <w:color w:val="1D1B11" w:themeColor="background2" w:themeShade="1A"/>
                          </w:rPr>
                        </w:pPr>
                        <w:r w:rsidRPr="006D32D9">
                          <w:rPr>
                            <w:color w:val="1D1B11" w:themeColor="background2" w:themeShade="1A"/>
                          </w:rPr>
                          <w:t>Of substance misuse</w:t>
                        </w:r>
                      </w:p>
                    </w:txbxContent>
                  </v:textbox>
                </v:rect>
                <v:rect id="Rectangle 292" o:spid="_x0000_s1044" style="position:absolute;left:71781;top:3433;width:29922;height:9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Ulg8IA&#10;AADcAAAADwAAAGRycy9kb3ducmV2LnhtbESPS4vCMBSF94L/IdwBd5pOF4PTMYr4gFm4sYqzvTTX&#10;ttrclCZq9NcbQZjl4Tw+zmQWTCOu1LnasoLPUQKCuLC65lLBfrcejkE4j6yxsUwK7uRgNu33Jphp&#10;e+MtXXNfijjCLkMFlfdtJqUrKjLoRrYljt7RdgZ9lF0pdYe3OG4amSbJlzRYcyRU2NKiouKcX0zk&#10;6oUMOw7LdbtZHba5e/yRPik1+AjzHxCegv8Pv9u/WkH6ncLrTDwCcvo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BSWDwgAAANwAAAAPAAAAAAAAAAAAAAAAAJgCAABkcnMvZG93&#10;bnJldi54bWxQSwUGAAAAAAQABAD1AAAAhwMAAAAA&#10;" fillcolor="#fabf8f [1945]" strokecolor="black [3213]" strokeweight="1.5pt">
                  <v:fill color2="#fabf8f [1945]" rotate="t" angle="225" colors="0 #ffd5ad;.5 #ffe3cc;1 #fff1e5" focus="100%" type="gradient"/>
                  <v:textbox>
                    <w:txbxContent>
                      <w:p w14:paraId="318664D4"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5</w:t>
                        </w:r>
                      </w:p>
                      <w:p w14:paraId="0BD6E406" w14:textId="77777777" w:rsidR="00330D5F" w:rsidRPr="000B35D4" w:rsidRDefault="00330D5F" w:rsidP="006C7B37">
                        <w:pPr>
                          <w:spacing w:after="0" w:line="240" w:lineRule="auto"/>
                          <w:jc w:val="center"/>
                          <w:rPr>
                            <w:b/>
                            <w:color w:val="1D1B11" w:themeColor="background2" w:themeShade="1A"/>
                            <w:sz w:val="18"/>
                          </w:rPr>
                        </w:pPr>
                        <w:r>
                          <w:rPr>
                            <w:b/>
                            <w:color w:val="1D1B11" w:themeColor="background2" w:themeShade="1A"/>
                          </w:rPr>
                          <w:t>Progressive</w:t>
                        </w:r>
                        <w:r w:rsidRPr="00CA38BB">
                          <w:rPr>
                            <w:b/>
                            <w:color w:val="1D1B11" w:themeColor="background2" w:themeShade="1A"/>
                          </w:rPr>
                          <w:t xml:space="preserve"> </w:t>
                        </w:r>
                        <w:r>
                          <w:rPr>
                            <w:b/>
                            <w:color w:val="1D1B11" w:themeColor="background2" w:themeShade="1A"/>
                          </w:rPr>
                          <w:t>n</w:t>
                        </w:r>
                        <w:r w:rsidRPr="00CA38BB">
                          <w:rPr>
                            <w:b/>
                            <w:color w:val="1D1B11" w:themeColor="background2" w:themeShade="1A"/>
                          </w:rPr>
                          <w:t>arrative</w:t>
                        </w:r>
                        <w:r>
                          <w:rPr>
                            <w:b/>
                            <w:color w:val="1D1B11" w:themeColor="background2" w:themeShade="1A"/>
                          </w:rPr>
                          <w:t>s</w:t>
                        </w:r>
                      </w:p>
                      <w:p w14:paraId="4DF666D6" w14:textId="77777777" w:rsidR="00330D5F" w:rsidRDefault="00330D5F" w:rsidP="006C7B37">
                        <w:pPr>
                          <w:spacing w:after="0" w:line="240" w:lineRule="auto"/>
                          <w:jc w:val="center"/>
                          <w:rPr>
                            <w:color w:val="1D1B11" w:themeColor="background2" w:themeShade="1A"/>
                          </w:rPr>
                        </w:pPr>
                        <w:r>
                          <w:rPr>
                            <w:color w:val="1D1B11" w:themeColor="background2" w:themeShade="1A"/>
                          </w:rPr>
                          <w:t>Having goals and direction</w:t>
                        </w:r>
                      </w:p>
                      <w:p w14:paraId="00D4037A" w14:textId="77777777" w:rsidR="00330D5F" w:rsidRDefault="00330D5F" w:rsidP="006C7B37">
                        <w:pPr>
                          <w:spacing w:after="0" w:line="240" w:lineRule="auto"/>
                          <w:jc w:val="center"/>
                          <w:rPr>
                            <w:color w:val="1D1B11" w:themeColor="background2" w:themeShade="1A"/>
                          </w:rPr>
                        </w:pPr>
                        <w:r>
                          <w:rPr>
                            <w:color w:val="1D1B11" w:themeColor="background2" w:themeShade="1A"/>
                          </w:rPr>
                          <w:t>Feeling better</w:t>
                        </w:r>
                      </w:p>
                      <w:p w14:paraId="609609BA" w14:textId="77777777" w:rsidR="00330D5F" w:rsidRPr="008743F0" w:rsidRDefault="00330D5F" w:rsidP="006C7B37">
                        <w:pPr>
                          <w:spacing w:after="0" w:line="240" w:lineRule="auto"/>
                          <w:jc w:val="center"/>
                          <w:rPr>
                            <w:color w:val="1D1B11" w:themeColor="background2" w:themeShade="1A"/>
                          </w:rPr>
                        </w:pPr>
                        <w:r>
                          <w:rPr>
                            <w:color w:val="1D1B11" w:themeColor="background2" w:themeShade="1A"/>
                          </w:rPr>
                          <w:t>Connecting with community and others</w:t>
                        </w:r>
                      </w:p>
                    </w:txbxContent>
                  </v:textbox>
                </v:rect>
                <v:rect id="Rectangle 295" o:spid="_x0000_s1045" style="position:absolute;left:35443;top:3251;width:17691;height:9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LQMYA&#10;AADcAAAADwAAAGRycy9kb3ducmV2LnhtbESPT2vCQBTE7wW/w/IEb3WjoNToKipUgkjBPwe9PbLP&#10;JJp9m2ZXjX76bqHQ4zAzv2Ems8aU4k61Kywr6HUjEMSp1QVnCg77z/cPEM4jaywtk4InOZhNW28T&#10;jLV98JbuO5+JAGEXo4Lc+yqW0qU5GXRdWxEH72xrgz7IOpO6xkeAm1L2o2goDRYcFnKsaJlTet3d&#10;jIKv9eI4OH376HVJX8ON3CYLt0qU6rSb+RiEp8b/h//aiVbQHw3g90w4AnL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BLQMYAAADcAAAADwAAAAAAAAAAAAAAAACYAgAAZHJz&#10;L2Rvd25yZXYueG1sUEsFBgAAAAAEAAQA9QAAAIsDAAAAAA==&#10;" fillcolor="#c6d9f1 [671]" strokecolor="black [3213]" strokeweight="2.25pt">
                  <v:textbox>
                    <w:txbxContent>
                      <w:p w14:paraId="77001D6E" w14:textId="77777777" w:rsidR="00330D5F" w:rsidRDefault="00330D5F" w:rsidP="006C7B37">
                        <w:pPr>
                          <w:spacing w:after="0" w:line="240" w:lineRule="auto"/>
                          <w:jc w:val="center"/>
                          <w:rPr>
                            <w:b/>
                            <w:color w:val="1D1B11" w:themeColor="background2" w:themeShade="1A"/>
                          </w:rPr>
                        </w:pPr>
                        <w:r>
                          <w:rPr>
                            <w:b/>
                            <w:color w:val="1D1B11" w:themeColor="background2" w:themeShade="1A"/>
                          </w:rPr>
                          <w:t>Stage 3</w:t>
                        </w:r>
                      </w:p>
                      <w:p w14:paraId="5A75E9BD" w14:textId="77777777" w:rsidR="00330D5F" w:rsidRPr="007351F8" w:rsidRDefault="00330D5F" w:rsidP="006C7B37">
                        <w:pPr>
                          <w:spacing w:after="0" w:line="240" w:lineRule="auto"/>
                          <w:jc w:val="center"/>
                          <w:rPr>
                            <w:b/>
                            <w:color w:val="1D1B11" w:themeColor="background2" w:themeShade="1A"/>
                          </w:rPr>
                        </w:pPr>
                        <w:r w:rsidRPr="007351F8">
                          <w:rPr>
                            <w:b/>
                            <w:color w:val="1D1B11" w:themeColor="background2" w:themeShade="1A"/>
                          </w:rPr>
                          <w:t>Traditional services</w:t>
                        </w:r>
                      </w:p>
                      <w:p w14:paraId="7894DD56" w14:textId="77777777" w:rsidR="00330D5F" w:rsidRPr="00F97877" w:rsidRDefault="00330D5F" w:rsidP="006C7B37">
                        <w:pPr>
                          <w:spacing w:after="0" w:line="240" w:lineRule="auto"/>
                          <w:jc w:val="center"/>
                          <w:rPr>
                            <w:color w:val="1D1B11" w:themeColor="background2" w:themeShade="1A"/>
                          </w:rPr>
                        </w:pPr>
                        <w:r w:rsidRPr="007351F8">
                          <w:rPr>
                            <w:b/>
                            <w:color w:val="1D1B11" w:themeColor="background2" w:themeShade="1A"/>
                          </w:rPr>
                          <w:t>Limits of traditional service</w:t>
                        </w:r>
                        <w:r w:rsidRPr="00E60E49">
                          <w:rPr>
                            <w:color w:val="1D1B11" w:themeColor="background2" w:themeShade="1A"/>
                          </w:rPr>
                          <w:t>s</w:t>
                        </w:r>
                      </w:p>
                    </w:txbxContent>
                  </v:textbox>
                </v:rect>
                <w10:wrap anchorx="page"/>
              </v:group>
            </w:pict>
          </mc:Fallback>
        </mc:AlternateContent>
      </w:r>
    </w:p>
    <w:p w14:paraId="2AF14DC8" w14:textId="77777777" w:rsidR="006C7B37" w:rsidRPr="008B68A9" w:rsidRDefault="006C7B37" w:rsidP="006C7B37">
      <w:pPr>
        <w:spacing w:line="276" w:lineRule="auto"/>
        <w:rPr>
          <w:rFonts w:cs="Arial"/>
          <w:bCs/>
          <w:szCs w:val="24"/>
        </w:rPr>
      </w:pPr>
    </w:p>
    <w:p w14:paraId="0641AD4E" w14:textId="77777777" w:rsidR="006C7B37" w:rsidRPr="008B68A9" w:rsidRDefault="006C7B37" w:rsidP="006C7B37">
      <w:pPr>
        <w:spacing w:line="276" w:lineRule="auto"/>
        <w:rPr>
          <w:rFonts w:cs="Arial"/>
          <w:bCs/>
          <w:szCs w:val="24"/>
        </w:rPr>
      </w:pPr>
    </w:p>
    <w:p w14:paraId="20A22CEE" w14:textId="77777777" w:rsidR="006C7B37" w:rsidRPr="008B68A9" w:rsidRDefault="006C7B37" w:rsidP="006C7B37">
      <w:pPr>
        <w:spacing w:line="276" w:lineRule="auto"/>
        <w:rPr>
          <w:rFonts w:cs="Arial"/>
          <w:bCs/>
          <w:szCs w:val="24"/>
        </w:rPr>
      </w:pPr>
    </w:p>
    <w:p w14:paraId="08A264A8" w14:textId="77777777" w:rsidR="006C7B37" w:rsidRPr="008B68A9" w:rsidRDefault="006C7B37" w:rsidP="006C7B37">
      <w:pPr>
        <w:spacing w:line="276" w:lineRule="auto"/>
        <w:rPr>
          <w:rFonts w:cs="Arial"/>
          <w:bCs/>
          <w:szCs w:val="24"/>
        </w:rPr>
      </w:pPr>
    </w:p>
    <w:p w14:paraId="58FC2B5D" w14:textId="77777777" w:rsidR="006C7B37" w:rsidRPr="008B68A9" w:rsidRDefault="006C7B37" w:rsidP="006C7B37">
      <w:pPr>
        <w:spacing w:line="276" w:lineRule="auto"/>
        <w:rPr>
          <w:rFonts w:cs="Arial"/>
          <w:bCs/>
          <w:szCs w:val="24"/>
        </w:rPr>
      </w:pPr>
    </w:p>
    <w:p w14:paraId="5D1880AD" w14:textId="77777777" w:rsidR="006C7B37" w:rsidRPr="008B68A9" w:rsidRDefault="006C7B37" w:rsidP="006C7B37">
      <w:pPr>
        <w:spacing w:line="276" w:lineRule="auto"/>
        <w:rPr>
          <w:rFonts w:cs="Arial"/>
          <w:bCs/>
          <w:szCs w:val="24"/>
        </w:rPr>
      </w:pPr>
    </w:p>
    <w:p w14:paraId="100D4A49" w14:textId="77777777" w:rsidR="006C7B37" w:rsidRPr="008B68A9" w:rsidRDefault="006C7B37" w:rsidP="006C7B37">
      <w:pPr>
        <w:spacing w:line="276" w:lineRule="auto"/>
        <w:rPr>
          <w:rFonts w:cs="Arial"/>
          <w:bCs/>
          <w:szCs w:val="24"/>
        </w:rPr>
      </w:pPr>
    </w:p>
    <w:p w14:paraId="68E79966" w14:textId="77777777" w:rsidR="006C7B37" w:rsidRPr="008B68A9" w:rsidRDefault="006C7B37" w:rsidP="006C7B37">
      <w:pPr>
        <w:spacing w:line="276" w:lineRule="auto"/>
        <w:rPr>
          <w:rFonts w:cs="Arial"/>
          <w:bCs/>
          <w:szCs w:val="24"/>
        </w:rPr>
      </w:pPr>
    </w:p>
    <w:p w14:paraId="17F4D7D1" w14:textId="77777777" w:rsidR="006C7B37" w:rsidRPr="008B68A9" w:rsidRDefault="006C7B37" w:rsidP="006C7B37">
      <w:pPr>
        <w:spacing w:line="276" w:lineRule="auto"/>
        <w:rPr>
          <w:rFonts w:cs="Arial"/>
          <w:bCs/>
          <w:szCs w:val="24"/>
        </w:rPr>
      </w:pPr>
    </w:p>
    <w:p w14:paraId="270826C6" w14:textId="77777777" w:rsidR="006C7B37" w:rsidRPr="008B68A9" w:rsidRDefault="006C7B37" w:rsidP="006C7B37">
      <w:pPr>
        <w:spacing w:line="276" w:lineRule="auto"/>
        <w:rPr>
          <w:rFonts w:cs="Arial"/>
          <w:bCs/>
          <w:szCs w:val="24"/>
        </w:rPr>
      </w:pPr>
    </w:p>
    <w:p w14:paraId="7EC43618" w14:textId="40BAC4D0" w:rsidR="006C7B37" w:rsidRPr="008B68A9" w:rsidRDefault="006C7B37" w:rsidP="006C7B37">
      <w:pPr>
        <w:spacing w:line="276" w:lineRule="auto"/>
        <w:rPr>
          <w:rFonts w:cs="Arial"/>
          <w:bCs/>
          <w:szCs w:val="24"/>
        </w:rPr>
      </w:pPr>
    </w:p>
    <w:p w14:paraId="202040C4" w14:textId="4E9C712E" w:rsidR="00F071FA" w:rsidRPr="008B68A9" w:rsidRDefault="00F071FA" w:rsidP="006C7B37">
      <w:pPr>
        <w:spacing w:line="276" w:lineRule="auto"/>
        <w:rPr>
          <w:rFonts w:cs="Arial"/>
          <w:bCs/>
          <w:szCs w:val="24"/>
        </w:rPr>
      </w:pPr>
    </w:p>
    <w:p w14:paraId="7F584E1B" w14:textId="62AECBFF" w:rsidR="00826A59" w:rsidRPr="008B68A9" w:rsidRDefault="002503A7" w:rsidP="006C7B37">
      <w:pPr>
        <w:spacing w:line="276" w:lineRule="auto"/>
        <w:rPr>
          <w:rFonts w:cs="Arial"/>
          <w:bCs/>
          <w:szCs w:val="24"/>
        </w:rPr>
      </w:pPr>
      <w:r w:rsidRPr="008B68A9">
        <w:rPr>
          <w:noProof/>
          <w:lang w:eastAsia="en-GB"/>
        </w:rPr>
        <mc:AlternateContent>
          <mc:Choice Requires="wps">
            <w:drawing>
              <wp:anchor distT="0" distB="0" distL="114300" distR="114300" simplePos="0" relativeHeight="251657216" behindDoc="0" locked="0" layoutInCell="1" allowOverlap="1" wp14:anchorId="6DDE7DAB" wp14:editId="2248EA80">
                <wp:simplePos x="0" y="0"/>
                <wp:positionH relativeFrom="margin">
                  <wp:posOffset>-197857</wp:posOffset>
                </wp:positionH>
                <wp:positionV relativeFrom="paragraph">
                  <wp:posOffset>239347</wp:posOffset>
                </wp:positionV>
                <wp:extent cx="7556739" cy="453542"/>
                <wp:effectExtent l="0" t="19050" r="44450" b="41910"/>
                <wp:wrapNone/>
                <wp:docPr id="327" name="Right Arrow 327"/>
                <wp:cNvGraphicFramePr/>
                <a:graphic xmlns:a="http://schemas.openxmlformats.org/drawingml/2006/main">
                  <a:graphicData uri="http://schemas.microsoft.com/office/word/2010/wordprocessingShape">
                    <wps:wsp>
                      <wps:cNvSpPr/>
                      <wps:spPr>
                        <a:xfrm>
                          <a:off x="0" y="0"/>
                          <a:ext cx="7556739" cy="453542"/>
                        </a:xfrm>
                        <a:prstGeom prst="rightArrow">
                          <a:avLst/>
                        </a:prstGeom>
                        <a:solidFill>
                          <a:schemeClr val="bg2">
                            <a:lumMod val="9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FC18BE" w14:textId="77777777" w:rsidR="00330D5F" w:rsidRPr="006C0D8F" w:rsidRDefault="00330D5F" w:rsidP="006C7B37">
                            <w:pPr>
                              <w:jc w:val="center"/>
                              <w:rPr>
                                <w:color w:val="000000" w:themeColor="text1"/>
                                <w:sz w:val="20"/>
                              </w:rPr>
                            </w:pPr>
                            <w:r w:rsidRPr="006C0D8F">
                              <w:rPr>
                                <w:color w:val="000000" w:themeColor="text1"/>
                                <w:sz w:val="20"/>
                              </w:rPr>
                              <w:t>Temporal direction of coding formation</w:t>
                            </w:r>
                          </w:p>
                          <w:p w14:paraId="3F4DE519" w14:textId="77777777" w:rsidR="00330D5F" w:rsidRDefault="00330D5F" w:rsidP="006C7B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DE7DAB" id="Right Arrow 327" o:spid="_x0000_s1046" type="#_x0000_t13" style="position:absolute;margin-left:-15.6pt;margin-top:18.85pt;width:595pt;height:35.7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WavAIAAPgFAAAOAAAAZHJzL2Uyb0RvYy54bWysVMFu2zAMvQ/YPwi6r07cuGmCOkXQosOA&#10;bi3aDj0rshwbkEVNUmJnXz9Ksp2263YYloMiiuQj+Uzy4rJrJNkLY2tQOZ2eTCgRikNRq21Ovz/d&#10;fDqnxDqmCiZBiZwehKWXq48fLlq9FClUIAthCIIou2x1Tivn9DJJLK9Ew+wJaKFQWYJpmEPRbJPC&#10;sBbRG5mkk8lZ0oIptAEurMXX66ikq4BfloK7u7K0whGZU8zNhdOEc+PPZHXBllvDdFXzPg32D1k0&#10;rFYYdIS6Zo6Rnal/g2pqbsBC6U44NAmUZc1FqAGrmU7eVPNYMS1CLUiO1SNN9v/B8m/7e0PqIqen&#10;6ZwSxRr8SA/1tnJkbQy0xD8jSa22S7R91PemlyxefcVdaRr/j7WQLhB7GIkVnSMcH+dZdjY/XVDC&#10;UTfLTrNZ6kGTo7c21n0W0BB/yanxGYQEAqtsf2tddBgMfUgLsi5uaimD4FtGXElD9gw/9mabBle5&#10;a75CEd8WE/z1gUOHefOQxiskqUib00WWZgHhlW50i4iumw54x1ywLKkQ1nMWWQo3d5DCJyrVgyiR&#10;cuQlpvgGk3EulJvG2BUrRAyV/TH5AOiRS6RixO4BXrMyYEcue3vvKsKsjM6TGP1vzqNHiAzKjc5N&#10;rcC8ByCxqj5ytB9IitR4lly36UI7Ts+9qX/aQHHAHjUQh9dqflNjk9wy6+6ZwWnFucYN5O7wKCXg&#10;p4P+RkkF5ud7794ehwi1lLQ4/Tm1P3bMCErkF4XjtZjOZn5dBGGWzVMUzEvN5qVG7ZorwJ6b4q7T&#10;PFy9vZPDtTTQPOOiWvuoqGKKY+yccmcG4crFrYSrjov1OpjhitDM3apHzT24J9q3/1P3zIzuJ8Xh&#10;jH2DYVOw5ZtRibbeU8F656Cswxwdee0/Aa6XMAj9KvT766UcrI4Le/ULAAD//wMAUEsDBBQABgAI&#10;AAAAIQC26Oq54gAAAAsBAAAPAAAAZHJzL2Rvd25yZXYueG1sTI/dToNAEEbvTXyHzZh41y602FZk&#10;aSyJsU1jTH8eYIERiOwsYbcU397pld7NZE6+OV+yHk0rBuxdY0lBOA1AIBW2bKhScD69TVYgnNdU&#10;6tYSKvhBB+v0/i7RcWmvdMDh6CvBIeRiraD2vouldEWNRrup7ZD49mV7oz2vfSXLXl853LRyFgQL&#10;aXRD/KHWHWY1Ft/Hi1Gw22/yjyzfN1E2LN63ny6KNuetUo8P4+sLCI+j/4Phps/qkLJTbi9UOtEq&#10;mMzDGaMK5ssliBsQPq24TM5T8ByCTBP5v0P6CwAA//8DAFBLAQItABQABgAIAAAAIQC2gziS/gAA&#10;AOEBAAATAAAAAAAAAAAAAAAAAAAAAABbQ29udGVudF9UeXBlc10ueG1sUEsBAi0AFAAGAAgAAAAh&#10;ADj9If/WAAAAlAEAAAsAAAAAAAAAAAAAAAAALwEAAF9yZWxzLy5yZWxzUEsBAi0AFAAGAAgAAAAh&#10;APf4RZq8AgAA+AUAAA4AAAAAAAAAAAAAAAAALgIAAGRycy9lMm9Eb2MueG1sUEsBAi0AFAAGAAgA&#10;AAAhALbo6rniAAAACwEAAA8AAAAAAAAAAAAAAAAAFgUAAGRycy9kb3ducmV2LnhtbFBLBQYAAAAA&#10;BAAEAPMAAAAlBgAAAAA=&#10;" adj="20952" fillcolor="#ddd8c2 [2894]" strokecolor="black [3213]">
                <v:textbox>
                  <w:txbxContent>
                    <w:p w14:paraId="01FC18BE" w14:textId="77777777" w:rsidR="00330D5F" w:rsidRPr="006C0D8F" w:rsidRDefault="00330D5F" w:rsidP="006C7B37">
                      <w:pPr>
                        <w:jc w:val="center"/>
                        <w:rPr>
                          <w:color w:val="000000" w:themeColor="text1"/>
                          <w:sz w:val="20"/>
                        </w:rPr>
                      </w:pPr>
                      <w:r w:rsidRPr="006C0D8F">
                        <w:rPr>
                          <w:color w:val="000000" w:themeColor="text1"/>
                          <w:sz w:val="20"/>
                        </w:rPr>
                        <w:t>Temporal direction of coding formation</w:t>
                      </w:r>
                    </w:p>
                    <w:p w14:paraId="3F4DE519" w14:textId="77777777" w:rsidR="00330D5F" w:rsidRDefault="00330D5F" w:rsidP="006C7B37">
                      <w:pPr>
                        <w:jc w:val="center"/>
                      </w:pPr>
                    </w:p>
                  </w:txbxContent>
                </v:textbox>
                <w10:wrap anchorx="margin"/>
              </v:shape>
            </w:pict>
          </mc:Fallback>
        </mc:AlternateContent>
      </w:r>
    </w:p>
    <w:p w14:paraId="6732A6FE" w14:textId="77777777" w:rsidR="002503A7" w:rsidRPr="008B68A9" w:rsidRDefault="002503A7" w:rsidP="00826A59">
      <w:pPr>
        <w:pStyle w:val="9afigurecaption"/>
      </w:pPr>
    </w:p>
    <w:p w14:paraId="79B96FF2" w14:textId="4F95E840" w:rsidR="00826A59" w:rsidRPr="008B68A9" w:rsidRDefault="00826A59" w:rsidP="002503A7">
      <w:pPr>
        <w:pStyle w:val="9afigurecaption"/>
        <w:sectPr w:rsidR="00826A59" w:rsidRPr="008B68A9" w:rsidSect="002E271A">
          <w:pgSz w:w="16838" w:h="11906" w:orient="landscape"/>
          <w:pgMar w:top="1418" w:right="1440" w:bottom="1985" w:left="1440" w:header="709" w:footer="709" w:gutter="0"/>
          <w:cols w:space="708"/>
          <w:docGrid w:linePitch="360"/>
        </w:sectPr>
      </w:pPr>
      <w:bookmarkStart w:id="240" w:name="_Toc466799819"/>
      <w:r w:rsidRPr="008B68A9">
        <w:t>Figure 3: Coding development</w:t>
      </w:r>
      <w:bookmarkEnd w:id="240"/>
    </w:p>
    <w:p w14:paraId="63F14FD6" w14:textId="77777777" w:rsidR="006C7B37" w:rsidRPr="008B68A9" w:rsidRDefault="006C7B37" w:rsidP="006C7B37">
      <w:pPr>
        <w:pStyle w:val="8unnumberedcross-head"/>
      </w:pPr>
      <w:r w:rsidRPr="008B68A9">
        <w:lastRenderedPageBreak/>
        <w:t>Sample</w:t>
      </w:r>
    </w:p>
    <w:p w14:paraId="3B90B80F" w14:textId="04814E7C" w:rsidR="006C7B37" w:rsidRPr="008B68A9" w:rsidRDefault="006C7B37" w:rsidP="002F0FD7">
      <w:pPr>
        <w:pStyle w:val="5arangedleft"/>
      </w:pPr>
      <w:r w:rsidRPr="008B68A9">
        <w:t xml:space="preserve">In keeping with </w:t>
      </w:r>
      <w:r w:rsidR="00096A5C" w:rsidRPr="008B68A9">
        <w:t xml:space="preserve">qualitative studies </w:t>
      </w:r>
      <w:r w:rsidR="00BE6EE4" w:rsidRPr="008B68A9">
        <w:t>using social constructionism</w:t>
      </w:r>
      <w:r w:rsidRPr="008B68A9">
        <w:t xml:space="preserve"> methods, sections of narrative were selected for their representativeness. This </w:t>
      </w:r>
      <w:r w:rsidR="00962B49" w:rsidRPr="008B68A9">
        <w:t>meant</w:t>
      </w:r>
      <w:r w:rsidRPr="008B68A9">
        <w:t xml:space="preserve"> that</w:t>
      </w:r>
      <w:r w:rsidR="00962B49" w:rsidRPr="008B68A9">
        <w:t xml:space="preserve"> in</w:t>
      </w:r>
      <w:r w:rsidRPr="008B68A9">
        <w:t xml:space="preserve"> the excerpts that follow the narrative journeys and positioning between relevant participants engaged in personalisation activity</w:t>
      </w:r>
      <w:r w:rsidR="00962B49" w:rsidRPr="008B68A9">
        <w:t xml:space="preserve"> are shown</w:t>
      </w:r>
      <w:r w:rsidRPr="008B68A9">
        <w:t>. The</w:t>
      </w:r>
      <w:r w:rsidR="00962B49" w:rsidRPr="008B68A9">
        <w:t>se</w:t>
      </w:r>
      <w:r w:rsidRPr="008B68A9">
        <w:t xml:space="preserve"> exemplar narratives aim to present a credible sample of the overall </w:t>
      </w:r>
      <w:r w:rsidR="00962B49" w:rsidRPr="008B68A9">
        <w:t>sample</w:t>
      </w:r>
      <w:r w:rsidRPr="008B68A9">
        <w:t xml:space="preserve">. </w:t>
      </w:r>
      <w:r w:rsidR="00962B49" w:rsidRPr="008B68A9">
        <w:t>S</w:t>
      </w:r>
      <w:r w:rsidRPr="008B68A9">
        <w:t>ix narratives show the formation and di</w:t>
      </w:r>
      <w:r w:rsidR="00962B49" w:rsidRPr="008B68A9">
        <w:t xml:space="preserve">rection of narrative trajectory, </w:t>
      </w:r>
      <w:r w:rsidRPr="008B68A9">
        <w:t xml:space="preserve">developing </w:t>
      </w:r>
      <w:r w:rsidR="009A7254" w:rsidRPr="008B68A9">
        <w:t>story-line</w:t>
      </w:r>
      <w:r w:rsidRPr="008B68A9">
        <w:t xml:space="preserve"> and positioning towards personalisation. The sample from was purposive, and serves to describe some of the complex interactions and adjustments demanded by personalisation.</w:t>
      </w:r>
    </w:p>
    <w:p w14:paraId="39F1DFD5" w14:textId="6B0EE5F1" w:rsidR="006C7B37" w:rsidRPr="008B68A9" w:rsidRDefault="006C7B37" w:rsidP="002F0FD7">
      <w:pPr>
        <w:pStyle w:val="5arangedleft"/>
      </w:pPr>
      <w:r w:rsidRPr="008B68A9">
        <w:t xml:space="preserve">The narrative journeys will be </w:t>
      </w:r>
      <w:r w:rsidR="00962B49" w:rsidRPr="008B68A9">
        <w:t xml:space="preserve">presented </w:t>
      </w:r>
      <w:r w:rsidRPr="008B68A9">
        <w:t xml:space="preserve">through </w:t>
      </w:r>
      <w:r w:rsidR="00962B49" w:rsidRPr="008B68A9">
        <w:t xml:space="preserve">the stories of </w:t>
      </w:r>
      <w:r w:rsidRPr="008B68A9">
        <w:t xml:space="preserve">Paul, Tammy, Marcus, Carys, Colin. Paul and Tammy </w:t>
      </w:r>
      <w:r w:rsidR="00962B49" w:rsidRPr="008B68A9">
        <w:t xml:space="preserve">were </w:t>
      </w:r>
      <w:r w:rsidRPr="008B68A9">
        <w:t xml:space="preserve">both service users though with </w:t>
      </w:r>
      <w:r w:rsidR="00962B49" w:rsidRPr="008B68A9">
        <w:t>differing presenting needs. T</w:t>
      </w:r>
      <w:r w:rsidRPr="008B68A9">
        <w:t xml:space="preserve">wo </w:t>
      </w:r>
      <w:r w:rsidR="00962B49" w:rsidRPr="008B68A9">
        <w:t>professionals’ narratives</w:t>
      </w:r>
      <w:r w:rsidRPr="008B68A9">
        <w:t xml:space="preserve">, Carys and Colin, reveal their identity work as individual budgets </w:t>
      </w:r>
      <w:r w:rsidR="00962B49" w:rsidRPr="008B68A9">
        <w:t>were piloted in their service</w:t>
      </w:r>
      <w:r w:rsidRPr="008B68A9">
        <w:t>. A broker’s narrative highlights their role in relation to positioning and brokerage action.</w:t>
      </w:r>
      <w:r w:rsidR="00096A5C" w:rsidRPr="008B68A9">
        <w:t xml:space="preserve"> C</w:t>
      </w:r>
      <w:r w:rsidRPr="008B68A9">
        <w:t>arer perspectives provide the</w:t>
      </w:r>
      <w:r w:rsidR="00962B49" w:rsidRPr="008B68A9">
        <w:t>ir</w:t>
      </w:r>
      <w:r w:rsidRPr="008B68A9">
        <w:t xml:space="preserve"> personalisation and individual budgets</w:t>
      </w:r>
      <w:r w:rsidR="00962B49" w:rsidRPr="008B68A9">
        <w:t xml:space="preserve"> story-line</w:t>
      </w:r>
      <w:r w:rsidRPr="008B68A9">
        <w:t>. In addition where appropriate, other narratives</w:t>
      </w:r>
      <w:r w:rsidR="00096A5C" w:rsidRPr="008B68A9">
        <w:t xml:space="preserve"> from the collective case study are drawn </w:t>
      </w:r>
      <w:r w:rsidRPr="008B68A9">
        <w:t>where these accounts highlight an issue or juncture of relevance.</w:t>
      </w:r>
      <w:r w:rsidR="00E80F8E" w:rsidRPr="008B68A9">
        <w:t xml:space="preserve"> The sections below follow </w:t>
      </w:r>
      <w:r w:rsidR="00BE6EE4" w:rsidRPr="008B68A9">
        <w:t>the process outlined</w:t>
      </w:r>
      <w:r w:rsidR="00E80F8E" w:rsidRPr="008B68A9">
        <w:t xml:space="preserve"> </w:t>
      </w:r>
      <w:r w:rsidR="00BE6EE4" w:rsidRPr="008B68A9">
        <w:t>in</w:t>
      </w:r>
      <w:r w:rsidR="00E80F8E" w:rsidRPr="008B68A9">
        <w:t xml:space="preserve"> </w:t>
      </w:r>
      <w:r w:rsidR="00BE6EE4" w:rsidRPr="008B68A9">
        <w:t>figure 3, (presented on page 166</w:t>
      </w:r>
      <w:r w:rsidR="00E80F8E" w:rsidRPr="008B68A9">
        <w:t>).</w:t>
      </w:r>
    </w:p>
    <w:p w14:paraId="0F24B3B1" w14:textId="168709DA" w:rsidR="006C7B37" w:rsidRPr="008B68A9" w:rsidRDefault="006C7B37" w:rsidP="006C7B37">
      <w:pPr>
        <w:pStyle w:val="2L2header"/>
      </w:pPr>
      <w:bookmarkStart w:id="241" w:name="_Toc466800367"/>
      <w:r w:rsidRPr="008B68A9">
        <w:t>6.3 Regressive trajectory</w:t>
      </w:r>
      <w:bookmarkEnd w:id="241"/>
    </w:p>
    <w:p w14:paraId="0E0E4174" w14:textId="77777777" w:rsidR="006C7B37" w:rsidRPr="008B68A9" w:rsidRDefault="006C7B37" w:rsidP="002F0FD7">
      <w:pPr>
        <w:pStyle w:val="5arangedleft"/>
      </w:pPr>
      <w:r w:rsidRPr="008B68A9">
        <w:t>Paul had experienced a first onset psychosis which resulted in his admission to an acute mental health unit; upon discharge, his continuing care was passed to the EIT. Following referral to the individual recovery budget project, his first interview narrative portrayed his world within a regressive trajectory, demonstrating isolation and stress:</w:t>
      </w:r>
    </w:p>
    <w:p w14:paraId="53F1C2CD" w14:textId="77777777" w:rsidR="006C7B37" w:rsidRPr="008B68A9" w:rsidRDefault="006C7B37" w:rsidP="002F0FD7">
      <w:pPr>
        <w:pStyle w:val="6bblockquoteitalic"/>
      </w:pPr>
      <w:r w:rsidRPr="008B68A9">
        <w:t>Well I’d become increasingly unwell... I began hearing voices and er… I became unwell and this continued… and eventually it resulted in myself being hospitalised… and then I was hospitalised for a week and a half and I was diagnosed with first case psychosis… I was disillusioned as well with everything that was going on and I was fighting my own corner so to speak and everything, was going through a horrible time…</w:t>
      </w:r>
    </w:p>
    <w:p w14:paraId="7CCB0D22" w14:textId="77777777" w:rsidR="006C7B37" w:rsidRPr="008B68A9" w:rsidRDefault="006C7B37" w:rsidP="002F0FD7">
      <w:pPr>
        <w:pStyle w:val="5arangedleft"/>
      </w:pPr>
      <w:r w:rsidRPr="008B68A9">
        <w:lastRenderedPageBreak/>
        <w:t>Paul’s account locates the events in his former self, though at the time of interview he had begun support planning processes with the independent broker, though not received the budget.</w:t>
      </w:r>
    </w:p>
    <w:p w14:paraId="14C3C951" w14:textId="77777777" w:rsidR="006C7B37" w:rsidRPr="008B68A9" w:rsidRDefault="006C7B37" w:rsidP="002F0FD7">
      <w:pPr>
        <w:pStyle w:val="5arangedleft"/>
      </w:pPr>
      <w:r w:rsidRPr="008B68A9">
        <w:t>The second user narrative is drawn from site four, evaluating individual budgets for people in substance misuse services. Tammy’s addictions, involving alcohol and other substances including heroin, have featured heavily in her life. She lives in a partnership where addiction is present with a grown son with whom she has a complicated relationship. Tammy had begun the support planning process with the broker seconded from probation services. In Tammy’s first interview, her regressive narrative trajectory is portrayed, living in an abusive relationship with a methadone dependent partner. Tammy desires for a normal relationship for herself and her son, though sees no immediate opportunity to change her circumstance resulting in low mood and sense of hopelessness:</w:t>
      </w:r>
    </w:p>
    <w:p w14:paraId="360ED48F" w14:textId="77777777" w:rsidR="006C7B37" w:rsidRPr="008B68A9" w:rsidRDefault="006C7B37" w:rsidP="002F0FD7">
      <w:pPr>
        <w:pStyle w:val="6bblockquoteitalic"/>
      </w:pPr>
      <w:r w:rsidRPr="008B68A9">
        <w:t>…it was my birthday and I just wanted to stay in and hide under the quilt and pretend that I didn’t exist. It would be easier if I didn’t exist but I do and not only that my son has said that… because he’s got no-one else if anything happens to me then he’s 18 but he’s got a few learning difficulties as well and he just says that if anything happens to me “I’m gonna kill myself”. And that, that… that really, really hurts… I want my relationship back with my son. He, [partner], keeps holding me back. So I’ve got different issues going on around the drug use. You know I’m living in my bedroom. I’m so depressed and cold down here. I’m so depressed, I’m living in my room. I want to get out…</w:t>
      </w:r>
    </w:p>
    <w:p w14:paraId="71FD4B43" w14:textId="77777777" w:rsidR="006C7B37" w:rsidRPr="008B68A9" w:rsidRDefault="006C7B37" w:rsidP="002F0FD7">
      <w:pPr>
        <w:pStyle w:val="5arangedleft"/>
      </w:pPr>
      <w:r w:rsidRPr="008B68A9">
        <w:t xml:space="preserve">When exploring carers’ narratives (from site three), the work of supporting and providing for their spouse or child was difficult to balance. Their role demanded much of them with little reprieve. Their regressive narrative centres on caring for the present, though coping, managing, now is well documented (Small </w:t>
      </w:r>
      <w:r w:rsidRPr="008B68A9">
        <w:rPr>
          <w:i/>
        </w:rPr>
        <w:t>et al.</w:t>
      </w:r>
      <w:r w:rsidRPr="008B68A9">
        <w:t xml:space="preserve"> 2010):</w:t>
      </w:r>
    </w:p>
    <w:p w14:paraId="1D3D36F6" w14:textId="77777777" w:rsidR="006C7B37" w:rsidRPr="008B68A9" w:rsidRDefault="006C7B37" w:rsidP="002F0FD7">
      <w:pPr>
        <w:pStyle w:val="6bblockquoteitalic"/>
      </w:pPr>
      <w:r w:rsidRPr="008B68A9">
        <w:t>It was really stressful because you know, having a busy life anyway and quite a stressful job where I did a lot of travelling. I was coming home and I felt like I had two full-time jobs because managing (Name)’s you know, sort of the whole process we were going through.</w:t>
      </w:r>
    </w:p>
    <w:p w14:paraId="50724B51" w14:textId="11F11AFF" w:rsidR="006C7B37" w:rsidRPr="008B68A9" w:rsidRDefault="006C7B37" w:rsidP="002F0FD7">
      <w:pPr>
        <w:pStyle w:val="5arangedleft"/>
      </w:pPr>
      <w:r w:rsidRPr="008B68A9">
        <w:t xml:space="preserve">Regressive narrative trajectories were not seen in the accounts of staff or brokers, such was their focus on the participants’ use of individual budgets, though the brokers clearly conveyed their understanding of </w:t>
      </w:r>
      <w:r w:rsidR="00BE6EE4" w:rsidRPr="008B68A9">
        <w:t xml:space="preserve">budget users’ </w:t>
      </w:r>
      <w:r w:rsidRPr="008B68A9">
        <w:t xml:space="preserve">regressive trajectories. </w:t>
      </w:r>
    </w:p>
    <w:p w14:paraId="4BC034FF" w14:textId="70DE3867" w:rsidR="006C7B37" w:rsidRPr="008B68A9" w:rsidRDefault="006C7B37" w:rsidP="006C7B37">
      <w:pPr>
        <w:pStyle w:val="2L2header"/>
      </w:pPr>
      <w:bookmarkStart w:id="242" w:name="_Toc413607836"/>
      <w:bookmarkStart w:id="243" w:name="_Toc413827470"/>
      <w:bookmarkStart w:id="244" w:name="_Toc466800368"/>
      <w:r w:rsidRPr="008B68A9">
        <w:lastRenderedPageBreak/>
        <w:t>6.4 Stability narrative</w:t>
      </w:r>
      <w:bookmarkEnd w:id="242"/>
      <w:bookmarkEnd w:id="243"/>
      <w:r w:rsidRPr="008B68A9">
        <w:t>s</w:t>
      </w:r>
      <w:bookmarkEnd w:id="244"/>
    </w:p>
    <w:p w14:paraId="27BDFAEC" w14:textId="23163975" w:rsidR="006C7B37" w:rsidRPr="008B68A9" w:rsidRDefault="006C7B37" w:rsidP="002F0FD7">
      <w:pPr>
        <w:pStyle w:val="5arangedleft"/>
      </w:pPr>
      <w:r w:rsidRPr="008B68A9">
        <w:t xml:space="preserve">Stability narratives (Gergen and Gergen 1986) were </w:t>
      </w:r>
      <w:r w:rsidR="00D060FF" w:rsidRPr="008B68A9">
        <w:t>observed</w:t>
      </w:r>
      <w:r w:rsidRPr="008B68A9">
        <w:t xml:space="preserve"> across the collective case, and though often expressed </w:t>
      </w:r>
      <w:r w:rsidR="00D060FF" w:rsidRPr="008B68A9">
        <w:t>as</w:t>
      </w:r>
      <w:r w:rsidRPr="008B68A9">
        <w:t xml:space="preserve"> an almost farcical account, they portrayed the narrator’s life that, whilst not desirable, was nevertheless predictable. For Tammy, </w:t>
      </w:r>
      <w:r w:rsidR="00D060FF" w:rsidRPr="008B68A9">
        <w:t xml:space="preserve">her </w:t>
      </w:r>
      <w:r w:rsidRPr="008B68A9">
        <w:t xml:space="preserve">stability narrative was seen in the context of her unchanging situation, her longing for family framed </w:t>
      </w:r>
      <w:r w:rsidR="00D060FF" w:rsidRPr="008B68A9">
        <w:t>through</w:t>
      </w:r>
      <w:r w:rsidRPr="008B68A9">
        <w:t xml:space="preserve"> the loss of her mother. The narrative shows less of</w:t>
      </w:r>
      <w:r w:rsidR="00D060FF" w:rsidRPr="008B68A9">
        <w:t xml:space="preserve"> a </w:t>
      </w:r>
      <w:r w:rsidRPr="008B68A9">
        <w:t>loss in a personal sense, but refers to her role of mother, and the meaning of family for her son who will never have a relationship with his grandmother:</w:t>
      </w:r>
    </w:p>
    <w:p w14:paraId="3E4FF2DF" w14:textId="77777777" w:rsidR="006C7B37" w:rsidRPr="008B68A9" w:rsidRDefault="006C7B37" w:rsidP="002F0FD7">
      <w:pPr>
        <w:pStyle w:val="6bblockquoteitalic"/>
      </w:pPr>
      <w:r w:rsidRPr="008B68A9">
        <w:t>I want to talk to them. Yeah I miss my family so much. I do. I miss my mum and I just want my mum back really and for Alex to have his gran back.</w:t>
      </w:r>
    </w:p>
    <w:p w14:paraId="1C252543" w14:textId="5D88E0D4" w:rsidR="006C7B37" w:rsidRPr="008B68A9" w:rsidRDefault="006C7B37" w:rsidP="002F0FD7">
      <w:pPr>
        <w:pStyle w:val="5arangedleft"/>
      </w:pPr>
      <w:r w:rsidRPr="008B68A9">
        <w:t xml:space="preserve">Paul’s stability narrative </w:t>
      </w:r>
      <w:r w:rsidR="00D060FF" w:rsidRPr="008B68A9">
        <w:t>was coded from his account of</w:t>
      </w:r>
      <w:r w:rsidRPr="008B68A9">
        <w:t xml:space="preserve"> his employment </w:t>
      </w:r>
      <w:r w:rsidR="00D060FF" w:rsidRPr="008B68A9">
        <w:t>status</w:t>
      </w:r>
      <w:r w:rsidRPr="008B68A9">
        <w:t xml:space="preserve"> </w:t>
      </w:r>
      <w:r w:rsidR="00D060FF" w:rsidRPr="008B68A9">
        <w:t xml:space="preserve">which he </w:t>
      </w:r>
      <w:r w:rsidRPr="008B68A9">
        <w:t>maintained despite poor physical health</w:t>
      </w:r>
      <w:r w:rsidR="00D060FF" w:rsidRPr="008B68A9">
        <w:t>;</w:t>
      </w:r>
      <w:r w:rsidRPr="008B68A9">
        <w:t xml:space="preserve"> which is powerfully yet succinctly expressed:</w:t>
      </w:r>
    </w:p>
    <w:p w14:paraId="5813436B" w14:textId="77777777" w:rsidR="006C7B37" w:rsidRPr="008B68A9" w:rsidRDefault="006C7B37" w:rsidP="002F0FD7">
      <w:pPr>
        <w:pStyle w:val="6bblockquoteitalic"/>
      </w:pPr>
      <w:r w:rsidRPr="008B68A9">
        <w:t>I mean…as I say it felt almost at one point as though the walls were closing in and I needed to sort of step outside myself so I could look sort of from the outside in.</w:t>
      </w:r>
    </w:p>
    <w:p w14:paraId="760E5608" w14:textId="679C1941" w:rsidR="006C7B37" w:rsidRPr="008B68A9" w:rsidRDefault="006C7B37" w:rsidP="002F0FD7">
      <w:pPr>
        <w:pStyle w:val="5arangedleft"/>
      </w:pPr>
      <w:r w:rsidRPr="008B68A9">
        <w:t>To represent one of the professionals from the collective case</w:t>
      </w:r>
      <w:r w:rsidR="00222AE2" w:rsidRPr="008B68A9">
        <w:t>,</w:t>
      </w:r>
      <w:r w:rsidRPr="008B68A9">
        <w:t xml:space="preserve"> the narrative of Colin</w:t>
      </w:r>
      <w:r w:rsidR="00096A5C" w:rsidRPr="008B68A9">
        <w:t xml:space="preserve"> has been chosen. He is </w:t>
      </w:r>
      <w:r w:rsidRPr="008B68A9">
        <w:t xml:space="preserve">an experienced mental health nurse with clinical and managerial responsibilities over an integrated community mental health team </w:t>
      </w:r>
      <w:r w:rsidR="00222AE2" w:rsidRPr="008B68A9">
        <w:t>from</w:t>
      </w:r>
      <w:r w:rsidRPr="008B68A9">
        <w:t xml:space="preserve"> site two.</w:t>
      </w:r>
      <w:r w:rsidR="00222AE2" w:rsidRPr="008B68A9">
        <w:t xml:space="preserve"> N</w:t>
      </w:r>
      <w:r w:rsidRPr="008B68A9">
        <w:t xml:space="preserve">arratives should be representative of </w:t>
      </w:r>
      <w:r w:rsidR="00222AE2" w:rsidRPr="008B68A9">
        <w:t xml:space="preserve">the </w:t>
      </w:r>
      <w:r w:rsidRPr="008B68A9">
        <w:t>issues and theme</w:t>
      </w:r>
      <w:r w:rsidR="00222AE2" w:rsidRPr="008B68A9">
        <w:t>s they attempt to highlight. Colin’s</w:t>
      </w:r>
      <w:r w:rsidRPr="008B68A9">
        <w:t xml:space="preserve"> </w:t>
      </w:r>
      <w:r w:rsidR="00222AE2" w:rsidRPr="008B68A9">
        <w:t>role</w:t>
      </w:r>
      <w:r w:rsidRPr="008B68A9">
        <w:t xml:space="preserve"> </w:t>
      </w:r>
      <w:r w:rsidR="00222AE2" w:rsidRPr="008B68A9">
        <w:t xml:space="preserve">included </w:t>
      </w:r>
      <w:r w:rsidRPr="008B68A9">
        <w:t>management functions, such as gatekeeping, resource allocation, risk and governance, as well as more nuanced functions of team culture, roles and identity</w:t>
      </w:r>
      <w:r w:rsidR="00222AE2" w:rsidRPr="008B68A9">
        <w:t>. Colin’s narrative therefore would be able to represent mental health practitioners’ identity work through change</w:t>
      </w:r>
      <w:r w:rsidRPr="008B68A9">
        <w:t xml:space="preserve">. Coupled with his organisational seniority, Colin </w:t>
      </w:r>
      <w:r w:rsidR="00222AE2" w:rsidRPr="008B68A9">
        <w:t>was</w:t>
      </w:r>
      <w:r w:rsidRPr="008B68A9">
        <w:t xml:space="preserve"> also a practitione</w:t>
      </w:r>
      <w:r w:rsidR="00222AE2" w:rsidRPr="008B68A9">
        <w:t>r with a case load, and performed</w:t>
      </w:r>
      <w:r w:rsidRPr="008B68A9">
        <w:t xml:space="preserve"> </w:t>
      </w:r>
      <w:r w:rsidR="00222AE2" w:rsidRPr="008B68A9">
        <w:t xml:space="preserve">roles and </w:t>
      </w:r>
      <w:r w:rsidRPr="008B68A9">
        <w:t xml:space="preserve">functions </w:t>
      </w:r>
      <w:r w:rsidR="00222AE2" w:rsidRPr="008B68A9">
        <w:t xml:space="preserve">with others </w:t>
      </w:r>
      <w:r w:rsidRPr="008B68A9">
        <w:t>under his management. His narrative and identity work allow an insight into the adaptation to working with personalisation in mental health. His narrative was taken from a focus group interview approximately nine months into the evaluation, facilitated by the research assistant and myself.</w:t>
      </w:r>
    </w:p>
    <w:p w14:paraId="3A2B3910" w14:textId="77777777" w:rsidR="002D6B21" w:rsidRPr="008B68A9" w:rsidRDefault="002D6B21" w:rsidP="002F0FD7">
      <w:pPr>
        <w:pStyle w:val="5arangedleft"/>
      </w:pPr>
    </w:p>
    <w:p w14:paraId="1F075BE8" w14:textId="2485B51D" w:rsidR="006C7B37" w:rsidRPr="008B68A9" w:rsidRDefault="006C7B37" w:rsidP="002F0FD7">
      <w:pPr>
        <w:pStyle w:val="5arangedleft"/>
      </w:pPr>
      <w:r w:rsidRPr="008B68A9">
        <w:lastRenderedPageBreak/>
        <w:t xml:space="preserve">Given his management role over some of the other group participants, the inclusion of Colin’s construction of personalisation </w:t>
      </w:r>
      <w:r w:rsidR="00222AE2" w:rsidRPr="008B68A9">
        <w:t>is representative of</w:t>
      </w:r>
      <w:r w:rsidRPr="008B68A9">
        <w:t xml:space="preserve"> views seen in other research with mental health nurse practitioners and managers (Unison 2011, Waters and Hatton 2014, NHS Confederation 2011), </w:t>
      </w:r>
      <w:r w:rsidR="00222AE2" w:rsidRPr="008B68A9">
        <w:t>that demonstrates</w:t>
      </w:r>
      <w:r w:rsidRPr="008B68A9">
        <w:t xml:space="preserve"> a sceptical stance towards personalisation. Other narratives from the collective case reflect similar themes to Colin, and it is important to appreciate that his constructions were shared by a number of practitioners and team level managers and that he has not been singled out. </w:t>
      </w:r>
      <w:r w:rsidR="004551DA" w:rsidRPr="008B68A9">
        <w:t>Figures 1 and 2 on pages 1</w:t>
      </w:r>
      <w:r w:rsidR="002D6B21" w:rsidRPr="008B68A9">
        <w:t>59 and 160</w:t>
      </w:r>
      <w:r w:rsidR="004551DA" w:rsidRPr="008B68A9">
        <w:t xml:space="preserve"> show the coding frequency for contingent narratives</w:t>
      </w:r>
      <w:r w:rsidRPr="008B68A9">
        <w:t>, demonstrating others held similar constructions. Below, Colin expresses the view that budget recipients wanted more than they deserved or more than the services could or should provide. His view is bound up in a professional gift model (Duffy 2010c), and notions of equity and deservedness and validity of voice discussed later:</w:t>
      </w:r>
    </w:p>
    <w:p w14:paraId="785D9571" w14:textId="77777777" w:rsidR="006C7B37" w:rsidRPr="008B68A9" w:rsidRDefault="006C7B37" w:rsidP="002F0FD7">
      <w:pPr>
        <w:pStyle w:val="6bblockquoteitalic"/>
      </w:pPr>
      <w:r w:rsidRPr="008B68A9">
        <w:t xml:space="preserve"> …most of the people want to spend the top of the budget as well. They don’t seem to understand that it’s in a range.</w:t>
      </w:r>
    </w:p>
    <w:p w14:paraId="393AF8CD" w14:textId="770DFBC9" w:rsidR="006C7B37" w:rsidRPr="008B68A9" w:rsidRDefault="006C7B37" w:rsidP="006C7B37">
      <w:pPr>
        <w:pStyle w:val="2L2header"/>
        <w:rPr>
          <w:sz w:val="24"/>
        </w:rPr>
      </w:pPr>
      <w:bookmarkStart w:id="245" w:name="_Toc413607837"/>
      <w:bookmarkStart w:id="246" w:name="_Toc413827471"/>
      <w:bookmarkStart w:id="247" w:name="_Toc466800369"/>
      <w:r w:rsidRPr="008B68A9">
        <w:t>6.5 Contingent narrative</w:t>
      </w:r>
      <w:bookmarkEnd w:id="245"/>
      <w:bookmarkEnd w:id="246"/>
      <w:bookmarkEnd w:id="247"/>
    </w:p>
    <w:p w14:paraId="2667A7EA" w14:textId="5E51D398" w:rsidR="006C7B37" w:rsidRPr="008B68A9" w:rsidRDefault="006C7B37" w:rsidP="002F0FD7">
      <w:pPr>
        <w:pStyle w:val="5arangedleft"/>
      </w:pPr>
      <w:r w:rsidRPr="008B68A9">
        <w:t>Analysing the narratives through Gergen and Gergen’s (1983) frame provided a temporal arc from regressive to progressive narrative, and from stability to progressive narrative. However, central to this analysis was a narrative of accounts of attribution and blame, where story is more than random events recounted without connection. Attributing current narrative status to action or events located within an individual’s history provides meaning and comprehension for storyteller and listeners. The category contingent-narrative, after Bury (200</w:t>
      </w:r>
      <w:r w:rsidR="00BE6EE4" w:rsidRPr="008B68A9">
        <w:t>1, see section 4.2.5)</w:t>
      </w:r>
      <w:r w:rsidRPr="008B68A9">
        <w:t xml:space="preserve">, represents an act of self-blame reflecting an attribution that mirrors societal norms of behaviour and cultural accountability. Many </w:t>
      </w:r>
      <w:r w:rsidR="00096A5C" w:rsidRPr="008B68A9">
        <w:t xml:space="preserve">contingent </w:t>
      </w:r>
      <w:r w:rsidRPr="008B68A9">
        <w:t>narratives located misfortune, difficulties and distress as self-actions. Alcohol or illicit substance misuse were identified as precursors to a series of misfortunes. More so, contingent narratives</w:t>
      </w:r>
      <w:r w:rsidRPr="008B68A9">
        <w:rPr>
          <w:i/>
        </w:rPr>
        <w:t xml:space="preserve"> </w:t>
      </w:r>
      <w:r w:rsidRPr="008B68A9">
        <w:t xml:space="preserve">were seen within some professional’s interview data, with accounts expressing client responsibility for their problems; although rather than mirroring negative social attitudes to drug taking, contingent narratives of professional staff centred </w:t>
      </w:r>
      <w:r w:rsidR="00096A5C" w:rsidRPr="008B68A9">
        <w:t>on</w:t>
      </w:r>
      <w:r w:rsidRPr="008B68A9">
        <w:t xml:space="preserve"> Gergen’s (1989) conventions of warrant. That is, </w:t>
      </w:r>
      <w:r w:rsidR="00096A5C" w:rsidRPr="008B68A9">
        <w:t xml:space="preserve">the professional’s </w:t>
      </w:r>
      <w:r w:rsidR="00096A5C" w:rsidRPr="008B68A9">
        <w:lastRenderedPageBreak/>
        <w:t xml:space="preserve">accounts in </w:t>
      </w:r>
      <w:r w:rsidR="00BE6EE4" w:rsidRPr="008B68A9">
        <w:t>my</w:t>
      </w:r>
      <w:r w:rsidR="00096A5C" w:rsidRPr="008B68A9">
        <w:t xml:space="preserve"> study challenged</w:t>
      </w:r>
      <w:r w:rsidRPr="008B68A9">
        <w:t xml:space="preserve"> </w:t>
      </w:r>
      <w:r w:rsidR="00096A5C" w:rsidRPr="008B68A9">
        <w:t>the budget holders’</w:t>
      </w:r>
      <w:r w:rsidRPr="008B68A9">
        <w:t xml:space="preserve"> authorised voice and the validity of </w:t>
      </w:r>
      <w:r w:rsidR="00096A5C" w:rsidRPr="008B68A9">
        <w:t>their choices. I</w:t>
      </w:r>
      <w:r w:rsidRPr="008B68A9">
        <w:t>n the context of mental health and disorde</w:t>
      </w:r>
      <w:r w:rsidR="00096A5C" w:rsidRPr="008B68A9">
        <w:t>r such conventions of warrant</w:t>
      </w:r>
      <w:r w:rsidRPr="008B68A9">
        <w:t xml:space="preserve"> traditionally lies with professionals and the institutions they represent.</w:t>
      </w:r>
    </w:p>
    <w:p w14:paraId="71A194DF" w14:textId="77777777" w:rsidR="006C7B37" w:rsidRPr="008B68A9" w:rsidRDefault="006C7B37" w:rsidP="002F0FD7">
      <w:pPr>
        <w:pStyle w:val="5arangedleft"/>
      </w:pPr>
      <w:r w:rsidRPr="008B68A9">
        <w:t xml:space="preserve">Budget recipients accounted for their lives though assimilating culturally held stereotypical notions of blame and deservedness, represented as contingent narrative. Placement of their lives within a societally judgemental gaze of fault and casting blame located the storyteller as victim of their own action. Their narratives conformed to the culturally accepted construction where responsibility for the life resides with the central protagonist. </w:t>
      </w:r>
    </w:p>
    <w:p w14:paraId="5ED9192F" w14:textId="77777777" w:rsidR="006C7B37" w:rsidRPr="008B68A9" w:rsidRDefault="006C7B37" w:rsidP="002F0FD7">
      <w:pPr>
        <w:pStyle w:val="5arangedleft"/>
      </w:pPr>
      <w:r w:rsidRPr="008B68A9">
        <w:t>When asked about her autobiographic journey, Tammy makes reference to an episode where her child was taken into care, describing her contingent narrative</w:t>
      </w:r>
      <w:r w:rsidRPr="008B68A9">
        <w:rPr>
          <w:i/>
        </w:rPr>
        <w:t xml:space="preserve"> </w:t>
      </w:r>
      <w:r w:rsidRPr="008B68A9">
        <w:t>in context to her relationship with her current partner. There is self-blame, and acceptance of her dependence on her current relationship and addiction jeopardising the relationship with her son:</w:t>
      </w:r>
    </w:p>
    <w:p w14:paraId="49A808C0" w14:textId="77777777" w:rsidR="006C7B37" w:rsidRPr="008B68A9" w:rsidRDefault="006C7B37" w:rsidP="002F0FD7">
      <w:pPr>
        <w:pStyle w:val="6bblockquoteitalic"/>
      </w:pPr>
      <w:r w:rsidRPr="008B68A9">
        <w:t>I want my relationship back with my son. He [partner] keeps holding me back. So I’ve got different issues going on around the drug use and believe me, I promise you, I have so cut down but now I’m like taking… I’ve just took loads of diazepam because I couldn’t stand the stress.</w:t>
      </w:r>
    </w:p>
    <w:p w14:paraId="4E647E13" w14:textId="7BD66DB3" w:rsidR="006C7B37" w:rsidRPr="008B68A9" w:rsidRDefault="006C7B37" w:rsidP="006C7B37">
      <w:pPr>
        <w:pStyle w:val="3L3header"/>
      </w:pPr>
      <w:bookmarkStart w:id="248" w:name="_Toc413607838"/>
      <w:bookmarkStart w:id="249" w:name="_Toc413827472"/>
      <w:bookmarkStart w:id="250" w:name="_Toc466800370"/>
      <w:r w:rsidRPr="008B68A9">
        <w:t>6.5.1 As not deserving</w:t>
      </w:r>
      <w:bookmarkEnd w:id="248"/>
      <w:bookmarkEnd w:id="249"/>
      <w:bookmarkEnd w:id="250"/>
    </w:p>
    <w:p w14:paraId="00456DF5" w14:textId="6EC27551" w:rsidR="006C7B37" w:rsidRPr="008B68A9" w:rsidRDefault="006C7B37" w:rsidP="002F0FD7">
      <w:pPr>
        <w:pStyle w:val="5arangedleft"/>
      </w:pPr>
      <w:r w:rsidRPr="008B68A9">
        <w:t xml:space="preserve">Paul’s contingent narrative reflects a sense of not deserving the attention, or item obtained through the budget, echoing Bury’s (2001) suggestion of moral evaluation in narrative where an account suggests notions of deservedness within illness interactions. The receiver positions themselves as grateful for an action of perceived generosity. </w:t>
      </w:r>
      <w:r w:rsidR="00096A5C" w:rsidRPr="008B68A9">
        <w:t>T</w:t>
      </w:r>
      <w:r w:rsidRPr="008B68A9">
        <w:t xml:space="preserve">he theme gratitude from participants was </w:t>
      </w:r>
      <w:r w:rsidR="00096A5C" w:rsidRPr="008B68A9">
        <w:t>taken from the accounts</w:t>
      </w:r>
      <w:r w:rsidRPr="008B68A9">
        <w:t xml:space="preserve"> as participants described their thankfulness for receiving an individual budget, which has also been noted in other individual budget evaluations (Brookes </w:t>
      </w:r>
      <w:r w:rsidRPr="008B68A9">
        <w:rPr>
          <w:i/>
        </w:rPr>
        <w:t>et al.</w:t>
      </w:r>
      <w:r w:rsidR="00F13432" w:rsidRPr="008B68A9">
        <w:t xml:space="preserve"> 2013</w:t>
      </w:r>
      <w:r w:rsidRPr="008B68A9">
        <w:t xml:space="preserve">). The role </w:t>
      </w:r>
      <w:r w:rsidR="00096A5C" w:rsidRPr="008B68A9">
        <w:t>that</w:t>
      </w:r>
      <w:r w:rsidRPr="008B68A9">
        <w:t xml:space="preserve"> indebtedness </w:t>
      </w:r>
      <w:r w:rsidR="00096A5C" w:rsidRPr="008B68A9">
        <w:t>has</w:t>
      </w:r>
      <w:r w:rsidRPr="008B68A9">
        <w:t xml:space="preserve"> with wider societal attitudes relating to acts of charity and philanthropy adopted and undertaken by the participants; framed in contingent narrative, it led to the sub-category not deserving. </w:t>
      </w:r>
    </w:p>
    <w:p w14:paraId="0297F553" w14:textId="042F521A" w:rsidR="006C7B37" w:rsidRPr="008B68A9" w:rsidRDefault="006C7B37" w:rsidP="002F0FD7">
      <w:pPr>
        <w:pStyle w:val="5arangedleft"/>
      </w:pPr>
      <w:r w:rsidRPr="008B68A9">
        <w:lastRenderedPageBreak/>
        <w:t xml:space="preserve">For Paul, receiving the £800 budget for a holiday was more than he felt he deserved, although in real terms equivalent to on average two days in a mental health acute unit; but it </w:t>
      </w:r>
      <w:r w:rsidR="00BE6EE4" w:rsidRPr="008B68A9">
        <w:t xml:space="preserve">nevertheless </w:t>
      </w:r>
      <w:r w:rsidRPr="008B68A9">
        <w:t>demonstrates how such expenditures are used by critics of personalisation as inappropriate uses of public monies (Beresford 2014a). The sense of good fortune in this narrative, a dramatic turn in itself, is clear even though the break enabled Paul to reimagine himself separate from the one maintaining his situation:</w:t>
      </w:r>
    </w:p>
    <w:p w14:paraId="1AAB0FCD" w14:textId="77777777" w:rsidR="006C7B37" w:rsidRPr="008B68A9" w:rsidRDefault="006C7B37" w:rsidP="002F0FD7">
      <w:pPr>
        <w:pStyle w:val="6bblockquoteitalic"/>
        <w:rPr>
          <w:rFonts w:cs="Arial"/>
        </w:rPr>
      </w:pPr>
      <w:r w:rsidRPr="008B68A9">
        <w:rPr>
          <w:rFonts w:cs="Arial"/>
        </w:rPr>
        <w:t>I needed that change of scenery to help me and that was made possible by the, [name of broker organisation]…</w:t>
      </w:r>
      <w:r w:rsidRPr="008B68A9">
        <w:t xml:space="preserve"> I’ve been really fortunate. … I just hope that now I can go forward and make a better life for myself and even as I say, five years from now looking back on this episode and I’ll always be grateful for all the help I’ve received and obviously the funds I’ve received as well.</w:t>
      </w:r>
    </w:p>
    <w:p w14:paraId="2F89F87D" w14:textId="51C56D19" w:rsidR="006C7B37" w:rsidRPr="008B68A9" w:rsidRDefault="006C7B37" w:rsidP="002F0FD7">
      <w:pPr>
        <w:pStyle w:val="5arangedleft"/>
      </w:pPr>
      <w:r w:rsidRPr="008B68A9">
        <w:t xml:space="preserve">Tammy </w:t>
      </w:r>
      <w:r w:rsidR="00230E2A" w:rsidRPr="008B68A9">
        <w:t>identifies herself</w:t>
      </w:r>
      <w:r w:rsidRPr="008B68A9">
        <w:t xml:space="preserve"> as not deserving in her narrative, imagining how a laptop computer in her support plan might bring her family together. Her use of the metaphor ‘out of her league’ is interesting; the laptop represented </w:t>
      </w:r>
      <w:r w:rsidR="00230E2A" w:rsidRPr="008B68A9">
        <w:t>the</w:t>
      </w:r>
      <w:r w:rsidRPr="008B68A9">
        <w:t xml:space="preserve"> potential to email and skype her family, but was beyond her level of deservedness, and perhaps indicative of the limits of her warrant of convention and what she could </w:t>
      </w:r>
      <w:r w:rsidR="00230E2A" w:rsidRPr="008B68A9">
        <w:t xml:space="preserve">rightly </w:t>
      </w:r>
      <w:r w:rsidRPr="008B68A9">
        <w:t>ask for:</w:t>
      </w:r>
    </w:p>
    <w:p w14:paraId="5B0EA2DF" w14:textId="77777777" w:rsidR="006C7B37" w:rsidRPr="008B68A9" w:rsidRDefault="006C7B37" w:rsidP="002F0FD7">
      <w:pPr>
        <w:pStyle w:val="6bblockquoteitalic"/>
      </w:pPr>
      <w:r w:rsidRPr="008B68A9">
        <w:t>Maybe some paints, maybe some… maybe… the biggest thing is a laptop but that’s far too out of the league because if I had a laptop I could talk to [name of son] and my brothers and my sister.</w:t>
      </w:r>
    </w:p>
    <w:p w14:paraId="5B8B23D5" w14:textId="303A3149" w:rsidR="006C7B37" w:rsidRPr="008B68A9" w:rsidRDefault="006C7B37" w:rsidP="002F0FD7">
      <w:pPr>
        <w:pStyle w:val="5arangedleft"/>
      </w:pPr>
      <w:r w:rsidRPr="008B68A9">
        <w:t>Colin’s use of contingent narrative</w:t>
      </w:r>
      <w:r w:rsidR="00230E2A" w:rsidRPr="008B68A9">
        <w:t xml:space="preserve"> however</w:t>
      </w:r>
      <w:r w:rsidRPr="008B68A9">
        <w:t xml:space="preserve"> is in a negative sense</w:t>
      </w:r>
      <w:r w:rsidRPr="008B68A9">
        <w:rPr>
          <w:i/>
        </w:rPr>
        <w:t xml:space="preserve"> </w:t>
      </w:r>
      <w:r w:rsidRPr="008B68A9">
        <w:t>of not-deserving, passing judgement on those applying for personal budgets; the idea that applicants’ outcomes were at best frivolous and unnecessary is strongly suggested here:</w:t>
      </w:r>
    </w:p>
    <w:p w14:paraId="03EA8A3C" w14:textId="77777777" w:rsidR="006C7B37" w:rsidRPr="008B68A9" w:rsidRDefault="006C7B37" w:rsidP="002F0FD7">
      <w:pPr>
        <w:pStyle w:val="6bblockquoteitalic"/>
      </w:pPr>
      <w:r w:rsidRPr="008B68A9">
        <w:t>I think people were led to believe it was basically Woolworths. Like in my team, all of a sudden, out of the blue, quite a big group of people suddenly discovered their mental health needs required horse riding lessons, spontaneously. I mean, I know, ‘cause somebody said “Oh I’ve got horse riding lessons” “Oh I quite fancy that” and so I think people have been… I think there’s no clear definition between want and need.</w:t>
      </w:r>
    </w:p>
    <w:p w14:paraId="57C5C9D5" w14:textId="2981E649" w:rsidR="006C7B37" w:rsidRPr="008B68A9" w:rsidRDefault="006C7B37" w:rsidP="002F0FD7">
      <w:pPr>
        <w:pStyle w:val="5arangedleft"/>
      </w:pPr>
      <w:r w:rsidRPr="008B68A9">
        <w:t xml:space="preserve">The final comment where clients are perceived as not being able to distinguish between want and need is telling: that need may only be determined by those conferred with professional and clinical expertise to identify what is and what is not need. Gergen’s (1989) convention of warrant is </w:t>
      </w:r>
      <w:r w:rsidR="00096A5C" w:rsidRPr="008B68A9">
        <w:t>seen</w:t>
      </w:r>
      <w:r w:rsidRPr="008B68A9">
        <w:t xml:space="preserve"> </w:t>
      </w:r>
      <w:r w:rsidR="00096A5C" w:rsidRPr="008B68A9">
        <w:t>with</w:t>
      </w:r>
      <w:r w:rsidRPr="008B68A9">
        <w:t xml:space="preserve">in this passage, as the </w:t>
      </w:r>
      <w:r w:rsidRPr="008B68A9">
        <w:lastRenderedPageBreak/>
        <w:t>service user voice is less important: as Gergen (1989, p. 74), states: “One claims a right to be taken seriously or to granted superiority on the grounds of specified criteria." The specified criterion here is one of professional knowledge obtained through training and qualification. Needham (2009b p.79) states service transformation demanded though personalisation responding to ‘felt needs’ of users is “anything but trivial”, although in this narrative, Colin’s construction contest</w:t>
      </w:r>
      <w:r w:rsidR="000B293F" w:rsidRPr="008B68A9">
        <w:t>s</w:t>
      </w:r>
      <w:r w:rsidRPr="008B68A9">
        <w:t xml:space="preserve"> that.</w:t>
      </w:r>
    </w:p>
    <w:p w14:paraId="59DCC665" w14:textId="18E94A9C" w:rsidR="006C7B37" w:rsidRPr="008B68A9" w:rsidRDefault="006C7B37" w:rsidP="006C7B37">
      <w:pPr>
        <w:pStyle w:val="3L3header"/>
      </w:pPr>
      <w:bookmarkStart w:id="251" w:name="_Toc413607839"/>
      <w:bookmarkStart w:id="252" w:name="_Toc413827473"/>
      <w:bookmarkStart w:id="253" w:name="_Toc466800371"/>
      <w:r w:rsidRPr="008B68A9">
        <w:t xml:space="preserve">6.5.2 </w:t>
      </w:r>
      <w:r w:rsidR="00F27401" w:rsidRPr="008B68A9">
        <w:t>S</w:t>
      </w:r>
      <w:r w:rsidRPr="008B68A9">
        <w:t>ubstance misuse</w:t>
      </w:r>
      <w:bookmarkEnd w:id="251"/>
      <w:bookmarkEnd w:id="252"/>
      <w:r w:rsidR="00F27401" w:rsidRPr="008B68A9">
        <w:t xml:space="preserve"> leading to mental health and other problems</w:t>
      </w:r>
      <w:bookmarkEnd w:id="253"/>
    </w:p>
    <w:p w14:paraId="05B3FE9D" w14:textId="73CDDD6B" w:rsidR="006C7B37" w:rsidRPr="008B68A9" w:rsidRDefault="00230E2A" w:rsidP="002F0FD7">
      <w:pPr>
        <w:pStyle w:val="5arangedleft"/>
      </w:pPr>
      <w:r w:rsidRPr="008B68A9">
        <w:t xml:space="preserve">Substance misuse, </w:t>
      </w:r>
      <w:r w:rsidR="006C7B37" w:rsidRPr="008B68A9">
        <w:t xml:space="preserve">given a sub-category within contingent narrative </w:t>
      </w:r>
      <w:r w:rsidR="00F27401" w:rsidRPr="008B68A9">
        <w:t xml:space="preserve">was observed in the data </w:t>
      </w:r>
      <w:r w:rsidRPr="008B68A9">
        <w:t>from individual budget users. The c</w:t>
      </w:r>
      <w:r w:rsidR="00F27401" w:rsidRPr="008B68A9">
        <w:t xml:space="preserve">omorbidity of psychological problems and substance misuse has been widely reported, for example </w:t>
      </w:r>
      <w:r w:rsidR="006C7B37" w:rsidRPr="008B68A9">
        <w:t xml:space="preserve">Frisher </w:t>
      </w:r>
      <w:r w:rsidR="006C7B37" w:rsidRPr="008B68A9">
        <w:rPr>
          <w:i/>
        </w:rPr>
        <w:t>et al.</w:t>
      </w:r>
      <w:r w:rsidR="006C7B37" w:rsidRPr="008B68A9">
        <w:t xml:space="preserve"> </w:t>
      </w:r>
      <w:r w:rsidR="00F27401" w:rsidRPr="008B68A9">
        <w:t>(</w:t>
      </w:r>
      <w:r w:rsidR="006C7B37" w:rsidRPr="008B68A9">
        <w:t>2005</w:t>
      </w:r>
      <w:r w:rsidR="00F27401" w:rsidRPr="008B68A9">
        <w:t xml:space="preserve">) and </w:t>
      </w:r>
      <w:r w:rsidR="006C7B37" w:rsidRPr="008B68A9">
        <w:t xml:space="preserve">Crome </w:t>
      </w:r>
      <w:r w:rsidR="006C7B37" w:rsidRPr="008B68A9">
        <w:rPr>
          <w:i/>
        </w:rPr>
        <w:t>et al.</w:t>
      </w:r>
      <w:r w:rsidR="006C7B37" w:rsidRPr="008B68A9">
        <w:t xml:space="preserve"> </w:t>
      </w:r>
      <w:r w:rsidR="00F27401" w:rsidRPr="008B68A9">
        <w:t>(</w:t>
      </w:r>
      <w:r w:rsidR="006C7B37" w:rsidRPr="008B68A9">
        <w:t xml:space="preserve">2009). </w:t>
      </w:r>
      <w:r w:rsidRPr="008B68A9">
        <w:t>Additionally i</w:t>
      </w:r>
      <w:r w:rsidR="00F27401" w:rsidRPr="008B68A9">
        <w:t>t may be said that the</w:t>
      </w:r>
      <w:r w:rsidR="006C7B37" w:rsidRPr="008B68A9">
        <w:t xml:space="preserve"> public are broadly sympathetic towards people experiencing mental health problems; they, and professionals</w:t>
      </w:r>
      <w:r w:rsidR="00F27401" w:rsidRPr="008B68A9">
        <w:t xml:space="preserve"> however</w:t>
      </w:r>
      <w:r w:rsidR="006C7B37" w:rsidRPr="008B68A9">
        <w:t>, hold more negative views where</w:t>
      </w:r>
      <w:r w:rsidR="00F27401" w:rsidRPr="008B68A9">
        <w:t xml:space="preserve"> </w:t>
      </w:r>
      <w:r w:rsidRPr="008B68A9">
        <w:t xml:space="preserve">substance misuse, </w:t>
      </w:r>
      <w:r w:rsidR="00F27401" w:rsidRPr="008B68A9">
        <w:t xml:space="preserve">psychological and social problems </w:t>
      </w:r>
      <w:r w:rsidRPr="008B68A9">
        <w:t xml:space="preserve">co-existence </w:t>
      </w:r>
      <w:r w:rsidR="006C7B37" w:rsidRPr="008B68A9">
        <w:t xml:space="preserve">(Rose and Kassam 2007). Tammy’s substance misuse over the course of </w:t>
      </w:r>
      <w:r w:rsidRPr="008B68A9">
        <w:t>her adulthood has</w:t>
      </w:r>
      <w:r w:rsidR="006C7B37" w:rsidRPr="008B68A9">
        <w:t xml:space="preserve"> made contingent narrative a reality</w:t>
      </w:r>
      <w:r w:rsidR="00F27401" w:rsidRPr="008B68A9">
        <w:t>.</w:t>
      </w:r>
      <w:r w:rsidR="006C7B37" w:rsidRPr="008B68A9">
        <w:t xml:space="preserve"> </w:t>
      </w:r>
      <w:r w:rsidR="00F27401" w:rsidRPr="008B68A9">
        <w:t>H</w:t>
      </w:r>
      <w:r w:rsidR="006C7B37" w:rsidRPr="008B68A9">
        <w:t xml:space="preserve">er circumstances </w:t>
      </w:r>
      <w:r w:rsidRPr="008B68A9">
        <w:t xml:space="preserve">at the time of interview </w:t>
      </w:r>
      <w:r w:rsidR="00F27401" w:rsidRPr="008B68A9">
        <w:t>mirrored</w:t>
      </w:r>
      <w:r w:rsidR="006C7B37" w:rsidRPr="008B68A9">
        <w:t xml:space="preserve"> </w:t>
      </w:r>
      <w:r w:rsidR="00F27401" w:rsidRPr="008B68A9">
        <w:t xml:space="preserve">societal </w:t>
      </w:r>
      <w:r w:rsidR="006C7B37" w:rsidRPr="008B68A9">
        <w:t>attitude</w:t>
      </w:r>
      <w:r w:rsidRPr="008B68A9">
        <w:t>s</w:t>
      </w:r>
      <w:r w:rsidR="00F27401" w:rsidRPr="008B68A9">
        <w:t xml:space="preserve"> where</w:t>
      </w:r>
      <w:r w:rsidR="006C7B37" w:rsidRPr="008B68A9">
        <w:t xml:space="preserve"> </w:t>
      </w:r>
      <w:r w:rsidR="00F27401" w:rsidRPr="008B68A9">
        <w:t>a</w:t>
      </w:r>
      <w:r w:rsidR="006C7B37" w:rsidRPr="008B68A9">
        <w:t xml:space="preserve">s a mother, </w:t>
      </w:r>
      <w:r w:rsidR="00F27401" w:rsidRPr="008B68A9">
        <w:t>she</w:t>
      </w:r>
      <w:r w:rsidR="006C7B37" w:rsidRPr="008B68A9">
        <w:t xml:space="preserve"> had</w:t>
      </w:r>
      <w:r w:rsidRPr="008B68A9">
        <w:t xml:space="preserve"> had</w:t>
      </w:r>
      <w:r w:rsidR="006C7B37" w:rsidRPr="008B68A9">
        <w:t xml:space="preserve"> her children removed </w:t>
      </w:r>
      <w:r w:rsidR="00F27401" w:rsidRPr="008B68A9">
        <w:t>direct</w:t>
      </w:r>
      <w:r w:rsidRPr="008B68A9">
        <w:t>ly</w:t>
      </w:r>
      <w:r w:rsidR="00F27401" w:rsidRPr="008B68A9">
        <w:t xml:space="preserve"> </w:t>
      </w:r>
      <w:r w:rsidRPr="008B68A9">
        <w:t xml:space="preserve">as a </w:t>
      </w:r>
      <w:r w:rsidR="00F27401" w:rsidRPr="008B68A9">
        <w:t>result</w:t>
      </w:r>
      <w:r w:rsidR="006C7B37" w:rsidRPr="008B68A9">
        <w:t xml:space="preserve"> of her</w:t>
      </w:r>
      <w:r w:rsidR="00F27401" w:rsidRPr="008B68A9">
        <w:t xml:space="preserve"> </w:t>
      </w:r>
      <w:r w:rsidR="006C7B37" w:rsidRPr="008B68A9">
        <w:t xml:space="preserve">substance misuse; </w:t>
      </w:r>
      <w:r w:rsidRPr="008B68A9">
        <w:t xml:space="preserve">therefore </w:t>
      </w:r>
      <w:r w:rsidR="006C7B37" w:rsidRPr="008B68A9">
        <w:t xml:space="preserve">she is </w:t>
      </w:r>
      <w:r w:rsidR="00F27401" w:rsidRPr="008B68A9">
        <w:t xml:space="preserve">terribly </w:t>
      </w:r>
      <w:r w:rsidR="006C7B37" w:rsidRPr="008B68A9">
        <w:t xml:space="preserve">unhappy and </w:t>
      </w:r>
      <w:r w:rsidR="00096A5C" w:rsidRPr="008B68A9">
        <w:t>in terms of</w:t>
      </w:r>
      <w:r w:rsidRPr="008B68A9">
        <w:t xml:space="preserve"> societies’</w:t>
      </w:r>
      <w:r w:rsidR="00F27401" w:rsidRPr="008B68A9">
        <w:t xml:space="preserve"> contingent narrative, </w:t>
      </w:r>
      <w:r w:rsidR="006C7B37" w:rsidRPr="008B68A9">
        <w:t>deservedly so.</w:t>
      </w:r>
    </w:p>
    <w:p w14:paraId="653B926B" w14:textId="52207643" w:rsidR="006C7B37" w:rsidRPr="008B68A9" w:rsidRDefault="006C7B37" w:rsidP="002F0FD7">
      <w:pPr>
        <w:pStyle w:val="5arangedleft"/>
      </w:pPr>
      <w:r w:rsidRPr="008B68A9">
        <w:t xml:space="preserve">Budget </w:t>
      </w:r>
      <w:r w:rsidR="00230E2A" w:rsidRPr="008B68A9">
        <w:t>recipients’ narratives broadly reflected</w:t>
      </w:r>
      <w:r w:rsidRPr="008B68A9">
        <w:t xml:space="preserve"> culturally held stereotypes of substance misuse</w:t>
      </w:r>
      <w:r w:rsidR="00B555D8" w:rsidRPr="008B68A9">
        <w:t>rs</w:t>
      </w:r>
      <w:r w:rsidRPr="008B68A9">
        <w:t xml:space="preserve"> and </w:t>
      </w:r>
      <w:r w:rsidR="00B555D8" w:rsidRPr="008B68A9">
        <w:t>of the</w:t>
      </w:r>
      <w:r w:rsidR="00230E2A" w:rsidRPr="008B68A9">
        <w:t>ir</w:t>
      </w:r>
      <w:r w:rsidR="00B555D8" w:rsidRPr="008B68A9">
        <w:t xml:space="preserve"> process of </w:t>
      </w:r>
      <w:r w:rsidRPr="008B68A9">
        <w:t xml:space="preserve">self-destruction. </w:t>
      </w:r>
      <w:r w:rsidR="00F27401" w:rsidRPr="008B68A9">
        <w:t>Users’</w:t>
      </w:r>
      <w:r w:rsidRPr="008B68A9">
        <w:t xml:space="preserve"> accounts present</w:t>
      </w:r>
      <w:r w:rsidR="00F27401" w:rsidRPr="008B68A9">
        <w:t>ed</w:t>
      </w:r>
      <w:r w:rsidRPr="008B68A9">
        <w:t xml:space="preserve"> plot </w:t>
      </w:r>
      <w:r w:rsidR="00F27401" w:rsidRPr="008B68A9">
        <w:t>as</w:t>
      </w:r>
      <w:r w:rsidRPr="008B68A9">
        <w:t xml:space="preserve"> tragedy or farce, where they consider</w:t>
      </w:r>
      <w:r w:rsidR="00230E2A" w:rsidRPr="008B68A9">
        <w:t>ed</w:t>
      </w:r>
      <w:r w:rsidRPr="008B68A9">
        <w:t xml:space="preserve"> their </w:t>
      </w:r>
      <w:r w:rsidR="00230E2A" w:rsidRPr="008B68A9">
        <w:t xml:space="preserve">present </w:t>
      </w:r>
      <w:r w:rsidR="00F27401" w:rsidRPr="008B68A9">
        <w:t>circumstance a result of their own action</w:t>
      </w:r>
      <w:r w:rsidRPr="008B68A9">
        <w:t xml:space="preserve">. Tammy </w:t>
      </w:r>
      <w:r w:rsidR="00230E2A" w:rsidRPr="008B68A9">
        <w:t>portrays</w:t>
      </w:r>
      <w:r w:rsidRPr="008B68A9">
        <w:t xml:space="preserve"> her life within </w:t>
      </w:r>
      <w:r w:rsidR="00230E2A" w:rsidRPr="008B68A9">
        <w:t>such a</w:t>
      </w:r>
      <w:r w:rsidRPr="008B68A9">
        <w:t xml:space="preserve"> frame, placing her actions with illicit substances </w:t>
      </w:r>
      <w:r w:rsidR="00230E2A" w:rsidRPr="008B68A9">
        <w:t>which have</w:t>
      </w:r>
      <w:r w:rsidRPr="008B68A9">
        <w:t xml:space="preserve"> set </w:t>
      </w:r>
      <w:r w:rsidR="00230E2A" w:rsidRPr="008B68A9">
        <w:t xml:space="preserve">her upon </w:t>
      </w:r>
      <w:r w:rsidRPr="008B68A9">
        <w:t>a path of escalation and chaos:</w:t>
      </w:r>
    </w:p>
    <w:p w14:paraId="396CF45B" w14:textId="77777777" w:rsidR="006C7B37" w:rsidRPr="008B68A9" w:rsidRDefault="006C7B37" w:rsidP="002F0FD7">
      <w:pPr>
        <w:pStyle w:val="6bblockquoteitalic"/>
      </w:pPr>
      <w:r w:rsidRPr="008B68A9">
        <w:t>I went to school and they came to my house and we started doing ecstasy and I loved it. I absolutely loved it. I couldn’t… I thought everybody else was missing out ‘cause I loved it and then from there I was just on pills then basically and smoking weed… cause I’d left my husband, and all these people followed me from down south and I started using crack, I started using heroin and it was on and off, on and off and I didn’t really like it, so I got into trouble with the dealers.</w:t>
      </w:r>
    </w:p>
    <w:p w14:paraId="23E7069A" w14:textId="3D4F7161" w:rsidR="006C7B37" w:rsidRPr="008B68A9" w:rsidRDefault="006C7B37" w:rsidP="006C7B37">
      <w:pPr>
        <w:pStyle w:val="3L3header"/>
      </w:pPr>
      <w:bookmarkStart w:id="254" w:name="_Toc413607841"/>
      <w:bookmarkStart w:id="255" w:name="_Toc413827475"/>
      <w:bookmarkStart w:id="256" w:name="_Toc466800372"/>
      <w:r w:rsidRPr="008B68A9">
        <w:lastRenderedPageBreak/>
        <w:t xml:space="preserve">6.5.3 Professional </w:t>
      </w:r>
      <w:bookmarkEnd w:id="254"/>
      <w:bookmarkEnd w:id="255"/>
      <w:r w:rsidRPr="008B68A9">
        <w:t>contingent narrative</w:t>
      </w:r>
      <w:bookmarkEnd w:id="256"/>
    </w:p>
    <w:p w14:paraId="70F4F69E" w14:textId="3529F5CB" w:rsidR="006C7B37" w:rsidRPr="008B68A9" w:rsidRDefault="006C7B37" w:rsidP="002F0FD7">
      <w:pPr>
        <w:pStyle w:val="5arangedleft"/>
        <w:rPr>
          <w:rFonts w:cs="Arial"/>
          <w:shd w:val="clear" w:color="auto" w:fill="FFFFFF"/>
        </w:rPr>
      </w:pPr>
      <w:r w:rsidRPr="008B68A9">
        <w:t>Professionals were aware of the growing culture of austerity</w:t>
      </w:r>
      <w:r w:rsidR="00230E2A" w:rsidRPr="008B68A9">
        <w:t xml:space="preserve"> during the data collection</w:t>
      </w:r>
      <w:r w:rsidRPr="008B68A9">
        <w:t xml:space="preserve">, and </w:t>
      </w:r>
      <w:r w:rsidR="00230E2A" w:rsidRPr="008B68A9">
        <w:t>equally of</w:t>
      </w:r>
      <w:r w:rsidRPr="008B68A9">
        <w:t xml:space="preserve"> potential</w:t>
      </w:r>
      <w:r w:rsidR="00230E2A" w:rsidRPr="008B68A9">
        <w:t>ly</w:t>
      </w:r>
      <w:r w:rsidRPr="008B68A9">
        <w:t xml:space="preserve"> negative public responses </w:t>
      </w:r>
      <w:r w:rsidR="00230E2A" w:rsidRPr="008B68A9">
        <w:t>should</w:t>
      </w:r>
      <w:r w:rsidRPr="008B68A9">
        <w:t xml:space="preserve"> substance misusers </w:t>
      </w:r>
      <w:r w:rsidR="00230E2A" w:rsidRPr="008B68A9">
        <w:t>receive</w:t>
      </w:r>
      <w:r w:rsidRPr="008B68A9">
        <w:t xml:space="preserve"> goods or services through individual budgets considered </w:t>
      </w:r>
      <w:r w:rsidR="00230E2A" w:rsidRPr="008B68A9">
        <w:t>desirable for them</w:t>
      </w:r>
      <w:r w:rsidRPr="008B68A9">
        <w:t>. Contingent narrative</w:t>
      </w:r>
      <w:r w:rsidRPr="008B68A9">
        <w:rPr>
          <w:i/>
        </w:rPr>
        <w:t xml:space="preserve"> </w:t>
      </w:r>
      <w:r w:rsidRPr="008B68A9">
        <w:t xml:space="preserve">substance misuse </w:t>
      </w:r>
      <w:r w:rsidR="00230E2A" w:rsidRPr="008B68A9">
        <w:t xml:space="preserve">code, </w:t>
      </w:r>
      <w:r w:rsidRPr="008B68A9">
        <w:t xml:space="preserve">shown by </w:t>
      </w:r>
      <w:r w:rsidRPr="008B68A9">
        <w:rPr>
          <w:rFonts w:cs="Arial"/>
          <w:shd w:val="clear" w:color="auto" w:fill="FFFFFF"/>
        </w:rPr>
        <w:t>a senior manager in site four articulates their construction of outside pressure a</w:t>
      </w:r>
      <w:r w:rsidR="00230E2A" w:rsidRPr="008B68A9">
        <w:rPr>
          <w:rFonts w:cs="Arial"/>
          <w:shd w:val="clear" w:color="auto" w:fill="FFFFFF"/>
        </w:rPr>
        <w:t>nd a fear of negative publicity</w:t>
      </w:r>
      <w:r w:rsidRPr="008B68A9">
        <w:rPr>
          <w:rFonts w:cs="Arial"/>
          <w:shd w:val="clear" w:color="auto" w:fill="FFFFFF"/>
        </w:rPr>
        <w:t>. The manager (Roisin)</w:t>
      </w:r>
      <w:r w:rsidR="00230E2A" w:rsidRPr="008B68A9">
        <w:rPr>
          <w:rFonts w:cs="Arial"/>
          <w:shd w:val="clear" w:color="auto" w:fill="FFFFFF"/>
        </w:rPr>
        <w:t>,</w:t>
      </w:r>
      <w:r w:rsidRPr="008B68A9">
        <w:rPr>
          <w:rFonts w:cs="Arial"/>
          <w:shd w:val="clear" w:color="auto" w:fill="FFFFFF"/>
        </w:rPr>
        <w:t xml:space="preserve"> responsible for overseeing the evaluation</w:t>
      </w:r>
      <w:r w:rsidR="00230E2A" w:rsidRPr="008B68A9">
        <w:rPr>
          <w:rFonts w:cs="Arial"/>
          <w:shd w:val="clear" w:color="auto" w:fill="FFFFFF"/>
        </w:rPr>
        <w:t xml:space="preserve"> in their area,</w:t>
      </w:r>
      <w:r w:rsidRPr="008B68A9">
        <w:rPr>
          <w:rFonts w:cs="Arial"/>
          <w:shd w:val="clear" w:color="auto" w:fill="FFFFFF"/>
        </w:rPr>
        <w:t xml:space="preserve"> shows her fear of inspection by senior council members, that monies awarded to an unpopular group in the community </w:t>
      </w:r>
      <w:r w:rsidR="000B293F" w:rsidRPr="008B68A9">
        <w:rPr>
          <w:rFonts w:cs="Arial"/>
          <w:shd w:val="clear" w:color="auto" w:fill="FFFFFF"/>
        </w:rPr>
        <w:t>might</w:t>
      </w:r>
      <w:r w:rsidRPr="008B68A9">
        <w:rPr>
          <w:rFonts w:cs="Arial"/>
          <w:shd w:val="clear" w:color="auto" w:fill="FFFFFF"/>
        </w:rPr>
        <w:t xml:space="preserve"> be contentious or negatively affect council members.</w:t>
      </w:r>
    </w:p>
    <w:p w14:paraId="00A5FFD7" w14:textId="77777777" w:rsidR="006C7B37" w:rsidRPr="008B68A9" w:rsidRDefault="006C7B37" w:rsidP="002F0FD7">
      <w:pPr>
        <w:pStyle w:val="6bblockquoteitalic"/>
      </w:pPr>
      <w:r w:rsidRPr="008B68A9">
        <w:t>I’ve been very conscious of that and I can see that anybody on the outside looking in might feel a bit frustrated you know by the constraints that we’ve had to apply but they have been really restraints that very much taken account that we are a public body, erm, that everything gets scrutinised you know and increasingly high levels so the fact that we are undertaking, [name of council], governance has really meant that we’ve had to be you know much more rigorous than we might otherwise have been or wanted to be.</w:t>
      </w:r>
    </w:p>
    <w:p w14:paraId="7B549911" w14:textId="764F702B" w:rsidR="006C7B37" w:rsidRPr="008B68A9" w:rsidRDefault="006C7B37" w:rsidP="002F0FD7">
      <w:pPr>
        <w:pStyle w:val="5arangedleft"/>
      </w:pPr>
      <w:r w:rsidRPr="008B68A9">
        <w:t xml:space="preserve">Colin’s contingent narrative </w:t>
      </w:r>
      <w:r w:rsidR="00B651D5" w:rsidRPr="008B68A9">
        <w:t xml:space="preserve">below </w:t>
      </w:r>
      <w:r w:rsidRPr="008B68A9">
        <w:t xml:space="preserve">suggests the importance of achieving a balance between care and need, but </w:t>
      </w:r>
      <w:r w:rsidR="00B651D5" w:rsidRPr="008B68A9">
        <w:t>as well</w:t>
      </w:r>
      <w:r w:rsidR="00697F0E" w:rsidRPr="008B68A9">
        <w:t xml:space="preserve"> he employs</w:t>
      </w:r>
      <w:r w:rsidR="00B651D5" w:rsidRPr="008B68A9">
        <w:t xml:space="preserve"> </w:t>
      </w:r>
      <w:r w:rsidRPr="008B68A9">
        <w:t xml:space="preserve">conventions of warrant (Gergen 1989) </w:t>
      </w:r>
      <w:r w:rsidR="00697F0E" w:rsidRPr="008B68A9">
        <w:t>which determine</w:t>
      </w:r>
      <w:r w:rsidRPr="008B68A9">
        <w:t xml:space="preserve"> what </w:t>
      </w:r>
      <w:r w:rsidR="00B651D5" w:rsidRPr="008B68A9">
        <w:t>may or may not be considered legitimate need</w:t>
      </w:r>
      <w:r w:rsidRPr="008B68A9">
        <w:t>. In the extract below, the tone is di</w:t>
      </w:r>
      <w:r w:rsidR="00697F0E" w:rsidRPr="008B68A9">
        <w:t>smissive of</w:t>
      </w:r>
      <w:r w:rsidRPr="008B68A9">
        <w:t xml:space="preserve"> users’</w:t>
      </w:r>
      <w:r w:rsidR="00697F0E" w:rsidRPr="008B68A9">
        <w:t xml:space="preserve"> identified</w:t>
      </w:r>
      <w:r w:rsidRPr="008B68A9">
        <w:t xml:space="preserve"> outcomes as frivolous and not within his construction of mental health </w:t>
      </w:r>
      <w:r w:rsidR="00697F0E" w:rsidRPr="008B68A9">
        <w:t>intervention</w:t>
      </w:r>
      <w:r w:rsidRPr="008B68A9">
        <w:t>. I have highlighted in the literature review that often the boundaries between health and social care in mental health are difficult to separate, as one affects the other. It may be that Colin does not see the goals and outcomes in support plans conforming to his construction of the proper work of mental health teams</w:t>
      </w:r>
      <w:r w:rsidR="00697F0E" w:rsidRPr="008B68A9">
        <w:t>, rather fulfilling more of a social function</w:t>
      </w:r>
      <w:r w:rsidRPr="008B68A9">
        <w:t>:</w:t>
      </w:r>
    </w:p>
    <w:p w14:paraId="778129B1" w14:textId="77777777" w:rsidR="006C7B37" w:rsidRPr="008B68A9" w:rsidRDefault="006C7B37" w:rsidP="002F0FD7">
      <w:pPr>
        <w:pStyle w:val="6bblockquoteitalic"/>
      </w:pPr>
      <w:r w:rsidRPr="008B68A9">
        <w:t>I think that’s been the biggest thing I think. The amount of phone calls we’ve had as a team off people who’ve said “Oh I know Joe Blogs who’s had a car or a holiday so I want a car and I want a holiday” and that’s been the difficulty. It’s the constant battle we’re… that balancing… what people assess their own needs to be and what they need to be able to live their lives to what we feel would be beneficial.</w:t>
      </w:r>
    </w:p>
    <w:p w14:paraId="31297518" w14:textId="77777777" w:rsidR="006C7B37" w:rsidRPr="008B68A9" w:rsidRDefault="006C7B37" w:rsidP="002F0FD7">
      <w:pPr>
        <w:pStyle w:val="5arangedleft"/>
      </w:pPr>
      <w:r w:rsidRPr="008B68A9">
        <w:lastRenderedPageBreak/>
        <w:t>Conventions of warrant (Gergen 1989) are clear in the section above, as is Colin’s concern that personalisation diverts valuable financial and human resources from their proper function:</w:t>
      </w:r>
    </w:p>
    <w:p w14:paraId="1E7DF50F" w14:textId="77777777" w:rsidR="006C7B37" w:rsidRPr="008B68A9" w:rsidRDefault="006C7B37" w:rsidP="002F0FD7">
      <w:pPr>
        <w:pStyle w:val="6bblockquoteitalic"/>
      </w:pPr>
      <w:r w:rsidRPr="008B68A9">
        <w:t xml:space="preserve">Every single one of these packages has made people happier, OK. Every single one of them has made people’s quality of life better. You know, restaurant meal or other things that make people feel happier, right. There’s no question of that. But whether that’s the role of mental health service and also whether that’s the best use of the resources that we’ve got, you know. And whether it helps someone’s mental… because the other things is, it doesn’t seem to make anybody recover. </w:t>
      </w:r>
    </w:p>
    <w:p w14:paraId="612F0408" w14:textId="77777777" w:rsidR="006C7B37" w:rsidRPr="008B68A9" w:rsidRDefault="006C7B37" w:rsidP="002F0FD7">
      <w:pPr>
        <w:pStyle w:val="5arangedleft"/>
      </w:pPr>
      <w:r w:rsidRPr="008B68A9">
        <w:t>The complexity of between mental health intervention and social care action is nuanced, as interrelationships exist between social activities and improved wellbeing achieved through participating with others (Repper and Perkins 2003). Mental health interventions constructed by Colin’s speech acts suggest the interventions paid through individual budgets may not constitute mental health service. Further, his speech acts question recovery as a guiding principle in mental health services; an alternative view may be that Colin’s construction of recovery does not encompass particularised hope and personal growth, as Anthony’s (1993) definition of recovery represents a challenge to his professional identity.</w:t>
      </w:r>
    </w:p>
    <w:p w14:paraId="63BAA0F6" w14:textId="14E3E1A5" w:rsidR="006C7B37" w:rsidRPr="008B68A9" w:rsidRDefault="006C7B37" w:rsidP="006C7B37">
      <w:pPr>
        <w:pStyle w:val="2L2header"/>
      </w:pPr>
      <w:bookmarkStart w:id="257" w:name="_Toc413607842"/>
      <w:bookmarkStart w:id="258" w:name="_Toc413827476"/>
      <w:bookmarkStart w:id="259" w:name="_Toc466800373"/>
      <w:r w:rsidRPr="008B68A9">
        <w:t>6.6 Brokerage</w:t>
      </w:r>
      <w:bookmarkEnd w:id="257"/>
      <w:bookmarkEnd w:id="258"/>
      <w:bookmarkEnd w:id="259"/>
    </w:p>
    <w:p w14:paraId="09BDF974" w14:textId="3718075F" w:rsidR="006C7B37" w:rsidRPr="008B68A9" w:rsidRDefault="006C7B37" w:rsidP="002F0FD7">
      <w:pPr>
        <w:pStyle w:val="5arangedleft"/>
      </w:pPr>
      <w:r w:rsidRPr="008B68A9">
        <w:t xml:space="preserve">The presence of supportive and facilitatory relationships to assist budget </w:t>
      </w:r>
      <w:r w:rsidR="00697F0E" w:rsidRPr="008B68A9">
        <w:t>recipients’</w:t>
      </w:r>
      <w:r w:rsidRPr="008B68A9">
        <w:t xml:space="preserve"> </w:t>
      </w:r>
      <w:r w:rsidR="00697F0E" w:rsidRPr="008B68A9">
        <w:t>guide</w:t>
      </w:r>
      <w:r w:rsidRPr="008B68A9">
        <w:t xml:space="preserve"> their support planning and outcome formulation is not in question; however, who undertakes those roles remains contested. Whether brokerage takes the form of independent brokers as found in the US (Cook </w:t>
      </w:r>
      <w:r w:rsidRPr="008B68A9">
        <w:rPr>
          <w:i/>
        </w:rPr>
        <w:t>et al.</w:t>
      </w:r>
      <w:r w:rsidRPr="008B68A9">
        <w:t xml:space="preserve"> 2012, Croft and Parish 2016), or adopts peer brokerage (Sullivan, 2006), or is an additional practitioner role (Leece and Leece 2011, Forder </w:t>
      </w:r>
      <w:r w:rsidRPr="008B68A9">
        <w:rPr>
          <w:i/>
        </w:rPr>
        <w:t>et al.</w:t>
      </w:r>
      <w:r w:rsidRPr="008B68A9">
        <w:t xml:space="preserve"> 2012), the issue is disputed and fluid (Scourfield 2010). Who is best placed to undertake the role and remit have </w:t>
      </w:r>
      <w:r w:rsidR="006863F8" w:rsidRPr="008B68A9">
        <w:t xml:space="preserve">been part of the self-determination debate </w:t>
      </w:r>
      <w:r w:rsidRPr="008B68A9">
        <w:t xml:space="preserve">for a long time </w:t>
      </w:r>
      <w:r w:rsidR="00AE0697" w:rsidRPr="008B68A9">
        <w:t xml:space="preserve">from </w:t>
      </w:r>
      <w:r w:rsidRPr="008B68A9">
        <w:t>Dowson</w:t>
      </w:r>
      <w:r w:rsidR="006863F8" w:rsidRPr="008B68A9">
        <w:t>’s</w:t>
      </w:r>
      <w:r w:rsidRPr="008B68A9">
        <w:t xml:space="preserve"> </w:t>
      </w:r>
      <w:r w:rsidR="00AE0697" w:rsidRPr="008B68A9">
        <w:t>(</w:t>
      </w:r>
      <w:r w:rsidRPr="008B68A9">
        <w:t>2008</w:t>
      </w:r>
      <w:r w:rsidR="00AE0697" w:rsidRPr="008B68A9">
        <w:t>)</w:t>
      </w:r>
      <w:r w:rsidR="006863F8" w:rsidRPr="008B68A9">
        <w:t>,</w:t>
      </w:r>
      <w:r w:rsidR="00AE0697" w:rsidRPr="008B68A9">
        <w:t xml:space="preserve"> very specific form of brokerage</w:t>
      </w:r>
      <w:r w:rsidR="006863F8" w:rsidRPr="008B68A9">
        <w:t xml:space="preserve"> akin to care navigators,</w:t>
      </w:r>
      <w:r w:rsidR="00AE0697" w:rsidRPr="008B68A9">
        <w:t xml:space="preserve"> to</w:t>
      </w:r>
      <w:r w:rsidRPr="008B68A9">
        <w:t xml:space="preserve"> Scourfield </w:t>
      </w:r>
      <w:r w:rsidR="00AE0697" w:rsidRPr="008B68A9">
        <w:t xml:space="preserve">(2010) where less is made of </w:t>
      </w:r>
      <w:r w:rsidR="006863F8" w:rsidRPr="008B68A9">
        <w:t xml:space="preserve">the form </w:t>
      </w:r>
      <w:r w:rsidR="00AE0697" w:rsidRPr="008B68A9">
        <w:t xml:space="preserve">brokerage but of </w:t>
      </w:r>
      <w:r w:rsidR="006863F8" w:rsidRPr="008B68A9">
        <w:t xml:space="preserve">its </w:t>
      </w:r>
      <w:r w:rsidR="00AE0697" w:rsidRPr="008B68A9">
        <w:t xml:space="preserve">existence; </w:t>
      </w:r>
      <w:r w:rsidRPr="008B68A9">
        <w:t>the question</w:t>
      </w:r>
      <w:r w:rsidR="00AE0697" w:rsidRPr="008B68A9">
        <w:t xml:space="preserve"> of brokerage</w:t>
      </w:r>
      <w:r w:rsidRPr="008B68A9">
        <w:t xml:space="preserve"> remains central to the personalisation debate (Beresford 2009, Duffy 2014c). Brokerage </w:t>
      </w:r>
      <w:r w:rsidR="002C73D1" w:rsidRPr="008B68A9">
        <w:t>roles and function</w:t>
      </w:r>
      <w:r w:rsidR="005C6CA3" w:rsidRPr="008B68A9">
        <w:t>s</w:t>
      </w:r>
      <w:r w:rsidR="002C73D1" w:rsidRPr="008B68A9">
        <w:t xml:space="preserve"> </w:t>
      </w:r>
      <w:r w:rsidR="005C6CA3" w:rsidRPr="008B68A9">
        <w:t>were</w:t>
      </w:r>
      <w:r w:rsidRPr="008B68A9">
        <w:t xml:space="preserve"> </w:t>
      </w:r>
      <w:r w:rsidR="002C73D1" w:rsidRPr="008B68A9">
        <w:t>reported to</w:t>
      </w:r>
      <w:r w:rsidRPr="008B68A9">
        <w:t xml:space="preserve"> </w:t>
      </w:r>
      <w:r w:rsidR="002C73D1" w:rsidRPr="008B68A9">
        <w:t>be</w:t>
      </w:r>
      <w:r w:rsidRPr="008B68A9">
        <w:t xml:space="preserve"> </w:t>
      </w:r>
      <w:r w:rsidR="005C6CA3" w:rsidRPr="008B68A9">
        <w:t>of great importance</w:t>
      </w:r>
      <w:r w:rsidRPr="008B68A9">
        <w:t xml:space="preserve"> by budget users, carers, professional </w:t>
      </w:r>
      <w:r w:rsidRPr="008B68A9">
        <w:lastRenderedPageBreak/>
        <w:t xml:space="preserve">practitioners and managers, but </w:t>
      </w:r>
      <w:r w:rsidR="002C73D1" w:rsidRPr="008B68A9">
        <w:t xml:space="preserve">within these expressions from stakeholders brokerage </w:t>
      </w:r>
      <w:r w:rsidRPr="008B68A9">
        <w:t xml:space="preserve">also </w:t>
      </w:r>
      <w:r w:rsidR="002C73D1" w:rsidRPr="008B68A9">
        <w:t>was representative of the</w:t>
      </w:r>
      <w:r w:rsidRPr="008B68A9">
        <w:t xml:space="preserve"> different constructions of identity and allowable actions</w:t>
      </w:r>
      <w:r w:rsidR="002C73D1" w:rsidRPr="008B68A9">
        <w:t xml:space="preserve"> within the role</w:t>
      </w:r>
      <w:r w:rsidRPr="008B68A9">
        <w:t xml:space="preserve">. </w:t>
      </w:r>
    </w:p>
    <w:p w14:paraId="581782D3" w14:textId="17FD483F" w:rsidR="006C7B37" w:rsidRPr="008B68A9" w:rsidRDefault="006C7B37" w:rsidP="002F0FD7">
      <w:pPr>
        <w:pStyle w:val="5arangedleft"/>
      </w:pPr>
      <w:r w:rsidRPr="008B68A9">
        <w:t>Specific broker roles and actions were mediated by a number of factors attributable to the design of the evaluation, where brokerage was either independent, peer, seconded personnel or an extension of the practitioner’s role. Other factors were more subtle, dependent on the broker and the teams they worked with. The analysis of the collective case shows brokerage to be complex, but also characterised by pragmatic action.</w:t>
      </w:r>
      <w:r w:rsidR="005C2AE4" w:rsidRPr="008B68A9">
        <w:t xml:space="preserve"> Hostility towards brokers was only seen in some professionals who challenged the authority of outside, non-nurse professionals to determine what might support budget users’ recovery. </w:t>
      </w:r>
    </w:p>
    <w:p w14:paraId="1902AE86" w14:textId="72319594" w:rsidR="006C7B37" w:rsidRPr="008B68A9" w:rsidRDefault="006C7B37" w:rsidP="002F0FD7">
      <w:pPr>
        <w:pStyle w:val="5arangedleft"/>
      </w:pPr>
      <w:r w:rsidRPr="008B68A9">
        <w:t>However, the</w:t>
      </w:r>
      <w:r w:rsidR="00697F0E" w:rsidRPr="008B68A9">
        <w:t xml:space="preserve"> broker</w:t>
      </w:r>
      <w:r w:rsidRPr="008B68A9">
        <w:t xml:space="preserve"> work,</w:t>
      </w:r>
      <w:r w:rsidR="00697F0E" w:rsidRPr="008B68A9">
        <w:t xml:space="preserve"> and the impact tho</w:t>
      </w:r>
      <w:r w:rsidRPr="008B68A9">
        <w:t xml:space="preserve">se roles had on </w:t>
      </w:r>
      <w:r w:rsidR="00697F0E" w:rsidRPr="008B68A9">
        <w:t>budget</w:t>
      </w:r>
      <w:r w:rsidRPr="008B68A9">
        <w:t xml:space="preserve"> </w:t>
      </w:r>
      <w:r w:rsidR="00697F0E" w:rsidRPr="008B68A9">
        <w:t>recipients as well as</w:t>
      </w:r>
      <w:r w:rsidRPr="008B68A9">
        <w:t xml:space="preserve"> professionals, contributed to </w:t>
      </w:r>
      <w:r w:rsidR="009A7254" w:rsidRPr="008B68A9">
        <w:t>story-line</w:t>
      </w:r>
      <w:r w:rsidRPr="008B68A9">
        <w:t xml:space="preserve"> creation and</w:t>
      </w:r>
      <w:r w:rsidR="005C6CA3" w:rsidRPr="008B68A9">
        <w:t xml:space="preserve"> in</w:t>
      </w:r>
      <w:r w:rsidRPr="008B68A9">
        <w:t xml:space="preserve"> shaping the subject’s orientation towards individual budgets. </w:t>
      </w:r>
      <w:r w:rsidR="00697F0E" w:rsidRPr="008B68A9">
        <w:t>C</w:t>
      </w:r>
      <w:r w:rsidRPr="008B68A9">
        <w:t>omplexity</w:t>
      </w:r>
      <w:r w:rsidR="005C6CA3" w:rsidRPr="008B68A9">
        <w:t xml:space="preserve"> </w:t>
      </w:r>
      <w:r w:rsidR="00697F0E" w:rsidRPr="008B68A9">
        <w:t xml:space="preserve">was </w:t>
      </w:r>
      <w:r w:rsidR="005C6CA3" w:rsidRPr="008B68A9">
        <w:t>seen through the data</w:t>
      </w:r>
      <w:r w:rsidRPr="008B68A9">
        <w:t xml:space="preserve"> in the ways that brokers used positioning (Harré and Langenhove 1999) actively to achieve specific goals, and how they were in turn positioned by others. Budget users constructed brokers as facilitative, providing support and guidance through support planning and budget coordination. </w:t>
      </w:r>
      <w:r w:rsidR="00B555D8" w:rsidRPr="008B68A9">
        <w:t>Through brokerage roles b</w:t>
      </w:r>
      <w:r w:rsidRPr="008B68A9">
        <w:t xml:space="preserve">rokers created and sustained positions and alliances between budget recipients, and positions of separation between </w:t>
      </w:r>
      <w:r w:rsidR="00B555D8" w:rsidRPr="008B68A9">
        <w:t xml:space="preserve">themselves and </w:t>
      </w:r>
      <w:r w:rsidRPr="008B68A9">
        <w:t>practitioners,. The professionals’ construction of brokerage role</w:t>
      </w:r>
      <w:r w:rsidR="00B555D8" w:rsidRPr="008B68A9">
        <w:t>s</w:t>
      </w:r>
      <w:r w:rsidRPr="008B68A9">
        <w:t xml:space="preserve"> was expressed differently, </w:t>
      </w:r>
      <w:r w:rsidR="00B555D8" w:rsidRPr="008B68A9">
        <w:t>these accounts ranged</w:t>
      </w:r>
      <w:r w:rsidRPr="008B68A9">
        <w:t xml:space="preserve"> from admiration</w:t>
      </w:r>
      <w:r w:rsidR="00B555D8" w:rsidRPr="008B68A9">
        <w:t xml:space="preserve"> of the broker</w:t>
      </w:r>
      <w:r w:rsidRPr="008B68A9">
        <w:t xml:space="preserve"> to </w:t>
      </w:r>
      <w:r w:rsidR="00B555D8" w:rsidRPr="008B68A9">
        <w:t xml:space="preserve">an almost complete </w:t>
      </w:r>
      <w:r w:rsidRPr="008B68A9">
        <w:t>dist</w:t>
      </w:r>
      <w:r w:rsidR="00B555D8" w:rsidRPr="008B68A9">
        <w:t>rust.</w:t>
      </w:r>
    </w:p>
    <w:p w14:paraId="16EE044D" w14:textId="48215B6D" w:rsidR="006C7B37" w:rsidRPr="008B68A9" w:rsidRDefault="006C7B37" w:rsidP="002F0FD7">
      <w:pPr>
        <w:pStyle w:val="5arangedleft"/>
      </w:pPr>
      <w:r w:rsidRPr="008B68A9">
        <w:t xml:space="preserve">In study site one, the broker (Marcus) was experienced and confident in his role, and undertook deliberate strategies to achieve the pilot’s goal of providing up to 100 personal budgets within 12 months. Study site two, where external independent brokerage, peer brokers and brokerage champions were used, fared less well, encountering more hostility from professionals. Study sites three and four utilised seconded staff acting as brokers for the duration of the pilots, with mixed results. In this section </w:t>
      </w:r>
      <w:r w:rsidR="005C6CA3" w:rsidRPr="008B68A9">
        <w:t xml:space="preserve">Marcus’s </w:t>
      </w:r>
      <w:r w:rsidRPr="008B68A9">
        <w:t xml:space="preserve">narrative </w:t>
      </w:r>
      <w:r w:rsidR="005C6CA3" w:rsidRPr="008B68A9">
        <w:t>is used</w:t>
      </w:r>
      <w:r w:rsidRPr="008B68A9">
        <w:t xml:space="preserve"> to illustrate his approach to </w:t>
      </w:r>
      <w:r w:rsidR="005C6CA3" w:rsidRPr="008B68A9">
        <w:t xml:space="preserve">brokerage in </w:t>
      </w:r>
      <w:r w:rsidRPr="008B68A9">
        <w:t>personalisation.</w:t>
      </w:r>
    </w:p>
    <w:p w14:paraId="4427CB99" w14:textId="74739007" w:rsidR="006C7B37" w:rsidRPr="008B68A9" w:rsidRDefault="006C7B37" w:rsidP="006C7B37">
      <w:pPr>
        <w:pStyle w:val="3L3header"/>
      </w:pPr>
      <w:bookmarkStart w:id="260" w:name="_Toc413607843"/>
      <w:bookmarkStart w:id="261" w:name="_Toc413827477"/>
      <w:bookmarkStart w:id="262" w:name="_Toc466800374"/>
      <w:r w:rsidRPr="008B68A9">
        <w:lastRenderedPageBreak/>
        <w:t>6.6.1 Brokerage actions</w:t>
      </w:r>
      <w:bookmarkEnd w:id="260"/>
      <w:bookmarkEnd w:id="261"/>
      <w:bookmarkEnd w:id="262"/>
    </w:p>
    <w:p w14:paraId="3DBDF536" w14:textId="155F2E20" w:rsidR="005A6F43" w:rsidRPr="008B68A9" w:rsidRDefault="005A6F43" w:rsidP="005A6F43">
      <w:pPr>
        <w:pStyle w:val="5arangedleft"/>
      </w:pPr>
      <w:r w:rsidRPr="008B68A9">
        <w:t xml:space="preserve">The importance of brokering in support of planning and individual budgeting was identified by a coding of brokerage action. Marcus, from site one, expresses his experiences of brokerage action as </w:t>
      </w:r>
      <w:r w:rsidR="00371B44" w:rsidRPr="008B68A9">
        <w:t>co-production</w:t>
      </w:r>
      <w:r w:rsidRPr="008B68A9">
        <w:t>, working alongside a budget user, focused in a time-limited endeavour, yet able to work creatively and with a sense of honesty that is fulfilling:</w:t>
      </w:r>
    </w:p>
    <w:p w14:paraId="3B74EC50" w14:textId="77777777" w:rsidR="005A6F43" w:rsidRPr="008B68A9" w:rsidRDefault="005A6F43" w:rsidP="005A6F43">
      <w:pPr>
        <w:pStyle w:val="6bblockquoteitalic"/>
      </w:pPr>
      <w:r w:rsidRPr="008B68A9">
        <w:t>However, I have been, I’ve been honoured with the freedom that most people have spoken with. Having, you know, if you’re meeting somebody for only two times and they’re able to talk about some very personal things, erm… that are directly related to what they’re asking for, you know, it’s very humbling actually.</w:t>
      </w:r>
    </w:p>
    <w:p w14:paraId="45BA8D50" w14:textId="73EAF220" w:rsidR="006C7B37" w:rsidRPr="008B68A9" w:rsidRDefault="006C7B37" w:rsidP="002F0FD7">
      <w:pPr>
        <w:pStyle w:val="5arangedleft"/>
        <w:rPr>
          <w:rFonts w:cs="Arial"/>
        </w:rPr>
      </w:pPr>
      <w:r w:rsidRPr="008B68A9">
        <w:t xml:space="preserve">In her second interview, </w:t>
      </w:r>
      <w:r w:rsidRPr="008B68A9">
        <w:rPr>
          <w:rFonts w:cs="Arial"/>
        </w:rPr>
        <w:t xml:space="preserve">Tammy focused on the broker’s transformative role in relation to her sense of recovery and movement towards progressive narrative. </w:t>
      </w:r>
      <w:r w:rsidR="00697F0E" w:rsidRPr="008B68A9">
        <w:rPr>
          <w:rFonts w:cs="Arial"/>
        </w:rPr>
        <w:t>Her</w:t>
      </w:r>
      <w:r w:rsidRPr="008B68A9">
        <w:rPr>
          <w:rFonts w:cs="Arial"/>
        </w:rPr>
        <w:t xml:space="preserve"> account praised the support offered by the broker,</w:t>
      </w:r>
      <w:r w:rsidR="00697F0E" w:rsidRPr="008B68A9">
        <w:rPr>
          <w:rFonts w:cs="Arial"/>
        </w:rPr>
        <w:t xml:space="preserve"> which assisted</w:t>
      </w:r>
      <w:r w:rsidRPr="008B68A9">
        <w:rPr>
          <w:rFonts w:cs="Arial"/>
        </w:rPr>
        <w:t xml:space="preserve"> her to achieve otherwise unmanageable tasks:</w:t>
      </w:r>
    </w:p>
    <w:p w14:paraId="20CC2303" w14:textId="77777777" w:rsidR="006C7B37" w:rsidRPr="008B68A9" w:rsidRDefault="006C7B37" w:rsidP="002F0FD7">
      <w:pPr>
        <w:pStyle w:val="6bblockquoteitalic"/>
      </w:pPr>
      <w:r w:rsidRPr="008B68A9">
        <w:t>…when I know like [name of broker] coming to see me I’ll think oh god, shit I’d better do this! (Laughter) I better do this and I better do that and then… ’cause she says ‘cause you’ll feel better afterwards and it’s like all the anxiety leaves me straight away, yeah, so it’s nice having someone there…</w:t>
      </w:r>
    </w:p>
    <w:p w14:paraId="5267E19C" w14:textId="0F9FEAEE" w:rsidR="006C7B37" w:rsidRPr="008B68A9" w:rsidRDefault="006C7B37" w:rsidP="002F0FD7">
      <w:pPr>
        <w:pStyle w:val="5arangedleft"/>
      </w:pPr>
      <w:r w:rsidRPr="008B68A9">
        <w:t>Carys, a probation worker from study site four, identified the importance of brokerage actions for budget recipients, but</w:t>
      </w:r>
      <w:r w:rsidR="00697F0E" w:rsidRPr="008B68A9">
        <w:t xml:space="preserve"> also</w:t>
      </w:r>
      <w:r w:rsidRPr="008B68A9">
        <w:t xml:space="preserve"> recognised the difficulties of brokering support plans:</w:t>
      </w:r>
    </w:p>
    <w:p w14:paraId="76470E5C" w14:textId="77777777" w:rsidR="006C7B37" w:rsidRPr="008B68A9" w:rsidRDefault="006C7B37" w:rsidP="002F0FD7">
      <w:pPr>
        <w:pStyle w:val="6bblockquoteitalic"/>
      </w:pPr>
      <w:r w:rsidRPr="008B68A9">
        <w:t xml:space="preserve">The biggest positives for me and for the… is the sort of pre-work that [name of broker] does. I just… I found to read it from an outside perspective you can almost see how much effort people have put into it and how much thought they have put into it, and for some of them it can’t be easy because they are going over sort of things that have happened in their life. </w:t>
      </w:r>
    </w:p>
    <w:p w14:paraId="6CE8F7EF" w14:textId="77777777" w:rsidR="005A6F43" w:rsidRPr="008B68A9" w:rsidRDefault="005A6F43" w:rsidP="002F0FD7">
      <w:pPr>
        <w:pStyle w:val="6bblockquoteitalic"/>
        <w:rPr>
          <w:i w:val="0"/>
        </w:rPr>
      </w:pPr>
    </w:p>
    <w:p w14:paraId="29D5D6E0" w14:textId="45AAE504" w:rsidR="006C7B37" w:rsidRPr="008B68A9" w:rsidRDefault="006C7B37" w:rsidP="006C7B37">
      <w:pPr>
        <w:pStyle w:val="3L3header"/>
        <w:rPr>
          <w:sz w:val="24"/>
        </w:rPr>
      </w:pPr>
      <w:bookmarkStart w:id="263" w:name="_Toc413607844"/>
      <w:bookmarkStart w:id="264" w:name="_Toc413827478"/>
      <w:bookmarkStart w:id="265" w:name="_Toc466800375"/>
      <w:r w:rsidRPr="008B68A9">
        <w:t>6.6.2 Positioning</w:t>
      </w:r>
      <w:bookmarkEnd w:id="263"/>
      <w:bookmarkEnd w:id="264"/>
      <w:bookmarkEnd w:id="265"/>
    </w:p>
    <w:p w14:paraId="0BA11716" w14:textId="7D51C57C" w:rsidR="006C7B37" w:rsidRPr="008B68A9" w:rsidRDefault="005A6F43" w:rsidP="002F0FD7">
      <w:pPr>
        <w:pStyle w:val="5arangedleft"/>
      </w:pPr>
      <w:r w:rsidRPr="008B68A9">
        <w:t>The code p</w:t>
      </w:r>
      <w:r w:rsidR="006C7B37" w:rsidRPr="008B68A9">
        <w:t xml:space="preserve">ositioning </w:t>
      </w:r>
      <w:r w:rsidRPr="008B68A9">
        <w:t>was developed to reflect</w:t>
      </w:r>
      <w:r w:rsidR="006C7B37" w:rsidRPr="008B68A9">
        <w:t xml:space="preserve"> stakeholder’s accounts </w:t>
      </w:r>
      <w:r w:rsidRPr="008B68A9">
        <w:t>that identified</w:t>
      </w:r>
      <w:r w:rsidR="006C7B37" w:rsidRPr="008B68A9">
        <w:t xml:space="preserve"> the impact brokerage action </w:t>
      </w:r>
      <w:r w:rsidRPr="008B68A9">
        <w:t xml:space="preserve">had </w:t>
      </w:r>
      <w:r w:rsidR="006C7B37" w:rsidRPr="008B68A9">
        <w:t>on working relationships. Harré and Langenhove’s (1999) frame</w:t>
      </w:r>
      <w:r w:rsidRPr="008B68A9">
        <w:t xml:space="preserve"> has been used</w:t>
      </w:r>
      <w:r w:rsidR="006C7B37" w:rsidRPr="008B68A9">
        <w:t xml:space="preserve"> to explore the </w:t>
      </w:r>
      <w:r w:rsidRPr="008B68A9">
        <w:t>positioning</w:t>
      </w:r>
      <w:r w:rsidR="006C7B37" w:rsidRPr="008B68A9">
        <w:t xml:space="preserve"> of relationships between participants through their narrative accounts, ranging from simple narrative to </w:t>
      </w:r>
      <w:r w:rsidR="006C7B37" w:rsidRPr="008B68A9">
        <w:lastRenderedPageBreak/>
        <w:t>complex and deliberate action. Paul in site one highlights the pragmatic way Marcus was able to quickly enact the support plan:</w:t>
      </w:r>
    </w:p>
    <w:p w14:paraId="3DFF53F3" w14:textId="77777777" w:rsidR="006C7B37" w:rsidRPr="008B68A9" w:rsidRDefault="006C7B37" w:rsidP="002F0FD7">
      <w:pPr>
        <w:pStyle w:val="6bblockquoteitalic"/>
      </w:pPr>
      <w:r w:rsidRPr="008B68A9">
        <w:t>…I had to supply him with information as regards to the cost of the holiday and things… I made sure that the documents got passed on… from there, [broker], had a look at it,… then on the Friday of that week he telephone me and said the group have approved the finances and needless to say, I was over the moon.</w:t>
      </w:r>
    </w:p>
    <w:p w14:paraId="07446A85" w14:textId="2D988F5C" w:rsidR="006C7B37" w:rsidRPr="008B68A9" w:rsidRDefault="006C7B37" w:rsidP="002F0FD7">
      <w:pPr>
        <w:pStyle w:val="5arangedleft"/>
      </w:pPr>
      <w:r w:rsidRPr="008B68A9">
        <w:t>Marcus used positioning deliberately to promote advantage</w:t>
      </w:r>
      <w:r w:rsidR="00697F0E" w:rsidRPr="008B68A9">
        <w:t xml:space="preserve"> for the pilot</w:t>
      </w:r>
      <w:r w:rsidRPr="008B68A9">
        <w:t xml:space="preserve"> and gain evidence of simplicity and functionality, </w:t>
      </w:r>
      <w:r w:rsidR="00697F0E" w:rsidRPr="008B68A9">
        <w:t>hopeful</w:t>
      </w:r>
      <w:r w:rsidRPr="008B68A9">
        <w:t xml:space="preserve"> that some quick wins might assuage staff resistance, increasing the likelihood the individual budgets </w:t>
      </w:r>
      <w:r w:rsidR="001726D9" w:rsidRPr="008B68A9">
        <w:t>delivery</w:t>
      </w:r>
      <w:r w:rsidRPr="008B68A9">
        <w:t>:</w:t>
      </w:r>
    </w:p>
    <w:p w14:paraId="66B7309A" w14:textId="77777777" w:rsidR="006C7B37" w:rsidRPr="008B68A9" w:rsidRDefault="006C7B37" w:rsidP="002F0FD7">
      <w:pPr>
        <w:pStyle w:val="6bblockquoteitalic"/>
      </w:pPr>
      <w:r w:rsidRPr="008B68A9">
        <w:t>So what was happening was people came forward with some very obvious requests. They were quite easy to sort out and I didn’t particularly ask the question as to how much planning had gone on with a client. It was almost get these ones working… get the obvious scenarios sorted out… get the obvious stuff done… could start to look at how it actually linked in with somebody’s care planning which was very important to me because it [support plan] needs to be part, part of an existing system.</w:t>
      </w:r>
    </w:p>
    <w:p w14:paraId="1CD07E4E" w14:textId="4504DF85" w:rsidR="006C7B37" w:rsidRPr="008B68A9" w:rsidRDefault="006C7B37" w:rsidP="002F0FD7">
      <w:pPr>
        <w:pStyle w:val="5arangedleft"/>
      </w:pPr>
      <w:r w:rsidRPr="008B68A9">
        <w:t xml:space="preserve">Marcus positioned himself between two organisations, his host and substantive roles. In doing so his aim was to create an effective and user friendly means of working with individual budgets. As an outsider to the pilot organisation, he reported </w:t>
      </w:r>
      <w:r w:rsidR="00697F0E" w:rsidRPr="008B68A9">
        <w:t xml:space="preserve">that </w:t>
      </w:r>
      <w:r w:rsidRPr="008B68A9">
        <w:t>separation was easier: given the choice of where he located his administrative office, in one of the EITs</w:t>
      </w:r>
      <w:r w:rsidR="00697F0E" w:rsidRPr="008B68A9">
        <w:t xml:space="preserve"> to be</w:t>
      </w:r>
      <w:r w:rsidRPr="008B68A9">
        <w:t xml:space="preserve"> am</w:t>
      </w:r>
      <w:r w:rsidR="00697F0E" w:rsidRPr="008B68A9">
        <w:t xml:space="preserve">ongst the community health team; separate from them but remaining </w:t>
      </w:r>
      <w:r w:rsidRPr="008B68A9">
        <w:t>a part of the</w:t>
      </w:r>
      <w:r w:rsidR="00697F0E" w:rsidRPr="008B68A9">
        <w:t>ir</w:t>
      </w:r>
      <w:r w:rsidRPr="008B68A9">
        <w:t xml:space="preserve"> team. The narrative shows </w:t>
      </w:r>
      <w:r w:rsidR="00697F0E" w:rsidRPr="008B68A9">
        <w:t xml:space="preserve">his </w:t>
      </w:r>
      <w:r w:rsidRPr="008B68A9">
        <w:t>conscious use of self, creating a space between existing service providers and those accessing them:</w:t>
      </w:r>
    </w:p>
    <w:p w14:paraId="058A4191" w14:textId="77777777" w:rsidR="006C7B37" w:rsidRPr="008B68A9" w:rsidRDefault="006C7B37" w:rsidP="002F0FD7">
      <w:pPr>
        <w:pStyle w:val="6bblockquoteitalic"/>
      </w:pPr>
      <w:r w:rsidRPr="008B68A9">
        <w:t>And also, not get caught up by the technicalities that might have been put upon by [name of host organisation]. I was able to sit in the middle. So I used that opportunity to create something that was very accessible, very service user friendly, very friendly as well for staff who were to access the service as well with service users.</w:t>
      </w:r>
    </w:p>
    <w:p w14:paraId="2402193D" w14:textId="27A90F17" w:rsidR="006C7B37" w:rsidRPr="008B68A9" w:rsidRDefault="006C7B37" w:rsidP="002F0FD7">
      <w:pPr>
        <w:pStyle w:val="5arangedleft"/>
      </w:pPr>
      <w:r w:rsidRPr="008B68A9">
        <w:t>Just as positioning was created and used by the brokers</w:t>
      </w:r>
      <w:r w:rsidR="00697F0E" w:rsidRPr="008B68A9">
        <w:t xml:space="preserve"> such as Marcus</w:t>
      </w:r>
      <w:r w:rsidRPr="008B68A9">
        <w:t>, professionals positioned the brokers</w:t>
      </w:r>
      <w:r w:rsidR="00697F0E" w:rsidRPr="008B68A9">
        <w:t xml:space="preserve"> as well</w:t>
      </w:r>
      <w:r w:rsidRPr="008B68A9">
        <w:t xml:space="preserve">. The </w:t>
      </w:r>
      <w:r w:rsidR="00697F0E" w:rsidRPr="008B68A9">
        <w:t xml:space="preserve">broker’s </w:t>
      </w:r>
      <w:r w:rsidRPr="008B68A9">
        <w:t xml:space="preserve">authority and role created tensions and conflict </w:t>
      </w:r>
      <w:r w:rsidR="00697F0E" w:rsidRPr="008B68A9">
        <w:t>with</w:t>
      </w:r>
      <w:r w:rsidRPr="008B68A9">
        <w:t xml:space="preserve"> some staff. Brokerage </w:t>
      </w:r>
      <w:r w:rsidR="00697F0E" w:rsidRPr="008B68A9">
        <w:t>action</w:t>
      </w:r>
      <w:r w:rsidRPr="008B68A9">
        <w:t xml:space="preserve"> were challenged </w:t>
      </w:r>
      <w:r w:rsidR="00697F0E" w:rsidRPr="008B68A9">
        <w:t>by</w:t>
      </w:r>
      <w:r w:rsidRPr="008B68A9">
        <w:t xml:space="preserve"> Colin’s </w:t>
      </w:r>
      <w:r w:rsidR="00697F0E" w:rsidRPr="008B68A9">
        <w:t xml:space="preserve">in the </w:t>
      </w:r>
      <w:r w:rsidRPr="008B68A9">
        <w:t>account</w:t>
      </w:r>
      <w:r w:rsidR="00697F0E" w:rsidRPr="008B68A9">
        <w:t xml:space="preserve"> below</w:t>
      </w:r>
      <w:r w:rsidRPr="008B68A9">
        <w:t xml:space="preserve">, </w:t>
      </w:r>
      <w:r w:rsidR="00697F0E" w:rsidRPr="008B68A9">
        <w:t xml:space="preserve">which </w:t>
      </w:r>
      <w:r w:rsidR="00987121" w:rsidRPr="008B68A9">
        <w:t>questions</w:t>
      </w:r>
      <w:r w:rsidRPr="008B68A9">
        <w:t xml:space="preserve"> their </w:t>
      </w:r>
      <w:r w:rsidR="00697F0E" w:rsidRPr="008B68A9">
        <w:t>status</w:t>
      </w:r>
      <w:r w:rsidRPr="008B68A9">
        <w:t xml:space="preserve"> in terms of responsibility and accountability:</w:t>
      </w:r>
    </w:p>
    <w:p w14:paraId="7F8F1086" w14:textId="77777777" w:rsidR="006C7B37" w:rsidRPr="008B68A9" w:rsidRDefault="006C7B37" w:rsidP="002F0FD7">
      <w:pPr>
        <w:pStyle w:val="6bblockquoteitalic"/>
      </w:pPr>
      <w:r w:rsidRPr="008B68A9">
        <w:lastRenderedPageBreak/>
        <w:t>I just want to go back to that bit about the expectations of the service users and where some of that comes from and certainly from my experience with certain packages and certain applications, particularly the support plan… has not been done by the care co-ordinator and that has created some problems.</w:t>
      </w:r>
    </w:p>
    <w:p w14:paraId="2E79DCF1" w14:textId="39E9DF28" w:rsidR="006C7B37" w:rsidRPr="008B68A9" w:rsidRDefault="006C7B37" w:rsidP="002F0FD7">
      <w:pPr>
        <w:pStyle w:val="5arangedleft"/>
      </w:pPr>
      <w:r w:rsidRPr="008B68A9">
        <w:t>Harré and Van Langenhove (1999) used positioning in their description of story-line,</w:t>
      </w:r>
      <w:r w:rsidR="00987121" w:rsidRPr="008B68A9">
        <w:t xml:space="preserve"> identifying it as central, </w:t>
      </w:r>
      <w:r w:rsidRPr="008B68A9">
        <w:t>creating and re-creating of lines of division and association between actors. The use of positioning in brokerage shows how the broker’s actions were welcomed by budget recipients as necessary and facilitative; whereas for the professionals, the broker’s role was more a chimera, not quite one of their group yet helpful to some, providing them with time and space to develop outcomes for the clients. For others, brokers were positioned more negatively: unregulated, and representing a challenge to professional identity</w:t>
      </w:r>
      <w:r w:rsidR="005C2AE4" w:rsidRPr="008B68A9">
        <w:t xml:space="preserve"> and perceived as a threat. Peer brokers were ignored and independent outside brokers challenged. The skill of the brokers to navigate professional sensitivities was apparent in two of the four studies, whereas in others conflict </w:t>
      </w:r>
      <w:r w:rsidR="00264572" w:rsidRPr="008B68A9">
        <w:t>made support planning more difficult.</w:t>
      </w:r>
    </w:p>
    <w:p w14:paraId="141DD18F" w14:textId="2A0F7D16" w:rsidR="006C7B37" w:rsidRPr="008B68A9" w:rsidRDefault="006C7B37" w:rsidP="006C7B37">
      <w:pPr>
        <w:pStyle w:val="3L3header"/>
      </w:pPr>
      <w:bookmarkStart w:id="266" w:name="_Toc413607845"/>
      <w:bookmarkStart w:id="267" w:name="_Toc413827479"/>
      <w:bookmarkStart w:id="268" w:name="_Toc466800376"/>
      <w:r w:rsidRPr="008B68A9">
        <w:t>6.6.3 Dramatic engagement</w:t>
      </w:r>
      <w:bookmarkEnd w:id="266"/>
      <w:bookmarkEnd w:id="267"/>
      <w:bookmarkEnd w:id="268"/>
    </w:p>
    <w:p w14:paraId="56FD23C7" w14:textId="40DFAC16" w:rsidR="006C7B37" w:rsidRPr="008B68A9" w:rsidRDefault="006C7B37" w:rsidP="002F0FD7">
      <w:pPr>
        <w:pStyle w:val="5arangedleft"/>
      </w:pPr>
      <w:r w:rsidRPr="008B68A9">
        <w:t xml:space="preserve">The </w:t>
      </w:r>
      <w:r w:rsidR="003D450F" w:rsidRPr="008B68A9">
        <w:t xml:space="preserve">participant’s </w:t>
      </w:r>
      <w:r w:rsidRPr="008B68A9">
        <w:t xml:space="preserve">stories </w:t>
      </w:r>
      <w:r w:rsidR="00987121" w:rsidRPr="008B68A9">
        <w:t xml:space="preserve">and trajectory of those narratives </w:t>
      </w:r>
      <w:r w:rsidRPr="008B68A9">
        <w:t xml:space="preserve">hinged on an action or event where </w:t>
      </w:r>
      <w:r w:rsidR="00987121" w:rsidRPr="008B68A9">
        <w:t>change occurred.</w:t>
      </w:r>
      <w:r w:rsidR="003D450F" w:rsidRPr="008B68A9">
        <w:t xml:space="preserve"> T</w:t>
      </w:r>
      <w:r w:rsidR="00987121" w:rsidRPr="008B68A9">
        <w:t>he role of the broker in the</w:t>
      </w:r>
      <w:r w:rsidRPr="008B68A9">
        <w:t xml:space="preserve"> dramatic engagement </w:t>
      </w:r>
      <w:r w:rsidR="003D450F" w:rsidRPr="008B68A9">
        <w:t xml:space="preserve">was </w:t>
      </w:r>
      <w:r w:rsidR="00987121" w:rsidRPr="008B68A9">
        <w:t>seen</w:t>
      </w:r>
      <w:r w:rsidR="003D450F" w:rsidRPr="008B68A9">
        <w:t xml:space="preserve"> </w:t>
      </w:r>
      <w:r w:rsidRPr="008B68A9">
        <w:t>from accounts of support planning</w:t>
      </w:r>
      <w:r w:rsidR="00987121" w:rsidRPr="008B68A9">
        <w:t xml:space="preserve"> processes</w:t>
      </w:r>
      <w:r w:rsidRPr="008B68A9">
        <w:t xml:space="preserve">. </w:t>
      </w:r>
      <w:r w:rsidR="00987121" w:rsidRPr="008B68A9">
        <w:t>Budget recipients reveal that the</w:t>
      </w:r>
      <w:r w:rsidRPr="008B68A9">
        <w:t xml:space="preserve"> broker’s involvement </w:t>
      </w:r>
      <w:r w:rsidR="00987121" w:rsidRPr="008B68A9">
        <w:t>w</w:t>
      </w:r>
      <w:r w:rsidRPr="008B68A9">
        <w:t>as the point in their story where change</w:t>
      </w:r>
      <w:r w:rsidR="00987121" w:rsidRPr="008B68A9">
        <w:t>d trajectory</w:t>
      </w:r>
      <w:r w:rsidRPr="008B68A9">
        <w:t xml:space="preserve"> became possible. The broker’s </w:t>
      </w:r>
      <w:r w:rsidR="00987121" w:rsidRPr="008B68A9">
        <w:t>actions</w:t>
      </w:r>
      <w:r w:rsidRPr="008B68A9">
        <w:t xml:space="preserve"> signalled </w:t>
      </w:r>
      <w:r w:rsidR="00987121" w:rsidRPr="008B68A9">
        <w:t>the</w:t>
      </w:r>
      <w:r w:rsidRPr="008B68A9">
        <w:t xml:space="preserve"> opportunity to access previously unavailable </w:t>
      </w:r>
      <w:r w:rsidR="003D450F" w:rsidRPr="008B68A9">
        <w:t>resources</w:t>
      </w:r>
      <w:r w:rsidRPr="008B68A9">
        <w:t xml:space="preserve"> or items </w:t>
      </w:r>
      <w:r w:rsidR="003D450F" w:rsidRPr="008B68A9">
        <w:t>which supported their</w:t>
      </w:r>
      <w:r w:rsidRPr="008B68A9">
        <w:t xml:space="preserve"> recovery journeys. For others, dramatic engagement and positioning signified more than acquisition, </w:t>
      </w:r>
      <w:r w:rsidR="00987121" w:rsidRPr="008B68A9">
        <w:t>and</w:t>
      </w:r>
      <w:r w:rsidR="003D450F" w:rsidRPr="008B68A9">
        <w:t xml:space="preserve"> </w:t>
      </w:r>
      <w:r w:rsidRPr="008B68A9">
        <w:t xml:space="preserve">beyond monetary value: the broker’s actions </w:t>
      </w:r>
      <w:r w:rsidR="00987121" w:rsidRPr="008B68A9">
        <w:t xml:space="preserve">directly </w:t>
      </w:r>
      <w:r w:rsidRPr="008B68A9">
        <w:t>led to hope through encouragement</w:t>
      </w:r>
      <w:r w:rsidR="00987121" w:rsidRPr="008B68A9">
        <w:t xml:space="preserve"> and support</w:t>
      </w:r>
      <w:r w:rsidRPr="008B68A9">
        <w:t xml:space="preserve"> where change became possible.</w:t>
      </w:r>
    </w:p>
    <w:p w14:paraId="48527869" w14:textId="008995B5" w:rsidR="006C7B37" w:rsidRPr="008B68A9" w:rsidRDefault="006C7B37" w:rsidP="002F0FD7">
      <w:pPr>
        <w:pStyle w:val="5arangedleft"/>
      </w:pPr>
      <w:r w:rsidRPr="008B68A9">
        <w:t xml:space="preserve">Paul’s dramatic engagement was significant </w:t>
      </w:r>
      <w:r w:rsidR="003D450F" w:rsidRPr="008B68A9">
        <w:t>to his</w:t>
      </w:r>
      <w:r w:rsidRPr="008B68A9">
        <w:t xml:space="preserve"> recovery, as he claims the broker’s role </w:t>
      </w:r>
      <w:r w:rsidR="003D450F" w:rsidRPr="008B68A9">
        <w:t>was</w:t>
      </w:r>
      <w:r w:rsidRPr="008B68A9">
        <w:t xml:space="preserve"> transformative, using ‘miracle’ to denote the importance of brokerage intervention for him. The mythos of magical or supernatural intervention in stories is not uncommon, as Propp (1968) identified; </w:t>
      </w:r>
      <w:r w:rsidR="003D450F" w:rsidRPr="008B68A9">
        <w:t xml:space="preserve">and </w:t>
      </w:r>
      <w:r w:rsidRPr="008B68A9">
        <w:t xml:space="preserve">for Paul, </w:t>
      </w:r>
      <w:r w:rsidR="003D450F" w:rsidRPr="008B68A9">
        <w:t>his</w:t>
      </w:r>
      <w:r w:rsidRPr="008B68A9">
        <w:t xml:space="preserve"> broker’s dramatic engagement suggests divine assistance in transforming his situation:</w:t>
      </w:r>
    </w:p>
    <w:p w14:paraId="1EE23C4C" w14:textId="77777777" w:rsidR="006C7B37" w:rsidRPr="008B68A9" w:rsidRDefault="006C7B37" w:rsidP="002F0FD7">
      <w:pPr>
        <w:pStyle w:val="6bblockquoteitalic"/>
      </w:pPr>
      <w:r w:rsidRPr="008B68A9">
        <w:rPr>
          <w:rFonts w:cs="Times New Roman"/>
        </w:rPr>
        <w:lastRenderedPageBreak/>
        <w:t>...</w:t>
      </w:r>
      <w:r w:rsidRPr="008B68A9">
        <w:t>The financial assistance that I’ve had from the organisation, which has been the trump card…. Yeah but their help as well has been fabulous. Just to have someone to talk to and someone who’s willing to listen er</w:t>
      </w:r>
      <w:r w:rsidRPr="008B68A9">
        <w:rPr>
          <w:b/>
          <w:bCs/>
        </w:rPr>
        <w:t xml:space="preserve">… </w:t>
      </w:r>
      <w:r w:rsidRPr="008B68A9">
        <w:t xml:space="preserve">it was almost like a miracle to me at that time that I really needed something… that somebody and something was there and that I will never forget. </w:t>
      </w:r>
    </w:p>
    <w:p w14:paraId="682FF584" w14:textId="77777777" w:rsidR="006C7B37" w:rsidRPr="008B68A9" w:rsidRDefault="006C7B37" w:rsidP="002F0FD7">
      <w:pPr>
        <w:pStyle w:val="5arangedleft"/>
      </w:pPr>
      <w:r w:rsidRPr="008B68A9">
        <w:t>Tammy identified the broker role as more than of probation officer, nurse or social worker; dramatic engagement, in Tammy’s construction, motivated her, signalling the turning point, towards hope:</w:t>
      </w:r>
    </w:p>
    <w:p w14:paraId="12EAB4DA" w14:textId="77777777" w:rsidR="006C7B37" w:rsidRPr="008B68A9" w:rsidRDefault="006C7B37" w:rsidP="002F0FD7">
      <w:pPr>
        <w:pStyle w:val="6bblockquoteitalic"/>
      </w:pPr>
      <w:r w:rsidRPr="008B68A9">
        <w:t>And just when I thought mine had been chucked away I got the support I needed, proper support so I didn’t have to lean on my parents. I didn’t have to lean on friends, you know?</w:t>
      </w:r>
    </w:p>
    <w:p w14:paraId="5128D840" w14:textId="77777777" w:rsidR="006C7B37" w:rsidRPr="008B68A9" w:rsidRDefault="006C7B37" w:rsidP="002F0FD7">
      <w:pPr>
        <w:pStyle w:val="5arangedleft"/>
      </w:pPr>
      <w:r w:rsidRPr="008B68A9">
        <w:t>Marcus describes dramatic engagement for a budget user transforming their situation and the expectations of their parents through an unexpected outcome. The young person achieves their outcome of maintaining school attendance through the acquisition of a bicycle, but in gaining the bike achieves something much more:</w:t>
      </w:r>
    </w:p>
    <w:p w14:paraId="26FCECEA" w14:textId="77777777" w:rsidR="006C7B37" w:rsidRPr="008B68A9" w:rsidRDefault="006C7B37" w:rsidP="002F0FD7">
      <w:pPr>
        <w:pStyle w:val="6bblockquoteitalic"/>
      </w:pPr>
      <w:r w:rsidRPr="008B68A9">
        <w:t>He wanted to take control of his life. He still wanted to go to school. Needed to get to school. Using the bus was actually preventing him from going to school and the solution was a bicycle. He… we got him the bicycle fairly quickly. It was during the summer holidays and actually he started biking with a friend who lived on the same street. For one of the first times he was getting out for more than, you know, more than just to go to an appointment or with a family member or with a member of staff. He was going, packing a lunch and going with his friend for a day’s long bike ride. So, er… being able to provide something for somebody often has consequences beyond what we planned for, you know. He’s still going to school now as well.</w:t>
      </w:r>
    </w:p>
    <w:p w14:paraId="5019826E" w14:textId="1A5EC09C" w:rsidR="006C7B37" w:rsidRPr="008B68A9" w:rsidRDefault="007D5ABA" w:rsidP="002F0FD7">
      <w:pPr>
        <w:pStyle w:val="5arangedleft"/>
      </w:pPr>
      <w:r w:rsidRPr="008B68A9">
        <w:t>The</w:t>
      </w:r>
      <w:r w:rsidR="006C7B37" w:rsidRPr="008B68A9">
        <w:t xml:space="preserve"> normalcy beyond diagnosis </w:t>
      </w:r>
      <w:r w:rsidRPr="008B68A9">
        <w:t>represented</w:t>
      </w:r>
      <w:r w:rsidR="006C7B37" w:rsidRPr="008B68A9">
        <w:t xml:space="preserve"> a dramatic engagement for the client and their family; accomplishing an unexpected story </w:t>
      </w:r>
      <w:r w:rsidRPr="008B68A9">
        <w:t xml:space="preserve">that </w:t>
      </w:r>
      <w:r w:rsidR="006C7B37" w:rsidRPr="008B68A9">
        <w:t xml:space="preserve">is both simple yet powerful. Accounts of budgets achieving beyond their stated outcomes abound in personalisation, such as Gavin Croft’s football season ticket which Beresford (2014a) highlights as one of personalisation’s weaknesses. </w:t>
      </w:r>
      <w:r w:rsidR="00987121" w:rsidRPr="008B68A9">
        <w:t>Stories</w:t>
      </w:r>
      <w:r w:rsidR="006C7B37" w:rsidRPr="008B68A9">
        <w:t xml:space="preserve"> of change and opportunity within personalisation </w:t>
      </w:r>
      <w:r w:rsidR="00987121" w:rsidRPr="008B68A9">
        <w:t>are</w:t>
      </w:r>
      <w:r w:rsidR="006C7B37" w:rsidRPr="008B68A9">
        <w:t xml:space="preserve"> </w:t>
      </w:r>
      <w:r w:rsidRPr="008B68A9">
        <w:t>identified</w:t>
      </w:r>
      <w:r w:rsidR="006C7B37" w:rsidRPr="008B68A9">
        <w:t xml:space="preserve"> </w:t>
      </w:r>
      <w:r w:rsidRPr="008B68A9">
        <w:t>by</w:t>
      </w:r>
      <w:r w:rsidR="006C7B37" w:rsidRPr="008B68A9">
        <w:t xml:space="preserve"> Yanow (2000, cited in Needham and Glasby 2014), where persuasive accounts are presented in simple and readily understandable tropes convey</w:t>
      </w:r>
      <w:r w:rsidR="00987121" w:rsidRPr="008B68A9">
        <w:t>ing</w:t>
      </w:r>
      <w:r w:rsidR="006C7B37" w:rsidRPr="008B68A9">
        <w:t xml:space="preserve"> the transformative nature of personalisation, often over detailed and robust research. Brokers </w:t>
      </w:r>
      <w:r w:rsidR="00987121" w:rsidRPr="008B68A9">
        <w:t xml:space="preserve">through their actions </w:t>
      </w:r>
      <w:r w:rsidR="006C7B37" w:rsidRPr="008B68A9">
        <w:t xml:space="preserve">were central to </w:t>
      </w:r>
      <w:r w:rsidR="006C7B37" w:rsidRPr="008B68A9">
        <w:lastRenderedPageBreak/>
        <w:t xml:space="preserve">creating such narratives; they </w:t>
      </w:r>
      <w:r w:rsidRPr="008B68A9">
        <w:t>were</w:t>
      </w:r>
      <w:r w:rsidR="006C7B37" w:rsidRPr="008B68A9">
        <w:t xml:space="preserve"> the mechanism whereby trajectories change</w:t>
      </w:r>
      <w:r w:rsidR="00987121" w:rsidRPr="008B68A9">
        <w:t>d</w:t>
      </w:r>
      <w:r w:rsidR="006C7B37" w:rsidRPr="008B68A9">
        <w:t xml:space="preserve"> </w:t>
      </w:r>
      <w:r w:rsidR="00987121" w:rsidRPr="008B68A9">
        <w:t>to</w:t>
      </w:r>
      <w:r w:rsidR="006C7B37" w:rsidRPr="008B68A9">
        <w:t xml:space="preserve"> progressive </w:t>
      </w:r>
      <w:r w:rsidR="00987121" w:rsidRPr="008B68A9">
        <w:t>futures</w:t>
      </w:r>
      <w:r w:rsidR="006C7B37" w:rsidRPr="008B68A9">
        <w:t xml:space="preserve"> and hope.</w:t>
      </w:r>
    </w:p>
    <w:p w14:paraId="7DADA35A" w14:textId="400FD220" w:rsidR="006C7B37" w:rsidRPr="008B68A9" w:rsidRDefault="006C7B37" w:rsidP="002F0FD7">
      <w:pPr>
        <w:pStyle w:val="5arangedleft"/>
      </w:pPr>
      <w:r w:rsidRPr="008B68A9">
        <w:t>Site four’s broker was present at Tammy’s second interview when she identified how brokerage action made possible a change in narrative trajectory</w:t>
      </w:r>
      <w:r w:rsidR="00987121" w:rsidRPr="008B68A9">
        <w:t xml:space="preserve"> and the narrative section below shows where Tammy directly addresses the broker</w:t>
      </w:r>
      <w:r w:rsidRPr="008B68A9">
        <w:t>:</w:t>
      </w:r>
    </w:p>
    <w:p w14:paraId="0960BB65" w14:textId="77777777" w:rsidR="006C7B37" w:rsidRPr="008B68A9" w:rsidRDefault="006C7B37" w:rsidP="002F0FD7">
      <w:pPr>
        <w:pStyle w:val="6bblockquoteitalic"/>
      </w:pPr>
      <w:r w:rsidRPr="008B68A9">
        <w:t>But you’ve really stuck by me [name of broker] and I feel like you’re my friend. I know I shouldn’t but I just, I do, I wish you all the luck in the world and everything because you have helped me so much. I would have given up and caved in.</w:t>
      </w:r>
    </w:p>
    <w:p w14:paraId="5F01C35E" w14:textId="01FAC717" w:rsidR="006C7B37" w:rsidRPr="008B68A9" w:rsidRDefault="006C7B37" w:rsidP="006C7B37">
      <w:pPr>
        <w:pStyle w:val="2L2header"/>
      </w:pPr>
      <w:bookmarkStart w:id="269" w:name="_Toc413607846"/>
      <w:bookmarkStart w:id="270" w:name="_Toc413827480"/>
      <w:bookmarkStart w:id="271" w:name="_Toc466800377"/>
      <w:r w:rsidRPr="008B68A9">
        <w:t>6.7 Progressive narrative</w:t>
      </w:r>
      <w:bookmarkEnd w:id="269"/>
      <w:bookmarkEnd w:id="270"/>
      <w:bookmarkEnd w:id="271"/>
    </w:p>
    <w:p w14:paraId="61B0D765" w14:textId="3D7BEA90" w:rsidR="006C7B37" w:rsidRPr="008B68A9" w:rsidRDefault="006C7B37" w:rsidP="002F0FD7">
      <w:pPr>
        <w:pStyle w:val="5arangedleft"/>
      </w:pPr>
      <w:r w:rsidRPr="008B68A9">
        <w:t xml:space="preserve">According to Gergen and Gergen (1983, 1986) progressive narrative moves towards a personally valued goal or desirable outcome, suggesting that we are naturally oriented toward such narratives. With this in mind there should be little surprise that most budget recipients, carers, brokers and some staff reported progressive narratives about personalisation. Within </w:t>
      </w:r>
      <w:r w:rsidR="007D5ABA" w:rsidRPr="008B68A9">
        <w:t xml:space="preserve">this study’s </w:t>
      </w:r>
      <w:r w:rsidRPr="008B68A9">
        <w:t xml:space="preserve">data over 250 separate coding entries were </w:t>
      </w:r>
      <w:r w:rsidR="00987121" w:rsidRPr="008B68A9">
        <w:t>given</w:t>
      </w:r>
      <w:r w:rsidRPr="008B68A9">
        <w:t xml:space="preserve"> the theme progressive narrative, which supports most of the literature</w:t>
      </w:r>
      <w:r w:rsidR="00987121" w:rsidRPr="008B68A9">
        <w:t xml:space="preserve"> that cites personal budgets improve users’</w:t>
      </w:r>
      <w:r w:rsidRPr="008B68A9">
        <w:t xml:space="preserve"> satisfaction. </w:t>
      </w:r>
    </w:p>
    <w:p w14:paraId="58442D42" w14:textId="1D9401C1" w:rsidR="006C7B37" w:rsidRPr="008B68A9" w:rsidRDefault="006C7B37" w:rsidP="002F0FD7">
      <w:pPr>
        <w:pStyle w:val="5arangedleft"/>
      </w:pPr>
      <w:r w:rsidRPr="008B68A9">
        <w:t>Simply reporting progressive narratives as an artefact of individual budgets might, however, be predictable – as Needham and Glasby</w:t>
      </w:r>
      <w:r w:rsidR="00987121" w:rsidRPr="008B68A9">
        <w:t xml:space="preserve"> (2014) describe</w:t>
      </w:r>
      <w:r w:rsidRPr="008B68A9">
        <w:t xml:space="preserve">, </w:t>
      </w:r>
      <w:r w:rsidR="00987121" w:rsidRPr="008B68A9">
        <w:t>the</w:t>
      </w:r>
      <w:r w:rsidRPr="008B68A9">
        <w:t xml:space="preserve"> trope of</w:t>
      </w:r>
      <w:r w:rsidR="00987121" w:rsidRPr="008B68A9">
        <w:t xml:space="preserve"> personalisation</w:t>
      </w:r>
      <w:r w:rsidR="007D5ABA" w:rsidRPr="008B68A9">
        <w:t xml:space="preserve"> </w:t>
      </w:r>
      <w:r w:rsidRPr="008B68A9">
        <w:t xml:space="preserve">as a policy that makes people’s lives better. Being in control of one’s world </w:t>
      </w:r>
      <w:r w:rsidR="001726D9" w:rsidRPr="008B68A9">
        <w:t>is</w:t>
      </w:r>
      <w:r w:rsidRPr="008B68A9">
        <w:t xml:space="preserve"> a beneficial action; therefore it seems insufficient </w:t>
      </w:r>
      <w:r w:rsidR="00987121" w:rsidRPr="008B68A9">
        <w:t>to state</w:t>
      </w:r>
      <w:r w:rsidRPr="008B68A9">
        <w:t xml:space="preserve"> that progressive narratives were present. Progressive narrative trajectory as a single theme does not identify the goal o</w:t>
      </w:r>
      <w:r w:rsidR="00987121" w:rsidRPr="008B68A9">
        <w:t>r focus of that</w:t>
      </w:r>
      <w:r w:rsidRPr="008B68A9">
        <w:t xml:space="preserve"> trajectory. Consequently the decision to show where in the recipients’ lives the progressive narrative </w:t>
      </w:r>
      <w:r w:rsidR="00987121" w:rsidRPr="008B68A9">
        <w:t>impacted</w:t>
      </w:r>
      <w:r w:rsidR="007D5ABA" w:rsidRPr="008B68A9">
        <w:t xml:space="preserve"> was taken</w:t>
      </w:r>
      <w:r w:rsidRPr="008B68A9">
        <w:t xml:space="preserve">. As most budget users generated positive constructions of their individual budgets, </w:t>
      </w:r>
      <w:r w:rsidR="007D5ABA" w:rsidRPr="008B68A9">
        <w:t>identifying</w:t>
      </w:r>
      <w:r w:rsidRPr="008B68A9">
        <w:t xml:space="preserve"> thematic </w:t>
      </w:r>
      <w:r w:rsidR="00357086" w:rsidRPr="008B68A9">
        <w:t>sub-</w:t>
      </w:r>
      <w:r w:rsidRPr="008B68A9">
        <w:t xml:space="preserve">groups provided more depth of analysis. </w:t>
      </w:r>
      <w:r w:rsidR="007D5ABA" w:rsidRPr="008B68A9">
        <w:t>Three sub-codes</w:t>
      </w:r>
      <w:r w:rsidRPr="008B68A9">
        <w:t xml:space="preserve"> – direction and goals, feeling physically better and connecting – </w:t>
      </w:r>
      <w:r w:rsidR="007D5ABA" w:rsidRPr="008B68A9">
        <w:t xml:space="preserve">were </w:t>
      </w:r>
      <w:r w:rsidR="00357086" w:rsidRPr="008B68A9">
        <w:t>identified</w:t>
      </w:r>
      <w:r w:rsidR="007D5ABA" w:rsidRPr="008B68A9">
        <w:t xml:space="preserve"> </w:t>
      </w:r>
      <w:r w:rsidR="00357086" w:rsidRPr="008B68A9">
        <w:t>under</w:t>
      </w:r>
      <w:r w:rsidR="007D5ABA" w:rsidRPr="008B68A9">
        <w:t xml:space="preserve"> the broader coding of progressive trajectory</w:t>
      </w:r>
      <w:r w:rsidR="00357086" w:rsidRPr="008B68A9">
        <w:t xml:space="preserve"> to allow more depth of analysis</w:t>
      </w:r>
      <w:r w:rsidR="007D5ABA" w:rsidRPr="008B68A9">
        <w:t>.</w:t>
      </w:r>
    </w:p>
    <w:p w14:paraId="4A892893" w14:textId="76019BDD" w:rsidR="006C7B37" w:rsidRPr="008B68A9" w:rsidRDefault="006C7B37" w:rsidP="006C7B37">
      <w:pPr>
        <w:pStyle w:val="3L3header"/>
      </w:pPr>
      <w:bookmarkStart w:id="272" w:name="_Toc413607847"/>
      <w:bookmarkStart w:id="273" w:name="_Toc413827481"/>
      <w:bookmarkStart w:id="274" w:name="_Toc466800378"/>
      <w:r w:rsidRPr="008B68A9">
        <w:lastRenderedPageBreak/>
        <w:t>6.7.1 Direction and goals</w:t>
      </w:r>
      <w:bookmarkEnd w:id="272"/>
      <w:bookmarkEnd w:id="273"/>
      <w:bookmarkEnd w:id="274"/>
    </w:p>
    <w:p w14:paraId="0AE662F3" w14:textId="7B199242" w:rsidR="006C7B37" w:rsidRPr="008B68A9" w:rsidRDefault="006C7B37" w:rsidP="002F0FD7">
      <w:pPr>
        <w:pStyle w:val="5arangedleft"/>
      </w:pPr>
      <w:r w:rsidRPr="008B68A9">
        <w:t xml:space="preserve">The </w:t>
      </w:r>
      <w:r w:rsidR="00357086" w:rsidRPr="008B68A9">
        <w:t>code</w:t>
      </w:r>
      <w:r w:rsidR="00C12B90" w:rsidRPr="008B68A9">
        <w:t xml:space="preserve"> </w:t>
      </w:r>
      <w:r w:rsidRPr="008B68A9">
        <w:t>direction</w:t>
      </w:r>
      <w:r w:rsidRPr="008B68A9">
        <w:rPr>
          <w:i/>
        </w:rPr>
        <w:t xml:space="preserve"> </w:t>
      </w:r>
      <w:r w:rsidRPr="008B68A9">
        <w:t xml:space="preserve">and goals </w:t>
      </w:r>
      <w:r w:rsidR="00357086" w:rsidRPr="008B68A9">
        <w:t>reflected</w:t>
      </w:r>
      <w:r w:rsidRPr="008B68A9">
        <w:t xml:space="preserve"> positive change </w:t>
      </w:r>
      <w:r w:rsidR="00357086" w:rsidRPr="008B68A9">
        <w:t>themes</w:t>
      </w:r>
      <w:r w:rsidRPr="008B68A9">
        <w:t xml:space="preserve">. For Paul, his holiday provided him with space and opportunity to evaluate and reassess his life and its </w:t>
      </w:r>
      <w:r w:rsidR="00357086" w:rsidRPr="008B68A9">
        <w:t xml:space="preserve">decide on his future </w:t>
      </w:r>
      <w:r w:rsidRPr="008B68A9">
        <w:t>direction:</w:t>
      </w:r>
    </w:p>
    <w:p w14:paraId="436ECC0F" w14:textId="77777777" w:rsidR="006C7B37" w:rsidRPr="008B68A9" w:rsidRDefault="006C7B37" w:rsidP="002F0FD7">
      <w:pPr>
        <w:pStyle w:val="6bblockquoteitalic"/>
      </w:pPr>
      <w:r w:rsidRPr="008B68A9">
        <w:t>…the more positive you can get someone to feel, um, the more positive I feel about I know I’ll be able to do it you know, it’s hard to describe, the feeling you get inside when you feel so positive you know, the feeling that you’re moving in the right direction. You’re getting better all the time and your life is on the right path, the feeling you get from that is unbelievable.</w:t>
      </w:r>
    </w:p>
    <w:p w14:paraId="0C9735BE" w14:textId="262A04F9" w:rsidR="006C7B37" w:rsidRPr="008B68A9" w:rsidRDefault="00357086" w:rsidP="002F0FD7">
      <w:pPr>
        <w:pStyle w:val="5arangedleft"/>
      </w:pPr>
      <w:r w:rsidRPr="008B68A9">
        <w:t xml:space="preserve">Below </w:t>
      </w:r>
      <w:r w:rsidR="006C7B37" w:rsidRPr="008B68A9">
        <w:t xml:space="preserve">Tammy expresses </w:t>
      </w:r>
      <w:r w:rsidRPr="008B68A9">
        <w:t>her</w:t>
      </w:r>
      <w:r w:rsidR="006C7B37" w:rsidRPr="008B68A9">
        <w:t xml:space="preserve"> direction and goals following </w:t>
      </w:r>
      <w:r w:rsidRPr="008B68A9">
        <w:t xml:space="preserve">support planning processes and </w:t>
      </w:r>
      <w:r w:rsidR="006C7B37" w:rsidRPr="008B68A9">
        <w:t>the budget, clear that things for her were in place:</w:t>
      </w:r>
    </w:p>
    <w:p w14:paraId="1FF568C8" w14:textId="77777777" w:rsidR="006C7B37" w:rsidRPr="008B68A9" w:rsidRDefault="006C7B37" w:rsidP="002F0FD7">
      <w:pPr>
        <w:pStyle w:val="6bblockquoteitalic"/>
      </w:pPr>
      <w:r w:rsidRPr="008B68A9">
        <w:t>I’ve got a lot more structure to my life and I know it’s taken all this time. My next job is my house and my home and getting that organised.</w:t>
      </w:r>
    </w:p>
    <w:p w14:paraId="24C18152" w14:textId="0DDDE29D" w:rsidR="006C7B37" w:rsidRPr="008B68A9" w:rsidRDefault="00357086" w:rsidP="002F0FD7">
      <w:pPr>
        <w:pStyle w:val="5arangedleft"/>
      </w:pPr>
      <w:r w:rsidRPr="008B68A9">
        <w:t>Improved d</w:t>
      </w:r>
      <w:r w:rsidR="006C7B37" w:rsidRPr="008B68A9">
        <w:t xml:space="preserve">irection and goal orientation </w:t>
      </w:r>
      <w:r w:rsidRPr="008B68A9">
        <w:t>in</w:t>
      </w:r>
      <w:r w:rsidR="006C7B37" w:rsidRPr="008B68A9">
        <w:t xml:space="preserve"> budget users was observed </w:t>
      </w:r>
      <w:r w:rsidRPr="008B68A9">
        <w:t>by</w:t>
      </w:r>
      <w:r w:rsidR="006C7B37" w:rsidRPr="008B68A9">
        <w:t xml:space="preserve"> professionals</w:t>
      </w:r>
      <w:r w:rsidRPr="008B68A9">
        <w:t xml:space="preserve"> too.</w:t>
      </w:r>
      <w:r w:rsidR="006C7B37" w:rsidRPr="008B68A9">
        <w:t xml:space="preserve"> Carys reflects on the tangible changes</w:t>
      </w:r>
      <w:r w:rsidRPr="008B68A9">
        <w:t xml:space="preserve"> that</w:t>
      </w:r>
      <w:r w:rsidR="006C7B37" w:rsidRPr="008B68A9">
        <w:t xml:space="preserve"> support planning had for budget users</w:t>
      </w:r>
      <w:r w:rsidRPr="008B68A9">
        <w:t xml:space="preserve"> in her service</w:t>
      </w:r>
      <w:r w:rsidR="006C7B37" w:rsidRPr="008B68A9">
        <w:t>:</w:t>
      </w:r>
    </w:p>
    <w:p w14:paraId="2E8AF743" w14:textId="77777777" w:rsidR="006C7B37" w:rsidRPr="008B68A9" w:rsidRDefault="006C7B37" w:rsidP="002F0FD7">
      <w:pPr>
        <w:pStyle w:val="6bblockquoteitalic"/>
      </w:pPr>
      <w:r w:rsidRPr="008B68A9">
        <w:t>I think that has been really beneficial for people that have been on the personalised budgets from the people that I have spoken to that have completed it, they found that work really insightful for themselves, and the process really useful to go through and it’s given them a lot to think about.</w:t>
      </w:r>
    </w:p>
    <w:p w14:paraId="243CA254" w14:textId="713F156B" w:rsidR="006C7B37" w:rsidRPr="008B68A9" w:rsidRDefault="006C7B37" w:rsidP="006C7B37">
      <w:pPr>
        <w:pStyle w:val="3L3header"/>
      </w:pPr>
      <w:bookmarkStart w:id="275" w:name="_Toc413607848"/>
      <w:bookmarkStart w:id="276" w:name="_Toc413827482"/>
      <w:bookmarkStart w:id="277" w:name="_Toc466800379"/>
      <w:r w:rsidRPr="008B68A9">
        <w:t>6.7.2 Feeling physically better</w:t>
      </w:r>
      <w:bookmarkEnd w:id="275"/>
      <w:bookmarkEnd w:id="276"/>
      <w:bookmarkEnd w:id="277"/>
    </w:p>
    <w:p w14:paraId="452C33F3" w14:textId="0DABD089" w:rsidR="006C7B37" w:rsidRPr="008B68A9" w:rsidRDefault="006C7B37" w:rsidP="002F0FD7">
      <w:pPr>
        <w:pStyle w:val="5arangedleft"/>
      </w:pPr>
      <w:r w:rsidRPr="008B68A9">
        <w:t xml:space="preserve">Study sites one and four had populations where previous health behaviours, mostly substance misuse, had compromised </w:t>
      </w:r>
      <w:r w:rsidR="00357086" w:rsidRPr="008B68A9">
        <w:t>their</w:t>
      </w:r>
      <w:r w:rsidRPr="008B68A9">
        <w:t xml:space="preserve"> physical health status. Therefore, many of the plans identified increased physical activity, through gym membership, and acquisition of fitness or recreational goods</w:t>
      </w:r>
      <w:r w:rsidR="00357086" w:rsidRPr="008B68A9">
        <w:t xml:space="preserve"> as aims. The </w:t>
      </w:r>
      <w:r w:rsidR="007C1B41" w:rsidRPr="008B68A9">
        <w:t>sub-theme feeling physically better</w:t>
      </w:r>
      <w:r w:rsidR="00357086" w:rsidRPr="008B68A9">
        <w:t xml:space="preserve"> can be seen in </w:t>
      </w:r>
      <w:r w:rsidRPr="008B68A9">
        <w:t>Paul</w:t>
      </w:r>
      <w:r w:rsidR="00357086" w:rsidRPr="008B68A9">
        <w:t>’s</w:t>
      </w:r>
      <w:r w:rsidRPr="008B68A9">
        <w:t xml:space="preserve"> second interview </w:t>
      </w:r>
      <w:r w:rsidR="00357086" w:rsidRPr="008B68A9">
        <w:t>where he makes a connection between</w:t>
      </w:r>
      <w:r w:rsidRPr="008B68A9">
        <w:t xml:space="preserve"> how feeling better and insight combine in a progressive narrative:</w:t>
      </w:r>
    </w:p>
    <w:p w14:paraId="4BD1DD66" w14:textId="77777777" w:rsidR="006C7B37" w:rsidRPr="008B68A9" w:rsidRDefault="006C7B37" w:rsidP="002F0FD7">
      <w:pPr>
        <w:pStyle w:val="6bblockquoteitalic"/>
      </w:pPr>
      <w:r w:rsidRPr="008B68A9">
        <w:t>Understanding about my health and things like that, I’ve also learnt a lot about the fact that… understanding about that and dealing with it and coping with it as well.</w:t>
      </w:r>
    </w:p>
    <w:p w14:paraId="4D277004" w14:textId="39A33F88" w:rsidR="006C7B37" w:rsidRPr="008B68A9" w:rsidRDefault="006C7B37" w:rsidP="006C7B37">
      <w:pPr>
        <w:pStyle w:val="3L3header"/>
      </w:pPr>
      <w:bookmarkStart w:id="278" w:name="_Toc413607849"/>
      <w:bookmarkStart w:id="279" w:name="_Toc413827483"/>
      <w:bookmarkStart w:id="280" w:name="_Toc466800380"/>
      <w:r w:rsidRPr="008B68A9">
        <w:lastRenderedPageBreak/>
        <w:t>6.7.3 Connecting</w:t>
      </w:r>
      <w:bookmarkEnd w:id="278"/>
      <w:bookmarkEnd w:id="279"/>
      <w:bookmarkEnd w:id="280"/>
    </w:p>
    <w:p w14:paraId="7D011ABF" w14:textId="23410308" w:rsidR="006C7B37" w:rsidRPr="008B68A9" w:rsidRDefault="00357086" w:rsidP="002F0FD7">
      <w:pPr>
        <w:pStyle w:val="5arangedleft"/>
      </w:pPr>
      <w:r w:rsidRPr="008B68A9">
        <w:t xml:space="preserve">The final sub-category </w:t>
      </w:r>
      <w:r w:rsidR="006C7B37" w:rsidRPr="008B68A9">
        <w:t xml:space="preserve">in the progressive narrative trajectory </w:t>
      </w:r>
      <w:r w:rsidRPr="008B68A9">
        <w:t xml:space="preserve">sub coding </w:t>
      </w:r>
      <w:r w:rsidR="006C7B37" w:rsidRPr="008B68A9">
        <w:t xml:space="preserve">reflects social capital </w:t>
      </w:r>
      <w:r w:rsidRPr="008B68A9">
        <w:t xml:space="preserve">which I have taken as </w:t>
      </w:r>
      <w:r w:rsidR="006C7B37" w:rsidRPr="008B68A9">
        <w:t>connecting</w:t>
      </w:r>
      <w:r w:rsidRPr="008B68A9">
        <w:t xml:space="preserve"> and</w:t>
      </w:r>
      <w:r w:rsidR="006C7B37" w:rsidRPr="008B68A9">
        <w:t xml:space="preserve"> belonging. The notion of connecting </w:t>
      </w:r>
      <w:r w:rsidRPr="008B68A9">
        <w:t>is similar</w:t>
      </w:r>
      <w:r w:rsidR="006C7B37" w:rsidRPr="008B68A9">
        <w:t xml:space="preserve"> to Putnam</w:t>
      </w:r>
      <w:r w:rsidRPr="008B68A9">
        <w:t>’s</w:t>
      </w:r>
      <w:r w:rsidR="006C7B37" w:rsidRPr="008B68A9">
        <w:t xml:space="preserve"> (1995, 2000)</w:t>
      </w:r>
      <w:r w:rsidRPr="008B68A9">
        <w:t xml:space="preserve"> </w:t>
      </w:r>
      <w:r w:rsidR="006C7B37" w:rsidRPr="008B68A9">
        <w:t xml:space="preserve">communitarian formulation of </w:t>
      </w:r>
      <w:r w:rsidRPr="008B68A9">
        <w:t xml:space="preserve">social </w:t>
      </w:r>
      <w:r w:rsidR="006C7B37" w:rsidRPr="008B68A9">
        <w:t>capital</w:t>
      </w:r>
      <w:r w:rsidRPr="008B68A9">
        <w:t>. I</w:t>
      </w:r>
      <w:r w:rsidR="006C7B37" w:rsidRPr="008B68A9">
        <w:t xml:space="preserve">n this sense </w:t>
      </w:r>
      <w:r w:rsidRPr="008B68A9">
        <w:t xml:space="preserve">budget recipients were </w:t>
      </w:r>
      <w:r w:rsidR="006C7B37" w:rsidRPr="008B68A9">
        <w:t xml:space="preserve">re-connecting to their communities </w:t>
      </w:r>
      <w:r w:rsidRPr="008B68A9">
        <w:t xml:space="preserve">where </w:t>
      </w:r>
      <w:r w:rsidR="006C7B37" w:rsidRPr="008B68A9">
        <w:t>mental health issues and substance misuse had fractured</w:t>
      </w:r>
      <w:r w:rsidRPr="008B68A9">
        <w:t xml:space="preserve"> or compromised such</w:t>
      </w:r>
      <w:r w:rsidR="006C7B37" w:rsidRPr="008B68A9">
        <w:t xml:space="preserve"> bonds. Lin (1999), identifies social capital </w:t>
      </w:r>
      <w:r w:rsidRPr="008B68A9">
        <w:t xml:space="preserve">less as </w:t>
      </w:r>
      <w:r w:rsidR="006C7B37" w:rsidRPr="008B68A9">
        <w:t>a sense of community</w:t>
      </w:r>
      <w:r w:rsidRPr="008B68A9">
        <w:t xml:space="preserve"> and belonging as Putnam does</w:t>
      </w:r>
      <w:r w:rsidR="006C7B37" w:rsidRPr="008B68A9">
        <w:t xml:space="preserve">, rather </w:t>
      </w:r>
      <w:r w:rsidRPr="008B68A9">
        <w:t>Lin views capital</w:t>
      </w:r>
      <w:r w:rsidR="006C7B37" w:rsidRPr="008B68A9">
        <w:t xml:space="preserve"> as an instrumental exchange; </w:t>
      </w:r>
      <w:r w:rsidRPr="008B68A9">
        <w:t xml:space="preserve">of </w:t>
      </w:r>
      <w:r w:rsidR="006C7B37" w:rsidRPr="008B68A9">
        <w:t>networks between people</w:t>
      </w:r>
      <w:r w:rsidRPr="008B68A9">
        <w:t xml:space="preserve"> that </w:t>
      </w:r>
      <w:r w:rsidR="006C7B37" w:rsidRPr="008B68A9">
        <w:t>represent connection and association</w:t>
      </w:r>
      <w:r w:rsidRPr="008B68A9">
        <w:t>,</w:t>
      </w:r>
      <w:r w:rsidR="006C7B37" w:rsidRPr="008B68A9">
        <w:t xml:space="preserve"> beneficial to the individual and </w:t>
      </w:r>
      <w:r w:rsidR="00490531" w:rsidRPr="008B68A9">
        <w:t>the wider community</w:t>
      </w:r>
      <w:r w:rsidR="006C7B37" w:rsidRPr="008B68A9">
        <w:t xml:space="preserve"> (Almedon 2005). Connecting</w:t>
      </w:r>
      <w:r w:rsidR="00490531" w:rsidRPr="008B68A9">
        <w:t>, or rather re-connecting</w:t>
      </w:r>
      <w:r w:rsidR="006C7B37" w:rsidRPr="008B68A9">
        <w:t xml:space="preserve"> for people </w:t>
      </w:r>
      <w:r w:rsidR="00490531" w:rsidRPr="008B68A9">
        <w:t xml:space="preserve">in my study, whose </w:t>
      </w:r>
      <w:r w:rsidR="006C7B37" w:rsidRPr="008B68A9">
        <w:t xml:space="preserve">long histories of separation and isolation was a part of </w:t>
      </w:r>
      <w:r w:rsidR="00490531" w:rsidRPr="008B68A9">
        <w:t>their</w:t>
      </w:r>
      <w:r w:rsidR="006C7B37" w:rsidRPr="008B68A9">
        <w:t xml:space="preserve"> lives, </w:t>
      </w:r>
      <w:r w:rsidR="00490531" w:rsidRPr="008B68A9">
        <w:t>was really important demonstrated in</w:t>
      </w:r>
      <w:r w:rsidR="006C7B37" w:rsidRPr="008B68A9">
        <w:t xml:space="preserve"> the excerpts below.</w:t>
      </w:r>
    </w:p>
    <w:p w14:paraId="2E6C14AA" w14:textId="1313C496" w:rsidR="006C7B37" w:rsidRPr="008B68A9" w:rsidRDefault="006C7B37" w:rsidP="002F0FD7">
      <w:pPr>
        <w:pStyle w:val="5arangedleft"/>
      </w:pPr>
      <w:r w:rsidRPr="008B68A9">
        <w:t>Paul raises the importance of connecting, as when in crisis he was unable to support others as he had done before.</w:t>
      </w:r>
      <w:r w:rsidR="00490531" w:rsidRPr="008B68A9">
        <w:t xml:space="preserve"> His loss of role and identity not being able to participate in caring activity served to heighten his loss. Paul’s </w:t>
      </w:r>
      <w:r w:rsidRPr="008B68A9">
        <w:t xml:space="preserve">holiday was ostensibly to support a family member with physical impairments, to support another rather than be a recipient of care himself. </w:t>
      </w:r>
      <w:r w:rsidR="00490531" w:rsidRPr="008B68A9">
        <w:t>H</w:t>
      </w:r>
      <w:r w:rsidRPr="008B68A9">
        <w:t>is connection with others and sense of communality had been restored as a consequence</w:t>
      </w:r>
      <w:r w:rsidR="00490531" w:rsidRPr="008B68A9">
        <w:t xml:space="preserve"> of the budget</w:t>
      </w:r>
      <w:r w:rsidRPr="008B68A9">
        <w:t xml:space="preserve">, from being </w:t>
      </w:r>
      <w:r w:rsidR="00490531" w:rsidRPr="008B68A9">
        <w:t xml:space="preserve">a </w:t>
      </w:r>
      <w:r w:rsidRPr="008B68A9">
        <w:t>recipient to having use beyond his diagnosis and capable of contributing to others:</w:t>
      </w:r>
    </w:p>
    <w:p w14:paraId="03617A3B" w14:textId="77777777" w:rsidR="006C7B37" w:rsidRPr="008B68A9" w:rsidRDefault="006C7B37" w:rsidP="002F0FD7">
      <w:pPr>
        <w:pStyle w:val="6bblockquoteitalic"/>
      </w:pPr>
      <w:r w:rsidRPr="008B68A9">
        <w:t>…it’s got that sense of importance that you’re actually doing something and you know, that you’re helping someone out. That in itself is its own reward to be honest you know, especially if whatever you’re doing is having a good effect on someone else or in the community and how you can help out in any sort of way.</w:t>
      </w:r>
    </w:p>
    <w:p w14:paraId="4D9ACCF3" w14:textId="77777777" w:rsidR="006C7B37" w:rsidRPr="008B68A9" w:rsidRDefault="006C7B37" w:rsidP="002F0FD7">
      <w:pPr>
        <w:pStyle w:val="5arangedleft"/>
      </w:pPr>
      <w:r w:rsidRPr="008B68A9">
        <w:t>In Tammy’s narrative, acquiring the computer and using Skype regularly with her son subsequently led to more contact, as is shown below as she recalled a night of normalcy, something that had been absent from her life and that of her family:</w:t>
      </w:r>
    </w:p>
    <w:p w14:paraId="46B563DD" w14:textId="77777777" w:rsidR="006C7B37" w:rsidRPr="008B68A9" w:rsidRDefault="006C7B37" w:rsidP="002F0FD7">
      <w:pPr>
        <w:pStyle w:val="6bblockquoteitalic"/>
      </w:pPr>
      <w:r w:rsidRPr="008B68A9">
        <w:t>We had such a nice night last night just me and [name of son] and [name of son’s girlfriend] and it was like we all got into our pyjamas early and we had a nice tea around the table. It was just so normal. I couldn’t believe it how much I’d missed.</w:t>
      </w:r>
    </w:p>
    <w:p w14:paraId="37C4EA1B" w14:textId="195092C3" w:rsidR="006C7B37" w:rsidRPr="008B68A9" w:rsidRDefault="006C7B37" w:rsidP="006C7B37">
      <w:pPr>
        <w:pStyle w:val="2L2header"/>
        <w:rPr>
          <w:rFonts w:cs="Arial"/>
        </w:rPr>
      </w:pPr>
      <w:bookmarkStart w:id="281" w:name="_Toc413607850"/>
      <w:bookmarkStart w:id="282" w:name="_Toc413827484"/>
      <w:bookmarkStart w:id="283" w:name="_Toc466800381"/>
      <w:r w:rsidRPr="008B68A9">
        <w:lastRenderedPageBreak/>
        <w:t>6.8 Traditional services</w:t>
      </w:r>
      <w:bookmarkEnd w:id="281"/>
      <w:bookmarkEnd w:id="282"/>
      <w:bookmarkEnd w:id="283"/>
    </w:p>
    <w:p w14:paraId="1855D8F7" w14:textId="266D67CB" w:rsidR="006C7B37" w:rsidRPr="008B68A9" w:rsidRDefault="006C7B37" w:rsidP="002F0FD7">
      <w:pPr>
        <w:pStyle w:val="5arangedleft"/>
      </w:pPr>
      <w:r w:rsidRPr="008B68A9">
        <w:t xml:space="preserve">The traditional services code was typified </w:t>
      </w:r>
      <w:r w:rsidR="007C1B41" w:rsidRPr="008B68A9">
        <w:t>by accounts of</w:t>
      </w:r>
      <w:r w:rsidRPr="008B68A9">
        <w:t xml:space="preserve"> professional dominance of knowledge and action, where service users are often passive and those coordinating possess conventions of warrant. Personalisation represents choice, co-production and creative/novel interventions determined through partnership with service recipients, whereas the traditional services code reflects a temporal lag between policy direction of personalised and coproduced outcomes and care delivery innovation. The theme traditional services represented stakeholder narrative accounts where traditional processes and staff user interactions hindered or prevented personalisation approaches. The offer of services was </w:t>
      </w:r>
      <w:r w:rsidR="007C1B41" w:rsidRPr="008B68A9">
        <w:t>reported</w:t>
      </w:r>
      <w:r w:rsidRPr="008B68A9">
        <w:t xml:space="preserve"> by some participants as a single option of attending a day centre or similar, and for some this offer was inflexible or they</w:t>
      </w:r>
      <w:r w:rsidR="007C1B41" w:rsidRPr="008B68A9">
        <w:t xml:space="preserve"> were unable to attend</w:t>
      </w:r>
      <w:r w:rsidR="00BE6EE4" w:rsidRPr="008B68A9">
        <w:t xml:space="preserve"> on the day the service was offered</w:t>
      </w:r>
      <w:r w:rsidR="007C1B41" w:rsidRPr="008B68A9">
        <w:t>.</w:t>
      </w:r>
    </w:p>
    <w:p w14:paraId="30713653" w14:textId="771E982E" w:rsidR="006C7B37" w:rsidRPr="008B68A9" w:rsidRDefault="006C7B37" w:rsidP="002F0FD7">
      <w:pPr>
        <w:pStyle w:val="5arangedleft"/>
      </w:pPr>
      <w:r w:rsidRPr="008B68A9">
        <w:t>Marcus highlights how traditional services fail</w:t>
      </w:r>
      <w:r w:rsidR="003D4BAF" w:rsidRPr="008B68A9">
        <w:t>ed</w:t>
      </w:r>
      <w:r w:rsidRPr="008B68A9">
        <w:t xml:space="preserve"> to meet individual need, </w:t>
      </w:r>
      <w:r w:rsidR="007C1B41" w:rsidRPr="008B68A9">
        <w:t>offering</w:t>
      </w:r>
      <w:r w:rsidRPr="008B68A9">
        <w:t xml:space="preserve"> </w:t>
      </w:r>
      <w:r w:rsidR="003D4BAF" w:rsidRPr="008B68A9">
        <w:t xml:space="preserve">an institutional solution </w:t>
      </w:r>
      <w:r w:rsidRPr="008B68A9">
        <w:t>instead</w:t>
      </w:r>
      <w:r w:rsidR="003D4BAF" w:rsidRPr="008B68A9">
        <w:t>,</w:t>
      </w:r>
      <w:r w:rsidRPr="008B68A9">
        <w:t xml:space="preserve"> similar to the King </w:t>
      </w:r>
      <w:r w:rsidRPr="008B68A9">
        <w:rPr>
          <w:i/>
        </w:rPr>
        <w:t>et al.</w:t>
      </w:r>
      <w:r w:rsidRPr="008B68A9">
        <w:t xml:space="preserve"> (1971, p. 106) “block treatment”, where users were dealt with as a group</w:t>
      </w:r>
      <w:r w:rsidR="007C1B41" w:rsidRPr="008B68A9">
        <w:t xml:space="preserve"> rather than as individuals</w:t>
      </w:r>
      <w:r w:rsidRPr="008B68A9">
        <w:t>. In site one a nurse suggested that a number of bicycles could be purchased and loaned to users, which appears not to recognise the benefits of connecting with others through non-stigmatised settings. Personalisation for many creates a debate where a rise of individualism through personal budgets may be to the detriment to local community engagement (</w:t>
      </w:r>
      <w:r w:rsidR="003D4BAF" w:rsidRPr="008B68A9">
        <w:t xml:space="preserve">see </w:t>
      </w:r>
      <w:r w:rsidRPr="008B68A9">
        <w:t xml:space="preserve">Daly 2012, Speed and Gabe 2013), suggesting that consumerism and the agenda of choice and competition that Le Grand (2007) wrote of creates spaces of separation to the disadvantage of public service users. Others, </w:t>
      </w:r>
      <w:r w:rsidR="007C1B41" w:rsidRPr="008B68A9">
        <w:t>Power (2013), however</w:t>
      </w:r>
      <w:r w:rsidRPr="008B68A9">
        <w:t xml:space="preserve"> have argued that individual choice as a policy narrative has created the conditions where government is able to cast responsibility for care provision from public bodies to the individual. In Marcus’s words below, the opportunities for provision beyond traditional approaches are made clear; the agenda of individual choice over that of traditional collectivism is made here:</w:t>
      </w:r>
    </w:p>
    <w:p w14:paraId="023DE9A5" w14:textId="77777777" w:rsidR="006C7B37" w:rsidRPr="008B68A9" w:rsidRDefault="006C7B37" w:rsidP="002F0FD7">
      <w:pPr>
        <w:pStyle w:val="6bblockquoteitalic"/>
      </w:pPr>
      <w:r w:rsidRPr="008B68A9">
        <w:t xml:space="preserve">A good example would be within the space of two months, four bicycles were ordered from one team and behind that was an idea that a bicycle club could be set up. Now one of the questions early on was could we buy 10 bicycles so that people could hire them out. I knew that in… certainly there was a bike hire scheme if people wanted to do that. And there are bike clubs where people </w:t>
      </w:r>
      <w:r w:rsidRPr="008B68A9">
        <w:lastRenderedPageBreak/>
        <w:t>can do that. So the idea was to bring it back to the individual. If we bought bicycles for people and they wanted afterwards to join a club or do something together, that’s fine but the reasons for buying the bicycle need to be very person and very individual to that person.</w:t>
      </w:r>
    </w:p>
    <w:p w14:paraId="1C390A1A" w14:textId="4E33A100" w:rsidR="006C7B37" w:rsidRPr="008B68A9" w:rsidRDefault="006C7B37" w:rsidP="002F0FD7">
      <w:pPr>
        <w:pStyle w:val="5arangedleft"/>
      </w:pPr>
      <w:r w:rsidRPr="008B68A9">
        <w:t xml:space="preserve">All four studies were pilot schemes run in parallel to existing provision, and </w:t>
      </w:r>
      <w:r w:rsidR="00BE6EE4" w:rsidRPr="008B68A9">
        <w:t xml:space="preserve">the </w:t>
      </w:r>
      <w:r w:rsidRPr="008B68A9">
        <w:t xml:space="preserve">traditional service code articulates limitations of time, options for delivery, and recipients’ access to services. Limitations were actual, i.e. resources or locational, and conversely relational to the staff action, sometime oppositional to individual budgets, perpetuating a maintenance of asymmetrical relationships and traditional forms of service delivery. Many examples of delays within traditional systems, creating inertia or presenting procedural barriers to the process and fulfilment of personal budgets, were taken from the collective case study. Approximately 281 </w:t>
      </w:r>
      <w:r w:rsidR="007C1B41" w:rsidRPr="008B68A9">
        <w:t>occurrences</w:t>
      </w:r>
      <w:r w:rsidRPr="008B68A9">
        <w:t xml:space="preserve"> of this coding were identified during analysis, mostly from the practitioners themselves with relatively few from users.</w:t>
      </w:r>
      <w:r w:rsidR="007C1B41" w:rsidRPr="008B68A9">
        <w:t xml:space="preserve"> The interpretation taken from this coding was to some extent evidence of the</w:t>
      </w:r>
      <w:r w:rsidRPr="008B68A9">
        <w:t xml:space="preserve"> </w:t>
      </w:r>
      <w:r w:rsidR="007C1B41" w:rsidRPr="008B68A9">
        <w:t xml:space="preserve">professional asymmetry </w:t>
      </w:r>
      <w:r w:rsidRPr="008B68A9">
        <w:t>Leadbeater and Lownsbrough (2005)</w:t>
      </w:r>
      <w:r w:rsidR="007C1B41" w:rsidRPr="008B68A9">
        <w:t xml:space="preserve"> spoke of</w:t>
      </w:r>
      <w:r w:rsidRPr="008B68A9">
        <w:t xml:space="preserve">, where service recipients are passive whether </w:t>
      </w:r>
      <w:r w:rsidR="007C1B41" w:rsidRPr="008B68A9">
        <w:t xml:space="preserve">the service </w:t>
      </w:r>
      <w:r w:rsidRPr="008B68A9">
        <w:t xml:space="preserve">is helpful to their needs or not. Traditional services are bound by regulation and protocol, with clearly delineated lines of authority and process. Personalisation through individual budgets challenges the status quo, particularly around risk, accountability and </w:t>
      </w:r>
      <w:r w:rsidR="00371B44" w:rsidRPr="008B68A9">
        <w:t>co-production</w:t>
      </w:r>
      <w:r w:rsidRPr="008B68A9">
        <w:t>. Carys below provides an insight into traditional services:</w:t>
      </w:r>
    </w:p>
    <w:p w14:paraId="534552E6" w14:textId="77777777" w:rsidR="006C7B37" w:rsidRPr="008B68A9" w:rsidRDefault="006C7B37" w:rsidP="002F0FD7">
      <w:pPr>
        <w:pStyle w:val="6bblockquoteitalic"/>
      </w:pPr>
      <w:r w:rsidRPr="008B68A9">
        <w:t>I guess there’s the concern from managers… there’s an audit trail and someone has got to have that responsibility, who’s had responsibility for the budget… I guess it is around the fear, the risk, the fear of what if… The ‘what if we give them this and they do some damage with it.</w:t>
      </w:r>
    </w:p>
    <w:p w14:paraId="258A2F07" w14:textId="6B650468" w:rsidR="006C7B37" w:rsidRPr="008B68A9" w:rsidRDefault="006C7B37" w:rsidP="002F0FD7">
      <w:pPr>
        <w:pStyle w:val="5arangedleft"/>
      </w:pPr>
      <w:r w:rsidRPr="008B68A9">
        <w:rPr>
          <w:rFonts w:cs="Arial"/>
        </w:rPr>
        <w:t xml:space="preserve">When reviewing the introduction of personal budgets at one of the study sites, </w:t>
      </w:r>
      <w:r w:rsidRPr="008B68A9">
        <w:t>Róisin’s account suggests</w:t>
      </w:r>
      <w:r w:rsidR="003D4BAF" w:rsidRPr="008B68A9">
        <w:t xml:space="preserve"> that</w:t>
      </w:r>
      <w:r w:rsidRPr="008B68A9">
        <w:t xml:space="preserve"> the structure of services and the effect that had on staff may have contributed to a low take up of personal budgets at all levels through the organisation:</w:t>
      </w:r>
    </w:p>
    <w:p w14:paraId="413AE17B" w14:textId="77777777" w:rsidR="006C7B37" w:rsidRPr="008B68A9" w:rsidRDefault="006C7B37" w:rsidP="002F0FD7">
      <w:pPr>
        <w:pStyle w:val="6bblockquoteitalic"/>
      </w:pPr>
      <w:r w:rsidRPr="008B68A9">
        <w:t>I think in general our systems are very process driven they’re not very person centred at all. I think it’s been challenging for workers and they’ve just opted not to kind do all of the challenge and if they’re managers are not sort of basically promoting it and you know</w:t>
      </w:r>
    </w:p>
    <w:p w14:paraId="0AE8FF88" w14:textId="20DC2A54" w:rsidR="006C7B37" w:rsidRPr="008B68A9" w:rsidRDefault="006C7B37" w:rsidP="006C7B37">
      <w:pPr>
        <w:pStyle w:val="3L3header"/>
      </w:pPr>
      <w:bookmarkStart w:id="284" w:name="_Toc466800382"/>
      <w:r w:rsidRPr="008B68A9">
        <w:lastRenderedPageBreak/>
        <w:t>6.8.1 Limitations of traditional services</w:t>
      </w:r>
      <w:bookmarkEnd w:id="284"/>
    </w:p>
    <w:p w14:paraId="279FC1B3" w14:textId="77777777" w:rsidR="006C7B37" w:rsidRPr="008B68A9" w:rsidRDefault="006C7B37" w:rsidP="002F0FD7">
      <w:pPr>
        <w:pStyle w:val="5arangedleft"/>
      </w:pPr>
      <w:r w:rsidRPr="008B68A9">
        <w:t>For carers, the narrative focused on limitations and inflexibility of traditional services. Carers accessing personal budgets recognised that traditional services were offered on a basis of take what is provided or not. Their experience of using an individual budget meant they could use the monies flexibly, without committing to each and every week:</w:t>
      </w:r>
    </w:p>
    <w:p w14:paraId="36D6B9D5" w14:textId="77777777" w:rsidR="006C7B37" w:rsidRPr="008B68A9" w:rsidRDefault="006C7B37" w:rsidP="002F0FD7">
      <w:pPr>
        <w:pStyle w:val="6bblockquoteitalic"/>
      </w:pPr>
      <w:r w:rsidRPr="008B68A9">
        <w:t>I couldn’t cope if I was going to a regular meeting, alright say a Wednesday where people talk about the same things week after week after week after week.</w:t>
      </w:r>
    </w:p>
    <w:p w14:paraId="66A3F6FE" w14:textId="6321EAC0" w:rsidR="006C7B37" w:rsidRPr="008B68A9" w:rsidRDefault="006C7B37" w:rsidP="002F0FD7">
      <w:pPr>
        <w:pStyle w:val="5arangedleft"/>
      </w:pPr>
      <w:r w:rsidRPr="008B68A9">
        <w:rPr>
          <w:rFonts w:cs="Arial"/>
          <w:bCs/>
          <w:szCs w:val="18"/>
        </w:rPr>
        <w:t>Anahita,</w:t>
      </w:r>
      <w:r w:rsidRPr="008B68A9">
        <w:t xml:space="preserve"> a senior manager, spoke of her frustration </w:t>
      </w:r>
      <w:r w:rsidR="003D4BAF" w:rsidRPr="008B68A9">
        <w:t>with</w:t>
      </w:r>
      <w:r w:rsidRPr="008B68A9">
        <w:t xml:space="preserve"> traditional service</w:t>
      </w:r>
      <w:r w:rsidR="003D4BAF" w:rsidRPr="008B68A9">
        <w:t>s’</w:t>
      </w:r>
      <w:r w:rsidRPr="008B68A9">
        <w:t xml:space="preserve"> inflexibility and the</w:t>
      </w:r>
      <w:r w:rsidR="003D4BAF" w:rsidRPr="008B68A9">
        <w:t xml:space="preserve">ir inflexible </w:t>
      </w:r>
      <w:r w:rsidRPr="008B68A9">
        <w:t>payment systems:</w:t>
      </w:r>
    </w:p>
    <w:p w14:paraId="3B476D94" w14:textId="77777777" w:rsidR="006C7B37" w:rsidRPr="008B68A9" w:rsidRDefault="006C7B37" w:rsidP="002F0FD7">
      <w:pPr>
        <w:pStyle w:val="6bblockquoteitalic"/>
      </w:pPr>
      <w:r w:rsidRPr="008B68A9">
        <w:t>I mean there must be a way that we can give that money to another organisation rather than it coming through our coffers, because as soon as it comes through council then it’s… you can’t even go into a shop and hand over money, it’s got to be sort of purchased through our EPROC system and then somebody has to go into the store, it’s all pre-arranged.</w:t>
      </w:r>
    </w:p>
    <w:p w14:paraId="3E43918B" w14:textId="14A74D47" w:rsidR="006C7B37" w:rsidRPr="008B68A9" w:rsidRDefault="006C7B37" w:rsidP="002F0FD7">
      <w:pPr>
        <w:pStyle w:val="5arangedleft"/>
      </w:pPr>
      <w:r w:rsidRPr="008B68A9">
        <w:t>Even when innovative purchase</w:t>
      </w:r>
      <w:r w:rsidR="003D4BAF" w:rsidRPr="008B68A9">
        <w:t>s</w:t>
      </w:r>
      <w:r w:rsidRPr="008B68A9">
        <w:t xml:space="preserve"> </w:t>
      </w:r>
      <w:r w:rsidR="003D4BAF" w:rsidRPr="008B68A9">
        <w:t>were</w:t>
      </w:r>
      <w:r w:rsidRPr="008B68A9">
        <w:t xml:space="preserve"> made, such as a bicycle for a recovering intravenous drug user, </w:t>
      </w:r>
      <w:r w:rsidR="003D4BAF" w:rsidRPr="008B68A9">
        <w:t>that</w:t>
      </w:r>
      <w:r w:rsidRPr="008B68A9">
        <w:t xml:space="preserve"> offered many health benefits </w:t>
      </w:r>
      <w:r w:rsidR="003D4BAF" w:rsidRPr="008B68A9">
        <w:t>of</w:t>
      </w:r>
      <w:r w:rsidRPr="008B68A9">
        <w:t xml:space="preserve"> exercise as well as </w:t>
      </w:r>
      <w:r w:rsidR="003D4BAF" w:rsidRPr="008B68A9">
        <w:t xml:space="preserve">independently </w:t>
      </w:r>
      <w:r w:rsidRPr="008B68A9">
        <w:t>connect</w:t>
      </w:r>
      <w:r w:rsidR="003D4BAF" w:rsidRPr="008B68A9">
        <w:t>ing</w:t>
      </w:r>
      <w:r w:rsidRPr="008B68A9">
        <w:t xml:space="preserve"> with</w:t>
      </w:r>
      <w:r w:rsidR="00C47DA3" w:rsidRPr="008B68A9">
        <w:t xml:space="preserve"> their</w:t>
      </w:r>
      <w:r w:rsidRPr="008B68A9">
        <w:t xml:space="preserve"> family, Anahita reports how the service systems created</w:t>
      </w:r>
      <w:r w:rsidR="00C47DA3" w:rsidRPr="008B68A9">
        <w:t xml:space="preserve"> an</w:t>
      </w:r>
      <w:r w:rsidRPr="008B68A9">
        <w:t xml:space="preserve"> inertia</w:t>
      </w:r>
      <w:r w:rsidR="00C47DA3" w:rsidRPr="008B68A9">
        <w:t xml:space="preserve"> that delayed </w:t>
      </w:r>
      <w:r w:rsidRPr="008B68A9">
        <w:t xml:space="preserve">the purchase: </w:t>
      </w:r>
    </w:p>
    <w:p w14:paraId="413365FA" w14:textId="77777777" w:rsidR="006C7B37" w:rsidRPr="008B68A9" w:rsidRDefault="006C7B37" w:rsidP="002F0FD7">
      <w:pPr>
        <w:pStyle w:val="6bblockquoteitalic"/>
      </w:pPr>
      <w:r w:rsidRPr="008B68A9">
        <w:t>Buy a client a bike, exercise, it gets him out, all of sudden there was a raft of questions that came from it, almost about personal responsibilities and it was like, the more that we looked at it, the more responsibility we were actually taking back, you know, whose responsibility, who would… It was the same with a laptop, you know if it broke down whose responsibility, if it got stolen does he have to have insurance for it.</w:t>
      </w:r>
    </w:p>
    <w:p w14:paraId="6BDBF18C" w14:textId="1A26A904" w:rsidR="006C7B37" w:rsidRPr="008B68A9" w:rsidRDefault="006C7B37" w:rsidP="006C7B37">
      <w:pPr>
        <w:pStyle w:val="2L2header"/>
      </w:pPr>
      <w:bookmarkStart w:id="285" w:name="_Toc413607851"/>
      <w:bookmarkStart w:id="286" w:name="_Toc413827485"/>
      <w:bookmarkStart w:id="287" w:name="_Toc466800383"/>
      <w:r w:rsidRPr="008B68A9">
        <w:t>6.9 Story-lines</w:t>
      </w:r>
      <w:bookmarkEnd w:id="285"/>
      <w:bookmarkEnd w:id="286"/>
      <w:bookmarkEnd w:id="287"/>
    </w:p>
    <w:p w14:paraId="6FCE7DDE" w14:textId="5EBCD67E" w:rsidR="006C7B37" w:rsidRPr="008B68A9" w:rsidRDefault="006C7B37" w:rsidP="002F0FD7">
      <w:pPr>
        <w:pStyle w:val="5arangedleft"/>
      </w:pPr>
      <w:r w:rsidRPr="008B68A9">
        <w:t>Story</w:t>
      </w:r>
      <w:r w:rsidR="009A7254" w:rsidRPr="008B68A9">
        <w:t>-</w:t>
      </w:r>
      <w:r w:rsidRPr="008B68A9">
        <w:t xml:space="preserve">line was significant within this work, as contested positions and constructions of personalisation by participants were many. </w:t>
      </w:r>
      <w:r w:rsidR="009A7254" w:rsidRPr="008B68A9">
        <w:t>Story-line</w:t>
      </w:r>
      <w:r w:rsidRPr="008B68A9">
        <w:t xml:space="preserve"> followed Hajer’s use of the term, derived from Harré and </w:t>
      </w:r>
      <w:r w:rsidRPr="008B68A9">
        <w:rPr>
          <w:rFonts w:ascii="Calibri" w:eastAsia="Calibri" w:hAnsi="Calibri" w:cs="Times New Roman"/>
        </w:rPr>
        <w:t>Moghaddam’s</w:t>
      </w:r>
      <w:r w:rsidRPr="008B68A9">
        <w:t xml:space="preserve"> (2003) notion of positioning, and represented a large category where contested accounts were placed allowing for attributions of personalisation to emerge. I have used story</w:t>
      </w:r>
      <w:r w:rsidR="009A7254" w:rsidRPr="008B68A9">
        <w:t>-</w:t>
      </w:r>
      <w:r w:rsidRPr="008B68A9">
        <w:t xml:space="preserve">line to outline a process of framing the stakeholders’ constructions of and towards personalisation. Over the </w:t>
      </w:r>
      <w:r w:rsidRPr="008B68A9">
        <w:lastRenderedPageBreak/>
        <w:t xml:space="preserve">following pages I outline the connection between receptiveness and opposition to personalisation through stakeholders’ narratives. I </w:t>
      </w:r>
      <w:r w:rsidR="00107F1D" w:rsidRPr="008B68A9">
        <w:t xml:space="preserve">also </w:t>
      </w:r>
      <w:r w:rsidRPr="008B68A9">
        <w:t xml:space="preserve">explore trope in the context of discursive closure of </w:t>
      </w:r>
      <w:r w:rsidR="009A511F" w:rsidRPr="008B68A9">
        <w:t xml:space="preserve">participant’s </w:t>
      </w:r>
      <w:r w:rsidR="009A7254" w:rsidRPr="008B68A9">
        <w:t>story-line</w:t>
      </w:r>
      <w:r w:rsidR="00107F1D" w:rsidRPr="008B68A9">
        <w:t>s</w:t>
      </w:r>
      <w:r w:rsidRPr="008B68A9">
        <w:t>, and how far the collective case study personalisation represents a position within the tropes identified. Two further categories emerging from storying focus on the expression of nuanced or binary orientation towards the project of personalisation. The ideas explored in this chapter are discussed further in the</w:t>
      </w:r>
      <w:r w:rsidR="00107F1D" w:rsidRPr="008B68A9">
        <w:t xml:space="preserve"> synthesis and discussion</w:t>
      </w:r>
      <w:r w:rsidRPr="008B68A9">
        <w:t xml:space="preserve"> chapter that follows, though in this section I aim to demonstrate through the narrative work of the actors, their orientation to personalisation and to those they connect with.</w:t>
      </w:r>
      <w:r w:rsidR="00685446" w:rsidRPr="008B68A9">
        <w:t xml:space="preserve"> To clearly distinguish between those instances where story-lines are being discussed in the own right and effect as story-lines within a narrative construction and “Story-Line” as coding, the use of proper noun will be used.</w:t>
      </w:r>
    </w:p>
    <w:p w14:paraId="5FBFB125" w14:textId="31EE904E" w:rsidR="006C7B37" w:rsidRPr="008B68A9" w:rsidRDefault="006C7B37" w:rsidP="002F0FD7">
      <w:pPr>
        <w:pStyle w:val="5arangedleft"/>
      </w:pPr>
      <w:r w:rsidRPr="008B68A9">
        <w:t xml:space="preserve">Staff groups created positions that were sometimes negatively orientated towards personalisation, whilst others used personalisation as an opportunity to practise more facilitative and client centred approaches. Four categories of </w:t>
      </w:r>
      <w:r w:rsidR="00685446" w:rsidRPr="008B68A9">
        <w:t>Story-Li</w:t>
      </w:r>
      <w:r w:rsidRPr="008B68A9">
        <w:t xml:space="preserve">ne were developed, each a part of the whole of generative positioning. Participants’ narratives were coded as story-line when their work signified a position around personalisation or individual budgets, whether positive or negative. Coding receptive and oppositional story-line construction led to the development of a model of orientation, (see chapter seven), where story-lines between actors agree and disagree. </w:t>
      </w:r>
      <w:r w:rsidR="00685446" w:rsidRPr="008B68A9">
        <w:t>Story-L</w:t>
      </w:r>
      <w:r w:rsidRPr="008B68A9">
        <w:t xml:space="preserve">ine was the master category whereas receptive as a sub-category signified accordance and receptiveness towards personalisation, individual budgets, and person centred thinking tools and planning. </w:t>
      </w:r>
    </w:p>
    <w:p w14:paraId="57FBD040" w14:textId="77777777" w:rsidR="006C7B37" w:rsidRPr="008B68A9" w:rsidRDefault="006C7B37" w:rsidP="002F0FD7">
      <w:pPr>
        <w:pStyle w:val="5arangedleft"/>
      </w:pPr>
      <w:r w:rsidRPr="008B68A9">
        <w:t>Conversely, where resistance to or concern of personalisation challenged the status quo, these were coded as oppositional. Story-line allows for oppositional and contradictory positions to be held by actors, and their constructions need not adhere to internal consistencies. Lines of separation between proponents of personalisation and those positioning themselves with doubt and scepticism were clearly presented in the narratives, Carys from site four states:</w:t>
      </w:r>
    </w:p>
    <w:p w14:paraId="010A1C02" w14:textId="77777777" w:rsidR="009B2AE6" w:rsidRPr="008B68A9" w:rsidRDefault="009B2AE6" w:rsidP="002F0FD7">
      <w:pPr>
        <w:pStyle w:val="5arangedleft"/>
      </w:pPr>
    </w:p>
    <w:p w14:paraId="72711218" w14:textId="77777777" w:rsidR="006C7B37" w:rsidRPr="008B68A9" w:rsidRDefault="006C7B37" w:rsidP="002F0FD7">
      <w:pPr>
        <w:pStyle w:val="6bblockquoteitalic"/>
      </w:pPr>
      <w:r w:rsidRPr="008B68A9">
        <w:lastRenderedPageBreak/>
        <w:t>It’s based on fear and the unknown because it is new, it’s not something we have done before, I think it is that fear, I think if we authorise this and then he does go and do that, what are the consequences,… I think with something like this you have got to balance it and you’ve got to take the risk.</w:t>
      </w:r>
    </w:p>
    <w:p w14:paraId="76D023AB" w14:textId="77777777" w:rsidR="006C7B37" w:rsidRPr="008B68A9" w:rsidRDefault="006C7B37" w:rsidP="002F0FD7">
      <w:pPr>
        <w:pStyle w:val="5arangedleft"/>
      </w:pPr>
      <w:r w:rsidRPr="008B68A9">
        <w:t>Earlier in Marcus’s narrative he spoke with confidence and purpose about his positioning to further the use of person centred approaches for people accessing the service. Here the story-line is complicated by his acknowledgement there is a fight in challenging the orthodox service delivery:</w:t>
      </w:r>
    </w:p>
    <w:p w14:paraId="29F54831" w14:textId="77777777" w:rsidR="006C7B37" w:rsidRPr="008B68A9" w:rsidRDefault="006C7B37" w:rsidP="002F0FD7">
      <w:pPr>
        <w:pStyle w:val="6bblockquoteitalic"/>
      </w:pPr>
      <w:r w:rsidRPr="008B68A9">
        <w:t>I’ve actually a lot of my working time working with… teams of people fighting against working in an embedded way within statutory services.</w:t>
      </w:r>
    </w:p>
    <w:p w14:paraId="41DF3706" w14:textId="77777777" w:rsidR="006C7B37" w:rsidRPr="008B68A9" w:rsidRDefault="006C7B37" w:rsidP="002F0FD7">
      <w:pPr>
        <w:pStyle w:val="5arangedleft"/>
      </w:pPr>
      <w:r w:rsidRPr="008B68A9">
        <w:t>Colin voices concern regarding the parity of individualised service provision versus traditional approaches, as he attempts to align his construction of personal budgets with what he understood as mental health service users’ real need. The proper focus of community mental health care is challenged by personalisation, as Colin struggles to address need with the resources available. To him, valuable funding is diverted from core functions where they may be used more effectively. His emotion is revealed by what he constructs as an inequitable innovation. The frustration is manifest in his strongly worded narrative, more so as his story is told within a focus group and more public than in the privileged confines of a one-to-one interview:</w:t>
      </w:r>
    </w:p>
    <w:p w14:paraId="2B4EB600" w14:textId="77777777" w:rsidR="006C7B37" w:rsidRPr="008B68A9" w:rsidRDefault="006C7B37" w:rsidP="002F0FD7">
      <w:pPr>
        <w:pStyle w:val="6bblockquoteitalic"/>
      </w:pPr>
      <w:r w:rsidRPr="008B68A9">
        <w:t>…the level of complexity coming into the CMHTs now is much higher than it used to be and there’s high levels of risk and for those people we are having to beg, borrow… beg for every single thing we get for them… but the resentment is there with the practitioners because you’ve got a load of people on low level support receiving computers and horse riding lessons and all these sorts of things when we’re struggling to get money for people to have a house that’s habitable, to have hot water, to have those basic life…</w:t>
      </w:r>
      <w:bookmarkStart w:id="288" w:name="_Toc413607852"/>
      <w:bookmarkStart w:id="289" w:name="_Toc413827486"/>
    </w:p>
    <w:p w14:paraId="05A8E928" w14:textId="6C0003F0" w:rsidR="006C7B37" w:rsidRPr="008B68A9" w:rsidRDefault="006C7B37" w:rsidP="002F0FD7">
      <w:pPr>
        <w:pStyle w:val="5arangedleft"/>
      </w:pPr>
      <w:r w:rsidRPr="008B68A9">
        <w:t>There is passion in Colin’s speech act here, in his approach to the specific problem of resource and need. Austerity and service constraints might be more his concern here, rather than the attribution my analysis has attached to it. However, the contemporaneous notes taken during the focus group and the re</w:t>
      </w:r>
      <w:r w:rsidR="00DC36DD" w:rsidRPr="008B68A9">
        <w:t>cording itself demonstrate his Story-L</w:t>
      </w:r>
      <w:r w:rsidRPr="008B68A9">
        <w:t xml:space="preserve">ine </w:t>
      </w:r>
      <w:r w:rsidR="00E80F8E" w:rsidRPr="008B68A9">
        <w:t>shows</w:t>
      </w:r>
      <w:r w:rsidRPr="008B68A9">
        <w:t xml:space="preserve"> personalisation as a misguided response to community mental health need.</w:t>
      </w:r>
    </w:p>
    <w:p w14:paraId="3C055E20" w14:textId="7476978B" w:rsidR="006C7B37" w:rsidRPr="008B68A9" w:rsidRDefault="006C7B37" w:rsidP="006C7B37">
      <w:pPr>
        <w:pStyle w:val="3L3header"/>
      </w:pPr>
      <w:bookmarkStart w:id="290" w:name="_Toc466800384"/>
      <w:r w:rsidRPr="008B68A9">
        <w:lastRenderedPageBreak/>
        <w:t>6.9.1 Receptive</w:t>
      </w:r>
      <w:bookmarkEnd w:id="288"/>
      <w:bookmarkEnd w:id="289"/>
      <w:r w:rsidRPr="008B68A9">
        <w:t xml:space="preserve"> to personalisation</w:t>
      </w:r>
      <w:bookmarkEnd w:id="290"/>
    </w:p>
    <w:p w14:paraId="34F8CD1D" w14:textId="47508EB5" w:rsidR="006C7B37" w:rsidRPr="008B68A9" w:rsidRDefault="006C7B37" w:rsidP="002F0FD7">
      <w:pPr>
        <w:pStyle w:val="5arangedleft"/>
      </w:pPr>
      <w:r w:rsidRPr="008B68A9">
        <w:t>Story-lines can be oppositional, coalesce, be contrary and contradictory within the space of a breath (Hajer 1997), and through story-line narratives produce dynamic accounts of personalisation. The narratives show that a part of accepting personalisation was being receptive to core conditions underpinning personalisation. Paul’s narrative is overwhelmingly positive, wholeheartedly receptive to personalisation. Paul clearly shows an orientation towards personalisation act</w:t>
      </w:r>
      <w:r w:rsidR="001726D9" w:rsidRPr="008B68A9">
        <w:t>ing</w:t>
      </w:r>
      <w:r w:rsidRPr="008B68A9">
        <w:t xml:space="preserve"> as ambassador to stories about stories:</w:t>
      </w:r>
    </w:p>
    <w:p w14:paraId="47E1A30F" w14:textId="77777777" w:rsidR="006C7B37" w:rsidRPr="008B68A9" w:rsidRDefault="006C7B37" w:rsidP="002F0FD7">
      <w:pPr>
        <w:pStyle w:val="6bblockquoteitalic"/>
      </w:pPr>
      <w:r w:rsidRPr="008B68A9">
        <w:t>As soon as I stepped foot off the plane I knew exactly what I wanted to do and exactly how I wanted to play it and the pace I wanted to do it at. And now it’s… the wheel is turning in my favour and I had the time and perspective to do that, that’s helped and the only way I got that time out was because the funds I received from the organisation.</w:t>
      </w:r>
    </w:p>
    <w:p w14:paraId="363941E7" w14:textId="5F031006" w:rsidR="006C7B37" w:rsidRPr="008B68A9" w:rsidRDefault="006C7B37" w:rsidP="002F0FD7">
      <w:pPr>
        <w:pStyle w:val="5arangedleft"/>
      </w:pPr>
      <w:r w:rsidRPr="008B68A9">
        <w:t xml:space="preserve">The broker from site one used his work in positioning discussed earlier as a means to create positive attitudes to personalisation in his </w:t>
      </w:r>
      <w:r w:rsidR="00DC36DD" w:rsidRPr="008B68A9">
        <w:t>Story-L</w:t>
      </w:r>
      <w:r w:rsidR="009A7254" w:rsidRPr="008B68A9">
        <w:t>ine</w:t>
      </w:r>
      <w:r w:rsidRPr="008B68A9">
        <w:t xml:space="preserve">, to reduce the potential for oppositional perceptions to personalisation, again in the service of </w:t>
      </w:r>
      <w:r w:rsidR="009A7254" w:rsidRPr="008B68A9">
        <w:t>story-line</w:t>
      </w:r>
      <w:r w:rsidRPr="008B68A9">
        <w:t xml:space="preserve">. The simplicity of his approach highlights how legitimate work around self-esteem and social engagement identified as need within the client’s Care Programme Approach (CPA) plan may be achieved through the budget. Marcus combines the creative use of support plans with the statutory administration, and traditional care planning with individualised user developed support planning. In creating this seemingly oppositional </w:t>
      </w:r>
      <w:r w:rsidR="009A7254" w:rsidRPr="008B68A9">
        <w:t>story-line</w:t>
      </w:r>
      <w:r w:rsidRPr="008B68A9">
        <w:t>, Marcus manages to align his position with the budget user and the staff group at the same time:</w:t>
      </w:r>
    </w:p>
    <w:p w14:paraId="4DA21162" w14:textId="77777777" w:rsidR="006C7B37" w:rsidRPr="008B68A9" w:rsidRDefault="006C7B37" w:rsidP="002F0FD7">
      <w:pPr>
        <w:pStyle w:val="6bblockquoteitalic"/>
      </w:pPr>
      <w:r w:rsidRPr="008B68A9">
        <w:t>…the easy answer is to say it just does! It’s because, it’s because it’s not in conflict with the statutory process. It’s um… it’s an element of that that’s been blown up. Now, it happens every day of early intervention team’s work with somebody. You only see part of the process that’s the statutory process that’s on the, on the computer system, that’s written up on the CPA.</w:t>
      </w:r>
    </w:p>
    <w:p w14:paraId="5D81CDF7" w14:textId="4B89D2D3" w:rsidR="006C7B37" w:rsidRPr="008B68A9" w:rsidRDefault="006C7B37" w:rsidP="002F0FD7">
      <w:pPr>
        <w:pStyle w:val="5arangedleft"/>
      </w:pPr>
      <w:r w:rsidRPr="008B68A9">
        <w:t xml:space="preserve">Carys positions her </w:t>
      </w:r>
      <w:r w:rsidR="00DC36DD" w:rsidRPr="008B68A9">
        <w:t>Story-L</w:t>
      </w:r>
      <w:r w:rsidR="009A7254" w:rsidRPr="008B68A9">
        <w:t>ine</w:t>
      </w:r>
      <w:r w:rsidRPr="008B68A9">
        <w:t xml:space="preserve"> within receptive coding, supporting the pilot’s achievements. She also identifies personalisation as a potential means of moving the authority towards more progressive approaches:</w:t>
      </w:r>
    </w:p>
    <w:p w14:paraId="7BE13A36" w14:textId="77777777" w:rsidR="009B2AE6" w:rsidRPr="008B68A9" w:rsidRDefault="009B2AE6" w:rsidP="002F0FD7">
      <w:pPr>
        <w:pStyle w:val="6bblockquoteitalic"/>
      </w:pPr>
    </w:p>
    <w:p w14:paraId="57C7761D" w14:textId="77777777" w:rsidR="006C7B37" w:rsidRPr="008B68A9" w:rsidRDefault="006C7B37" w:rsidP="002F0FD7">
      <w:pPr>
        <w:pStyle w:val="6bblockquoteitalic"/>
      </w:pPr>
      <w:r w:rsidRPr="008B68A9">
        <w:lastRenderedPageBreak/>
        <w:t>I’d like to see it continuing in some way, well sort of the concept of it becoming you know, more mainstream in people’s thinking, you know, because I think [name of site four] has been stuck in a hole in terms of recovery and sort of moving people forward.</w:t>
      </w:r>
    </w:p>
    <w:p w14:paraId="1A0B1A44" w14:textId="1390FE83" w:rsidR="006C7B37" w:rsidRPr="008B68A9" w:rsidRDefault="006C7B37" w:rsidP="002F0FD7">
      <w:pPr>
        <w:pStyle w:val="5arangedleft"/>
      </w:pPr>
      <w:r w:rsidRPr="008B68A9">
        <w:t xml:space="preserve">For carers as with brokers and professionals, receptive coding was expressed through being a part of planning and evaluating delivery of services. Being able to pay directly for services used in the way they </w:t>
      </w:r>
      <w:r w:rsidR="001726D9" w:rsidRPr="008B68A9">
        <w:t>might</w:t>
      </w:r>
      <w:r w:rsidRPr="008B68A9">
        <w:t xml:space="preserve"> their shopping, as opposed to experiencing lengthy and bureaucratic procedures, carers were able to maintain control and normalcy over the bills involved in their child’s support in ways they had not been able to before:</w:t>
      </w:r>
    </w:p>
    <w:p w14:paraId="36FB737A" w14:textId="77777777" w:rsidR="006C7B37" w:rsidRPr="008B68A9" w:rsidRDefault="006C7B37" w:rsidP="002F0FD7">
      <w:pPr>
        <w:pStyle w:val="6bblockquoteitalic"/>
      </w:pPr>
      <w:r w:rsidRPr="008B68A9">
        <w:t>Advantages are definitely the flexibility. Being able to pay for things straight off. I don’t have to say oh (Name) would like to go here, can you please pay this, you know. The bill comes in, I pay it and it goes off and then it’s just cheques every few months.</w:t>
      </w:r>
    </w:p>
    <w:p w14:paraId="6789E1D0" w14:textId="603540B2" w:rsidR="006C7B37" w:rsidRPr="008B68A9" w:rsidRDefault="006C7B37" w:rsidP="006C7B37">
      <w:pPr>
        <w:pStyle w:val="3L3header"/>
      </w:pPr>
      <w:bookmarkStart w:id="291" w:name="_Toc413607853"/>
      <w:bookmarkStart w:id="292" w:name="_Toc413827487"/>
      <w:bookmarkStart w:id="293" w:name="_Toc466800385"/>
      <w:r w:rsidRPr="008B68A9">
        <w:t>6.9.2 Oppositional</w:t>
      </w:r>
      <w:bookmarkEnd w:id="291"/>
      <w:bookmarkEnd w:id="292"/>
      <w:r w:rsidRPr="008B68A9">
        <w:t xml:space="preserve"> to personalisation</w:t>
      </w:r>
      <w:bookmarkEnd w:id="293"/>
    </w:p>
    <w:p w14:paraId="2FA8E83E" w14:textId="54891832" w:rsidR="006C7B37" w:rsidRPr="008B68A9" w:rsidRDefault="006C7B37" w:rsidP="002F0FD7">
      <w:pPr>
        <w:pStyle w:val="5arangedleft"/>
      </w:pPr>
      <w:r w:rsidRPr="008B68A9">
        <w:t>Oppositional coding</w:t>
      </w:r>
      <w:r w:rsidR="00DC36DD" w:rsidRPr="008B68A9">
        <w:t xml:space="preserve"> in terms of Story-L</w:t>
      </w:r>
      <w:r w:rsidRPr="008B68A9">
        <w:t>ine meant that whilst the narrator was not aggressively opposed to personalisation, a barrier to accepting the implications of personalisation was nevertheless present. Colin below expresses the difficulty that in a time of austerity and rising demand for mental health services, personalisation posed a threat to clinical sovereignty which denotes professions (Godin 2003). Colin is passionate about his work and role identity as an experienced mental health nurse; and as a researcher with a shared background in mental health nursing of equivalent years, through reflexivity it is possible to see his presentation as more than his identity work casting himself as a defender of professional tradition. His speech act uses language such as ‘constant battle’, suggesting from this reading that his professional identity is more than nurse or manager; it is to maintain the proper work of nursing and community care from those who do not need clinical help:</w:t>
      </w:r>
    </w:p>
    <w:p w14:paraId="7DE259C7" w14:textId="77777777" w:rsidR="006C7B37" w:rsidRPr="008B68A9" w:rsidRDefault="006C7B37" w:rsidP="002F0FD7">
      <w:pPr>
        <w:pStyle w:val="6bblockquoteitalic"/>
      </w:pPr>
      <w:r w:rsidRPr="008B68A9">
        <w:rPr>
          <w:bCs/>
        </w:rPr>
        <w:t>…</w:t>
      </w:r>
      <w:r w:rsidRPr="008B68A9">
        <w:t>and it’s not that we’re experts in their lives but equally you know, sometimes we do need to make hard decisions and say actually it isn’t beneficial giving you a support worker for five hours a day even though you want it because it’s making you more dependent on another service. So it’s that constant battle but I think the expectation was raised within service users themselves to be honest.</w:t>
      </w:r>
    </w:p>
    <w:p w14:paraId="6F9B1D87" w14:textId="77777777" w:rsidR="006C7B37" w:rsidRPr="008B68A9" w:rsidRDefault="006C7B37" w:rsidP="002F0FD7">
      <w:pPr>
        <w:pStyle w:val="5arangedleft"/>
      </w:pPr>
      <w:r w:rsidRPr="008B68A9">
        <w:lastRenderedPageBreak/>
        <w:t>Moreover, there is a sense that the value of the work he and others had previously undertaken is invalidated by the introduction of personalisation. In the extract below, a suggestion is made that had the pilot been introduced with discussion rather than through directive, Colin’s construction may have been different, though his orientation is robust and oppositional:</w:t>
      </w:r>
    </w:p>
    <w:p w14:paraId="2CC8B629" w14:textId="77777777" w:rsidR="006C7B37" w:rsidRPr="008B68A9" w:rsidRDefault="006C7B37" w:rsidP="002F0FD7">
      <w:pPr>
        <w:pStyle w:val="6bblockquoteitalic"/>
      </w:pPr>
      <w:r w:rsidRPr="008B68A9">
        <w:t>I think that I went along to the recovery network day and I was told they’d found this brand new thing called treating people as individuals and sort of working with them with respect and courtesy and some of us felt we’d been working that way for quite a long time already so we felt a little bit as though what we’d done the previous twenty years… it was just… well we’ve now discovered this as… this institutional thing you’re doing and it felt a bit ill-informed actually. I think the other thing was concern was it was a local authority project and that we were directed to do it – there was not a great deal of discussion. We are now doing this.</w:t>
      </w:r>
    </w:p>
    <w:p w14:paraId="2B010EF3" w14:textId="1ED01344" w:rsidR="006C7B37" w:rsidRPr="008B68A9" w:rsidRDefault="006C7B37" w:rsidP="002F0FD7">
      <w:pPr>
        <w:pStyle w:val="5arangedleft"/>
      </w:pPr>
      <w:r w:rsidRPr="008B68A9">
        <w:t xml:space="preserve">Colin’s positioning here where identity and professional judgement are inextricably bound reflects </w:t>
      </w:r>
      <w:r w:rsidR="00E80F8E" w:rsidRPr="008B68A9">
        <w:t>his</w:t>
      </w:r>
      <w:r w:rsidRPr="008B68A9">
        <w:t xml:space="preserve"> preparedness to challenge and even dismiss personalisation, setting his </w:t>
      </w:r>
      <w:r w:rsidR="00E80F8E" w:rsidRPr="008B68A9">
        <w:t>Story-L</w:t>
      </w:r>
      <w:r w:rsidR="009A7254" w:rsidRPr="008B68A9">
        <w:t>ine</w:t>
      </w:r>
      <w:r w:rsidRPr="008B68A9">
        <w:t xml:space="preserve"> towards rejection. His oppositional stance may have </w:t>
      </w:r>
      <w:r w:rsidR="00E80F8E" w:rsidRPr="008B68A9">
        <w:t xml:space="preserve">arisen from </w:t>
      </w:r>
      <w:r w:rsidRPr="008B68A9">
        <w:t>the initiative being located within socia</w:t>
      </w:r>
      <w:r w:rsidR="00E80F8E" w:rsidRPr="008B68A9">
        <w:t>l services rather than health. D</w:t>
      </w:r>
      <w:r w:rsidRPr="008B68A9">
        <w:t>ivisions between health and social care are well documented, dating back many years, (DH 1995, DH 1997, DH 1998, Barker 2001), and are beyond the scope of this study. However, Colin’s construction of personalisation may have its origins in such tensions and, as a researcher analysing Colin’s narratives as sympathetic</w:t>
      </w:r>
      <w:r w:rsidR="00E80F8E" w:rsidRPr="008B68A9">
        <w:t>ally as I was able, I speculate</w:t>
      </w:r>
      <w:r w:rsidRPr="008B68A9">
        <w:t xml:space="preserve"> in </w:t>
      </w:r>
      <w:r w:rsidR="00314127" w:rsidRPr="008B68A9">
        <w:t>what</w:t>
      </w:r>
      <w:r w:rsidRPr="008B68A9">
        <w:t xml:space="preserve"> ways his antipathy towards the project of personalisation might have </w:t>
      </w:r>
      <w:r w:rsidR="00E80F8E" w:rsidRPr="008B68A9">
        <w:t>differed</w:t>
      </w:r>
      <w:r w:rsidRPr="008B68A9">
        <w:t xml:space="preserve"> had the initiative been health-led.</w:t>
      </w:r>
    </w:p>
    <w:p w14:paraId="62A741C3" w14:textId="638817F7" w:rsidR="006C7B37" w:rsidRPr="008B68A9" w:rsidRDefault="006C7B37" w:rsidP="002F0FD7">
      <w:pPr>
        <w:pStyle w:val="5arangedleft"/>
      </w:pPr>
      <w:r w:rsidRPr="008B68A9">
        <w:t xml:space="preserve">For carers, ambiguity </w:t>
      </w:r>
      <w:r w:rsidR="00DC36DD" w:rsidRPr="008B68A9">
        <w:t>towards personal budgets in</w:t>
      </w:r>
      <w:r w:rsidRPr="008B68A9">
        <w:t xml:space="preserve"> </w:t>
      </w:r>
      <w:r w:rsidR="00DC36DD" w:rsidRPr="008B68A9">
        <w:t>Story-L</w:t>
      </w:r>
      <w:r w:rsidR="009A7254" w:rsidRPr="008B68A9">
        <w:t>ine</w:t>
      </w:r>
      <w:r w:rsidRPr="008B68A9">
        <w:t xml:space="preserve"> </w:t>
      </w:r>
      <w:r w:rsidR="00DC36DD" w:rsidRPr="008B68A9">
        <w:t>was</w:t>
      </w:r>
      <w:r w:rsidRPr="008B68A9">
        <w:t xml:space="preserve"> seen, as in the passage below where the level of work and commitment required by personalisation leads the carer to question whether they would have embarked on it:</w:t>
      </w:r>
    </w:p>
    <w:p w14:paraId="4592CC9A" w14:textId="77777777" w:rsidR="006C7B37" w:rsidRPr="008B68A9" w:rsidRDefault="006C7B37" w:rsidP="002F0FD7">
      <w:pPr>
        <w:pStyle w:val="6bblockquoteitalic"/>
      </w:pPr>
      <w:r w:rsidRPr="008B68A9">
        <w:t>I think if I had of been aware of the volume and amount of work initially I would, if I had had it fully described to me initially, I would possibly been a lot more reluctant than I was to take it on. Had I been aware of everything in the first place, fully aware, there was a 50/50 chance I would have said no.</w:t>
      </w:r>
    </w:p>
    <w:p w14:paraId="2BC005F7" w14:textId="695F2E0F" w:rsidR="006C7B37" w:rsidRPr="008B68A9" w:rsidRDefault="006C7B37" w:rsidP="002F0FD7">
      <w:pPr>
        <w:pStyle w:val="5arangedleft"/>
      </w:pPr>
      <w:r w:rsidRPr="008B68A9">
        <w:t>Personalisation demands participation</w:t>
      </w:r>
      <w:r w:rsidR="00314127" w:rsidRPr="008B68A9">
        <w:t xml:space="preserve"> in care design and delivery</w:t>
      </w:r>
      <w:r w:rsidRPr="008B68A9">
        <w:t>, extending beyond passivity to</w:t>
      </w:r>
      <w:r w:rsidR="00314127" w:rsidRPr="008B68A9">
        <w:t xml:space="preserve"> relationships of</w:t>
      </w:r>
      <w:r w:rsidRPr="008B68A9">
        <w:t xml:space="preserve"> </w:t>
      </w:r>
      <w:r w:rsidR="00371B44" w:rsidRPr="008B68A9">
        <w:t>co-production</w:t>
      </w:r>
      <w:r w:rsidRPr="008B68A9">
        <w:t xml:space="preserve"> and partnership. This older carer found the bureaucracy and demands of personalisation difficult, which evidence suggests a </w:t>
      </w:r>
      <w:r w:rsidRPr="008B68A9">
        <w:lastRenderedPageBreak/>
        <w:t xml:space="preserve">proportionally smaller number of older individual recipients take up personal budgets, SDS or other personalisation services (Glendinning </w:t>
      </w:r>
      <w:r w:rsidRPr="008B68A9">
        <w:rPr>
          <w:i/>
        </w:rPr>
        <w:t>et al.</w:t>
      </w:r>
      <w:r w:rsidRPr="008B68A9">
        <w:t xml:space="preserve"> 2008, Bartlett 2009 Manthorpe and Samsi 2013). The suggestion is that personalisation for older populations may need different approaches</w:t>
      </w:r>
      <w:r w:rsidR="00314127" w:rsidRPr="008B68A9">
        <w:t xml:space="preserve"> than other populations</w:t>
      </w:r>
      <w:r w:rsidRPr="008B68A9">
        <w:t>.</w:t>
      </w:r>
    </w:p>
    <w:p w14:paraId="00B19C4B" w14:textId="6A6D2B8E" w:rsidR="006C7B37" w:rsidRPr="008B68A9" w:rsidRDefault="006C7B37" w:rsidP="006C7B37">
      <w:pPr>
        <w:pStyle w:val="2L2header"/>
        <w:rPr>
          <w:sz w:val="24"/>
        </w:rPr>
      </w:pPr>
      <w:bookmarkStart w:id="294" w:name="_Toc413607854"/>
      <w:bookmarkStart w:id="295" w:name="_Toc413827488"/>
      <w:bookmarkStart w:id="296" w:name="_Toc466800386"/>
      <w:r w:rsidRPr="008B68A9">
        <w:t>6.10 Tropes</w:t>
      </w:r>
      <w:bookmarkEnd w:id="294"/>
      <w:bookmarkEnd w:id="295"/>
      <w:bookmarkEnd w:id="296"/>
    </w:p>
    <w:p w14:paraId="38C58844" w14:textId="0D7D762B" w:rsidR="006C7B37" w:rsidRPr="008B68A9" w:rsidRDefault="006C7B37" w:rsidP="002F0FD7">
      <w:pPr>
        <w:pStyle w:val="5arangedleft"/>
        <w:rPr>
          <w:shd w:val="clear" w:color="auto" w:fill="FFFFFF"/>
        </w:rPr>
      </w:pPr>
      <w:r w:rsidRPr="008B68A9">
        <w:t xml:space="preserve">Needham (2011a) cites Hajer (2007, p. 29) that trope serves as a “discursive closure” </w:t>
      </w:r>
      <w:r w:rsidRPr="008B68A9">
        <w:rPr>
          <w:shd w:val="clear" w:color="auto" w:fill="FFFFFF"/>
        </w:rPr>
        <w:t xml:space="preserve">of recurring phrases in personalisation, which I use to signify the relationship between receptive and oppositional </w:t>
      </w:r>
      <w:r w:rsidR="009A7254" w:rsidRPr="008B68A9">
        <w:rPr>
          <w:shd w:val="clear" w:color="auto" w:fill="FFFFFF"/>
        </w:rPr>
        <w:t>story-line</w:t>
      </w:r>
      <w:r w:rsidRPr="008B68A9">
        <w:rPr>
          <w:shd w:val="clear" w:color="auto" w:fill="FFFFFF"/>
        </w:rPr>
        <w:t>s. Moreover, trope signals an orientation towards two further themes in personalisation, binary or nuanced orientation. The tropes are not linear, nor are they mutually exclusive; just as Hajer (1997) and Harré (1999) state tropes co-exist, are formed and re-formed, across temporal frames, constructed in flux dependent on their purpose at that point. The purpose of tropes is to create a discursive shortcut, minimising explanation of the actor’s alignment to an acknowledged story-line.</w:t>
      </w:r>
    </w:p>
    <w:p w14:paraId="0D097A30" w14:textId="1FAD0FAF" w:rsidR="006C7B37" w:rsidRPr="008B68A9" w:rsidRDefault="006C7B37" w:rsidP="006C7B37">
      <w:pPr>
        <w:pStyle w:val="3L3header"/>
        <w:rPr>
          <w:shd w:val="clear" w:color="auto" w:fill="FFFFFF"/>
        </w:rPr>
      </w:pPr>
      <w:bookmarkStart w:id="297" w:name="_Toc413607855"/>
      <w:bookmarkStart w:id="298" w:name="_Toc413827489"/>
      <w:bookmarkStart w:id="299" w:name="_Toc466800387"/>
      <w:r w:rsidRPr="008B68A9">
        <w:rPr>
          <w:shd w:val="clear" w:color="auto" w:fill="FFFFFF"/>
        </w:rPr>
        <w:t>6.10.1a Time</w:t>
      </w:r>
      <w:bookmarkEnd w:id="297"/>
      <w:bookmarkEnd w:id="298"/>
      <w:bookmarkEnd w:id="299"/>
    </w:p>
    <w:p w14:paraId="3FA14E71" w14:textId="773D30FE" w:rsidR="006C7B37" w:rsidRPr="008B68A9" w:rsidRDefault="006C7B37" w:rsidP="002F0FD7">
      <w:pPr>
        <w:pStyle w:val="5arangedleft"/>
        <w:rPr>
          <w:shd w:val="clear" w:color="auto" w:fill="FFFFFF"/>
        </w:rPr>
      </w:pPr>
      <w:r w:rsidRPr="008B68A9">
        <w:rPr>
          <w:shd w:val="clear" w:color="auto" w:fill="FFFFFF"/>
        </w:rPr>
        <w:t xml:space="preserve">Task, responsibility and resources available to meet demand have been recurrent features of satisfaction, stress and burnout in mental health community nursing (Hannigan </w:t>
      </w:r>
      <w:r w:rsidRPr="008B68A9">
        <w:rPr>
          <w:i/>
          <w:shd w:val="clear" w:color="auto" w:fill="FFFFFF"/>
        </w:rPr>
        <w:t>et al.</w:t>
      </w:r>
      <w:r w:rsidRPr="008B68A9">
        <w:rPr>
          <w:shd w:val="clear" w:color="auto" w:fill="FFFFFF"/>
        </w:rPr>
        <w:t xml:space="preserve"> 2000, Edwards </w:t>
      </w:r>
      <w:r w:rsidRPr="008B68A9">
        <w:rPr>
          <w:i/>
          <w:shd w:val="clear" w:color="auto" w:fill="FFFFFF"/>
        </w:rPr>
        <w:t>et al.</w:t>
      </w:r>
      <w:r w:rsidRPr="008B68A9">
        <w:rPr>
          <w:shd w:val="clear" w:color="auto" w:fill="FFFFFF"/>
        </w:rPr>
        <w:t xml:space="preserve"> 2001), as well as in community social work, (Coyle </w:t>
      </w:r>
      <w:r w:rsidRPr="008B68A9">
        <w:rPr>
          <w:i/>
          <w:shd w:val="clear" w:color="auto" w:fill="FFFFFF"/>
        </w:rPr>
        <w:t>et al.</w:t>
      </w:r>
      <w:r w:rsidRPr="008B68A9">
        <w:rPr>
          <w:shd w:val="clear" w:color="auto" w:fill="FFFFFF"/>
        </w:rPr>
        <w:t xml:space="preserve"> 2005, Wilberforce </w:t>
      </w:r>
      <w:r w:rsidRPr="008B68A9">
        <w:rPr>
          <w:i/>
          <w:shd w:val="clear" w:color="auto" w:fill="FFFFFF"/>
        </w:rPr>
        <w:t>et al.</w:t>
      </w:r>
      <w:r w:rsidRPr="008B68A9">
        <w:rPr>
          <w:shd w:val="clear" w:color="auto" w:fill="FFFFFF"/>
        </w:rPr>
        <w:t xml:space="preserve"> 2014). Having sufficient capacity to achieve the tasks of everyday practice is a common theme, with increased bureaucracy and clinical audit impairing mental health practitioners’ perception of their ability to perform their role (Edwards </w:t>
      </w:r>
      <w:r w:rsidRPr="008B68A9">
        <w:rPr>
          <w:i/>
          <w:shd w:val="clear" w:color="auto" w:fill="FFFFFF"/>
        </w:rPr>
        <w:t>et al.</w:t>
      </w:r>
      <w:r w:rsidRPr="008B68A9">
        <w:rPr>
          <w:shd w:val="clear" w:color="auto" w:fill="FFFFFF"/>
        </w:rPr>
        <w:t xml:space="preserve"> 2002). Negotiating role function based on weighing the regulatory or bureaucratic demands with conceptions of new ways of working creates tension and difficulties (Goodwin and Lawton-Smith, 2010). The pilots demanded additional work from teams through support planning, signing-off plans, connecting plans with non-traditional providers, and negotiating with the market in parallel with the traditional offer. Therefore it </w:t>
      </w:r>
      <w:r w:rsidR="001726D9" w:rsidRPr="008B68A9">
        <w:rPr>
          <w:shd w:val="clear" w:color="auto" w:fill="FFFFFF"/>
        </w:rPr>
        <w:t>is</w:t>
      </w:r>
      <w:r w:rsidRPr="008B68A9">
        <w:rPr>
          <w:shd w:val="clear" w:color="auto" w:fill="FFFFFF"/>
        </w:rPr>
        <w:t xml:space="preserve"> no surprise that as a trope, time figured in Cary’s work:</w:t>
      </w:r>
    </w:p>
    <w:p w14:paraId="2A4B1813" w14:textId="77777777" w:rsidR="006C7B37" w:rsidRPr="008B68A9" w:rsidRDefault="006C7B37" w:rsidP="002F0FD7">
      <w:pPr>
        <w:pStyle w:val="6bblockquoteitalic"/>
      </w:pPr>
      <w:r w:rsidRPr="008B68A9">
        <w:lastRenderedPageBreak/>
        <w:t>…it’s a really interesting thing to do and it’s almost like what probation would like the time to do with people but almost don’t have the time to do, the sort of constructive work and looking at people’s lives…</w:t>
      </w:r>
    </w:p>
    <w:p w14:paraId="1DE74E45" w14:textId="66D8D713" w:rsidR="006C7B37" w:rsidRPr="008B68A9" w:rsidRDefault="006C7B37" w:rsidP="002F0FD7">
      <w:pPr>
        <w:pStyle w:val="5arangedleft"/>
        <w:rPr>
          <w:shd w:val="clear" w:color="auto" w:fill="FFFFFF"/>
        </w:rPr>
      </w:pPr>
      <w:r w:rsidRPr="008B68A9">
        <w:rPr>
          <w:shd w:val="clear" w:color="auto" w:fill="FFFFFF"/>
        </w:rPr>
        <w:t xml:space="preserve">Colin identified the potential for the additional burden of support planning documentation alongside the statutory requirements for the Care Programme Approach. He places the extra work within a context of mounting pressure coupled with existing demands, in a narrative of burden and stress. His experience of stress in CPNs is </w:t>
      </w:r>
      <w:r w:rsidR="00DC067C" w:rsidRPr="008B68A9">
        <w:rPr>
          <w:shd w:val="clear" w:color="auto" w:fill="FFFFFF"/>
        </w:rPr>
        <w:t xml:space="preserve">widely </w:t>
      </w:r>
      <w:r w:rsidRPr="008B68A9">
        <w:rPr>
          <w:shd w:val="clear" w:color="auto" w:fill="FFFFFF"/>
        </w:rPr>
        <w:t xml:space="preserve">documented </w:t>
      </w:r>
      <w:r w:rsidR="00DC067C" w:rsidRPr="008B68A9">
        <w:rPr>
          <w:shd w:val="clear" w:color="auto" w:fill="FFFFFF"/>
        </w:rPr>
        <w:t>with</w:t>
      </w:r>
      <w:r w:rsidRPr="008B68A9">
        <w:rPr>
          <w:shd w:val="clear" w:color="auto" w:fill="FFFFFF"/>
        </w:rPr>
        <w:t xml:space="preserve"> male psychiatric workers report</w:t>
      </w:r>
      <w:r w:rsidR="00DC067C" w:rsidRPr="008B68A9">
        <w:rPr>
          <w:shd w:val="clear" w:color="auto" w:fill="FFFFFF"/>
        </w:rPr>
        <w:t>ing more</w:t>
      </w:r>
      <w:r w:rsidRPr="008B68A9">
        <w:rPr>
          <w:shd w:val="clear" w:color="auto" w:fill="FFFFFF"/>
        </w:rPr>
        <w:t xml:space="preserve"> unhealthy coping responses (Coyle </w:t>
      </w:r>
      <w:r w:rsidRPr="008B68A9">
        <w:rPr>
          <w:i/>
          <w:shd w:val="clear" w:color="auto" w:fill="FFFFFF"/>
        </w:rPr>
        <w:t>et al.</w:t>
      </w:r>
      <w:r w:rsidRPr="008B68A9">
        <w:rPr>
          <w:shd w:val="clear" w:color="auto" w:fill="FFFFFF"/>
        </w:rPr>
        <w:t xml:space="preserve"> 2000).</w:t>
      </w:r>
    </w:p>
    <w:p w14:paraId="4DB27DD7" w14:textId="77777777" w:rsidR="006C7B37" w:rsidRPr="008B68A9" w:rsidRDefault="006C7B37" w:rsidP="002F0FD7">
      <w:pPr>
        <w:pStyle w:val="6bblockquoteitalic"/>
      </w:pPr>
      <w:r w:rsidRPr="008B68A9">
        <w:t>My first concern was that it was running alongside CPA as a pilot and as practitioners the amount of work and paperwork in those two systems running alongside each other was going to be problematic… just the amount of paperwork. It’s because we are having to review CPA 6 monthly.</w:t>
      </w:r>
      <w:bookmarkStart w:id="300" w:name="_Toc413607856"/>
      <w:bookmarkStart w:id="301" w:name="_Toc413827490"/>
    </w:p>
    <w:p w14:paraId="15BD22F8" w14:textId="7FBC267D" w:rsidR="009D5853" w:rsidRPr="008B68A9" w:rsidRDefault="00637545" w:rsidP="00637545">
      <w:pPr>
        <w:pStyle w:val="6bblockquoteitalic"/>
        <w:tabs>
          <w:tab w:val="left" w:pos="8220"/>
        </w:tabs>
        <w:spacing w:line="360" w:lineRule="auto"/>
        <w:ind w:left="0" w:right="-2"/>
        <w:rPr>
          <w:i w:val="0"/>
        </w:rPr>
      </w:pPr>
      <w:r w:rsidRPr="008B68A9">
        <w:rPr>
          <w:i w:val="0"/>
        </w:rPr>
        <w:t>Many professionals orientated themselves as being mostly sympathetic to the concept of personalisation, sharing the project’s aims of increased choice, autonomy and practical outcome focus for budget users. Professionals who understood the broker’s task produced the trope time in a different way to professionals who were opposed, instead expressing a wish that they had the time to undertake what the broker was engaged in as they perceived support planning as more rewarding</w:t>
      </w:r>
    </w:p>
    <w:p w14:paraId="5392739A" w14:textId="082D755E" w:rsidR="006C7B37" w:rsidRPr="008B68A9" w:rsidRDefault="006C7B37" w:rsidP="006C7B37">
      <w:pPr>
        <w:pStyle w:val="3L3header"/>
        <w:rPr>
          <w:shd w:val="clear" w:color="auto" w:fill="FFFFFF"/>
        </w:rPr>
      </w:pPr>
      <w:bookmarkStart w:id="302" w:name="_Toc466800388"/>
      <w:r w:rsidRPr="008B68A9">
        <w:rPr>
          <w:shd w:val="clear" w:color="auto" w:fill="FFFFFF"/>
        </w:rPr>
        <w:t>6.10.1b Bureaucracy</w:t>
      </w:r>
      <w:bookmarkEnd w:id="300"/>
      <w:bookmarkEnd w:id="301"/>
      <w:bookmarkEnd w:id="302"/>
    </w:p>
    <w:p w14:paraId="3469B443" w14:textId="77777777" w:rsidR="006C7B37" w:rsidRPr="008B68A9" w:rsidRDefault="006C7B37" w:rsidP="002F0FD7">
      <w:pPr>
        <w:pStyle w:val="5arangedleft"/>
        <w:rPr>
          <w:shd w:val="clear" w:color="auto" w:fill="FFFFFF"/>
        </w:rPr>
      </w:pPr>
      <w:r w:rsidRPr="008B68A9">
        <w:rPr>
          <w:shd w:val="clear" w:color="auto" w:fill="FFFFFF"/>
        </w:rPr>
        <w:t xml:space="preserve">Smull (Essential Lifestyle Planning Gathering, 2008) succinctly observed that human services have a capacity to distort innovative practice lessening its potential impact: “There is no process, no matter how good in human services that we cannot reduce to a meaningless ritual.” There have been many accounts where personalisation has been subject to bureaucratic processes, resulting in unwieldy and dissatisfying experiences for staff as well as recipients (Forder </w:t>
      </w:r>
      <w:r w:rsidRPr="008B68A9">
        <w:rPr>
          <w:i/>
          <w:shd w:val="clear" w:color="auto" w:fill="FFFFFF"/>
        </w:rPr>
        <w:t>et al.</w:t>
      </w:r>
      <w:r w:rsidRPr="008B68A9">
        <w:rPr>
          <w:shd w:val="clear" w:color="auto" w:fill="FFFFFF"/>
        </w:rPr>
        <w:t xml:space="preserve"> 2012, Alakeson &amp; Rumbold 2013, Slasberg 2014). It is not my intention here to elaborate on the mechanisms that create or maintain processes of change or to detail bureaucratic theory, but to show how service systems created additional layers of action as they attempted to incorporate personalisation into their traditional service model.</w:t>
      </w:r>
    </w:p>
    <w:p w14:paraId="56353598" w14:textId="77777777" w:rsidR="006C7B37" w:rsidRPr="008B68A9" w:rsidRDefault="006C7B37" w:rsidP="002F0FD7">
      <w:pPr>
        <w:pStyle w:val="5arangedleft"/>
        <w:rPr>
          <w:shd w:val="clear" w:color="auto" w:fill="FFFFFF"/>
        </w:rPr>
      </w:pPr>
      <w:r w:rsidRPr="008B68A9">
        <w:rPr>
          <w:shd w:val="clear" w:color="auto" w:fill="FFFFFF"/>
        </w:rPr>
        <w:lastRenderedPageBreak/>
        <w:t>As a trope, bureaucracy reflects risk, time and co-production. Within its own coding, bureaucracy relates to an adherence to regulatory demand, i.e. practitioners’ focus on the Care Programme Approach, and from budget recipients who focus on delays in receiving their budgets. In site two, a support plan to overcome social anxiety and enhance community participation specified trips to McDonalds. The budget took over 168 days to be signed off, as the NHS trust argued whether they could fund food in their service. An extreme example perhaps, but redolent of the kinds of challenge personalisation presents traditional services (Audit Commission 2010). For the carers or clients, delay is simply bureaucracy. For Marcus the fixed and orthodox ways of working were an impediment to speedy and effective brokerage. He recognised the potential for frustration in delays caused by bureaucracy, and simultaneously balances that pace must be determined by the budget holder, working at their capacity:</w:t>
      </w:r>
    </w:p>
    <w:p w14:paraId="5255FE74" w14:textId="77777777" w:rsidR="006C7B37" w:rsidRPr="008B68A9" w:rsidRDefault="006C7B37" w:rsidP="002F0FD7">
      <w:pPr>
        <w:pStyle w:val="6bblockquoteitalic"/>
      </w:pPr>
      <w:r w:rsidRPr="008B68A9">
        <w:t>Yeah quite early on, quite early on waiting for some things. I’m still running around waiting for some cheques on a Friday afternoon because a phone call’s come through and said such and such gym membership hasn’t been paid for yet. So unfortunately when… you set up a very fast and effective, well it doesn’t have to be fast but an effective system that works at the pace that the client needs it to work at and then it gets held up at payment stage; that can be quite frustrating.</w:t>
      </w:r>
    </w:p>
    <w:p w14:paraId="480F9A1B" w14:textId="77777777" w:rsidR="006C7B37" w:rsidRPr="008B68A9" w:rsidRDefault="006C7B37" w:rsidP="002F0FD7">
      <w:pPr>
        <w:pStyle w:val="5arangedleft"/>
        <w:rPr>
          <w:shd w:val="clear" w:color="auto" w:fill="FFFFFF"/>
        </w:rPr>
      </w:pPr>
      <w:r w:rsidRPr="008B68A9">
        <w:rPr>
          <w:shd w:val="clear" w:color="auto" w:fill="FFFFFF"/>
        </w:rPr>
        <w:t>For carers, the rules of the organisation placed demands on their use of moneys that seemed unusual and difficult to understand. The narrative of bureaucracy is bewildering to outsiders, and sometimes to those within organisations; however, bureaucracy set within a context of personalised, individual support appears more difficult as this carer indicates:</w:t>
      </w:r>
    </w:p>
    <w:p w14:paraId="1997E237" w14:textId="77777777" w:rsidR="006C7B37" w:rsidRPr="008B68A9" w:rsidRDefault="006C7B37" w:rsidP="002F0FD7">
      <w:pPr>
        <w:pStyle w:val="6bblockquoteitalic"/>
      </w:pPr>
      <w:r w:rsidRPr="008B68A9">
        <w:t>But really I’ve lost three months’ money that he could have taken me out and I’ve been told that if you don’t use your budget up they might a</w:t>
      </w:r>
      <w:bookmarkStart w:id="303" w:name="_Toc413607857"/>
      <w:bookmarkStart w:id="304" w:name="_Toc413827491"/>
      <w:r w:rsidRPr="008B68A9">
        <w:t>sk for it back.</w:t>
      </w:r>
    </w:p>
    <w:p w14:paraId="3AFF805C" w14:textId="66EE775F" w:rsidR="00637545" w:rsidRPr="008B68A9" w:rsidRDefault="00637545" w:rsidP="004019F3">
      <w:pPr>
        <w:pStyle w:val="5arangedleft"/>
      </w:pPr>
      <w:r w:rsidRPr="008B68A9">
        <w:t xml:space="preserve">For budget recipients the trope bureaucratic represented the delay they experienced as part of their individual budget process. The trope was produced through their narrative where there was uncertainty as to whether their budget would be accepted; and also as delay of the budget process itself, where traditional systems of purchasing, governance, service boundaries and procedures significantly slowed the budgets down. Concerns of personalisation resulting in increased bureaucracy have </w:t>
      </w:r>
      <w:r w:rsidRPr="008B68A9">
        <w:lastRenderedPageBreak/>
        <w:t>been highlighted over the years, questioning whether personalisation results in duplication of assessments (Taylor 2011), a lack of integration between health and social care (Royal College of Psychiatrists and Association of Assistant Directors of Social Services 2013) and a dysfunctional bureaucracy created by confused processes and practice (Slasberg et al. 2014).</w:t>
      </w:r>
    </w:p>
    <w:p w14:paraId="72CE1ABD" w14:textId="6B90F2EC" w:rsidR="006C7B37" w:rsidRPr="008B68A9" w:rsidRDefault="006C7B37" w:rsidP="006C7B37">
      <w:pPr>
        <w:pStyle w:val="3L3header"/>
        <w:rPr>
          <w:shd w:val="clear" w:color="auto" w:fill="FFFFFF"/>
        </w:rPr>
      </w:pPr>
      <w:bookmarkStart w:id="305" w:name="_Toc466800389"/>
      <w:r w:rsidRPr="008B68A9">
        <w:rPr>
          <w:shd w:val="clear" w:color="auto" w:fill="FFFFFF"/>
        </w:rPr>
        <w:t>6.1</w:t>
      </w:r>
      <w:r w:rsidR="00F22458" w:rsidRPr="008B68A9">
        <w:rPr>
          <w:shd w:val="clear" w:color="auto" w:fill="FFFFFF"/>
        </w:rPr>
        <w:t>0</w:t>
      </w:r>
      <w:r w:rsidRPr="008B68A9">
        <w:rPr>
          <w:shd w:val="clear" w:color="auto" w:fill="FFFFFF"/>
        </w:rPr>
        <w:t>.2a Risk management</w:t>
      </w:r>
      <w:bookmarkEnd w:id="303"/>
      <w:bookmarkEnd w:id="304"/>
      <w:bookmarkEnd w:id="305"/>
    </w:p>
    <w:p w14:paraId="67E4BECB" w14:textId="77777777" w:rsidR="006C7B37" w:rsidRPr="008B68A9" w:rsidRDefault="006C7B37" w:rsidP="002F0FD7">
      <w:pPr>
        <w:pStyle w:val="5arangedleft"/>
        <w:rPr>
          <w:shd w:val="clear" w:color="auto" w:fill="FFFFFF"/>
        </w:rPr>
      </w:pPr>
      <w:r w:rsidRPr="008B68A9">
        <w:rPr>
          <w:shd w:val="clear" w:color="auto" w:fill="FFFFFF"/>
        </w:rPr>
        <w:t xml:space="preserve">Practitioners’ narratives placed action within a complex interaction between individual versus corporate accountability. Risk aversion and avoidance was observed through most professional narratives, with some acknowledging a delicate balance between risk as an inherent fact associated with growth and development, while others citing risk avoidance as their primary motivation. The trope of risk in personalisation is documented within a number of papers (Glendinning </w:t>
      </w:r>
      <w:r w:rsidRPr="008B68A9">
        <w:rPr>
          <w:i/>
          <w:shd w:val="clear" w:color="auto" w:fill="FFFFFF"/>
        </w:rPr>
        <w:t>et al.</w:t>
      </w:r>
      <w:r w:rsidRPr="008B68A9">
        <w:rPr>
          <w:shd w:val="clear" w:color="auto" w:fill="FFFFFF"/>
        </w:rPr>
        <w:t xml:space="preserve"> 2008, Unison 2011, Waters and Hatton 2014), frequently cited as a barrier to innovating practice.</w:t>
      </w:r>
    </w:p>
    <w:p w14:paraId="4D784E95" w14:textId="77777777" w:rsidR="006C7B37" w:rsidRPr="008B68A9" w:rsidRDefault="006C7B37" w:rsidP="002F0FD7">
      <w:pPr>
        <w:pStyle w:val="5arangedleft"/>
        <w:rPr>
          <w:shd w:val="clear" w:color="auto" w:fill="FFFFFF"/>
        </w:rPr>
      </w:pPr>
      <w:r w:rsidRPr="008B68A9">
        <w:rPr>
          <w:shd w:val="clear" w:color="auto" w:fill="FFFFFF"/>
        </w:rPr>
        <w:t xml:space="preserve">I accept that any discussion of risk extends beyond a simple binary positioning between risk management on one hand and risk enablement on the other; however, within the context of these data, there were strong motivational differences between these ways of working. Central to the narrative accounts were notions of accountability and acceptability. In a way, the question ‘what if’ predominated action and inaction of professionals. Even where pilots were explicitly supported by senior managers who embraced personalisation with a sophisticated understanding of inherent risk, actual and perceived, practitioners and panel decisions erred towards restrictive and over-cautiousness towards support plan proposals. </w:t>
      </w:r>
      <w:r w:rsidRPr="008B68A9">
        <w:t>When asked about the potential barriers for personalisation within her working area, Carys responded:</w:t>
      </w:r>
    </w:p>
    <w:p w14:paraId="1B6B85FE" w14:textId="77777777" w:rsidR="006C7B37" w:rsidRPr="008B68A9" w:rsidRDefault="006C7B37" w:rsidP="002F0FD7">
      <w:pPr>
        <w:pStyle w:val="6bblockquoteitalic"/>
      </w:pPr>
      <w:r w:rsidRPr="008B68A9">
        <w:t>I guess it is around the fear, the risk, the fear of what if, from the steering group. The ‘what if we give them this and they do some damage with it’, that seems to come up a lot, I think, and I understand why.</w:t>
      </w:r>
    </w:p>
    <w:p w14:paraId="0A832062" w14:textId="77777777" w:rsidR="009B2AE6" w:rsidRPr="008B68A9" w:rsidRDefault="009B2AE6" w:rsidP="002F0FD7">
      <w:pPr>
        <w:pStyle w:val="5arangedleft"/>
      </w:pPr>
    </w:p>
    <w:p w14:paraId="07002F47" w14:textId="77777777" w:rsidR="006C7B37" w:rsidRPr="008B68A9" w:rsidRDefault="006C7B37" w:rsidP="002F0FD7">
      <w:pPr>
        <w:pStyle w:val="5arangedleft"/>
      </w:pPr>
      <w:r w:rsidRPr="008B68A9">
        <w:lastRenderedPageBreak/>
        <w:t>Marcus recognised the role risk played within an overall picture of growth and change. The trope of risk was beneficial to the degree of latitude given to his role whilst co-producing support plans:</w:t>
      </w:r>
    </w:p>
    <w:p w14:paraId="2D226DA4" w14:textId="77777777" w:rsidR="006C7B37" w:rsidRPr="008B68A9" w:rsidRDefault="006C7B37" w:rsidP="002F0FD7">
      <w:pPr>
        <w:pStyle w:val="6bblockquoteitalic"/>
      </w:pPr>
      <w:r w:rsidRPr="008B68A9">
        <w:t>I was encouraged to explore things such as risk with people in an enabling way, not in a restrictive way. So these were the foundations, which are very loosely laid out enabled me to take this, right from the very start, as something free and easy to use for people.</w:t>
      </w:r>
    </w:p>
    <w:p w14:paraId="1CD504EC" w14:textId="77777777" w:rsidR="006C7B37" w:rsidRPr="008B68A9" w:rsidRDefault="006C7B37" w:rsidP="002F0FD7">
      <w:pPr>
        <w:pStyle w:val="5arangedleft"/>
      </w:pPr>
      <w:r w:rsidRPr="008B68A9">
        <w:t>Colin’s narrative expressed the spectre of facing a coroner’s court, although he appeared to have support and acceptance from a more senior manager which does little to assuage his perception of risk and accountability:</w:t>
      </w:r>
    </w:p>
    <w:p w14:paraId="332A8B21" w14:textId="77777777" w:rsidR="006C7B37" w:rsidRPr="008B68A9" w:rsidRDefault="006C7B37" w:rsidP="002F0FD7">
      <w:pPr>
        <w:pStyle w:val="6bblockquoteitalic"/>
      </w:pPr>
      <w:r w:rsidRPr="008B68A9">
        <w:t>We have a statutory duty to raise the issue of risk and yet when you do it’s not… it’s sort of… yours is sort of being the awkward person, you know, mention the unmentionable. I’ve been told by senior people in the local authority, “The client owns their own risk” and I said “Not at the inquest they don’t.”</w:t>
      </w:r>
    </w:p>
    <w:p w14:paraId="02285014" w14:textId="59EEB7EC" w:rsidR="006C7B37" w:rsidRPr="008B68A9" w:rsidRDefault="006C7B37" w:rsidP="006C7B37">
      <w:pPr>
        <w:pStyle w:val="3L3header"/>
        <w:rPr>
          <w:shd w:val="clear" w:color="auto" w:fill="FFFFFF"/>
        </w:rPr>
      </w:pPr>
      <w:bookmarkStart w:id="306" w:name="_Toc413607858"/>
      <w:bookmarkStart w:id="307" w:name="_Toc413827492"/>
      <w:bookmarkStart w:id="308" w:name="_Toc466800390"/>
      <w:r w:rsidRPr="008B68A9">
        <w:rPr>
          <w:shd w:val="clear" w:color="auto" w:fill="FFFFFF"/>
        </w:rPr>
        <w:t>6.1</w:t>
      </w:r>
      <w:r w:rsidR="00F22458" w:rsidRPr="008B68A9">
        <w:rPr>
          <w:shd w:val="clear" w:color="auto" w:fill="FFFFFF"/>
        </w:rPr>
        <w:t>0</w:t>
      </w:r>
      <w:r w:rsidRPr="008B68A9">
        <w:rPr>
          <w:shd w:val="clear" w:color="auto" w:fill="FFFFFF"/>
        </w:rPr>
        <w:t>.2b Risk enablement</w:t>
      </w:r>
      <w:bookmarkEnd w:id="306"/>
      <w:bookmarkEnd w:id="307"/>
      <w:bookmarkEnd w:id="308"/>
    </w:p>
    <w:p w14:paraId="5F94AFA2" w14:textId="77777777" w:rsidR="006C7B37" w:rsidRPr="008B68A9" w:rsidRDefault="006C7B37" w:rsidP="002F0FD7">
      <w:pPr>
        <w:pStyle w:val="5arangedleft"/>
        <w:rPr>
          <w:shd w:val="clear" w:color="auto" w:fill="FFFFFF"/>
        </w:rPr>
      </w:pPr>
      <w:r w:rsidRPr="008B68A9">
        <w:rPr>
          <w:shd w:val="clear" w:color="auto" w:fill="FFFFFF"/>
        </w:rPr>
        <w:t>The opposite of risk aversion as a trope is seen through an enablement frame recognising and accepting that without risk change could not occur. Working with potentially risky groups, such as people with a history of substance misuse and offending, brings into consideration that some narratives recognised that potential risks were outweighed by potential gains. Carys recalls a budget recipient who asked for a bicycle which, in spite of a number of identified risks, was nevertheless bought:</w:t>
      </w:r>
    </w:p>
    <w:p w14:paraId="6622C5AC" w14:textId="77777777" w:rsidR="006C7B37" w:rsidRPr="008B68A9" w:rsidRDefault="006C7B37" w:rsidP="002F0FD7">
      <w:pPr>
        <w:pStyle w:val="6bblockquoteitalic"/>
      </w:pPr>
      <w:r w:rsidRPr="008B68A9">
        <w:t>But I think that’s part of the risk taking with being involved in something like this. If somebody wants to go and sell that bike after personalised budgets is finished, or they sell the laptop or… then actually there’s nothing we can do about it, it’s… you know, it’s not ideal but you’ve got to kind of invest in the first place and hope that they don’t do that, but if they do it’s for a greater good I guess.</w:t>
      </w:r>
    </w:p>
    <w:p w14:paraId="4C002AB3" w14:textId="7C5C96AA" w:rsidR="00F40715" w:rsidRPr="008B68A9" w:rsidRDefault="00F40715" w:rsidP="00F40715">
      <w:pPr>
        <w:pStyle w:val="5arangedleft"/>
      </w:pPr>
      <w:r w:rsidRPr="008B68A9">
        <w:t xml:space="preserve">Professionals’ use of risk as a trope represented more than simple benign harm prevention to the client or others, as risk represented accountability, both professional and organisational, potentially damaging the professionals’ clinical identity or jeopardising their livelihood. Risk, it seemed in most of the study sites, permitted disproportionately negative decision making and accountability of personalisation in mental health services. The irony here is that just in the same way </w:t>
      </w:r>
      <w:r w:rsidRPr="008B68A9">
        <w:lastRenderedPageBreak/>
        <w:t>that Glasby (2014) highlighted that critics of personalisation failed to apply the same high threshold of quality to their traditional services that they expected from personalisation, so too with risk: that current services often fail badly to prevent untoward risk to users. This study observed different constructions of risk which operated for professionals and budget holders/brokers, where professionals cited clinical risk being manifest where budget holders may have used their acquisition in ways detrimental to their health. The brokers and budget holders, however, used a more balanced and less clinical construction of risk when considering purchases, accepting the risk as being less than the consequence of not acting. The issue of changing personal narrative is taken up by Giddens (1991 p. 78), stating that: “The individual has to confront novel hazards as a necessary part of breaking away from established patterns of behaviour including the risk that things could possibly get worse than they were before.” Risk therefore is inherent, natural and even desirable. This study found that even following the establishment of risk enablement panels to navigate the risks and benefits of action or inaction, most panels were conservative in their decisions, and reflect a wider issue of professionally led decision making.</w:t>
      </w:r>
    </w:p>
    <w:p w14:paraId="5F0656F0" w14:textId="53C35E68" w:rsidR="006C7B37" w:rsidRPr="008B68A9" w:rsidRDefault="006C7B37" w:rsidP="006C7B37">
      <w:pPr>
        <w:pStyle w:val="3L3header"/>
        <w:rPr>
          <w:shd w:val="clear" w:color="auto" w:fill="FFFFFF"/>
        </w:rPr>
      </w:pPr>
      <w:bookmarkStart w:id="309" w:name="_Toc413607859"/>
      <w:bookmarkStart w:id="310" w:name="_Toc413827493"/>
      <w:bookmarkStart w:id="311" w:name="_Toc466800391"/>
      <w:r w:rsidRPr="008B68A9">
        <w:rPr>
          <w:shd w:val="clear" w:color="auto" w:fill="FFFFFF"/>
        </w:rPr>
        <w:t>6.1</w:t>
      </w:r>
      <w:r w:rsidR="00F22458" w:rsidRPr="008B68A9">
        <w:rPr>
          <w:shd w:val="clear" w:color="auto" w:fill="FFFFFF"/>
        </w:rPr>
        <w:t>0</w:t>
      </w:r>
      <w:r w:rsidRPr="008B68A9">
        <w:rPr>
          <w:shd w:val="clear" w:color="auto" w:fill="FFFFFF"/>
        </w:rPr>
        <w:t>.3a Professional asymmetry</w:t>
      </w:r>
      <w:bookmarkEnd w:id="309"/>
      <w:bookmarkEnd w:id="310"/>
      <w:bookmarkEnd w:id="311"/>
    </w:p>
    <w:p w14:paraId="11420DE8" w14:textId="77777777" w:rsidR="006C7B37" w:rsidRPr="008B68A9" w:rsidRDefault="006C7B37" w:rsidP="002F0FD7">
      <w:pPr>
        <w:pStyle w:val="5arangedleft"/>
        <w:rPr>
          <w:shd w:val="clear" w:color="auto" w:fill="FFFFFF"/>
        </w:rPr>
      </w:pPr>
      <w:r w:rsidRPr="008B68A9">
        <w:rPr>
          <w:shd w:val="clear" w:color="auto" w:fill="FFFFFF"/>
        </w:rPr>
        <w:t xml:space="preserve">Risk and risk enablement lie at the heart of much professional action and conversely inaction. Whether a treatment is administered or not often depends on the perceived relative risk of action or inaction. Avoidance of risk within personalisation may be more complex as many outcomes of support planning identify non-traditional interventions, many of which have no respect for arbitrary divisions between health and social care funding streams or traditional service delivery modes. </w:t>
      </w:r>
    </w:p>
    <w:p w14:paraId="2E1C3328" w14:textId="77777777" w:rsidR="006C7B37" w:rsidRPr="008B68A9" w:rsidRDefault="006C7B37" w:rsidP="002F0FD7">
      <w:pPr>
        <w:pStyle w:val="5arangedleft"/>
        <w:rPr>
          <w:shd w:val="clear" w:color="auto" w:fill="FFFFFF"/>
        </w:rPr>
      </w:pPr>
      <w:r w:rsidRPr="008B68A9">
        <w:rPr>
          <w:shd w:val="clear" w:color="auto" w:fill="FFFFFF"/>
        </w:rPr>
        <w:t xml:space="preserve">Professional asymmetry lies at the heart of public sector delivery (Leadbeater 2004), where traditional services conform to narratives of authority and expertise which is reciprocated by users through dependency and passivity. Professional expertise in mental health as a trope represents more than a maintenance of the discourse of authority and control from a professional or statutory standpoint. Autonomy and control as themes relate to choice, mediated within the contested paradigm of capacity and preference. However, the trope of professional asymmetry is expressed </w:t>
      </w:r>
      <w:r w:rsidRPr="008B68A9">
        <w:rPr>
          <w:shd w:val="clear" w:color="auto" w:fill="FFFFFF"/>
        </w:rPr>
        <w:lastRenderedPageBreak/>
        <w:t>by Colin as emblematic of authority, control and dominance over the expressed wishes of those accessing personal budgets:</w:t>
      </w:r>
    </w:p>
    <w:p w14:paraId="0AE35003" w14:textId="77777777" w:rsidR="006C7B37" w:rsidRPr="008B68A9" w:rsidRDefault="006C7B37" w:rsidP="002F0FD7">
      <w:pPr>
        <w:pStyle w:val="6bblockquoteitalic"/>
      </w:pPr>
      <w:r w:rsidRPr="008B68A9">
        <w:t>Give you one example, one person said, I need someone… I need to be able to speak to somebody every night. And that got quite a lot of points and I think there’s a person sleeps next to them, you know.</w:t>
      </w:r>
    </w:p>
    <w:p w14:paraId="4D814BB2" w14:textId="014DB2B7" w:rsidR="006C7B37" w:rsidRPr="008B68A9" w:rsidRDefault="006C7B37" w:rsidP="002F0FD7">
      <w:pPr>
        <w:pStyle w:val="5arangedleft"/>
        <w:rPr>
          <w:shd w:val="clear" w:color="auto" w:fill="FFFFFF"/>
        </w:rPr>
      </w:pPr>
      <w:r w:rsidRPr="008B68A9">
        <w:rPr>
          <w:shd w:val="clear" w:color="auto" w:fill="FFFFFF"/>
        </w:rPr>
        <w:t>For Colin, his construction of need claims superiority over those expressed by the budget applicant. The question of why anyone would need someone to talk to when another is present fails to understand from the applicant’s perspective what their need might be, and why in their world the person who shares their bed may not be suitable to share concerns or difficulties with. Professional asymmetry has much in common with Gergen’s (1989) conventions of warrant, and without an attempt to level the terms upon which professionals and users meet, it appear</w:t>
      </w:r>
      <w:r w:rsidR="000D68D0" w:rsidRPr="008B68A9">
        <w:rPr>
          <w:shd w:val="clear" w:color="auto" w:fill="FFFFFF"/>
        </w:rPr>
        <w:t>s</w:t>
      </w:r>
      <w:r w:rsidRPr="008B68A9">
        <w:rPr>
          <w:shd w:val="clear" w:color="auto" w:fill="FFFFFF"/>
        </w:rPr>
        <w:t xml:space="preserve"> unlikely that </w:t>
      </w:r>
      <w:r w:rsidR="00371B44" w:rsidRPr="008B68A9">
        <w:rPr>
          <w:shd w:val="clear" w:color="auto" w:fill="FFFFFF"/>
        </w:rPr>
        <w:t>co-production</w:t>
      </w:r>
      <w:r w:rsidRPr="008B68A9">
        <w:rPr>
          <w:shd w:val="clear" w:color="auto" w:fill="FFFFFF"/>
        </w:rPr>
        <w:t xml:space="preserve"> in its defined sense (Needham and Carr 2012) will occur.</w:t>
      </w:r>
    </w:p>
    <w:p w14:paraId="7441C5E0" w14:textId="425620FA" w:rsidR="006C7B37" w:rsidRPr="008B68A9" w:rsidRDefault="006C7B37" w:rsidP="006C7B37">
      <w:pPr>
        <w:pStyle w:val="3L3header"/>
        <w:rPr>
          <w:shd w:val="clear" w:color="auto" w:fill="FFFFFF"/>
        </w:rPr>
      </w:pPr>
      <w:bookmarkStart w:id="312" w:name="_Toc413607860"/>
      <w:bookmarkStart w:id="313" w:name="_Toc413827494"/>
      <w:bookmarkStart w:id="314" w:name="_Toc466800392"/>
      <w:r w:rsidRPr="008B68A9">
        <w:rPr>
          <w:shd w:val="clear" w:color="auto" w:fill="FFFFFF"/>
        </w:rPr>
        <w:t>6.1</w:t>
      </w:r>
      <w:r w:rsidR="00F22458" w:rsidRPr="008B68A9">
        <w:rPr>
          <w:shd w:val="clear" w:color="auto" w:fill="FFFFFF"/>
        </w:rPr>
        <w:t>0</w:t>
      </w:r>
      <w:r w:rsidRPr="008B68A9">
        <w:rPr>
          <w:shd w:val="clear" w:color="auto" w:fill="FFFFFF"/>
        </w:rPr>
        <w:t>.3b Co-production</w:t>
      </w:r>
      <w:bookmarkEnd w:id="312"/>
      <w:bookmarkEnd w:id="313"/>
      <w:bookmarkEnd w:id="314"/>
    </w:p>
    <w:p w14:paraId="1A5116E4" w14:textId="77777777" w:rsidR="006C7B37" w:rsidRPr="008B68A9" w:rsidRDefault="006C7B37" w:rsidP="002F0FD7">
      <w:pPr>
        <w:pStyle w:val="5arangedleft"/>
      </w:pPr>
      <w:r w:rsidRPr="008B68A9">
        <w:t xml:space="preserve">Co-production has become ubiquitous within the care sector in recent years. Needham (2008), Needham and Carr (2012), Beresford (2014b), along with many others (Boyle </w:t>
      </w:r>
      <w:r w:rsidRPr="008B68A9">
        <w:rPr>
          <w:i/>
        </w:rPr>
        <w:t>et al.</w:t>
      </w:r>
      <w:r w:rsidRPr="008B68A9">
        <w:t xml:space="preserve"> 2010a, 2010b), call for more equal and transparent public engagement. Many services profess concordance to the principles invoking working in partnership with equal standing between participants. Professionally led support work, which is often expressed through the gift model (Duffy 2006b), was strongly encountered in the narratives. Equity and parity of service is a value held strongly within the NHS, resulting is an expectation that services demonstrate fairness and uniformity in service: “...professional supports the person to achieve their valued outcomes – and the person supports the professional to fulfil their responsibilities.” (Duffy 2010b, p. 37). Personalisation challenges the assumption that each recipient will receive the same entitlement to funds or resources. Marcus discusses co-producing plans i</w:t>
      </w:r>
      <w:r w:rsidRPr="008B68A9">
        <w:rPr>
          <w:bCs/>
        </w:rPr>
        <w:t>n terms of listening and of locating where co-production occurs away from mental health offices, which changed the power within the relationship:</w:t>
      </w:r>
    </w:p>
    <w:p w14:paraId="33E7EDB0" w14:textId="77777777" w:rsidR="006C7B37" w:rsidRPr="008B68A9" w:rsidRDefault="006C7B37" w:rsidP="002F0FD7">
      <w:pPr>
        <w:pStyle w:val="6bblockquoteitalic"/>
      </w:pPr>
      <w:r w:rsidRPr="008B68A9">
        <w:t xml:space="preserve">…. I think the important to and the important for was something… from their own lips, coming from their own lips so I think that helped quite a lot… So I think, on reflection it is good to be in people’s homes… but somebody who </w:t>
      </w:r>
      <w:r w:rsidRPr="008B68A9">
        <w:lastRenderedPageBreak/>
        <w:t>invites you into their home is actually the person in control, the person in charge, rather than you in your office being in control and in charge and this is what this is about.</w:t>
      </w:r>
    </w:p>
    <w:p w14:paraId="63965001" w14:textId="77777777" w:rsidR="006C7B37" w:rsidRPr="008B68A9" w:rsidRDefault="006C7B37" w:rsidP="002F0FD7">
      <w:pPr>
        <w:pStyle w:val="5arangedleft"/>
      </w:pPr>
      <w:r w:rsidRPr="008B68A9">
        <w:t xml:space="preserve">Co-production was central to creating more equal relationships in support planning, to a degree that the pilot’s overall success and moreover the number of successfully completed and received individual budgets depended on brokers. Who should undertake the role of brokerage is, as stated, contestable, with site two attempting to ascertain the best forms of brokerage. The narrative accounts show the independent broker was more successful in working co-productively with budget recipients than others. </w:t>
      </w:r>
    </w:p>
    <w:p w14:paraId="188812C1" w14:textId="1CCDD19A" w:rsidR="006C7B37" w:rsidRPr="008B68A9" w:rsidRDefault="006C7B37" w:rsidP="002F0FD7">
      <w:pPr>
        <w:pStyle w:val="5arangedleft"/>
      </w:pPr>
      <w:r w:rsidRPr="008B68A9">
        <w:t>In a context of austerity and service retraction, it was unlikely in the words of study site two’s broker that an army of independent brokers be recruited to fulfil support planning and individual budget management roles. However, for existing staff to undertake additional roles within their prescribed and historical ways of working becomes problematic:</w:t>
      </w:r>
    </w:p>
    <w:p w14:paraId="3744282B" w14:textId="10908F9A" w:rsidR="006C7B37" w:rsidRPr="008B68A9" w:rsidRDefault="006C7B37" w:rsidP="002F0FD7">
      <w:pPr>
        <w:pStyle w:val="6bblockquoteitalic"/>
      </w:pPr>
      <w:r w:rsidRPr="008B68A9">
        <w:t xml:space="preserve">…but also self-direction can’t work with this army of independent brokers doing it. You still have to have care managers and care coordinators on board, and part of it is the whole </w:t>
      </w:r>
      <w:r w:rsidR="00371B44" w:rsidRPr="008B68A9">
        <w:t>co-production</w:t>
      </w:r>
      <w:r w:rsidRPr="008B68A9">
        <w:t xml:space="preserve"> thing working together, working in a way.</w:t>
      </w:r>
    </w:p>
    <w:p w14:paraId="4CC5B9FC" w14:textId="7573DA7C" w:rsidR="006C7B37" w:rsidRPr="008B68A9" w:rsidRDefault="006C7B37" w:rsidP="002F0FD7">
      <w:pPr>
        <w:pStyle w:val="5arangedleft"/>
        <w:rPr>
          <w:shd w:val="clear" w:color="auto" w:fill="FFFFFF"/>
        </w:rPr>
      </w:pPr>
      <w:r w:rsidRPr="008B68A9">
        <w:rPr>
          <w:shd w:val="clear" w:color="auto" w:fill="FFFFFF"/>
        </w:rPr>
        <w:t>The broker casts doubt on the current services’ ability to transform their traditional approaches of working with people, whilst simultaneously recognising the need to do so.</w:t>
      </w:r>
      <w:r w:rsidR="009B2AE6" w:rsidRPr="008B68A9">
        <w:rPr>
          <w:shd w:val="clear" w:color="auto" w:fill="FFFFFF"/>
        </w:rPr>
        <w:t xml:space="preserve"> The implication here for brokerage as separate functions is clear, staff have little time to engage meaningfully in co-production, whereas independent brokers could.</w:t>
      </w:r>
    </w:p>
    <w:p w14:paraId="587CD382" w14:textId="4A08B82E" w:rsidR="006C7B37" w:rsidRPr="008B68A9" w:rsidRDefault="00F22458" w:rsidP="006C7B37">
      <w:pPr>
        <w:pStyle w:val="3L3header"/>
        <w:rPr>
          <w:shd w:val="clear" w:color="auto" w:fill="FFFFFF"/>
        </w:rPr>
      </w:pPr>
      <w:bookmarkStart w:id="315" w:name="_Toc413607861"/>
      <w:bookmarkStart w:id="316" w:name="_Toc413827495"/>
      <w:bookmarkStart w:id="317" w:name="_Toc466800393"/>
      <w:r w:rsidRPr="008B68A9">
        <w:rPr>
          <w:shd w:val="clear" w:color="auto" w:fill="FFFFFF"/>
        </w:rPr>
        <w:t>6.10</w:t>
      </w:r>
      <w:r w:rsidR="006C7B37" w:rsidRPr="008B68A9">
        <w:rPr>
          <w:shd w:val="clear" w:color="auto" w:fill="FFFFFF"/>
        </w:rPr>
        <w:t>.4a Equity</w:t>
      </w:r>
      <w:bookmarkEnd w:id="315"/>
      <w:bookmarkEnd w:id="316"/>
      <w:bookmarkEnd w:id="317"/>
    </w:p>
    <w:p w14:paraId="47CB0FB2" w14:textId="77777777" w:rsidR="006C7B37" w:rsidRPr="008B68A9" w:rsidRDefault="006C7B37" w:rsidP="002F0FD7">
      <w:pPr>
        <w:pStyle w:val="5arangedleft"/>
      </w:pPr>
      <w:r w:rsidRPr="008B68A9">
        <w:t xml:space="preserve">The provision of statutory services, local authority and the NHS is held sacrosanct within the UK, maintaining a special position for the personnel employed within it. A part of the NHS is the principle of services being free at the point of delivery. Within the data, examples of perceived inequity of budget allocation particularly challenged nursing staff’s principles of fairness and equity. The issue became complex where individual budgets outcomes resulted in goods or services with a monetary or valued status. A sentiment of parity of service provision was redolent of traditional </w:t>
      </w:r>
      <w:r w:rsidRPr="008B68A9">
        <w:lastRenderedPageBreak/>
        <w:t>institutions where requests for simple needs were refused on the basis that everybody would want that (Ryan and Thomas, 1980). Services do not respond to differing levels of acute need through an equal allocation of resource: response is based on need, though in personalisation when one client receives £800 while another £250, this is seen as unfair by some. Where individual budget users obtained bicycles, televisions, season tickets or holidays, the items were positioned in the professional’s psyche as antithetical to the founding principles of the NHS. More likely, as Vidhya Alakeson has said, “the public don’t mind when people receive stuff from public services, so long as it’s a bit shit.” (Personal communication 2011).</w:t>
      </w:r>
    </w:p>
    <w:p w14:paraId="542607F7" w14:textId="77777777" w:rsidR="006C7B37" w:rsidRPr="008B68A9" w:rsidRDefault="006C7B37" w:rsidP="002F0FD7">
      <w:pPr>
        <w:pStyle w:val="5arangedleft"/>
      </w:pPr>
      <w:r w:rsidRPr="008B68A9">
        <w:t>Colin uses the trope equity with austerity juxtaposed to budget holder’s holidays. He challenges personalisation as individuals were receiving valued items in an era of austerity and public service cuts.</w:t>
      </w:r>
    </w:p>
    <w:p w14:paraId="520C6293" w14:textId="77777777" w:rsidR="006C7B37" w:rsidRPr="008B68A9" w:rsidRDefault="006C7B37" w:rsidP="002F0FD7">
      <w:pPr>
        <w:pStyle w:val="6bblockquoteitalic"/>
      </w:pPr>
      <w:r w:rsidRPr="008B68A9">
        <w:t>If this thing makes you feel better that’s meeting a need. Well a holiday in Tunisia would make us all feel better, you know. I think the other thing that needs to be said is… I don’t know where the money comes from. You know, this budget for this… comes from local authority. Where is that coming from? ... Also if a local authority is closing 25% of everything, which it is. I mean, two leisure centres closed down last week.</w:t>
      </w:r>
    </w:p>
    <w:p w14:paraId="402E850F" w14:textId="77777777" w:rsidR="006C7B37" w:rsidRPr="008B68A9" w:rsidRDefault="006C7B37" w:rsidP="002F0FD7">
      <w:pPr>
        <w:pStyle w:val="5arangedleft"/>
        <w:rPr>
          <w:shd w:val="clear" w:color="auto" w:fill="FFFFFF"/>
        </w:rPr>
      </w:pPr>
      <w:r w:rsidRPr="008B68A9">
        <w:rPr>
          <w:shd w:val="clear" w:color="auto" w:fill="FFFFFF"/>
        </w:rPr>
        <w:t>In study site one during a focus group, a community mental health nurse argued that the allocation for the personal budget should be divided out equally. Each person accessing the EIT should be given an identical sum, irrespective of their level of need. Their rationale was that to do otherwise was inherently unfair and divisive. Whilst this view was not widely held, it was nevertheless representative of a wider sense of parity. Equity of service as a trope existed to empower the many and not advantage the few. Some groups being better placed than others to access and utilise personal budgets in either social or health settings is a concern (Alakeson 2013a), though the trope of equity here more likely reflects tensions arising when staff attend to choice agendas with traditional constructions of service delivery.</w:t>
      </w:r>
    </w:p>
    <w:p w14:paraId="7891C034" w14:textId="77777777" w:rsidR="009B2AE6" w:rsidRPr="008B68A9" w:rsidRDefault="009B2AE6" w:rsidP="002F0FD7">
      <w:pPr>
        <w:pStyle w:val="5arangedleft"/>
        <w:rPr>
          <w:shd w:val="clear" w:color="auto" w:fill="FFFFFF"/>
        </w:rPr>
      </w:pPr>
    </w:p>
    <w:p w14:paraId="53B35A41" w14:textId="3FF165F7" w:rsidR="006C7B37" w:rsidRPr="008B68A9" w:rsidRDefault="006C7B37" w:rsidP="006C7B37">
      <w:pPr>
        <w:pStyle w:val="3L3header"/>
        <w:rPr>
          <w:sz w:val="24"/>
          <w:shd w:val="clear" w:color="auto" w:fill="FFFFFF"/>
        </w:rPr>
      </w:pPr>
      <w:bookmarkStart w:id="318" w:name="_Toc413607862"/>
      <w:bookmarkStart w:id="319" w:name="_Toc413827496"/>
      <w:bookmarkStart w:id="320" w:name="_Toc466800394"/>
      <w:r w:rsidRPr="008B68A9">
        <w:rPr>
          <w:shd w:val="clear" w:color="auto" w:fill="FFFFFF"/>
        </w:rPr>
        <w:lastRenderedPageBreak/>
        <w:t>6.1</w:t>
      </w:r>
      <w:r w:rsidR="00F22458" w:rsidRPr="008B68A9">
        <w:rPr>
          <w:shd w:val="clear" w:color="auto" w:fill="FFFFFF"/>
        </w:rPr>
        <w:t>0</w:t>
      </w:r>
      <w:r w:rsidRPr="008B68A9">
        <w:rPr>
          <w:shd w:val="clear" w:color="auto" w:fill="FFFFFF"/>
        </w:rPr>
        <w:t>.4b Choice</w:t>
      </w:r>
      <w:bookmarkEnd w:id="318"/>
      <w:bookmarkEnd w:id="319"/>
      <w:bookmarkEnd w:id="320"/>
    </w:p>
    <w:p w14:paraId="229A463C" w14:textId="5EA72DA9" w:rsidR="006C7B37" w:rsidRPr="008B68A9" w:rsidRDefault="006C7B37" w:rsidP="002F0FD7">
      <w:pPr>
        <w:pStyle w:val="5arangedleft"/>
        <w:rPr>
          <w:shd w:val="clear" w:color="auto" w:fill="FFFFFF"/>
        </w:rPr>
      </w:pPr>
      <w:r w:rsidRPr="008B68A9">
        <w:rPr>
          <w:shd w:val="clear" w:color="auto" w:fill="FFFFFF"/>
        </w:rPr>
        <w:t xml:space="preserve">At the heart of personalisation lies the trope that people using individual budgets in health and social care services will make better choices than professionals (Needham 2011b). Choice is personalisation: finding out what is important to and for the clients is person centred, and the </w:t>
      </w:r>
      <w:r w:rsidR="00C417DA" w:rsidRPr="008B68A9">
        <w:rPr>
          <w:shd w:val="clear" w:color="auto" w:fill="FFFFFF"/>
        </w:rPr>
        <w:t>consequences of choice for budget users are</w:t>
      </w:r>
      <w:r w:rsidRPr="008B68A9">
        <w:rPr>
          <w:shd w:val="clear" w:color="auto" w:fill="FFFFFF"/>
        </w:rPr>
        <w:t xml:space="preserve"> worthwhile and desirable. For staff groups and services, choice becomes more problematic. The experience of carers with long histories accessing services for their child/spouse created a useful juncture in the narrative flow, as their experiences before individual budgets and person centred support plans enabled direct comparisons between then and now. Speaking in the present tense, this carer describes how choice and flexibility were experienced:</w:t>
      </w:r>
    </w:p>
    <w:p w14:paraId="13851E60" w14:textId="06B3F68E" w:rsidR="006C7B37" w:rsidRPr="008B68A9" w:rsidRDefault="006C7B37" w:rsidP="002F0FD7">
      <w:pPr>
        <w:pStyle w:val="6bblockquoteitalic"/>
      </w:pPr>
      <w:r w:rsidRPr="008B68A9">
        <w:t>The flexibility and being able to spend the money how I think (Name)… it should be spent on (Name) and not, you know, so that… I wanted to be able to spend it how (Name) wants, you know which if… if she wanted to go off</w:t>
      </w:r>
      <w:r w:rsidR="009B2AE6" w:rsidRPr="008B68A9">
        <w:t xml:space="preserve"> to Water W</w:t>
      </w:r>
      <w:r w:rsidRPr="008B68A9">
        <w:t>orld and her sister wanted to take her I could pay for it and you know, and do it that way and I can pay her sister to, you know.</w:t>
      </w:r>
    </w:p>
    <w:p w14:paraId="74EB13A7" w14:textId="6F09C637" w:rsidR="006C7B37" w:rsidRPr="008B68A9" w:rsidRDefault="006C7B37" w:rsidP="002F0FD7">
      <w:pPr>
        <w:pStyle w:val="5arangedleft"/>
        <w:rPr>
          <w:shd w:val="clear" w:color="auto" w:fill="FFFFFF"/>
        </w:rPr>
      </w:pPr>
      <w:r w:rsidRPr="008B68A9">
        <w:rPr>
          <w:shd w:val="clear" w:color="auto" w:fill="FFFFFF"/>
        </w:rPr>
        <w:t xml:space="preserve">In study site two, a budget user identified that a car </w:t>
      </w:r>
      <w:r w:rsidR="000D68D0" w:rsidRPr="008B68A9">
        <w:rPr>
          <w:shd w:val="clear" w:color="auto" w:fill="FFFFFF"/>
        </w:rPr>
        <w:t>could</w:t>
      </w:r>
      <w:r w:rsidRPr="008B68A9">
        <w:rPr>
          <w:shd w:val="clear" w:color="auto" w:fill="FFFFFF"/>
        </w:rPr>
        <w:t xml:space="preserve"> achieve a number of support plan outcomes. A father of two, the client was unable to fulfil constructions of that role. Reliant on others for transport, and crippled by anxiety of public spaces making bus or train travel unmanageable, a car offered the potential to fulfil parental roles: meeting their children from school, taking them to after school activities and dropping them off at local fast food outlets to meet their friends. The car was purchased and, like Gavin Croft’s season tickets for Rochdale FC (Beresford 2014a), the incident became a cause cel</w:t>
      </w:r>
      <w:r w:rsidRPr="008B68A9">
        <w:rPr>
          <w:rFonts w:cs="Times New Roman"/>
          <w:shd w:val="clear" w:color="auto" w:fill="FFFFFF"/>
        </w:rPr>
        <w:t>e</w:t>
      </w:r>
      <w:r w:rsidRPr="008B68A9">
        <w:rPr>
          <w:shd w:val="clear" w:color="auto" w:fill="FFFFFF"/>
        </w:rPr>
        <w:t xml:space="preserve">bre in the pilot site. </w:t>
      </w:r>
    </w:p>
    <w:p w14:paraId="795DD225" w14:textId="77777777" w:rsidR="006C7B37" w:rsidRPr="008B68A9" w:rsidRDefault="006C7B37" w:rsidP="002F0FD7">
      <w:pPr>
        <w:pStyle w:val="5arangedleft"/>
        <w:rPr>
          <w:shd w:val="clear" w:color="auto" w:fill="FFFFFF"/>
        </w:rPr>
      </w:pPr>
      <w:r w:rsidRPr="008B68A9">
        <w:rPr>
          <w:shd w:val="clear" w:color="auto" w:fill="FFFFFF"/>
        </w:rPr>
        <w:t>Staff with an oppositional orientation towards personalisation argued that the client should first overcome their phobia of buses before progressing to a car, a view similar to Power (2014) that privilege is earned rather than a right. Ceding control of planning and outcome generation was problematic for professionals who, whilst governed by professional guidelines and protocols, were limited in the number and range of options their traditional services could offer.</w:t>
      </w:r>
    </w:p>
    <w:p w14:paraId="1F53C59D" w14:textId="77777777" w:rsidR="006C7B37" w:rsidRPr="008B68A9" w:rsidRDefault="006C7B37" w:rsidP="002F0FD7">
      <w:pPr>
        <w:pStyle w:val="5arangedleft"/>
        <w:rPr>
          <w:shd w:val="clear" w:color="auto" w:fill="FFFFFF"/>
        </w:rPr>
      </w:pPr>
      <w:r w:rsidRPr="008B68A9">
        <w:rPr>
          <w:shd w:val="clear" w:color="auto" w:fill="FFFFFF"/>
        </w:rPr>
        <w:lastRenderedPageBreak/>
        <w:t>Colin typifies a narrative of detraction, where budget recipients’ choices undermined professional decision making. He identified the broker as other, an advocate working against the best interests of the client. His narrative is fixed antithetically against personalisation and individual budgets; there is almost resignation within this story:</w:t>
      </w:r>
    </w:p>
    <w:p w14:paraId="6BD0C85D" w14:textId="77777777" w:rsidR="006C7B37" w:rsidRPr="008B68A9" w:rsidRDefault="006C7B37" w:rsidP="002F0FD7">
      <w:pPr>
        <w:pStyle w:val="6bblockquoteitalic"/>
      </w:pPr>
      <w:r w:rsidRPr="008B68A9">
        <w:t>I remember one of them, the thing that we were going to buy put the client at risk. Someone who didn’t sleep, we were buying a car so they could drive round in the middle of the night, right. And it was just… I felt that it made a very difficult dynamic because it wasn’t a broker, statutory servers and the service users, it was the service user, their advocate and taking the lead from that and that’s not brokerage and that’s not how I understood them in my experience.</w:t>
      </w:r>
    </w:p>
    <w:p w14:paraId="43A377B2" w14:textId="77777777" w:rsidR="006C7B37" w:rsidRPr="008B68A9" w:rsidRDefault="006C7B37" w:rsidP="002F0FD7">
      <w:pPr>
        <w:pStyle w:val="5arangedleft"/>
        <w:rPr>
          <w:shd w:val="clear" w:color="auto" w:fill="FFFFFF"/>
        </w:rPr>
      </w:pPr>
      <w:r w:rsidRPr="008B68A9">
        <w:rPr>
          <w:shd w:val="clear" w:color="auto" w:fill="FFFFFF"/>
        </w:rPr>
        <w:t>Choice for the budget user was constructed differently: rather, the intervention was welcomed and employed to effect as a means of fulfilling their understanding of a good parent; for the professional, roles of parent and identity were not as important as a potential for relapse created through this purchase.</w:t>
      </w:r>
    </w:p>
    <w:p w14:paraId="7133AE52" w14:textId="7A3F40E2" w:rsidR="006C7B37" w:rsidRPr="008B68A9" w:rsidRDefault="00F22458" w:rsidP="006C7B37">
      <w:pPr>
        <w:pStyle w:val="3L3header"/>
        <w:rPr>
          <w:shd w:val="clear" w:color="auto" w:fill="FFFFFF"/>
        </w:rPr>
      </w:pPr>
      <w:bookmarkStart w:id="321" w:name="_Toc413607863"/>
      <w:bookmarkStart w:id="322" w:name="_Toc413827497"/>
      <w:bookmarkStart w:id="323" w:name="_Toc466800395"/>
      <w:r w:rsidRPr="008B68A9">
        <w:rPr>
          <w:shd w:val="clear" w:color="auto" w:fill="FFFFFF"/>
        </w:rPr>
        <w:t>6.10</w:t>
      </w:r>
      <w:r w:rsidR="006C7B37" w:rsidRPr="008B68A9">
        <w:rPr>
          <w:shd w:val="clear" w:color="auto" w:fill="FFFFFF"/>
        </w:rPr>
        <w:t>.5a Fixed offer</w:t>
      </w:r>
      <w:bookmarkEnd w:id="321"/>
      <w:bookmarkEnd w:id="322"/>
      <w:bookmarkEnd w:id="323"/>
    </w:p>
    <w:p w14:paraId="66B364A4" w14:textId="77777777" w:rsidR="006C7B37" w:rsidRPr="008B68A9" w:rsidRDefault="006C7B37" w:rsidP="002F0FD7">
      <w:pPr>
        <w:pStyle w:val="5arangedleft"/>
        <w:rPr>
          <w:shd w:val="clear" w:color="auto" w:fill="FFFFFF"/>
        </w:rPr>
      </w:pPr>
      <w:r w:rsidRPr="008B68A9">
        <w:rPr>
          <w:shd w:val="clear" w:color="auto" w:fill="FFFFFF"/>
        </w:rPr>
        <w:t xml:space="preserve">Traditional service delivery, based on a utilitarian notion of providing as much as possible to as many as possible, is expressed in George Bernard Shaw’s sentiment, “If you don’t get what you want, you’d better like what you get.” (in Fitzgerald 1967, p. 43). This phrase captures the essence of traditional models of care, where the offer is predicated on what has been offered previously directly reflects what is available today. The fixed offer, uniform with limited flexibility, formed the options for professionals delivering services. </w:t>
      </w:r>
    </w:p>
    <w:p w14:paraId="41065F5B" w14:textId="2C85019F" w:rsidR="009B2AE6" w:rsidRPr="008B68A9" w:rsidRDefault="006C7B37" w:rsidP="002F0FD7">
      <w:pPr>
        <w:pStyle w:val="5arangedleft"/>
      </w:pPr>
      <w:r w:rsidRPr="008B68A9">
        <w:t>In study site four, the drug and alcohol team worked in partnership with peer mentor services with recipients of individual budgets. Tam’s story of substance misuse prior to becoming a peer worker is offered below, and although bleak is informative. Inflexibility and block treatment were the offer to those accessing the services. There is neither blame nor anger voiced in this narrative; rather, an almost nuanced expression, though simultaneously resigned to how things were:</w:t>
      </w:r>
    </w:p>
    <w:p w14:paraId="386556F4" w14:textId="77777777" w:rsidR="006C7B37" w:rsidRPr="008B68A9" w:rsidRDefault="006C7B37" w:rsidP="002F0FD7">
      <w:pPr>
        <w:pStyle w:val="6bblockquoteitalic"/>
      </w:pPr>
      <w:r w:rsidRPr="008B68A9">
        <w:t xml:space="preserve"> I’d come in once a fortnight, and I’ve been in drug treatment myself… but my experience was I came in for ten or fifteen minutes a fortnight, I said whether I’d committed any crime, how much drugs I’d been using, then I was given a </w:t>
      </w:r>
      <w:r w:rsidRPr="008B68A9">
        <w:lastRenderedPageBreak/>
        <w:t>prescription and asked to come to come back in a fortnight’s time, it’s a very impersonal process.</w:t>
      </w:r>
    </w:p>
    <w:p w14:paraId="22C5A556" w14:textId="63352CD1" w:rsidR="006C7B37" w:rsidRPr="008B68A9" w:rsidRDefault="00F22458" w:rsidP="006C7B37">
      <w:pPr>
        <w:pStyle w:val="3L3header"/>
        <w:rPr>
          <w:sz w:val="24"/>
        </w:rPr>
      </w:pPr>
      <w:bookmarkStart w:id="324" w:name="_Toc413607864"/>
      <w:bookmarkStart w:id="325" w:name="_Toc413827498"/>
      <w:bookmarkStart w:id="326" w:name="_Toc466800396"/>
      <w:r w:rsidRPr="008B68A9">
        <w:t>6.10</w:t>
      </w:r>
      <w:r w:rsidR="006C7B37" w:rsidRPr="008B68A9">
        <w:t>.5b Flexibility</w:t>
      </w:r>
      <w:bookmarkEnd w:id="324"/>
      <w:bookmarkEnd w:id="325"/>
      <w:bookmarkEnd w:id="326"/>
    </w:p>
    <w:p w14:paraId="13648DCA" w14:textId="77777777" w:rsidR="006C7B37" w:rsidRPr="008B68A9" w:rsidRDefault="006C7B37" w:rsidP="002F0FD7">
      <w:pPr>
        <w:pStyle w:val="5arangedleft"/>
        <w:rPr>
          <w:shd w:val="clear" w:color="auto" w:fill="FFFFFF"/>
        </w:rPr>
      </w:pPr>
      <w:r w:rsidRPr="008B68A9">
        <w:rPr>
          <w:shd w:val="clear" w:color="auto" w:fill="FFFFFF"/>
        </w:rPr>
        <w:t>In site three, the flexibility individual budgets offered was appreciated, as the budget recipient below and their carer identify. A keen football fan, he appreciated the opportunity to spend time with someone who shared his passion. His wife appreciated the flexibility that when her husband was unwell, they could postpone the event, without incurring cost or penalty:</w:t>
      </w:r>
    </w:p>
    <w:p w14:paraId="13A0450B" w14:textId="77777777" w:rsidR="006C7B37" w:rsidRPr="008B68A9" w:rsidRDefault="006C7B37" w:rsidP="002F0FD7">
      <w:pPr>
        <w:pStyle w:val="6bblockquoteitalic"/>
      </w:pPr>
      <w:r w:rsidRPr="008B68A9">
        <w:t>And I couldn’t cope if I was going to a regular meeting, alright say a Wednesday where people talk about the same things week after week after week after week. This is good because me and (Name) go out. We talk about the football, we talk about the weather… we have a cracking time when we’re out.</w:t>
      </w:r>
    </w:p>
    <w:p w14:paraId="0685757D" w14:textId="77777777" w:rsidR="006C7B37" w:rsidRPr="008B68A9" w:rsidRDefault="006C7B37" w:rsidP="002F0FD7">
      <w:pPr>
        <w:pStyle w:val="6bblockquoteitalic"/>
      </w:pPr>
      <w:r w:rsidRPr="008B68A9">
        <w:t>Wife: …that’s the good side of doing it the way that we do it because if you’ve got something organised week in, week out and you don’t feel like… you’re not up to going then presumably you’ve lost it.</w:t>
      </w:r>
    </w:p>
    <w:p w14:paraId="48F9029E" w14:textId="77777777" w:rsidR="006C7B37" w:rsidRPr="008B68A9" w:rsidRDefault="006C7B37" w:rsidP="002F0FD7">
      <w:pPr>
        <w:pStyle w:val="5arangedleft"/>
      </w:pPr>
      <w:r w:rsidRPr="008B68A9">
        <w:t>Marcus describes how a young man, Norman, incorporated his love of drum and bass music and used his highly developed skills in DJing and electronic music to create a CD where, through music and his spoken word, he stated his support plan outcomes:</w:t>
      </w:r>
    </w:p>
    <w:p w14:paraId="13E648CF" w14:textId="77777777" w:rsidR="006C7B37" w:rsidRPr="008B68A9" w:rsidRDefault="006C7B37" w:rsidP="002F0FD7">
      <w:pPr>
        <w:pStyle w:val="6bblockquoteitalic"/>
      </w:pPr>
      <w:r w:rsidRPr="008B68A9">
        <w:t>How did Norman put his support plan together yeah? He created a CD, er… I don’t know, it was a real sort of cutting edge dance track really, that he had put together. And it was all about himself. It involved many of the questions that we’ve talked about and erm… we suggested that he did an album cover for the CD as well and that’s where he wrote some of the things down that were important to him, for the software. But it became clear as with many things. It’s not just the software; it’s not just the thing ...</w:t>
      </w:r>
    </w:p>
    <w:p w14:paraId="0483E5C6" w14:textId="77777777" w:rsidR="006C7B37" w:rsidRPr="008B68A9" w:rsidRDefault="006C7B37" w:rsidP="002F0FD7">
      <w:pPr>
        <w:pStyle w:val="5arangedleft"/>
      </w:pPr>
      <w:r w:rsidRPr="008B68A9">
        <w:t>In study site four a senior manager underlines personalisation’s flexibility compared to traditionally commissioned services. The trope flexibility acknowledges that Anahita may take learning from the pilot, incorporating support planning and individual commissioning opportunities within the service:</w:t>
      </w:r>
    </w:p>
    <w:p w14:paraId="531295B9" w14:textId="77777777" w:rsidR="006C7B37" w:rsidRPr="008B68A9" w:rsidRDefault="006C7B37" w:rsidP="002F0FD7">
      <w:pPr>
        <w:pStyle w:val="6bblockquoteitalic"/>
      </w:pPr>
      <w:r w:rsidRPr="008B68A9">
        <w:t xml:space="preserve">It’s been an eye opener because it’s been a completely different way of working, in the fact that obviously this is very much individualised and as a manager I am used to catering ‘en masse’ not that one size fits all, but obviously we cater for a group of clients shall we say that fall within our remit, </w:t>
      </w:r>
      <w:r w:rsidRPr="008B68A9">
        <w:lastRenderedPageBreak/>
        <w:t>so this has taken it right down to almost back to very individual case management which has been good.</w:t>
      </w:r>
    </w:p>
    <w:p w14:paraId="0AE8CB7F" w14:textId="10165F12" w:rsidR="009D5853" w:rsidRPr="008B68A9" w:rsidRDefault="009D5853" w:rsidP="009D5853">
      <w:pPr>
        <w:pStyle w:val="5arangedleft"/>
      </w:pPr>
      <w:r w:rsidRPr="008B68A9">
        <w:t xml:space="preserve">Flexibility as a trope, where budget user choices are often different to the kinds of provision or interventions traditional services offer, has been identified many times in the literature (Alakeson 2007, Needham 2011a, Larsen </w:t>
      </w:r>
      <w:r w:rsidRPr="008B68A9">
        <w:rPr>
          <w:i/>
        </w:rPr>
        <w:t>et al.</w:t>
      </w:r>
      <w:r w:rsidRPr="008B68A9">
        <w:t xml:space="preserve"> 2015) and was evident also in this study. Examples of the trope produced in the narratives were short-breaks, computers or other technologies, sporting goods, driving lessons, tennis or horse-riding lessons, house redecoration and even the removal of a tattoo. These budget spends might not conform to traditional notions of public health and social care intervention, yet for the recipients they represented flexibility and a reconnection with happier and healthier pasts, creating opportunities for renewal and change. Flexibility within a context of evidence based practice that conforms to a hierarchical scientific paradigm is clearly problematic for personalisation as it challenges the convention for the basis of traditional services. Individual flexibility is oppositional to evidence based practice and medically prescribed treatment in health care; however, for budgets users, the trope of flexible support, tailored to their circumstance and their networks, was central to their experience of personalisation and journeys of recovery.</w:t>
      </w:r>
    </w:p>
    <w:p w14:paraId="0B06CE46" w14:textId="1C01330A" w:rsidR="006C7B37" w:rsidRPr="008B68A9" w:rsidRDefault="00F22458" w:rsidP="006C7B37">
      <w:pPr>
        <w:pStyle w:val="3L3header"/>
      </w:pPr>
      <w:bookmarkStart w:id="327" w:name="_Toc413607865"/>
      <w:bookmarkStart w:id="328" w:name="_Toc413827499"/>
      <w:bookmarkStart w:id="329" w:name="_Toc466800397"/>
      <w:r w:rsidRPr="008B68A9">
        <w:t>6.10</w:t>
      </w:r>
      <w:r w:rsidR="006C7B37" w:rsidRPr="008B68A9">
        <w:t>.6a Regulatory</w:t>
      </w:r>
      <w:bookmarkEnd w:id="327"/>
      <w:bookmarkEnd w:id="328"/>
      <w:bookmarkEnd w:id="329"/>
    </w:p>
    <w:p w14:paraId="1F2414C5" w14:textId="77777777" w:rsidR="006C7B37" w:rsidRPr="008B68A9" w:rsidRDefault="006C7B37" w:rsidP="002F0FD7">
      <w:pPr>
        <w:pStyle w:val="5arangedleft"/>
      </w:pPr>
      <w:r w:rsidRPr="008B68A9">
        <w:t>Care Programme Approach roles were the priority for the community team, as Colin recounts the pressure he experienced in fulfilling responsibility:</w:t>
      </w:r>
    </w:p>
    <w:p w14:paraId="463D8C07" w14:textId="77777777" w:rsidR="006C7B37" w:rsidRPr="008B68A9" w:rsidRDefault="006C7B37" w:rsidP="002F0FD7">
      <w:pPr>
        <w:pStyle w:val="6bblockquoteitalic"/>
        <w:rPr>
          <w:shd w:val="clear" w:color="auto" w:fill="FFFFFF"/>
        </w:rPr>
      </w:pPr>
      <w:r w:rsidRPr="008B68A9">
        <w:t>The risk assessments have to be up to date and then to do the SDS which is a self-assessment questionnaire in all of mine all of my clients have needed support with that support plan so I’m doing that as well plus getting all the direct payment paperwork, the service agreement, all of them signed as well…. It’s quite unmanageable for us practitioners with full caseloads to do it all and something’s got to give… If the CPA’s not in date, things like that so it’s a real pressure on us.</w:t>
      </w:r>
    </w:p>
    <w:p w14:paraId="4231C6CE" w14:textId="77777777" w:rsidR="006C7B37" w:rsidRPr="008B68A9" w:rsidRDefault="006C7B37" w:rsidP="002F0FD7">
      <w:pPr>
        <w:pStyle w:val="5arangedleft"/>
      </w:pPr>
      <w:r w:rsidRPr="008B68A9">
        <w:rPr>
          <w:shd w:val="clear" w:color="auto" w:fill="FFFFFF"/>
        </w:rPr>
        <w:t xml:space="preserve">Factors of stress and coping are not solely confined to mental health nurses, as literature suggests social workers experience the conflict between the demands of role and institutional pressures (Coyle </w:t>
      </w:r>
      <w:r w:rsidRPr="008B68A9">
        <w:rPr>
          <w:i/>
          <w:shd w:val="clear" w:color="auto" w:fill="FFFFFF"/>
        </w:rPr>
        <w:t>et al.</w:t>
      </w:r>
      <w:r w:rsidRPr="008B68A9">
        <w:rPr>
          <w:shd w:val="clear" w:color="auto" w:fill="FFFFFF"/>
        </w:rPr>
        <w:t xml:space="preserve"> 2005, Leece and Leece 2011). Discerning core role function is difficult for community practitioners to negotiate as their focus </w:t>
      </w:r>
      <w:r w:rsidRPr="008B68A9">
        <w:rPr>
          <w:shd w:val="clear" w:color="auto" w:fill="FFFFFF"/>
        </w:rPr>
        <w:lastRenderedPageBreak/>
        <w:t xml:space="preserve">is based on weighing the regulatory or bureaucratic demands with conceptions of primary roles (Simpson </w:t>
      </w:r>
      <w:r w:rsidRPr="008B68A9">
        <w:rPr>
          <w:i/>
          <w:shd w:val="clear" w:color="auto" w:fill="FFFFFF"/>
        </w:rPr>
        <w:t>et al.</w:t>
      </w:r>
      <w:r w:rsidRPr="008B68A9">
        <w:rPr>
          <w:shd w:val="clear" w:color="auto" w:fill="FFFFFF"/>
        </w:rPr>
        <w:t xml:space="preserve"> 2003a).</w:t>
      </w:r>
    </w:p>
    <w:p w14:paraId="0AA493A6" w14:textId="5D9CE923" w:rsidR="006C7B37" w:rsidRPr="008B68A9" w:rsidRDefault="00F22458" w:rsidP="006C7B37">
      <w:pPr>
        <w:pStyle w:val="3L3header"/>
      </w:pPr>
      <w:bookmarkStart w:id="330" w:name="_Toc413607866"/>
      <w:bookmarkStart w:id="331" w:name="_Toc413827500"/>
      <w:bookmarkStart w:id="332" w:name="_Toc466800398"/>
      <w:r w:rsidRPr="008B68A9">
        <w:t>6.10</w:t>
      </w:r>
      <w:r w:rsidR="006C7B37" w:rsidRPr="008B68A9">
        <w:t>.</w:t>
      </w:r>
      <w:r w:rsidRPr="008B68A9">
        <w:t>6</w:t>
      </w:r>
      <w:r w:rsidR="006C7B37" w:rsidRPr="008B68A9">
        <w:t>b Person centred</w:t>
      </w:r>
      <w:bookmarkEnd w:id="330"/>
      <w:bookmarkEnd w:id="331"/>
      <w:bookmarkEnd w:id="332"/>
    </w:p>
    <w:p w14:paraId="66C0ED5E" w14:textId="77777777" w:rsidR="006C7B37" w:rsidRPr="008B68A9" w:rsidRDefault="006C7B37" w:rsidP="002F0FD7">
      <w:pPr>
        <w:pStyle w:val="5arangedleft"/>
      </w:pPr>
      <w:r w:rsidRPr="008B68A9">
        <w:t>Person centred planning has been discussed and its relevance to personalisation is central. The parent’s narrative below shows the person centred-planning work undertaken, and highlights the high levels of skill required by the facilitator:</w:t>
      </w:r>
    </w:p>
    <w:p w14:paraId="125F137B" w14:textId="77777777" w:rsidR="006C7B37" w:rsidRPr="008B68A9" w:rsidRDefault="006C7B37" w:rsidP="002F0FD7">
      <w:pPr>
        <w:pStyle w:val="6bblockquoteitalic"/>
      </w:pPr>
      <w:r w:rsidRPr="008B68A9">
        <w:t>…it’s been really powerful in that and we did a transition review when (Name) was about 14 which (Name) actually facilitated ‘cause obviously as my relationship with (Name) developed… and you know, I think it’s been a reciprocal relationship on lots of levels.</w:t>
      </w:r>
    </w:p>
    <w:p w14:paraId="515F986D" w14:textId="1CB9F17A" w:rsidR="0025472D" w:rsidRPr="008B68A9" w:rsidRDefault="0025472D" w:rsidP="00093E78">
      <w:pPr>
        <w:pStyle w:val="5arangedleft"/>
      </w:pPr>
      <w:r w:rsidRPr="008B68A9">
        <w:t>Writers have suggested that co-production through personalisation offers practitioners’ ways of working that accord more closely with the statutory tasks demanded of them in their everyday practice (Beresford 2008). Existing regulatory tasks prevented their using person centred thinking tools or fully engaging in support planning. However, their use of positioning combined with time and regulatory tropes meant that, in the main, the task of support planning and preparation of plans and attending panels fell within the remit of the broker. Professionals were therefore able to exclude themselves from the challenges of personalisatio</w:t>
      </w:r>
      <w:r w:rsidR="009A511F" w:rsidRPr="008B68A9">
        <w:t>n, creating a complex range of Story-L</w:t>
      </w:r>
      <w:r w:rsidRPr="008B68A9">
        <w:t>ines that when taken together explained and excused their lack of participation in the project of personalisation. The clear and known nature of each project existing within a timeline of between a year and eighteen months only served to justify their position of stasis, confident of a resumption of traditional delivery at the project’s close.</w:t>
      </w:r>
      <w:r w:rsidR="00432B63" w:rsidRPr="008B68A9">
        <w:t xml:space="preserve"> </w:t>
      </w:r>
    </w:p>
    <w:p w14:paraId="50E90EB1" w14:textId="56A77397" w:rsidR="00093E78" w:rsidRPr="008B68A9" w:rsidRDefault="00093E78" w:rsidP="00093E78">
      <w:pPr>
        <w:pStyle w:val="5arangedleft"/>
      </w:pPr>
      <w:r w:rsidRPr="008B68A9">
        <w:t xml:space="preserve">The tropes described above and discussed below are not expressed in a hierarchical order, with no one trope superior to another; they share an interdependence, simultaneously connected yet highlighting the re-casting of self-narrative that maintained the actor’s personal congruence of role and identity, similar to the function of narrative smoothing (Sarbin 1986). An example of the connectedness of trope that this formative model proposes is taken from professional participant narratives where the trope time is produced. The time trope represents the actor’s perceived lack of personal resource set against their workload expectation, which in </w:t>
      </w:r>
      <w:r w:rsidRPr="008B68A9">
        <w:lastRenderedPageBreak/>
        <w:t xml:space="preserve">turn was connected to their accounts of regulatory demands in the form of statutory administration duties or professional functions. The connectedness between these tropes produced and sustained their story-line, providing a discursive closure for other actors to identify their orientation toward personalisation. Another example of connected trope from the professional cohort was the trope regulatory (adherence to policies and service standards) which was formed from the actor’s perceived capacity of their sphere of practice in the form of protocol and process, (such as Care Programme Approach documentation), which was related to an expression of the limits of clinical and personal risk. </w:t>
      </w:r>
    </w:p>
    <w:p w14:paraId="620BCAB7" w14:textId="6B28F3E2" w:rsidR="00093E78" w:rsidRPr="008B68A9" w:rsidRDefault="00093E78" w:rsidP="00093E78">
      <w:pPr>
        <w:pStyle w:val="5arangedleft"/>
      </w:pPr>
      <w:r w:rsidRPr="008B68A9">
        <w:t>The narrative tropes</w:t>
      </w:r>
      <w:r w:rsidR="00C417DA" w:rsidRPr="008B68A9">
        <w:t>,</w:t>
      </w:r>
      <w:r w:rsidRPr="008B68A9">
        <w:t xml:space="preserve"> </w:t>
      </w:r>
      <w:r w:rsidR="00C417DA" w:rsidRPr="008B68A9">
        <w:t xml:space="preserve">(represented in the figure below), </w:t>
      </w:r>
      <w:r w:rsidRPr="008B68A9">
        <w:t>are similar to Ricoeur’s (1987) mimesis</w:t>
      </w:r>
      <w:r w:rsidRPr="008B68A9">
        <w:rPr>
          <w:vertAlign w:val="subscript"/>
        </w:rPr>
        <w:t>1,2,3</w:t>
      </w:r>
      <w:r w:rsidRPr="008B68A9">
        <w:t xml:space="preserve"> as trope was formed and re-formed through speech acts, producing a re-telling of the personalisation narrative through which the relationship to the narrator’s past, produced through interview in the present, simultaneously projected their future identities. Ricoeur’s notion of the past being observed through the culturally shared construction of the subject is a useful method to observe tropes as differences of participants’ identity (whether nurse, broker or budget user), which were produced through their trope. An example of the interconnectedness of past, present and future can be seen through fixed offer (the limited nature of traditional services), which were constructed by the professional participants’ expression of the tropes time (limits and capacities) and regulatory demands. Services could only offer what their resources permitted; therefore the trope time functioned as a discursive closure to the possibility of questioning levels of service offered. In addition, should the professionals wish to change their working practice, their regulatory demands, over which they had no control, prevent them doing so.</w:t>
      </w:r>
    </w:p>
    <w:p w14:paraId="796CAFF6" w14:textId="77777777" w:rsidR="00093E78" w:rsidRPr="008B68A9" w:rsidRDefault="00093E78" w:rsidP="00093E78">
      <w:pPr>
        <w:spacing w:line="360" w:lineRule="auto"/>
        <w:jc w:val="both"/>
      </w:pPr>
      <w:r w:rsidRPr="008B68A9">
        <w:rPr>
          <w:noProof/>
          <w:lang w:eastAsia="en-GB"/>
        </w:rPr>
        <w:lastRenderedPageBreak/>
        <w:drawing>
          <wp:inline distT="0" distB="0" distL="0" distR="0" wp14:anchorId="25F0EBBA" wp14:editId="269002D5">
            <wp:extent cx="5386705" cy="4466476"/>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386705" cy="4466476"/>
                    </a:xfrm>
                    <a:prstGeom prst="rect">
                      <a:avLst/>
                    </a:prstGeom>
                  </pic:spPr>
                </pic:pic>
              </a:graphicData>
            </a:graphic>
          </wp:inline>
        </w:drawing>
      </w:r>
    </w:p>
    <w:p w14:paraId="59A75645" w14:textId="77777777" w:rsidR="00093E78" w:rsidRPr="008B68A9" w:rsidRDefault="00093E78" w:rsidP="00093E78">
      <w:pPr>
        <w:pStyle w:val="9afigurecaption"/>
      </w:pPr>
      <w:bookmarkStart w:id="333" w:name="_Toc413607721"/>
      <w:bookmarkStart w:id="334" w:name="_Toc413851010"/>
      <w:bookmarkStart w:id="335" w:name="_Toc451185934"/>
      <w:bookmarkStart w:id="336" w:name="_Toc466799820"/>
      <w:r w:rsidRPr="008B68A9">
        <w:t xml:space="preserve">Figure 3: Tropes from professionals’ and </w:t>
      </w:r>
      <w:bookmarkEnd w:id="333"/>
      <w:bookmarkEnd w:id="334"/>
      <w:r w:rsidRPr="008B68A9">
        <w:t>users’ story-line work</w:t>
      </w:r>
      <w:bookmarkEnd w:id="335"/>
      <w:bookmarkEnd w:id="336"/>
    </w:p>
    <w:p w14:paraId="51364A26" w14:textId="77777777" w:rsidR="00F40715" w:rsidRPr="008B68A9" w:rsidRDefault="00093E78" w:rsidP="00093E78">
      <w:pPr>
        <w:pStyle w:val="5arangedleft"/>
      </w:pPr>
      <w:r w:rsidRPr="008B68A9">
        <w:t xml:space="preserve">The figure above shows the interconnected relationships between tropes from different participant perspectives. The diagram attempts to show how tropes are connected in ways that are congruent to participants’ positions, and at times not. The relationship of trope from the professionals’ traditional forms of service construction can be observed through their priorities, which remained largely unchanged from their pre-personalisation relationships of power and control; ceding to consumer choice and autonomy only to a limited degree. The control exercised by those professionals conformed to traditional approaches of psychiatric diagnoses, where the service recipient’s actions, and therefore their requests, are framed within diagnostic identities. Consequently, users’ support plan outcomes were constructed by some professionals regarding the outcomes as less valid than the interventions and goals identified through professional conventions of warrant achieved through qualification. </w:t>
      </w:r>
    </w:p>
    <w:p w14:paraId="7CCA89E1" w14:textId="2AC77A88" w:rsidR="00093E78" w:rsidRPr="008B68A9" w:rsidRDefault="00093E78" w:rsidP="00093E78">
      <w:pPr>
        <w:pStyle w:val="5arangedleft"/>
      </w:pPr>
      <w:r w:rsidRPr="008B68A9">
        <w:lastRenderedPageBreak/>
        <w:t xml:space="preserve">The service users’ competence to decide what was best for their need was called into question by professionals in this study, which echoes a concern highlighted by Speed (2007) as a threat to consumer directed services. The central trope accompanying personalisation, however, is that individuals receiving budgets know what is best for their lives and that their personal knowledge should guide professional action (Needham 2011b). This is not to say the roles professionals undertake are redundant; on the contrary, in personalisation professionals require a role recalibration where their expertise of service systems and skills in therapeutic relationships build on the personal expertise of budget users (Duffy 2010b). However, the challenge of changing from interactions based on professional asymmetry (Leadbeater 2004) to those built through co-production (Needham and Carr 2012) remained difficult for many of this study’s professional worker participants. </w:t>
      </w:r>
    </w:p>
    <w:p w14:paraId="059C0942" w14:textId="4E1BC9F2" w:rsidR="009B2AE6" w:rsidRPr="008B68A9" w:rsidRDefault="00093E78" w:rsidP="00093E78">
      <w:pPr>
        <w:pStyle w:val="5arangedleft"/>
      </w:pPr>
      <w:r w:rsidRPr="008B68A9">
        <w:t xml:space="preserve">Several budget user narratives referred to hope when placing requests to an unseen panel for authorisation as though to a higher and more powerful authority, which positions the budget applicants as dependent rather than powerfully self-directing. Their hope highlights a control maintained by professional services and their representatives; in part demonstrative of convention of warrant and the professional asymmetry in services. The criticism that personalisation as envisaged by Leadbeater (2004) maintains power in the professionals has been articulated (Carr 2011b), and in this, too, control through the coding of bureaucracy was </w:t>
      </w:r>
      <w:r w:rsidR="0025472D" w:rsidRPr="008B68A9">
        <w:t>drawn from</w:t>
      </w:r>
      <w:r w:rsidRPr="008B68A9">
        <w:t xml:space="preserve"> the data. Issues of control and identity are neither new nor exclusive to personalisation in its current form as Clarke and Spafford (2002) attest, where professionals responding to the expansion of direct payments feared their loss of identit</w:t>
      </w:r>
      <w:r w:rsidR="00D955EC" w:rsidRPr="008B68A9">
        <w:t>y through their loss of control and such tensions continue to influence professional’s responses the modern personalisation as seen in the data presented in this thesis.</w:t>
      </w:r>
    </w:p>
    <w:p w14:paraId="647B1179" w14:textId="34E5BDCE" w:rsidR="006C7B37" w:rsidRPr="008B68A9" w:rsidRDefault="00097073" w:rsidP="006C7B37">
      <w:pPr>
        <w:pStyle w:val="2L2header"/>
      </w:pPr>
      <w:bookmarkStart w:id="337" w:name="_Toc413607867"/>
      <w:bookmarkStart w:id="338" w:name="_Toc413827501"/>
      <w:bookmarkStart w:id="339" w:name="_Toc466800399"/>
      <w:r w:rsidRPr="008B68A9">
        <w:t>6.11</w:t>
      </w:r>
      <w:r w:rsidR="006C7B37" w:rsidRPr="008B68A9">
        <w:t xml:space="preserve"> Nuanced orientation towards personalisation</w:t>
      </w:r>
      <w:bookmarkEnd w:id="337"/>
      <w:bookmarkEnd w:id="338"/>
      <w:bookmarkEnd w:id="339"/>
    </w:p>
    <w:p w14:paraId="605A4D36" w14:textId="47119EB3" w:rsidR="006C7B37" w:rsidRPr="008B68A9" w:rsidRDefault="006C7B37" w:rsidP="002F0FD7">
      <w:pPr>
        <w:pStyle w:val="5arangedleft"/>
      </w:pPr>
      <w:r w:rsidRPr="008B68A9">
        <w:t xml:space="preserve">The code nuanced </w:t>
      </w:r>
      <w:r w:rsidR="00592738" w:rsidRPr="008B68A9">
        <w:t>was developed</w:t>
      </w:r>
      <w:r w:rsidRPr="008B68A9">
        <w:t xml:space="preserve"> from narrative accounts where</w:t>
      </w:r>
      <w:r w:rsidR="00592738" w:rsidRPr="008B68A9">
        <w:t xml:space="preserve"> stakeholder construction of</w:t>
      </w:r>
      <w:r w:rsidRPr="008B68A9">
        <w:t xml:space="preserve"> personalisation extended beyond simple </w:t>
      </w:r>
      <w:r w:rsidR="00592738" w:rsidRPr="008B68A9">
        <w:t>Story-L</w:t>
      </w:r>
      <w:r w:rsidR="009A7254" w:rsidRPr="008B68A9">
        <w:t>ine</w:t>
      </w:r>
      <w:r w:rsidRPr="008B68A9">
        <w:t xml:space="preserve">. It </w:t>
      </w:r>
      <w:r w:rsidR="00592738" w:rsidRPr="008B68A9">
        <w:t>was taken to represent</w:t>
      </w:r>
      <w:r w:rsidRPr="008B68A9">
        <w:t xml:space="preserve"> the narrator’s ability to perceive and articulate subtle differences, shades of contradiction </w:t>
      </w:r>
      <w:r w:rsidR="00592738" w:rsidRPr="008B68A9">
        <w:t xml:space="preserve">that are </w:t>
      </w:r>
      <w:r w:rsidRPr="008B68A9">
        <w:t xml:space="preserve">inherent in personalisation. The </w:t>
      </w:r>
      <w:r w:rsidR="00592738" w:rsidRPr="008B68A9">
        <w:t xml:space="preserve">code shows how the </w:t>
      </w:r>
      <w:r w:rsidRPr="008B68A9">
        <w:lastRenderedPageBreak/>
        <w:t>narrator recognises the potential for a</w:t>
      </w:r>
      <w:r w:rsidR="00592738" w:rsidRPr="008B68A9">
        <w:t>nd challenge of personalisation.</w:t>
      </w:r>
      <w:r w:rsidRPr="008B68A9">
        <w:t xml:space="preserve"> </w:t>
      </w:r>
      <w:r w:rsidR="00592738" w:rsidRPr="008B68A9">
        <w:t>T</w:t>
      </w:r>
      <w:r w:rsidRPr="008B68A9">
        <w:t xml:space="preserve">herefore </w:t>
      </w:r>
      <w:r w:rsidR="00592738" w:rsidRPr="008B68A9">
        <w:t>nuance</w:t>
      </w:r>
      <w:r w:rsidRPr="008B68A9">
        <w:t xml:space="preserve"> is desirable </w:t>
      </w:r>
      <w:r w:rsidR="00592738" w:rsidRPr="008B68A9">
        <w:t>in order</w:t>
      </w:r>
      <w:r w:rsidRPr="008B68A9">
        <w:t xml:space="preserve"> to create and maintain a receptive rather than oppositional view </w:t>
      </w:r>
      <w:r w:rsidR="00592738" w:rsidRPr="008B68A9">
        <w:t xml:space="preserve">to </w:t>
      </w:r>
      <w:r w:rsidRPr="008B68A9">
        <w:t>personalisation discourse</w:t>
      </w:r>
      <w:r w:rsidR="00592738" w:rsidRPr="008B68A9">
        <w:t>s</w:t>
      </w:r>
      <w:r w:rsidRPr="008B68A9">
        <w:t xml:space="preserve">. Nuance in this </w:t>
      </w:r>
      <w:r w:rsidR="00592738" w:rsidRPr="008B68A9">
        <w:t>sense</w:t>
      </w:r>
      <w:r w:rsidRPr="008B68A9">
        <w:t xml:space="preserve"> is therefore helpful, good even.</w:t>
      </w:r>
    </w:p>
    <w:p w14:paraId="0350ECEF" w14:textId="25FB3762" w:rsidR="006C7B37" w:rsidRPr="008B68A9" w:rsidRDefault="006C7B37" w:rsidP="002F0FD7">
      <w:pPr>
        <w:pStyle w:val="5arangedleft"/>
      </w:pPr>
      <w:r w:rsidRPr="008B68A9">
        <w:t xml:space="preserve">Tammy voices nuance, describing the challenges </w:t>
      </w:r>
      <w:r w:rsidR="00890918" w:rsidRPr="008B68A9">
        <w:t>of support planning</w:t>
      </w:r>
      <w:r w:rsidRPr="008B68A9">
        <w:t xml:space="preserve"> with an honesty</w:t>
      </w:r>
      <w:r w:rsidR="00890918" w:rsidRPr="008B68A9">
        <w:t xml:space="preserve"> that</w:t>
      </w:r>
      <w:r w:rsidRPr="008B68A9">
        <w:t xml:space="preserve"> </w:t>
      </w:r>
      <w:r w:rsidR="00890918" w:rsidRPr="008B68A9">
        <w:t>articulates</w:t>
      </w:r>
      <w:r w:rsidRPr="008B68A9">
        <w:t xml:space="preserve"> the rewards of doing so. A progressive narrative and positive story-line is </w:t>
      </w:r>
      <w:r w:rsidR="00890918" w:rsidRPr="008B68A9">
        <w:t xml:space="preserve">also </w:t>
      </w:r>
      <w:r w:rsidRPr="008B68A9">
        <w:t xml:space="preserve">present in balance with personal successes and sense of commitment. Nuance is in her message to others, acknowledging challenges of the journey, yet encouraging </w:t>
      </w:r>
      <w:r w:rsidR="00890918" w:rsidRPr="008B68A9">
        <w:t>others</w:t>
      </w:r>
      <w:r w:rsidRPr="008B68A9">
        <w:t xml:space="preserve"> to embark upon it:</w:t>
      </w:r>
    </w:p>
    <w:p w14:paraId="529E37E8" w14:textId="77777777" w:rsidR="006C7B37" w:rsidRPr="008B68A9" w:rsidRDefault="006C7B37" w:rsidP="002F0FD7">
      <w:pPr>
        <w:pStyle w:val="6bblockquoteitalic"/>
      </w:pPr>
      <w:r w:rsidRPr="008B68A9">
        <w:t>It’s really, really helped me because it’s like, not forces me but it motivates me to go on rather than give up because I’ve been that close to giving up so many times…My advice would be make sure you really want to do this because it’s so valuable and time consuming that if you don’t mean it then it’s a waste of time and resources. For absolutely anybody I would tell them to take it seriously and don’t give up ...</w:t>
      </w:r>
    </w:p>
    <w:p w14:paraId="1AD3AA22" w14:textId="71755711" w:rsidR="006C7B37" w:rsidRPr="008B68A9" w:rsidRDefault="006C7B37" w:rsidP="002F0FD7">
      <w:pPr>
        <w:pStyle w:val="5arangedleft"/>
      </w:pPr>
      <w:r w:rsidRPr="008B68A9">
        <w:t xml:space="preserve">Paul’s nuanced orientation is </w:t>
      </w:r>
      <w:r w:rsidR="00890918" w:rsidRPr="008B68A9">
        <w:t>shown</w:t>
      </w:r>
      <w:r w:rsidRPr="008B68A9">
        <w:t xml:space="preserve"> </w:t>
      </w:r>
      <w:r w:rsidR="00890918" w:rsidRPr="008B68A9">
        <w:t>in</w:t>
      </w:r>
      <w:r w:rsidRPr="008B68A9">
        <w:t xml:space="preserve"> learning and hope. He is “on the right path”, getting better all the time, communicating a sense of living and learning. In terms of plot he has survived and emerged </w:t>
      </w:r>
      <w:r w:rsidR="00890918" w:rsidRPr="008B68A9">
        <w:t xml:space="preserve">almost </w:t>
      </w:r>
      <w:r w:rsidRPr="008B68A9">
        <w:t>heroically, touching victory, showing an appreciation that circumstance</w:t>
      </w:r>
      <w:r w:rsidR="00890918" w:rsidRPr="008B68A9">
        <w:t xml:space="preserve"> makes life inherently fragile:</w:t>
      </w:r>
    </w:p>
    <w:p w14:paraId="4532A594" w14:textId="77777777" w:rsidR="006C7B37" w:rsidRPr="008B68A9" w:rsidRDefault="006C7B37" w:rsidP="002F0FD7">
      <w:pPr>
        <w:pStyle w:val="6bblockquoteitalic"/>
      </w:pPr>
      <w:r w:rsidRPr="008B68A9">
        <w:t>Understanding about my health and things like that. I’ve also learnt a lot about the fact that… understanding about that and dealing with it and coping with it as well… obviously still realising that things could go back the other way, you keep yourself aware of all the situations and keep yourself in a positive frame of mind then you can’t go wrong.</w:t>
      </w:r>
    </w:p>
    <w:p w14:paraId="430706B1" w14:textId="09256CB4" w:rsidR="006C7B37" w:rsidRPr="008B68A9" w:rsidRDefault="00097073" w:rsidP="006C7B37">
      <w:pPr>
        <w:pStyle w:val="3L3header"/>
      </w:pPr>
      <w:bookmarkStart w:id="340" w:name="_Toc413607868"/>
      <w:bookmarkStart w:id="341" w:name="_Toc413827502"/>
      <w:bookmarkStart w:id="342" w:name="_Toc466800400"/>
      <w:r w:rsidRPr="008B68A9">
        <w:t>6.11</w:t>
      </w:r>
      <w:r w:rsidR="006C7B37" w:rsidRPr="008B68A9">
        <w:t>.1 Nuance and professional workers</w:t>
      </w:r>
      <w:bookmarkEnd w:id="340"/>
      <w:bookmarkEnd w:id="341"/>
      <w:bookmarkEnd w:id="342"/>
    </w:p>
    <w:p w14:paraId="7F988BAA" w14:textId="7C4A104B" w:rsidR="006C7B37" w:rsidRPr="008B68A9" w:rsidRDefault="006C7B37" w:rsidP="002F0FD7">
      <w:pPr>
        <w:pStyle w:val="5arangedleft"/>
      </w:pPr>
      <w:r w:rsidRPr="008B68A9">
        <w:t xml:space="preserve">Nuance was </w:t>
      </w:r>
      <w:r w:rsidR="00890918" w:rsidRPr="008B68A9">
        <w:t>observed</w:t>
      </w:r>
      <w:r w:rsidRPr="008B68A9">
        <w:t xml:space="preserve"> in professionals’ narratives less frequently than </w:t>
      </w:r>
      <w:r w:rsidR="00890918" w:rsidRPr="008B68A9">
        <w:t>in</w:t>
      </w:r>
      <w:r w:rsidRPr="008B68A9">
        <w:t xml:space="preserve"> consumers or </w:t>
      </w:r>
      <w:r w:rsidR="00890918" w:rsidRPr="008B68A9">
        <w:t>brokers’ stories</w:t>
      </w:r>
      <w:r w:rsidRPr="008B68A9">
        <w:t>. Professionals constructed strong orientations toward personalisation through story-line and trope, although some accounts of personalisation showed a nuanced perspective, acknowledging risk, bureaucracy, choice and time management, tempered with an acknowledgment of potential barriers versus potential gains of self-direction. Nuance as a position accepts the tensions of contradictory trope</w:t>
      </w:r>
      <w:r w:rsidR="00890918" w:rsidRPr="008B68A9">
        <w:t>s</w:t>
      </w:r>
      <w:r w:rsidRPr="008B68A9">
        <w:t xml:space="preserve"> </w:t>
      </w:r>
      <w:r w:rsidR="00890918" w:rsidRPr="008B68A9">
        <w:t>r</w:t>
      </w:r>
      <w:r w:rsidRPr="008B68A9">
        <w:t>ather than adopting a binary orientation</w:t>
      </w:r>
      <w:r w:rsidR="00890918" w:rsidRPr="008B68A9">
        <w:t xml:space="preserve"> either positive of negative.</w:t>
      </w:r>
      <w:r w:rsidRPr="008B68A9">
        <w:t xml:space="preserve"> </w:t>
      </w:r>
      <w:r w:rsidR="00890918" w:rsidRPr="008B68A9">
        <w:t>Nuanced</w:t>
      </w:r>
      <w:r w:rsidRPr="008B68A9">
        <w:t xml:space="preserve"> accounts reflect </w:t>
      </w:r>
      <w:r w:rsidR="00890918" w:rsidRPr="008B68A9">
        <w:t>the narrator’s</w:t>
      </w:r>
      <w:r w:rsidRPr="008B68A9">
        <w:t xml:space="preserve"> capacity to weigh the </w:t>
      </w:r>
      <w:r w:rsidRPr="008B68A9">
        <w:lastRenderedPageBreak/>
        <w:t xml:space="preserve">benefits and setbacks in personalisation, </w:t>
      </w:r>
      <w:r w:rsidR="00890918" w:rsidRPr="008B68A9">
        <w:t xml:space="preserve">ultimately </w:t>
      </w:r>
      <w:r w:rsidRPr="008B68A9">
        <w:t xml:space="preserve">promoting a more considered perspective. Carys shows </w:t>
      </w:r>
      <w:r w:rsidR="00890918" w:rsidRPr="008B68A9">
        <w:t xml:space="preserve">a </w:t>
      </w:r>
      <w:r w:rsidRPr="008B68A9">
        <w:t xml:space="preserve">balance towards personalisation whilst remaining cognisant of oppositional </w:t>
      </w:r>
      <w:r w:rsidR="009A7254" w:rsidRPr="008B68A9">
        <w:t>story-line</w:t>
      </w:r>
      <w:r w:rsidRPr="008B68A9">
        <w:t xml:space="preserve"> and trope</w:t>
      </w:r>
      <w:r w:rsidRPr="008B68A9">
        <w:rPr>
          <w:rFonts w:cs="Arial"/>
        </w:rPr>
        <w:t>, concluding that the benefits of personalisation merit the effor</w:t>
      </w:r>
      <w:r w:rsidR="00890918" w:rsidRPr="008B68A9">
        <w:rPr>
          <w:rFonts w:cs="Arial"/>
        </w:rPr>
        <w:t>t without discounting the risks</w:t>
      </w:r>
      <w:r w:rsidRPr="008B68A9">
        <w:rPr>
          <w:rFonts w:cs="Arial"/>
        </w:rPr>
        <w:t>:</w:t>
      </w:r>
    </w:p>
    <w:p w14:paraId="1A32F105" w14:textId="77777777" w:rsidR="006C7B37" w:rsidRPr="008B68A9" w:rsidRDefault="006C7B37" w:rsidP="002F0FD7">
      <w:pPr>
        <w:pStyle w:val="6bblockquoteitalic"/>
      </w:pPr>
      <w:r w:rsidRPr="008B68A9">
        <w:t>You’ve kind of got that mentality even amongst probation and drug services, and those workers that are on board with recovery, but there’s still that slight concern over why we are rewarding someone as such… But I think that’s part of the risk taking with being involved in something like this… you’ve got to kind of invest in the first place and hope that they don’t do that, but if they do it’s for a greater good.</w:t>
      </w:r>
    </w:p>
    <w:p w14:paraId="2F5514D3" w14:textId="15A8DAD1" w:rsidR="006C7B37" w:rsidRPr="008B68A9" w:rsidRDefault="006C7B37" w:rsidP="002F0FD7">
      <w:pPr>
        <w:pStyle w:val="5arangedleft"/>
      </w:pPr>
      <w:r w:rsidRPr="008B68A9">
        <w:t>Nuance from another worker with management responsibility, Sheenah, succinctly expresses support with the caveat of</w:t>
      </w:r>
      <w:r w:rsidR="00890918" w:rsidRPr="008B68A9">
        <w:t xml:space="preserve"> the</w:t>
      </w:r>
      <w:r w:rsidRPr="008B68A9">
        <w:t xml:space="preserve"> additional time demand</w:t>
      </w:r>
      <w:r w:rsidR="00890918" w:rsidRPr="008B68A9">
        <w:t xml:space="preserve"> personalisation creates</w:t>
      </w:r>
      <w:r w:rsidRPr="008B68A9">
        <w:t xml:space="preserve">. Her positive construction is not dismissed by </w:t>
      </w:r>
      <w:r w:rsidR="00890918" w:rsidRPr="008B68A9">
        <w:t xml:space="preserve">the constraints </w:t>
      </w:r>
      <w:r w:rsidRPr="008B68A9">
        <w:t xml:space="preserve">she identifies, nor is personalisation diminished because of </w:t>
      </w:r>
      <w:r w:rsidR="00890918" w:rsidRPr="008B68A9">
        <w:t>this</w:t>
      </w:r>
      <w:r w:rsidRPr="008B68A9">
        <w:t>, as she states:</w:t>
      </w:r>
    </w:p>
    <w:p w14:paraId="6E0CAB7B" w14:textId="77777777" w:rsidR="006C7B37" w:rsidRPr="008B68A9" w:rsidRDefault="006C7B37" w:rsidP="002F0FD7">
      <w:pPr>
        <w:pStyle w:val="6bblockquoteitalic"/>
      </w:pPr>
      <w:r w:rsidRPr="008B68A9">
        <w:t>I can see, I can see the benefits of it. I’ve got concerns about it, and you know things like time management and things like that, but as a premise I’ve really enjoyed the opportunity to see it flourish really, so yeah.</w:t>
      </w:r>
    </w:p>
    <w:p w14:paraId="771B7CCD" w14:textId="5F1B9D99" w:rsidR="006C7B37" w:rsidRPr="008B68A9" w:rsidRDefault="006C7B37" w:rsidP="002F0FD7">
      <w:pPr>
        <w:pStyle w:val="5arangedleft"/>
      </w:pPr>
      <w:r w:rsidRPr="008B68A9">
        <w:t xml:space="preserve">In the first study site, a professional nurse, Tony, </w:t>
      </w:r>
      <w:r w:rsidR="00890918" w:rsidRPr="008B68A9">
        <w:t xml:space="preserve">also </w:t>
      </w:r>
      <w:r w:rsidRPr="008B68A9">
        <w:t xml:space="preserve">demonstrates </w:t>
      </w:r>
      <w:r w:rsidR="00890918" w:rsidRPr="008B68A9">
        <w:t>nuance</w:t>
      </w:r>
      <w:r w:rsidRPr="008B68A9">
        <w:t xml:space="preserve"> towards personalisation. </w:t>
      </w:r>
      <w:r w:rsidR="00890918" w:rsidRPr="008B68A9">
        <w:t>Initially g</w:t>
      </w:r>
      <w:r w:rsidRPr="008B68A9">
        <w:t xml:space="preserve">uarded, the support he </w:t>
      </w:r>
      <w:r w:rsidR="00890918" w:rsidRPr="008B68A9">
        <w:t>shows</w:t>
      </w:r>
      <w:r w:rsidRPr="008B68A9">
        <w:t xml:space="preserve"> for personalisation is balanced and realistic:</w:t>
      </w:r>
    </w:p>
    <w:p w14:paraId="748FACB2" w14:textId="77777777" w:rsidR="006C7B37" w:rsidRPr="008B68A9" w:rsidRDefault="006C7B37" w:rsidP="002F0FD7">
      <w:pPr>
        <w:pStyle w:val="6bblockquoteitalic"/>
      </w:pPr>
      <w:r w:rsidRPr="008B68A9">
        <w:t>I think I probably had the same reservations as, [name of colleague], at the beginning, you know, where’s this leading to etc., what’s the future, how much work is it going to generate for ourselves… but I think as it’s gone by we’ve generally just got on with it really. We’ve been quite creative… I think people have just got on with it really because I was expecting a lot of people to come back to me what do you in terms of red tape but it’s been very, very simple… I hope that is the future.</w:t>
      </w:r>
    </w:p>
    <w:p w14:paraId="46E11BFB" w14:textId="1C920DED" w:rsidR="00890918" w:rsidRPr="008B68A9" w:rsidRDefault="00D115B5" w:rsidP="00D115B5">
      <w:pPr>
        <w:pStyle w:val="5arangedleft"/>
      </w:pPr>
      <w:r w:rsidRPr="008B68A9">
        <w:t xml:space="preserve">This narrative predates some of the criticism of bureaucracy that was later levelled towards personalisation; although the sentiment was laudable, it was possibly short-lived. </w:t>
      </w:r>
    </w:p>
    <w:p w14:paraId="1B1F1FC2" w14:textId="77777777" w:rsidR="009B2AE6" w:rsidRPr="008B68A9" w:rsidRDefault="009B2AE6" w:rsidP="00D115B5">
      <w:pPr>
        <w:pStyle w:val="5arangedleft"/>
      </w:pPr>
    </w:p>
    <w:p w14:paraId="44FB34A4" w14:textId="58D12331" w:rsidR="006C7B37" w:rsidRPr="008B68A9" w:rsidRDefault="00097073" w:rsidP="006C7B37">
      <w:pPr>
        <w:pStyle w:val="2L2header"/>
      </w:pPr>
      <w:bookmarkStart w:id="343" w:name="_Toc413607869"/>
      <w:bookmarkStart w:id="344" w:name="_Toc413827503"/>
      <w:bookmarkStart w:id="345" w:name="_Toc466800401"/>
      <w:r w:rsidRPr="008B68A9">
        <w:lastRenderedPageBreak/>
        <w:t>6.12</w:t>
      </w:r>
      <w:r w:rsidR="006C7B37" w:rsidRPr="008B68A9">
        <w:t xml:space="preserve"> Binary orientation</w:t>
      </w:r>
      <w:bookmarkEnd w:id="343"/>
      <w:bookmarkEnd w:id="344"/>
      <w:bookmarkEnd w:id="345"/>
    </w:p>
    <w:p w14:paraId="741F43DA" w14:textId="6DBF06F9" w:rsidR="006C7B37" w:rsidRPr="008B68A9" w:rsidRDefault="006C7B37" w:rsidP="002F0FD7">
      <w:pPr>
        <w:pStyle w:val="5arangedleft"/>
      </w:pPr>
      <w:r w:rsidRPr="008B68A9">
        <w:t>Nuanced orientation towards personalisation has be</w:t>
      </w:r>
      <w:r w:rsidR="00890918" w:rsidRPr="008B68A9">
        <w:t xml:space="preserve">en shown to articulate balance and subtly </w:t>
      </w:r>
      <w:r w:rsidRPr="008B68A9">
        <w:t xml:space="preserve">reflecting competing story-lines; whereas binary orientation, either positive or negative, acts like </w:t>
      </w:r>
      <w:r w:rsidR="00890918" w:rsidRPr="008B68A9">
        <w:t>as a discursive closure</w:t>
      </w:r>
      <w:r w:rsidRPr="008B68A9">
        <w:t xml:space="preserve">. Positive binary orientation </w:t>
      </w:r>
      <w:r w:rsidR="00890918" w:rsidRPr="008B68A9">
        <w:t>was</w:t>
      </w:r>
      <w:r w:rsidRPr="008B68A9">
        <w:t xml:space="preserve"> represented where narrative </w:t>
      </w:r>
      <w:r w:rsidR="00890918" w:rsidRPr="008B68A9">
        <w:t>was</w:t>
      </w:r>
      <w:r w:rsidRPr="008B68A9">
        <w:t xml:space="preserve"> wholly supportive of personalisation, and </w:t>
      </w:r>
      <w:r w:rsidR="00890918" w:rsidRPr="008B68A9">
        <w:t>was</w:t>
      </w:r>
      <w:r w:rsidRPr="008B68A9">
        <w:t xml:space="preserve"> seen in many budget recipients’ narratives. The change in narrative journey to progressive trajectory, a positive orientation to personalisation, is </w:t>
      </w:r>
      <w:r w:rsidR="00890918" w:rsidRPr="008B68A9">
        <w:t xml:space="preserve">perhaps </w:t>
      </w:r>
      <w:r w:rsidRPr="008B68A9">
        <w:t xml:space="preserve">inevitable according to Gergen and Gergen (1983). Likewise, a negative binary orientation might be expected when a professional’s traditional authority and decision making is challenged. In </w:t>
      </w:r>
      <w:r w:rsidR="00890918" w:rsidRPr="008B68A9">
        <w:t>a</w:t>
      </w:r>
      <w:r w:rsidRPr="008B68A9">
        <w:t xml:space="preserve"> context of story-lines and tropes, the work of binary orientation goes beyond good or bad experiences; instead, binary orientation serves as</w:t>
      </w:r>
      <w:r w:rsidR="00890918" w:rsidRPr="008B68A9">
        <w:t xml:space="preserve"> a kind of</w:t>
      </w:r>
      <w:r w:rsidRPr="008B68A9">
        <w:t xml:space="preserve"> super </w:t>
      </w:r>
      <w:r w:rsidR="00890918" w:rsidRPr="008B68A9">
        <w:t>Story-L</w:t>
      </w:r>
      <w:r w:rsidR="009A7254" w:rsidRPr="008B68A9">
        <w:t>ine</w:t>
      </w:r>
      <w:r w:rsidRPr="008B68A9">
        <w:t xml:space="preserve">, irrefutable and undeniable evidence of the worth or danger of personalisation. </w:t>
      </w:r>
    </w:p>
    <w:p w14:paraId="6E7AFEF3" w14:textId="14D4B7D8" w:rsidR="006C7B37" w:rsidRPr="008B68A9" w:rsidRDefault="006C7B37" w:rsidP="006C7B37">
      <w:pPr>
        <w:pStyle w:val="3L3header"/>
      </w:pPr>
      <w:bookmarkStart w:id="346" w:name="_Toc413607870"/>
      <w:bookmarkStart w:id="347" w:name="_Toc413827504"/>
      <w:bookmarkStart w:id="348" w:name="_Toc466800402"/>
      <w:r w:rsidRPr="008B68A9">
        <w:t>6.</w:t>
      </w:r>
      <w:r w:rsidR="00097073" w:rsidRPr="008B68A9">
        <w:t>12</w:t>
      </w:r>
      <w:r w:rsidRPr="008B68A9">
        <w:t>.1 Positive binary orientation</w:t>
      </w:r>
      <w:bookmarkEnd w:id="346"/>
      <w:bookmarkEnd w:id="347"/>
      <w:bookmarkEnd w:id="348"/>
    </w:p>
    <w:p w14:paraId="7F939ABF" w14:textId="3EE66A7D" w:rsidR="006C7B37" w:rsidRPr="008B68A9" w:rsidRDefault="006C7B37" w:rsidP="002F0FD7">
      <w:pPr>
        <w:pStyle w:val="5arangedleft"/>
      </w:pPr>
      <w:r w:rsidRPr="008B68A9">
        <w:t xml:space="preserve">Paul’s experience of individual budgets enabled </w:t>
      </w:r>
      <w:r w:rsidR="00822728" w:rsidRPr="008B68A9">
        <w:t>him</w:t>
      </w:r>
      <w:r w:rsidRPr="008B68A9">
        <w:t xml:space="preserve"> space to set himself a new direction demonstrated through his u</w:t>
      </w:r>
      <w:r w:rsidR="00822728" w:rsidRPr="008B68A9">
        <w:t>narguable evidence of its merit.</w:t>
      </w:r>
      <w:r w:rsidRPr="008B68A9">
        <w:t xml:space="preserve"> </w:t>
      </w:r>
      <w:r w:rsidR="00822728" w:rsidRPr="008B68A9">
        <w:t xml:space="preserve">His orientation is binary and positive; </w:t>
      </w:r>
      <w:r w:rsidRPr="008B68A9">
        <w:t>the discussion is closed:</w:t>
      </w:r>
    </w:p>
    <w:p w14:paraId="5CA495EF" w14:textId="77777777" w:rsidR="006C7B37" w:rsidRPr="008B68A9" w:rsidRDefault="006C7B37" w:rsidP="002F0FD7">
      <w:pPr>
        <w:pStyle w:val="6bblockquoteitalic"/>
      </w:pPr>
      <w:r w:rsidRPr="008B68A9">
        <w:t>At the last Consultant’s appointment, before I got my SDS funding, I told my psychiatrist that I felt like I was lost in a black hole. At my last review I was able to tell him how things had changed and that I’m happy now.</w:t>
      </w:r>
    </w:p>
    <w:p w14:paraId="3118D81A" w14:textId="77777777" w:rsidR="006C7B37" w:rsidRPr="008B68A9" w:rsidRDefault="006C7B37" w:rsidP="002F0FD7">
      <w:pPr>
        <w:pStyle w:val="5arangedleft"/>
      </w:pPr>
      <w:r w:rsidRPr="008B68A9">
        <w:t>Binary statements unambiguously position the narrator’s orientation towards personalisation. Marcus uses a story about a story creating binary positive narrative – how a personal budget overcame distress and lost years:</w:t>
      </w:r>
    </w:p>
    <w:p w14:paraId="212734F7" w14:textId="77777777" w:rsidR="006C7B37" w:rsidRPr="008B68A9" w:rsidRDefault="006C7B37" w:rsidP="002F0FD7">
      <w:pPr>
        <w:pStyle w:val="6bblockquoteitalic"/>
      </w:pPr>
      <w:r w:rsidRPr="008B68A9">
        <w:t>…this guy didn’t feel particularly worthy of receiving a laptop we simply said well you know, no amount of money can replace the last two years of your life that have been lost through mental health and this is just an addition, and additional resource for us to use such as medication and talking therapies.</w:t>
      </w:r>
    </w:p>
    <w:p w14:paraId="7827A133" w14:textId="235EC296" w:rsidR="006C7B37" w:rsidRPr="008B68A9" w:rsidRDefault="006C7B37" w:rsidP="006C7B37">
      <w:pPr>
        <w:pStyle w:val="3L3header"/>
      </w:pPr>
      <w:bookmarkStart w:id="349" w:name="_Toc413607871"/>
      <w:bookmarkStart w:id="350" w:name="_Toc413827505"/>
      <w:bookmarkStart w:id="351" w:name="_Toc466800403"/>
      <w:r w:rsidRPr="008B68A9">
        <w:t>6.</w:t>
      </w:r>
      <w:r w:rsidR="00097073" w:rsidRPr="008B68A9">
        <w:t>12</w:t>
      </w:r>
      <w:r w:rsidRPr="008B68A9">
        <w:t>.2 Negative binary orientation</w:t>
      </w:r>
      <w:bookmarkEnd w:id="349"/>
      <w:bookmarkEnd w:id="350"/>
      <w:bookmarkEnd w:id="351"/>
    </w:p>
    <w:p w14:paraId="23600795" w14:textId="77777777" w:rsidR="006C7B37" w:rsidRPr="008B68A9" w:rsidRDefault="006C7B37" w:rsidP="002F0FD7">
      <w:pPr>
        <w:pStyle w:val="5arangedleft"/>
      </w:pPr>
      <w:r w:rsidRPr="008B68A9">
        <w:t>Negative binary orientation achieves discursive closure in the same way, revealing an orientation towards personalisation that is unamenable to change. Here Colin demonstrates his binary opposition to personal budgets:</w:t>
      </w:r>
    </w:p>
    <w:p w14:paraId="360FA1E4" w14:textId="77777777" w:rsidR="006C7B37" w:rsidRPr="008B68A9" w:rsidRDefault="006C7B37" w:rsidP="002F0FD7">
      <w:pPr>
        <w:pStyle w:val="6bblockquoteitalic"/>
      </w:pPr>
      <w:r w:rsidRPr="008B68A9">
        <w:lastRenderedPageBreak/>
        <w:t>… my first information was the recovery half day when people were shown a film of people having holidays in Tunisia paid for by the council and I’d watched all the service users go “woooh”. People would know you, people… like poor people, suddenly think ‘oh we’ll get a holiday’… I think, to suggest that working with people as individuals was some new concept that they’d thought up. It was a bit insulting really… The local authority needs to learn not to undermine professionals. I think putting on blogs and going to the public and saying… basically setting professionals up as the impediment or the negative has been… has made this thing harder than it needed to be.</w:t>
      </w:r>
    </w:p>
    <w:p w14:paraId="10C27B9A" w14:textId="7F108D4D" w:rsidR="006C7B37" w:rsidRPr="008B68A9" w:rsidRDefault="006C7B37" w:rsidP="002F0FD7">
      <w:pPr>
        <w:pStyle w:val="5arangedleft"/>
      </w:pPr>
      <w:r w:rsidRPr="008B68A9">
        <w:t xml:space="preserve">Colin’s binary orientation towards personalisation as a health worker locates him against the local authority, as he achieves a discursive closure to personalisation through his story-lines. For him, self-determination may work in social care and should remain there, whilst mental health teams support people with greater needs. Holidays, occupation, relationships and community connecting benefit </w:t>
      </w:r>
      <w:r w:rsidR="000D68D0" w:rsidRPr="008B68A9">
        <w:t>everyone</w:t>
      </w:r>
      <w:r w:rsidRPr="008B68A9">
        <w:t>. , Colin</w:t>
      </w:r>
      <w:r w:rsidR="003B6BDA" w:rsidRPr="008B68A9">
        <w:t xml:space="preserve"> </w:t>
      </w:r>
      <w:r w:rsidR="000D68D0" w:rsidRPr="008B68A9">
        <w:t xml:space="preserve">narrative </w:t>
      </w:r>
      <w:r w:rsidR="003B6BDA" w:rsidRPr="008B68A9">
        <w:t>contest</w:t>
      </w:r>
      <w:r w:rsidR="000D68D0" w:rsidRPr="008B68A9">
        <w:t>s</w:t>
      </w:r>
      <w:r w:rsidR="003B6BDA" w:rsidRPr="008B68A9">
        <w:t xml:space="preserve"> Glasby’s (2014) </w:t>
      </w:r>
      <w:r w:rsidRPr="008B68A9">
        <w:t>claim that professionals who do not adhere to the new script of personalised services, at risk of being branded heretics. It appear</w:t>
      </w:r>
      <w:r w:rsidR="000D68D0" w:rsidRPr="008B68A9">
        <w:t>s</w:t>
      </w:r>
      <w:r w:rsidRPr="008B68A9">
        <w:t xml:space="preserve"> that Colin’s speech acts are questioning the convention of warrant and permissions of voice of the local authority to decide on the health work he undertakes. It is interesting that the speech act uses a collective term of </w:t>
      </w:r>
      <w:r w:rsidRPr="008B68A9">
        <w:rPr>
          <w:i/>
        </w:rPr>
        <w:t>they’d,</w:t>
      </w:r>
      <w:r w:rsidRPr="008B68A9">
        <w:t xml:space="preserve"> separate from his personal identity, speaking within a group – to a group, perhaps creating a distance from his speech or possibly seeking confirmation from colleagues.</w:t>
      </w:r>
    </w:p>
    <w:p w14:paraId="100C7946" w14:textId="364E0E5B" w:rsidR="006C7B37" w:rsidRPr="008B68A9" w:rsidRDefault="006C7B37" w:rsidP="006C7B37">
      <w:pPr>
        <w:pStyle w:val="2L2header"/>
      </w:pPr>
      <w:bookmarkStart w:id="352" w:name="_Toc413607872"/>
      <w:bookmarkStart w:id="353" w:name="_Toc413827506"/>
      <w:bookmarkStart w:id="354" w:name="_Toc466800404"/>
      <w:r w:rsidRPr="008B68A9">
        <w:t>6.</w:t>
      </w:r>
      <w:r w:rsidR="00097073" w:rsidRPr="008B68A9">
        <w:t>13</w:t>
      </w:r>
      <w:r w:rsidRPr="008B68A9">
        <w:t xml:space="preserve"> Conclusion</w:t>
      </w:r>
      <w:bookmarkEnd w:id="352"/>
      <w:bookmarkEnd w:id="353"/>
      <w:bookmarkEnd w:id="354"/>
    </w:p>
    <w:p w14:paraId="499519FE" w14:textId="527920C5" w:rsidR="006C7B37" w:rsidRPr="008B68A9" w:rsidRDefault="006C7B37" w:rsidP="002F0FD7">
      <w:pPr>
        <w:pStyle w:val="5arangedleft"/>
      </w:pPr>
      <w:r w:rsidRPr="008B68A9">
        <w:t xml:space="preserve">These stories were told through the narrative journeys of actors who received and worked with individual budgets. Their constructions represent </w:t>
      </w:r>
      <w:r w:rsidR="00822728" w:rsidRPr="008B68A9">
        <w:t>progressive</w:t>
      </w:r>
      <w:r w:rsidRPr="008B68A9">
        <w:t xml:space="preserve"> narrative trajectories produced through positioning, identity work, </w:t>
      </w:r>
      <w:r w:rsidR="009A7254" w:rsidRPr="008B68A9">
        <w:t>story-line</w:t>
      </w:r>
      <w:r w:rsidRPr="008B68A9">
        <w:t xml:space="preserve"> and warrants of convention. Through a discourse of professional power and user self-determination, mediated through brokerage function, budget users </w:t>
      </w:r>
      <w:r w:rsidR="00822728" w:rsidRPr="008B68A9">
        <w:t>showed</w:t>
      </w:r>
      <w:r w:rsidRPr="008B68A9">
        <w:t xml:space="preserve"> the impact of personal budgets</w:t>
      </w:r>
      <w:r w:rsidR="00822728" w:rsidRPr="008B68A9">
        <w:t xml:space="preserve"> had</w:t>
      </w:r>
      <w:r w:rsidRPr="008B68A9">
        <w:t xml:space="preserve"> on their lives and how brokers’ dramatic engagement </w:t>
      </w:r>
      <w:r w:rsidR="00822728" w:rsidRPr="008B68A9">
        <w:t>helped to shape</w:t>
      </w:r>
      <w:r w:rsidRPr="008B68A9">
        <w:t xml:space="preserve"> their narrative trajectories. </w:t>
      </w:r>
    </w:p>
    <w:p w14:paraId="7812FB83" w14:textId="1D20DC3B" w:rsidR="006C7B37" w:rsidRPr="008B68A9" w:rsidRDefault="00822728" w:rsidP="002F0FD7">
      <w:pPr>
        <w:pStyle w:val="5arangedleft"/>
      </w:pPr>
      <w:r w:rsidRPr="008B68A9">
        <w:t>This thesis</w:t>
      </w:r>
      <w:r w:rsidR="006C7B37" w:rsidRPr="008B68A9">
        <w:t xml:space="preserve"> confirms the findings of most </w:t>
      </w:r>
      <w:r w:rsidRPr="008B68A9">
        <w:t>personalisation</w:t>
      </w:r>
      <w:r w:rsidR="006C7B37" w:rsidRPr="008B68A9">
        <w:t xml:space="preserve"> studies </w:t>
      </w:r>
      <w:r w:rsidRPr="008B68A9">
        <w:t>of</w:t>
      </w:r>
      <w:r w:rsidR="006C7B37" w:rsidRPr="008B68A9">
        <w:t xml:space="preserve"> improved </w:t>
      </w:r>
      <w:r w:rsidRPr="008B68A9">
        <w:t xml:space="preserve">client </w:t>
      </w:r>
      <w:r w:rsidR="006C7B37" w:rsidRPr="008B68A9">
        <w:t xml:space="preserve">satisfaction </w:t>
      </w:r>
      <w:r w:rsidRPr="008B68A9">
        <w:t>from</w:t>
      </w:r>
      <w:r w:rsidR="006C7B37" w:rsidRPr="008B68A9">
        <w:t xml:space="preserve"> personal budgets. However, </w:t>
      </w:r>
      <w:r w:rsidRPr="008B68A9">
        <w:t>I also suggest</w:t>
      </w:r>
      <w:r w:rsidR="006C7B37" w:rsidRPr="008B68A9">
        <w:t xml:space="preserve"> that perceptions of improved health, personal direction and increased connectedness to immediate family and wider community were achieved through individual budgets. Brokers were </w:t>
      </w:r>
      <w:r w:rsidRPr="008B68A9">
        <w:lastRenderedPageBreak/>
        <w:t>seen</w:t>
      </w:r>
      <w:r w:rsidR="006C7B37" w:rsidRPr="008B68A9">
        <w:t xml:space="preserve"> to hold a pivotal role facilitating successful personalisation, positioning themselves as facilitator supporting planning with budget recipients, whilst simultaneously and deliberately working with professionals to achieve support plan goals.</w:t>
      </w:r>
    </w:p>
    <w:p w14:paraId="0B47D36B" w14:textId="4E51593E" w:rsidR="006C7B37" w:rsidRPr="008B68A9" w:rsidRDefault="006C7B37" w:rsidP="002F0FD7">
      <w:pPr>
        <w:pStyle w:val="5arangedleft"/>
      </w:pPr>
      <w:r w:rsidRPr="008B68A9">
        <w:t xml:space="preserve">Personalisation challenges traditional mental health services by promoting </w:t>
      </w:r>
      <w:r w:rsidR="00371B44" w:rsidRPr="008B68A9">
        <w:t>co-production</w:t>
      </w:r>
      <w:r w:rsidRPr="008B68A9">
        <w:t xml:space="preserve"> and shared decision making with users, in ways that go beyond notional person centred approaches. </w:t>
      </w:r>
      <w:r w:rsidR="00822728" w:rsidRPr="008B68A9">
        <w:t>R</w:t>
      </w:r>
      <w:r w:rsidRPr="008B68A9">
        <w:t xml:space="preserve">ecovery approaches and person centred thinking are </w:t>
      </w:r>
      <w:r w:rsidR="00822728" w:rsidRPr="008B68A9">
        <w:t xml:space="preserve">nominally </w:t>
      </w:r>
      <w:r w:rsidRPr="008B68A9">
        <w:t xml:space="preserve">prescribed in mental health services, (DH Chief Nursing Officer’s Review 2006, Alakeson and Perkins 2012), though limits of acceptable demands and conventions of warrant </w:t>
      </w:r>
      <w:r w:rsidR="00822728" w:rsidRPr="008B68A9">
        <w:t xml:space="preserve">appear to </w:t>
      </w:r>
      <w:r w:rsidRPr="008B68A9">
        <w:t xml:space="preserve">preclude service users from becoming full partners in planning and service delivery. The consequences for staff </w:t>
      </w:r>
      <w:r w:rsidR="00822728" w:rsidRPr="008B68A9">
        <w:t>means</w:t>
      </w:r>
      <w:r w:rsidRPr="008B68A9">
        <w:t xml:space="preserve"> </w:t>
      </w:r>
      <w:r w:rsidR="00822728" w:rsidRPr="008B68A9">
        <w:t>that personalisation represents</w:t>
      </w:r>
      <w:r w:rsidRPr="008B68A9">
        <w:t xml:space="preserve"> a </w:t>
      </w:r>
      <w:r w:rsidR="00822728" w:rsidRPr="008B68A9">
        <w:t>challenge</w:t>
      </w:r>
      <w:r w:rsidRPr="008B68A9">
        <w:t xml:space="preserve"> to their authority, their worth and relative professional identities. Story</w:t>
      </w:r>
      <w:r w:rsidR="009A7254" w:rsidRPr="008B68A9">
        <w:t>-</w:t>
      </w:r>
      <w:r w:rsidRPr="008B68A9">
        <w:t xml:space="preserve">lines </w:t>
      </w:r>
      <w:r w:rsidR="00822728" w:rsidRPr="008B68A9">
        <w:t>developed into</w:t>
      </w:r>
      <w:r w:rsidRPr="008B68A9">
        <w:t xml:space="preserve"> tropes of risk, acceptance of fixed service offer and binary negative construction, and the juxtaposition between budget users’ understanding of service delivery and those of professionals. There was evidence of professionals’ negative contingent narrative, revealed by their conventions of warrant precluding the voice of budget holders in favour of professionally determined needs assessment. The following chapter will synthesise the framework of orientation, highlighting the tensions and dilemmas for services providers, and offers suggestions for potential routes to facilitating personal budgets in health and social mental health.</w:t>
      </w:r>
    </w:p>
    <w:p w14:paraId="5D86690A" w14:textId="77777777" w:rsidR="006C7B37" w:rsidRPr="008B68A9" w:rsidRDefault="006C7B37" w:rsidP="002F0FD7">
      <w:pPr>
        <w:pStyle w:val="5arangedleft"/>
        <w:sectPr w:rsidR="006C7B37" w:rsidRPr="008B68A9" w:rsidSect="003C39F8">
          <w:pgSz w:w="11906" w:h="16838"/>
          <w:pgMar w:top="1440" w:right="1418" w:bottom="1440" w:left="2268" w:header="709" w:footer="709" w:gutter="0"/>
          <w:cols w:space="708"/>
          <w:docGrid w:linePitch="360"/>
        </w:sectPr>
      </w:pPr>
    </w:p>
    <w:p w14:paraId="67066E06" w14:textId="77777777" w:rsidR="00C3070E" w:rsidRPr="008B68A9" w:rsidRDefault="00C3070E" w:rsidP="00C3070E">
      <w:pPr>
        <w:pStyle w:val="1L1header"/>
      </w:pPr>
      <w:bookmarkStart w:id="355" w:name="_Toc451185524"/>
      <w:bookmarkStart w:id="356" w:name="_Toc451311289"/>
      <w:bookmarkStart w:id="357" w:name="_Toc466800405"/>
      <w:r w:rsidRPr="008B68A9">
        <w:lastRenderedPageBreak/>
        <w:t>Chapter 7</w:t>
      </w:r>
      <w:bookmarkStart w:id="358" w:name="_Toc413607873"/>
      <w:bookmarkStart w:id="359" w:name="_Toc413827507"/>
      <w:r w:rsidRPr="008B68A9">
        <w:t xml:space="preserve">: </w:t>
      </w:r>
      <w:bookmarkEnd w:id="358"/>
      <w:bookmarkEnd w:id="359"/>
      <w:r w:rsidRPr="008B68A9">
        <w:t>Synthesis and discussion</w:t>
      </w:r>
      <w:bookmarkEnd w:id="355"/>
      <w:bookmarkEnd w:id="356"/>
      <w:bookmarkEnd w:id="357"/>
      <w:r w:rsidRPr="008B68A9">
        <w:t xml:space="preserve"> </w:t>
      </w:r>
    </w:p>
    <w:p w14:paraId="7CB7C85F" w14:textId="77777777" w:rsidR="00C3070E" w:rsidRPr="008B68A9" w:rsidRDefault="00C3070E" w:rsidP="00C3070E">
      <w:pPr>
        <w:pStyle w:val="2L2header"/>
      </w:pPr>
      <w:bookmarkStart w:id="360" w:name="_Toc451185525"/>
      <w:bookmarkStart w:id="361" w:name="_Toc451311290"/>
      <w:bookmarkStart w:id="362" w:name="_Toc466800406"/>
      <w:r w:rsidRPr="008B68A9">
        <w:t>7.0 Introduction</w:t>
      </w:r>
      <w:bookmarkEnd w:id="360"/>
      <w:bookmarkEnd w:id="361"/>
      <w:bookmarkEnd w:id="362"/>
    </w:p>
    <w:p w14:paraId="318EEFCE" w14:textId="77777777" w:rsidR="00C3070E" w:rsidRPr="008B68A9" w:rsidRDefault="00C3070E" w:rsidP="00C3070E">
      <w:pPr>
        <w:pStyle w:val="5arangedleft"/>
      </w:pPr>
      <w:r w:rsidRPr="008B68A9">
        <w:t xml:space="preserve">This chapter summarises the thesis drawing together salient themes and learning and serves to present the formative model of participant orientation towards personalisation. The chapter describes the model’s stages discussing narrative trajectory, positioning story-line and trope. From this, the chapter discusses the implications of personalisation for mental health service professionals and the policy implications arising from this study. The model and discussion are derived from a use of social constructionist narrative methodology (Gergen and Gergen 1986, Reissman 1993, 2008) which influenced my interpretation and analysis of rich data. </w:t>
      </w:r>
    </w:p>
    <w:p w14:paraId="53927F16" w14:textId="77777777" w:rsidR="00C3070E" w:rsidRPr="008B68A9" w:rsidRDefault="00C3070E" w:rsidP="00C3070E">
      <w:pPr>
        <w:pStyle w:val="5arangedleft"/>
      </w:pPr>
      <w:r w:rsidRPr="008B68A9">
        <w:t>Conventions of warrant (Gergen 1989) and the legitimacy of voice are discussed in the context of ‘institutionalised use of language’ (Davies &amp; Harré 1990 p. 45), as personalisation challenges existing structures of mental health service workers’ interactions. Issues of conventions of warranted voice in the context of the professional worker’s identity are viewed through values based practice (</w:t>
      </w:r>
      <w:r w:rsidRPr="008B68A9">
        <w:rPr>
          <w:rFonts w:eastAsia="Arial" w:cs="Arial"/>
        </w:rPr>
        <w:t>Woodbridge &amp; Fullford 2005).</w:t>
      </w:r>
    </w:p>
    <w:p w14:paraId="3622533F" w14:textId="77777777" w:rsidR="00C3070E" w:rsidRPr="008B68A9" w:rsidRDefault="00C3070E" w:rsidP="00C3070E">
      <w:pPr>
        <w:pStyle w:val="5arangedleft"/>
      </w:pPr>
      <w:r w:rsidRPr="008B68A9">
        <w:t xml:space="preserve">Positioning theory (Harré and Van Langenhove 1999) is used to explore interactions between brokers and budget users, and also those between brokers and professionals which provide a basis to argue for independent brokerage between professional workers and budget users. The deliberative actions used by brokers to enhance the likely success of personalisation highlights illocutionary forces (Harré and Langenhove 1999) in terms of accepted action between mental health users and professionals. From my use of positioning, story-line is developed, with resultant tropes as a means to articulate and understand the actor’s discursive closures of personalisation. </w:t>
      </w:r>
    </w:p>
    <w:p w14:paraId="5DE07313" w14:textId="77777777" w:rsidR="00C3070E" w:rsidRPr="008B68A9" w:rsidRDefault="00C3070E" w:rsidP="00C3070E">
      <w:pPr>
        <w:pStyle w:val="5arangedleft"/>
      </w:pPr>
      <w:r w:rsidRPr="008B68A9">
        <w:t xml:space="preserve">The chapter contextualises personalisation policy and literature, concluding that the challenge of self-determination and increased autonomy for people using mental health services will not necessarily be achieved through policy push alone. An </w:t>
      </w:r>
      <w:r w:rsidRPr="008B68A9">
        <w:lastRenderedPageBreak/>
        <w:t>appreciation of the potential that independent brokerage may have in personalisation is argued and finally, the chapter makes the claim that nuanced personalisation construction, as opposed to binary constructions is proposed. The value of the proposed orientation framework as a guide to support reflective and educational activity promoting personalisation in mental health is argued.</w:t>
      </w:r>
    </w:p>
    <w:p w14:paraId="06AB7BEB" w14:textId="77777777" w:rsidR="00C3070E" w:rsidRPr="008B68A9" w:rsidRDefault="00C3070E" w:rsidP="00C3070E">
      <w:pPr>
        <w:pStyle w:val="2L2header"/>
      </w:pPr>
      <w:bookmarkStart w:id="363" w:name="_Toc413607891"/>
      <w:bookmarkStart w:id="364" w:name="_Toc413827525"/>
      <w:bookmarkStart w:id="365" w:name="_Toc451185526"/>
      <w:bookmarkStart w:id="366" w:name="_Toc451311291"/>
      <w:bookmarkStart w:id="367" w:name="_Toc466800407"/>
      <w:r w:rsidRPr="008B68A9">
        <w:t xml:space="preserve">7.1 Narrative trajectories, contingent narrative </w:t>
      </w:r>
      <w:bookmarkEnd w:id="363"/>
      <w:bookmarkEnd w:id="364"/>
      <w:r w:rsidRPr="008B68A9">
        <w:t xml:space="preserve">and warrants </w:t>
      </w:r>
      <w:bookmarkEnd w:id="365"/>
      <w:bookmarkEnd w:id="366"/>
      <w:r w:rsidRPr="008B68A9">
        <w:t>of convention</w:t>
      </w:r>
      <w:bookmarkEnd w:id="367"/>
    </w:p>
    <w:p w14:paraId="7BBD9BF1" w14:textId="77777777" w:rsidR="00C3070E" w:rsidRPr="008B68A9" w:rsidRDefault="00C3070E" w:rsidP="00C3070E">
      <w:pPr>
        <w:pStyle w:val="5arangedleft"/>
      </w:pPr>
      <w:r w:rsidRPr="008B68A9">
        <w:t xml:space="preserve">This thesis suggests that user’s narrative trajectories changed from regressive to progressive trajectories as a result of receiving individual budgets. Literature suggests that personalisation results in greater user satisfaction, for example, Glendinning </w:t>
      </w:r>
      <w:r w:rsidRPr="008B68A9">
        <w:rPr>
          <w:i/>
        </w:rPr>
        <w:t>et al.</w:t>
      </w:r>
      <w:r w:rsidRPr="008B68A9">
        <w:t xml:space="preserve"> (2008) Forder </w:t>
      </w:r>
      <w:r w:rsidRPr="008B68A9">
        <w:rPr>
          <w:i/>
        </w:rPr>
        <w:t>et al.</w:t>
      </w:r>
      <w:r w:rsidRPr="008B68A9">
        <w:t xml:space="preserve"> (2012) TLAP (2014). However, my study shows a richness in user stories identifying positive life changes beyond simple satisfaction. Users were not just satisfied; they reported a greater sense of life direction, developing recovery, of feeling physically better, and a sense of being more connected with their communities. This study’s findings demonstrate personal change in the lives of people with mental health problems receiving the budgets in ways not seen previously in the literature. </w:t>
      </w:r>
      <w:bookmarkStart w:id="368" w:name="_Toc413607898"/>
      <w:bookmarkStart w:id="369" w:name="_Toc413827532"/>
      <w:bookmarkStart w:id="370" w:name="_Toc413607892"/>
      <w:bookmarkStart w:id="371" w:name="_Toc413827526"/>
    </w:p>
    <w:p w14:paraId="341467E2" w14:textId="77777777" w:rsidR="00C3070E" w:rsidRPr="008B68A9" w:rsidRDefault="00C3070E" w:rsidP="00C3070E">
      <w:pPr>
        <w:pStyle w:val="5arangedleft"/>
      </w:pPr>
      <w:r w:rsidRPr="008B68A9">
        <w:t xml:space="preserve">Personalisation in mental health is different to other service users groups for whom individual budgets have been implemented. The socially constructed nature of mental health and distress, combined with users’ fluctuating dysregulation, creates a unique landscape for professionals to negotiate. The role challenges, particularly for nurses and social workers are great, particularly as Stacey </w:t>
      </w:r>
      <w:r w:rsidRPr="008B68A9">
        <w:rPr>
          <w:i/>
        </w:rPr>
        <w:t>et al.</w:t>
      </w:r>
      <w:r w:rsidRPr="008B68A9">
        <w:t xml:space="preserve"> (2016) highlights, these professionals spend the most time with clients. Nurses construct their function as enforcers of care decisions; yet simultaneously achieve a separation from those decisions which adds to the complexity of mental health work. The work of mental health nurses in this uncertain environment requires a sophistication of thought and action occupying a grey practice space outside of certainty. Personalisation requires moving from a focus of fixing the person, to instead, as Cutcliffe (2008), states being prepared to listen and work with users on their terms. Mental health nurses are necessarily forced to confront their values of upholding human rights and autonomy, </w:t>
      </w:r>
      <w:r w:rsidRPr="008B68A9">
        <w:lastRenderedPageBreak/>
        <w:t>yet at times forcibly detain or compel others to concord to prescribed treatments. Social workers, too, face similar role conflicts where statutory duties or safeguarding necessitate their intervention over ethical or human considerations; with profound consequences for individuals, families and communities (Lymbery 2011).</w:t>
      </w:r>
    </w:p>
    <w:p w14:paraId="0DE22258" w14:textId="77777777" w:rsidR="00C3070E" w:rsidRPr="008B68A9" w:rsidRDefault="00C3070E" w:rsidP="00C3070E">
      <w:pPr>
        <w:pStyle w:val="5arangedleft"/>
      </w:pPr>
      <w:r w:rsidRPr="008B68A9">
        <w:t xml:space="preserve">The tension between care and control articulated by Cutcliffe (2008) has become a trope for the therapeutic nature of mental health nurse relationships over recent years (Barker and Buchanan-Barker 2005). Also the trope is seen in relation to therapeutic alliances (Simpson </w:t>
      </w:r>
      <w:r w:rsidRPr="008B68A9">
        <w:rPr>
          <w:i/>
        </w:rPr>
        <w:t>et al.</w:t>
      </w:r>
      <w:r w:rsidRPr="008B68A9">
        <w:t xml:space="preserve"> 2003b), and is evident too in respect to nursing’s role in conflict and containment demonstrated in Bowers (2014) Safewards study. The tension between partnership and control in mental health delivery continues to influence professional decision making, and the ability to successfully reconcile and navigate that space is perhaps at the heart of personalisation’s problem for mental health. </w:t>
      </w:r>
    </w:p>
    <w:p w14:paraId="374C4A42" w14:textId="77777777" w:rsidR="00C3070E" w:rsidRPr="008B68A9" w:rsidRDefault="00C3070E" w:rsidP="00C3070E">
      <w:pPr>
        <w:pStyle w:val="5arangedleft"/>
      </w:pPr>
      <w:r w:rsidRPr="008B68A9">
        <w:t>Both positions of co-production and care are at times correct and at other times in other circumstances inappropriate. Judgements of users’ capacity are mediated through professional decision making and legislative guidelines as well as by individual circumstance. We should expect therefore to see mental health professionals skilled in navigating the often difficult path between facilitating user autonomy and exercising care and containment in the user’s best interests. My study suggests that whilst some practitioners did show high levels of skill in creating nuanced Story-Lines, working flexibly with personalisation, others revealed a need to maintain control and not ceding power to users.</w:t>
      </w:r>
    </w:p>
    <w:p w14:paraId="04C999FA" w14:textId="77777777" w:rsidR="00C3070E" w:rsidRPr="008B68A9" w:rsidRDefault="00C3070E" w:rsidP="00C3070E">
      <w:pPr>
        <w:pStyle w:val="5arangedleft"/>
      </w:pPr>
      <w:r w:rsidRPr="008B68A9">
        <w:t xml:space="preserve">In the budget users’ contingent narratives, they showed a gratitude for their budgets whilst simultaneously creating a narrative of not deserving the opportunities their budget represented. For some users the interest and attention in their stories during support planning processes was difficult. Their accounts of not being worthy, or of others being more needy or more deserving than they were, to an extent also reported in Hamilton </w:t>
      </w:r>
      <w:r w:rsidRPr="008B68A9">
        <w:rPr>
          <w:i/>
        </w:rPr>
        <w:t>et al.</w:t>
      </w:r>
      <w:r w:rsidRPr="008B68A9">
        <w:t xml:space="preserve"> (2015c), was a common theme. The budget users’ self-deprecation narrative suggests humility and represents social obligations of reciprocity written about by Larkin and Mitchell (2016) in the context of receiving </w:t>
      </w:r>
      <w:r w:rsidRPr="008B68A9">
        <w:lastRenderedPageBreak/>
        <w:t>care. Having others’ time or being subject to charitable acts was for some in my study difficult. However, in terms of socially constructed identity, what might be called obligation behaviour, in the debt of others, does not reflect the autonomous self-directing individual that personalisation principles call for. .</w:t>
      </w:r>
    </w:p>
    <w:p w14:paraId="4524B0AF" w14:textId="77777777" w:rsidR="00C3070E" w:rsidRPr="008B68A9" w:rsidRDefault="00C3070E" w:rsidP="00C3070E">
      <w:pPr>
        <w:pStyle w:val="5arangedleft"/>
      </w:pPr>
      <w:r w:rsidRPr="008B68A9">
        <w:t xml:space="preserve">Professionals did not recount contingent narratives in the same way as users did; professionals produced constructs of culpability or accountability for the difficulties users faced. Most professionals applied conventions of warrant, or rather conditional conditions of warrant in their interactions with budget users. By this I mean that when decisions made by the budget applicants conformed to the professional’s notion of what might be helpful for them, the budget user’s voice was permitted. However, where budget users’ decisions were not, such as attempting to use the budget to purchase a car, a range of restrictions on the validity of voice were variously applied by professionals. Contingent narrative from the staff group were also clearly observed in their questioning the deservedness or appropriateness of the budget applications. Professionals’ constructions of blame were not directly spoken to budget users, as such would conflict with professional codes of conduct (NMC 2015), but were set in the wider context of austerity, public scrutiny and the proper use of public monies; professionals claimed others had a more legitimate claim to resources. </w:t>
      </w:r>
    </w:p>
    <w:p w14:paraId="2B9B1180" w14:textId="77777777" w:rsidR="00C3070E" w:rsidRPr="008B68A9" w:rsidRDefault="00C3070E" w:rsidP="00C3070E">
      <w:pPr>
        <w:pStyle w:val="5arangedleft"/>
      </w:pPr>
      <w:r w:rsidRPr="008B68A9">
        <w:t xml:space="preserve">Gergen’s (1989) convention of warrant provided a means to frame some of the professionals’ speech acts defining legitimacy of need, through their professionally authorised lens. Acts of warranted voice reinforced their clinical identity as psychiatric nurses, discounting the budget users’ expressed need as social care therefore not within the remit of psychiatric nursing. Hamilton </w:t>
      </w:r>
      <w:r w:rsidRPr="008B68A9">
        <w:rPr>
          <w:i/>
        </w:rPr>
        <w:t>et al.</w:t>
      </w:r>
      <w:r w:rsidRPr="008B68A9">
        <w:t xml:space="preserve"> (2015b) found that the separation of role identity as a response to personalisation arose in mental health. Social workers created lines of identity separation similar to their community psychiatric nursing colleagues, prioritising medicalised mental health intervention over what was considered social care need. My study did not observe social workers adopting such clearly delineated clinical roles, although the narratives showed different professions prioritising the services’ stated task, such as substance misuse services or community mental health team over co-production and personalisation.</w:t>
      </w:r>
    </w:p>
    <w:p w14:paraId="76FB32DD" w14:textId="77777777" w:rsidR="00C3070E" w:rsidRPr="008B68A9" w:rsidRDefault="00C3070E" w:rsidP="00C3070E">
      <w:pPr>
        <w:pStyle w:val="5arangedleft"/>
      </w:pPr>
      <w:r w:rsidRPr="008B68A9">
        <w:lastRenderedPageBreak/>
        <w:t>For staff groups, the monies or goods received from the individual budget often became the primary focus. Holidays, horse riding lessons, gym membership and laptop computers were held up as illustrations of questionable uses of public monies, which in a climate of austerity and service retraction could have been better spent. Purchases of desirable items, in one instance a car from study site two, nurses and social workers perceived the expenditure as unnecessary, as a luxury or as dangerous item. Desirable items were reported by professionals as being based on want rather than a need. The car, for some practitioners, became their personalisation Story-Line, providing evidence of the irrationality of personalisation and an erosion of their professional expertise and identity.</w:t>
      </w:r>
    </w:p>
    <w:p w14:paraId="1DDB408C" w14:textId="77777777" w:rsidR="00C3070E" w:rsidRPr="008B68A9" w:rsidRDefault="00C3070E" w:rsidP="00C3070E">
      <w:pPr>
        <w:pStyle w:val="5arangedleft"/>
      </w:pPr>
      <w:r w:rsidRPr="008B68A9">
        <w:t>For the budget users and brokers, on the other hand, the purchases or acquisitions were an effective and straightforward means to meet identified outcomes from their support plans. Many of the identified outcomes were questioned by professionals, suggesting their power of warranted voice was challenged by personalisation. Even where staff did not express opposition, their narratives reduced the personalisation evaluation to that of a pilot, and therefore short-term. The additional funding represented an opportunity to access monies, whilst available, which suggests those participants may not have relinquished their warrant of professional voice. They appeared confident that, once the pilot had ended, so too would their engagement with personalisation.</w:t>
      </w:r>
    </w:p>
    <w:p w14:paraId="7F4802DD" w14:textId="3E736302" w:rsidR="00C3070E" w:rsidRPr="008B68A9" w:rsidRDefault="00C3070E" w:rsidP="00C3070E">
      <w:pPr>
        <w:pStyle w:val="5arangedleft"/>
      </w:pPr>
      <w:r w:rsidRPr="008B68A9">
        <w:t>The contingent narratives produced by the users’ demonstrates their own identities before and after personalisation. Their narratives suggest that the framework offered by Bury (2001), as well as that of Gergen and Gergen (1983), were applicable in this research group. Differences between professional participants and budget user constructions were marked as has been seen, as were those produced by the brokers as they created alliances and separation between actors, and it is to the social processes of positioning in the context of brokerage this chapter now turns.</w:t>
      </w:r>
    </w:p>
    <w:p w14:paraId="2FD4BF71" w14:textId="77777777" w:rsidR="00522EDE" w:rsidRPr="008B68A9" w:rsidRDefault="00522EDE" w:rsidP="00C3070E">
      <w:pPr>
        <w:pStyle w:val="5arangedleft"/>
      </w:pPr>
    </w:p>
    <w:p w14:paraId="08A2C77C" w14:textId="77777777" w:rsidR="00C3070E" w:rsidRPr="008B68A9" w:rsidRDefault="00C3070E" w:rsidP="00C3070E">
      <w:pPr>
        <w:pStyle w:val="2L2header"/>
      </w:pPr>
      <w:bookmarkStart w:id="372" w:name="_Toc451185527"/>
      <w:bookmarkStart w:id="373" w:name="_Toc451311292"/>
      <w:bookmarkStart w:id="374" w:name="_Toc466800408"/>
      <w:r w:rsidRPr="008B68A9">
        <w:lastRenderedPageBreak/>
        <w:t>7.2 Brokerage positioning and the conscious use of self</w:t>
      </w:r>
      <w:bookmarkEnd w:id="368"/>
      <w:bookmarkEnd w:id="369"/>
      <w:bookmarkEnd w:id="372"/>
      <w:bookmarkEnd w:id="373"/>
      <w:bookmarkEnd w:id="374"/>
    </w:p>
    <w:p w14:paraId="67CB8270" w14:textId="77777777" w:rsidR="00C3070E" w:rsidRPr="008B68A9" w:rsidRDefault="00C3070E" w:rsidP="00C3070E">
      <w:pPr>
        <w:pStyle w:val="5arangedleft"/>
      </w:pPr>
      <w:r w:rsidRPr="008B68A9">
        <w:t>My study suggests that the relationship between brokerage and successful support planning was central, and that this role was most effective when undertaken by a practitioner whose task was independent of nursing or social work responsibilities. Brokers reported how that by using support planning tools (Sanderson 2000) narrative trajectories of the budget became progressive ones. I recognise at this point that by suggesting that a form of independent brokerage is preferable to developing broker roles as part of nursing or social work function – as others have (DH 2006d, Scourfield 2010, Lymbery 2011) – the consequences that might arise have been cautioned against, for example Duffy and Fulton (2009). The skills and attributes brokerage roles demand could arguably have been undertaken by many professional care staff, as their function occasions activities such as help with identifying support options and potential providers, emancipatory functions, facilitating implementation and advocacy, and assisting the budget users navigate their preferred future (Skills for Care, 2009). However, given the demands placed upon statutory health and social services professionals combined with the story-line and tropes discussed in my study’s findings, it seems unlikely that the additional duties required by brokerage roles could be incorporated into nursing or social worker’s current roles.</w:t>
      </w:r>
    </w:p>
    <w:p w14:paraId="0557EAD7" w14:textId="77777777" w:rsidR="00C3070E" w:rsidRPr="008B68A9" w:rsidRDefault="00C3070E" w:rsidP="00C3070E">
      <w:pPr>
        <w:pStyle w:val="5arangedleft"/>
      </w:pPr>
      <w:r w:rsidRPr="008B68A9">
        <w:t xml:space="preserve">Lymbery (2014) is broadly supportive of social workers undertaking broker support planning roles, citing the Department of Health Green paper, </w:t>
      </w:r>
      <w:r w:rsidRPr="008B68A9">
        <w:rPr>
          <w:rStyle w:val="apple-converted-space"/>
          <w:i/>
        </w:rPr>
        <w:t>Independence, Wellbeing and Choice</w:t>
      </w:r>
      <w:r w:rsidRPr="008B68A9">
        <w:rPr>
          <w:rStyle w:val="apple-converted-space"/>
        </w:rPr>
        <w:t xml:space="preserve"> (DH 2005) to show that</w:t>
      </w:r>
      <w:r w:rsidRPr="008B68A9">
        <w:t xml:space="preserve"> the care navigator roles described by that paper might inform current practice replacing austerity led gatekeeping role functions; focusing instead on advocacy and brokerage. Lymbery (2014, p. 807) cites Duffy, who called upon social workers to act as advocates with clients and practice within a social justice framework upon which social work practice is based to be put into personalisation practice. However, by 2014 after many years of austerity and political changes Lymbery modified his expectation that brokerage should be fulfilled by social workers stating, “it is accepted that social work will have a continued role in safeguarding, the skilled assessments on which such work needs to be based do not appear to be routinely envisaged.” Leece and Leece (2011, p.207) state “whilst it initially appears that service brokerage has areas in common with social work, there </w:t>
      </w:r>
      <w:r w:rsidRPr="008B68A9">
        <w:lastRenderedPageBreak/>
        <w:t>are aspects that cause it to sit uneasily with the social work role.” They go on to acknowledge many who vigorously call for independent brokerage as a surer method to ensure the principles of self-determination become a reality.</w:t>
      </w:r>
    </w:p>
    <w:p w14:paraId="18D90004" w14:textId="77777777" w:rsidR="00C3070E" w:rsidRPr="008B68A9" w:rsidRDefault="00C3070E" w:rsidP="00C3070E">
      <w:pPr>
        <w:pStyle w:val="5arangedleft"/>
      </w:pPr>
      <w:r w:rsidRPr="008B68A9">
        <w:t xml:space="preserve">Dowson (2008) argued for brokerage that was independent of support providers, and their agencies to work with direct payment users on a contractual basis free from constraints of conflicting interests. This is similar to arrangements in the US where contractual employment of recovery coaches fulfil brokerage functions (Croft and Parish 2016). We see more recently the duality of fiscal gatekeeping and safeguarding roles identified by Hamilton </w:t>
      </w:r>
      <w:r w:rsidRPr="008B68A9">
        <w:rPr>
          <w:i/>
        </w:rPr>
        <w:t>et al.</w:t>
      </w:r>
      <w:r w:rsidRPr="008B68A9">
        <w:t xml:space="preserve"> (2015c), and the reluctance of some health and social care workers to relinquish professional dominance (Brookes </w:t>
      </w:r>
      <w:r w:rsidRPr="008B68A9">
        <w:rPr>
          <w:i/>
        </w:rPr>
        <w:t>et al.</w:t>
      </w:r>
      <w:r w:rsidRPr="008B68A9">
        <w:t xml:space="preserve"> 2013), suggesting that Dowson’s early observation may have been valid. However, many forms of brokerage exist, some as studies Australia such as Laragy and Ottmann (2011) found that the cost of brokerage, (around 10% of the overall budget), was one that was acceptable to some. Funding brokerage through such means would nevertheless reduce the overall available budget to meet identified needs. </w:t>
      </w:r>
    </w:p>
    <w:p w14:paraId="57E25EFC" w14:textId="77777777" w:rsidR="00C3070E" w:rsidRPr="008B68A9" w:rsidRDefault="00C3070E" w:rsidP="00C3070E">
      <w:pPr>
        <w:pStyle w:val="5arangedleft"/>
      </w:pPr>
      <w:r w:rsidRPr="008B68A9">
        <w:t>Gadsby’s (2013) review suggests that some individual budget holders prefer using a known service professional to assist with support planning activities as a form of free brokerage, rather than diverting a part of their budget allocation. Leach’s (2015) notion of support brokerage was observed in my cohort where the brokers employed most of the skills she identifies. One might suggest that such skills are common to all forms of brokering, however the prominence role positioning had in my study shows that professional identity was constructed through socially created acts, where the brokers used a greater degree of independence and time sovereignty that would not be permissible to other staff. Brokers shaped their identities for budget users, as broker-advocate and as broker-facilitators, and with professionals as agents on behalf of users; this is something that professionals in health and social care have attempted, though always with a potential for conflict of interest.</w:t>
      </w:r>
    </w:p>
    <w:p w14:paraId="2262D8F8" w14:textId="77777777" w:rsidR="00C3070E" w:rsidRPr="008B68A9" w:rsidRDefault="00C3070E" w:rsidP="00C3070E">
      <w:pPr>
        <w:pStyle w:val="5arangedleft"/>
      </w:pPr>
      <w:r w:rsidRPr="008B68A9">
        <w:t xml:space="preserve">The broker’s positioning acts in my study suggests they intended to achieve positive attitudes towards personalisation from staff groups, though in an absence of such, their focus was to create positive outcomes for budget users. The broker’s identity </w:t>
      </w:r>
      <w:r w:rsidRPr="008B68A9">
        <w:lastRenderedPageBreak/>
        <w:t xml:space="preserve">work demonstrated a pragmatism, understanding that professionals’ non-person centred practice could be tolerated, allowing the potential for person centred practices to emerge as personalisation took root during the pilot. Pragmatism was also demonstrated by the brokers’ in relation to innovation and service lag; the time taken between policy announcement and implementation. This is not unheard of as the then chief executive of the Scottish Recovery Network (Bradstreet, 2012) stated that he was unconcerned if mental health services responded to recovery approach policy directives by simply changing the sign above their service to include the term recovery in their title, as they had at least taken a step towards recovery approaches. Brokers in this study employed advocacy identities with budget users, promoting the users’ self-determination as a right and as a legitimate pursuit to challenge traditional mental health warrants of convention. In doing so they positioned themselves as broker-advocates beyond limits that professional nurse or social worker roles would permit. </w:t>
      </w:r>
    </w:p>
    <w:p w14:paraId="452A5964" w14:textId="77777777" w:rsidR="00C3070E" w:rsidRPr="008B68A9" w:rsidRDefault="00C3070E" w:rsidP="00C3070E">
      <w:pPr>
        <w:pStyle w:val="5arangedleft"/>
      </w:pPr>
      <w:r w:rsidRPr="008B68A9">
        <w:t>Illocutionary forces described by Harré and Langenhove (1999) as ‘communication strategies’ involving communicative action or specific words that create positions for those actors. In the context of broker/staff relationships, the brokers’ role was not without conflict: for some professionals, the broker represented a threat to their professional identities and their conventions of warrant. Positioning relies on the reciprocal nature of interactions where social forces act in a dynamic form with and on other actors. Brokers’ positioning was achieved through social acts as well as through physical proximity. In both cases the broker’s actions were deliberate, designed to facilitate positive outcomes for the budget users.</w:t>
      </w:r>
    </w:p>
    <w:p w14:paraId="04B42D1F" w14:textId="77777777" w:rsidR="00C3070E" w:rsidRPr="008B68A9" w:rsidRDefault="00C3070E" w:rsidP="00C3070E">
      <w:pPr>
        <w:pStyle w:val="5arangedleft"/>
      </w:pPr>
      <w:r w:rsidRPr="008B68A9">
        <w:t xml:space="preserve">Further examples of broker positioning strategies combined with illocutionary forces of permitted actions were observed in the narratives through the brokers’ use of propinquity and association. The broker in study site four responded to budget applications being rejected by the steering group/sign-off panel, (who were risk adverse to potentially negative publicity about budget acquisitions). The broker gave advanced notice to key members of the steering/sign-off panel relating to potentially difficult or sensitive budget requests. The advanced notice appeared to lessen the potential for the panel to reject those applications. Broker positioning here </w:t>
      </w:r>
      <w:r w:rsidRPr="008B68A9">
        <w:lastRenderedPageBreak/>
        <w:t xml:space="preserve">represented a conscious strategy to create positions with panel members, and overcome the group’s constructed bias towards risk avoidance. </w:t>
      </w:r>
    </w:p>
    <w:p w14:paraId="0F339EEF" w14:textId="77777777" w:rsidR="00C3070E" w:rsidRPr="008B68A9" w:rsidRDefault="00C3070E" w:rsidP="00C3070E">
      <w:pPr>
        <w:pStyle w:val="5arangedleft"/>
      </w:pPr>
      <w:r w:rsidRPr="008B68A9">
        <w:t>Part of the broker’s role following panel meetings was to report the panel’s decision to the budget applicants, which, when applications were rejected, represented a challenge to the broker and applicant relationship. The broker’s positioning acts with the steering/sign-off panels represents a strategy to lessen the likelihood of such an outcome, sustaining their role as broker-advocate. Broker actions such as pragmatic positioning preserved the budget applicant’s new identities of power and choice, whilst preserving acceptable identities for panel members. The broker’s propinquity and association action therefore reinforces a conclusion of the socially determined nature of personal budget processes.</w:t>
      </w:r>
    </w:p>
    <w:p w14:paraId="4A64F1CB" w14:textId="77777777" w:rsidR="00C3070E" w:rsidRPr="008B68A9" w:rsidRDefault="00C3070E" w:rsidP="00C3070E">
      <w:pPr>
        <w:pStyle w:val="5arangedleft"/>
      </w:pPr>
      <w:r w:rsidRPr="008B68A9">
        <w:t>Some professionals’ social acts, relational power and warrants of convention were seen to set those engaged in personalisation projects as separate from the real and proper focus of mental health. Even where tacit support for personalisation was seen through professionals’ narrative, the use of tropes excluded real change in the power dynamics in the services. This is not to say that power in mental health is necessarily oppressive (Bracken and Thomas 2005) and that mutually inclusive communicative acts cannot occur, but in the context of personalisation such communicative acts are an essential and crucial part of co-production (Needham and Carr 2012). By positioning their social actions as both broker-facilitator and as broker-advocate, brokers were reported to be unaccountable, as ‘not one of us’. The brokers were spoken of as acting in a capacity of advocate against the role and responsibilities of mental health teams.</w:t>
      </w:r>
    </w:p>
    <w:p w14:paraId="1D9CD0B7" w14:textId="77777777" w:rsidR="00C3070E" w:rsidRPr="008B68A9" w:rsidRDefault="00C3070E" w:rsidP="00C3070E">
      <w:pPr>
        <w:pStyle w:val="5arangedleft"/>
      </w:pPr>
      <w:r w:rsidRPr="008B68A9">
        <w:t xml:space="preserve">The broker was therefore positioned differently to others working in the support team, separate in their role yet working with and as part of the team, functioning as an advocate but also effective as an enabler with authority drawn from the newness of their role. The brokers were able to act across traditional boundaries, creating new identities rather than bound by interlocutionary forces of traditional rights and duties in mental health provider teams. This is the power of brokerage in this sense: like personalisation, it uses its disruptive properties as an asset (Alakeson 2013), with the </w:t>
      </w:r>
      <w:r w:rsidRPr="008B68A9">
        <w:lastRenderedPageBreak/>
        <w:t xml:space="preserve">attendant opportunities to develop new narratives of personal power in mental health (Stacey </w:t>
      </w:r>
      <w:r w:rsidRPr="008B68A9">
        <w:rPr>
          <w:i/>
        </w:rPr>
        <w:t>et al.</w:t>
      </w:r>
      <w:r w:rsidRPr="008B68A9">
        <w:t xml:space="preserve"> 2016). The experiences of participants in this study produced differing accounts of personalisation, which have been discussed in terms of constructions of narrative trajectories, contingencies and position strategies. The concept of stories and the function such narrative is taken from Harré and used by Needham (2011a) and provides a method to observe divergent constructions of personalisation created by the participants in this study.</w:t>
      </w:r>
    </w:p>
    <w:p w14:paraId="23FFB966" w14:textId="77777777" w:rsidR="00C3070E" w:rsidRPr="008B68A9" w:rsidRDefault="00C3070E" w:rsidP="00C3070E">
      <w:pPr>
        <w:pStyle w:val="2L2header"/>
      </w:pPr>
      <w:bookmarkStart w:id="375" w:name="_Toc451185528"/>
      <w:bookmarkStart w:id="376" w:name="_Toc451311293"/>
      <w:bookmarkStart w:id="377" w:name="_Toc466800409"/>
      <w:bookmarkStart w:id="378" w:name="_Toc413607893"/>
      <w:bookmarkStart w:id="379" w:name="_Toc413827527"/>
      <w:bookmarkEnd w:id="370"/>
      <w:bookmarkEnd w:id="371"/>
      <w:r w:rsidRPr="008B68A9">
        <w:t>7.3 Story-lines and their power of opacity</w:t>
      </w:r>
      <w:bookmarkEnd w:id="375"/>
      <w:bookmarkEnd w:id="376"/>
      <w:bookmarkEnd w:id="377"/>
    </w:p>
    <w:p w14:paraId="24784B62" w14:textId="77777777" w:rsidR="00C3070E" w:rsidRPr="008B68A9" w:rsidRDefault="00C3070E" w:rsidP="00C3070E">
      <w:pPr>
        <w:pStyle w:val="5arangedleft"/>
      </w:pPr>
      <w:r w:rsidRPr="008B68A9">
        <w:t xml:space="preserve">To an extent the success of personalisation as a practical approach may lie in its ambiguity, rather than as a tightly defined concept. Needham and Glasby (2014) make the point that multiple story-lines allow opposing views to co-exist around a single construction. Like Hajer (1997), I suggest that personalisation is used by some positioned at different points on a conceptual continuum: some see personalisation as an opportunity to increase individual responsibility, in keeping with an austerity narrative, reducing the burden of government through active citizenship and entrepreneurialism; while others at the other end of the continuum construct personalisation as representing an opportunity for collaboration, enhanced civil rights and increased social capital. The notion of such diverse constructs towards personalisation is not new as Fernandez </w:t>
      </w:r>
      <w:r w:rsidRPr="008B68A9">
        <w:rPr>
          <w:i/>
        </w:rPr>
        <w:t>et al.</w:t>
      </w:r>
      <w:r w:rsidRPr="008B68A9">
        <w:t xml:space="preserve"> (2007) cited by Glasby and Littlechild 2009) regarded the growth of self-direction and broad political acceptance from disparate political parties as a danger, believing it was wrong to assume their agreement suggested a common interest.</w:t>
      </w:r>
    </w:p>
    <w:p w14:paraId="35F0B376" w14:textId="77777777" w:rsidR="00C3070E" w:rsidRPr="008B68A9" w:rsidRDefault="00C3070E" w:rsidP="00C3070E">
      <w:pPr>
        <w:pStyle w:val="5arangedleft"/>
      </w:pPr>
      <w:r w:rsidRPr="008B68A9">
        <w:t xml:space="preserve">Story-line in personalisation is seen through an academic discourse: some cautiously promote its adoption (Alakeson 2013b, Alakeson and Rumbold 2013) and others, who if not contesting personalisation </w:t>
      </w:r>
      <w:r w:rsidRPr="008B68A9">
        <w:rPr>
          <w:i/>
        </w:rPr>
        <w:t>per se</w:t>
      </w:r>
      <w:r w:rsidRPr="008B68A9">
        <w:t xml:space="preserve">, are concerned about many of its claims (Beresford 2009, Scourfield 2010, and Slasberg </w:t>
      </w:r>
      <w:r w:rsidRPr="008B68A9">
        <w:rPr>
          <w:i/>
        </w:rPr>
        <w:t>et al.</w:t>
      </w:r>
      <w:r w:rsidRPr="008B68A9">
        <w:t xml:space="preserve"> 2012, 2013). Similarly, policy and legislation have embraced personalisation and the cause of self-determination for over a decade (DH 2006b, 2006c, HM Government 2007, DH 2012, Care Act 2014). A factor shared by the many voices of personalisation is that the policies and evaluations offer simple stories about stories (Yanow 2000, cited in Needham and </w:t>
      </w:r>
      <w:r w:rsidRPr="008B68A9">
        <w:lastRenderedPageBreak/>
        <w:t xml:space="preserve">Glasby 2014). Complex care is often reported through overly simplistic case studies employing discursive strategies of hope, increased independence and happiness to illustrate the power of individualised co-produced support. The presence of a “loose cluster of narrative conventions” (Hajer 1997, p. 5) used by academics, policy makers and bodies interested in personalisation has made the exploration of themes regarding professional and user narratives possible. Through the discursive conventions of personalisation Story-Line, and its capacity to accommodate contradictory perspectives in this study has shown divisions and conflict between actors as they negotiated their identities in personalisation enactment. </w:t>
      </w:r>
    </w:p>
    <w:p w14:paraId="6E218CEE" w14:textId="77777777" w:rsidR="00C3070E" w:rsidRPr="008B68A9" w:rsidRDefault="00C3070E" w:rsidP="00C3070E">
      <w:pPr>
        <w:pStyle w:val="5arangedleft"/>
      </w:pPr>
      <w:r w:rsidRPr="008B68A9">
        <w:t>Contested spaces between warranted voice and presentation of need were shown to be receptive or oppositional to personalisation. Story-Line divided participants into those whose identity change was desirable and those whose was threatened. Overt hostility from participants towards personalisation was seen, though generally not representative. More commonly observed through analysis was a narrative smoothing (Sarbin 1989), where the participant’s non adherence to personalisation processes (person centred thinking tools and or co-production) was explained away through the use of trope. The Story-Line work produced tropes that function as recognisable markers of orientation to personalisation, locating the participant through their speech acts as either supportive or not of the pilots. Tropes created simple as well as complex speech that allowed the actors to convey significant information about the efficacy, purpose, complications and limitations of personalisation to the listener. The production of tropes in this study has been discussed, (see section 6.10), although the implications of trope as discursive closure, along with their relationships to the actors is discussed below.</w:t>
      </w:r>
    </w:p>
    <w:p w14:paraId="18288937" w14:textId="77777777" w:rsidR="00C3070E" w:rsidRPr="008B68A9" w:rsidRDefault="00C3070E" w:rsidP="00C3070E">
      <w:pPr>
        <w:pStyle w:val="2L2header"/>
      </w:pPr>
      <w:bookmarkStart w:id="380" w:name="_Toc413607894"/>
      <w:bookmarkStart w:id="381" w:name="_Toc413827528"/>
      <w:bookmarkStart w:id="382" w:name="_Toc451185529"/>
      <w:bookmarkStart w:id="383" w:name="_Toc451311294"/>
      <w:bookmarkStart w:id="384" w:name="_Toc466800410"/>
      <w:bookmarkEnd w:id="378"/>
      <w:bookmarkEnd w:id="379"/>
      <w:r w:rsidRPr="008B68A9">
        <w:t>7.</w:t>
      </w:r>
      <w:bookmarkStart w:id="385" w:name="_Toc413607895"/>
      <w:bookmarkStart w:id="386" w:name="_Toc413827529"/>
      <w:bookmarkEnd w:id="380"/>
      <w:bookmarkEnd w:id="381"/>
      <w:r w:rsidRPr="008B68A9">
        <w:t xml:space="preserve">4 Tropes </w:t>
      </w:r>
      <w:bookmarkEnd w:id="385"/>
      <w:bookmarkEnd w:id="386"/>
      <w:r w:rsidRPr="008B68A9">
        <w:t>as narrative closures</w:t>
      </w:r>
      <w:bookmarkEnd w:id="382"/>
      <w:bookmarkEnd w:id="383"/>
      <w:bookmarkEnd w:id="384"/>
      <w:r w:rsidRPr="008B68A9">
        <w:t xml:space="preserve"> </w:t>
      </w:r>
    </w:p>
    <w:p w14:paraId="6624B51B" w14:textId="77777777" w:rsidR="00C3070E" w:rsidRPr="008B68A9" w:rsidRDefault="00C3070E" w:rsidP="00C3070E">
      <w:pPr>
        <w:pStyle w:val="5arangedleft"/>
      </w:pPr>
      <w:r w:rsidRPr="008B68A9">
        <w:t xml:space="preserve">Simple story-lines within the data created simple tropes, whether they were positive or negative orientations to personalisation they functioned as discursive closures. For budget users, individual budgets were good because of increased choice, flexibility and the changes in narrative trajectory budgets achieved. For some professionals personalisation represented a misdirection of idealism, a policy fashioned to </w:t>
      </w:r>
      <w:r w:rsidRPr="008B68A9">
        <w:lastRenderedPageBreak/>
        <w:t>disempower them and divert scarce resources to questionable expenditures. Arbitrary and oppositional story-lines characterised part of the identity work participants undertook. Whether positive or negative the trope represented the narrator’s view on personalisation; the final word.  Professionals would say through their narrative that they had insufficient time, or that the risk was too great and the discourse with personalisation was over. Users too engaged in similar discursive closure; personalisation gave choice, was person-centred or bureaucratic. The simple trope was sufficient to encompass their experience of individual budgets from either perspective.</w:t>
      </w:r>
    </w:p>
    <w:p w14:paraId="2944BA81" w14:textId="77777777" w:rsidR="00C3070E" w:rsidRPr="008B68A9" w:rsidRDefault="00C3070E" w:rsidP="00C3070E">
      <w:pPr>
        <w:pStyle w:val="5arangedleft"/>
      </w:pPr>
      <w:r w:rsidRPr="008B68A9">
        <w:t>Complex story-lines that reflected concerns about implementation of personalisation were also seen in the professionals’ narrative accounts which highlight both opposition and receptiveness to personalisation. Story-line, as Hajer (1997) suggested, need not hold internal consistencies for the actor, therefore tropes from complex story-lines reflected the narrators’ inconstancies. Their tropes showed a range of positions loosely framed between those where trope represented traditional services story-lines and those where services might be different.</w:t>
      </w:r>
    </w:p>
    <w:p w14:paraId="4CB3BDB4" w14:textId="77777777" w:rsidR="00C3070E" w:rsidRPr="008B68A9" w:rsidRDefault="00C3070E" w:rsidP="00C3070E">
      <w:pPr>
        <w:pStyle w:val="5arangedleft"/>
      </w:pPr>
      <w:bookmarkStart w:id="387" w:name="_Toc413607897"/>
      <w:bookmarkStart w:id="388" w:name="_Toc413827531"/>
      <w:r w:rsidRPr="008B68A9">
        <w:t xml:space="preserve">Budget recipients’ tropes resembled those discussed by Needham (2011a), where personal budget users knew their lives were better when provided with appropriate support being to identify interventions to facilitate recovery journeys. For professionals in my study, tropes were complex in that the benefits of personal budgets simultaneously created positive narratives as well as challenging the foundation and structure of the organisation those professionals worked in. Tropes were therefore important in my thesis, as they represent part of the processes that signify the participant’s orientation to personalisation. The complexity of the tropes whether nuanced or binary indicated the participants’ ability or otherwise to generate multiple constructions of personalisation or not.  Binary orientation will be described below and whilst positive binary may be viewed as common, seen often in case-studies promoting personalisation, they do little to advance implementation. This is especially so where simple tropes are met with equally simple but negatively binary opposition.  Nuance has been shown in chapter 6 to be more desirable than </w:t>
      </w:r>
      <w:r w:rsidRPr="008B68A9">
        <w:lastRenderedPageBreak/>
        <w:t>binary orientation, and will be discussed in the context of a proposed framework that outlines the stages of developing orientation to personalisation below.</w:t>
      </w:r>
    </w:p>
    <w:p w14:paraId="2681903D" w14:textId="77777777" w:rsidR="00C3070E" w:rsidRPr="008B68A9" w:rsidRDefault="00C3070E" w:rsidP="00C3070E">
      <w:pPr>
        <w:pStyle w:val="2L2header"/>
      </w:pPr>
      <w:bookmarkStart w:id="389" w:name="_Toc451185530"/>
      <w:bookmarkStart w:id="390" w:name="_Toc451311295"/>
      <w:bookmarkStart w:id="391" w:name="_Toc466800411"/>
      <w:r w:rsidRPr="008B68A9">
        <w:t>7.5 On being receptive and oppositional: a proposed framework of nuance and binary orientation to personalisation</w:t>
      </w:r>
      <w:bookmarkEnd w:id="389"/>
      <w:bookmarkEnd w:id="390"/>
      <w:bookmarkEnd w:id="391"/>
    </w:p>
    <w:p w14:paraId="53873293" w14:textId="77777777" w:rsidR="00C3070E" w:rsidRPr="008B68A9" w:rsidRDefault="00C3070E" w:rsidP="00C3070E">
      <w:pPr>
        <w:pStyle w:val="5arangedleft"/>
      </w:pPr>
      <w:r w:rsidRPr="008B68A9">
        <w:t>In order to frame the concept of oppositional story-line between professionals and brokers, and to a lesser degree between professionals and budget recipients, this section will show through its text and the figure on page 256 a proposed framework of orientation towards personalisation developed from the data presented in chapter six. Oppositional as a term is used to describe participants’ experience and conceptual reasoning that establishes their opposition to personalisation. Oppositional represents conflict between participants’ where one actor’s orientation is met with a narrow and singular representation that is either positive or negative. The discursive closure produced creates an oppositional orientation in the other actor and both actors’ story-lines remain unchanged and set at that point, forming a basis of interlocutionary actions around personalisation. By this I mean the participants discursive closures were set and reinforced by social encounters.</w:t>
      </w:r>
    </w:p>
    <w:p w14:paraId="04AC1702" w14:textId="77777777" w:rsidR="00C3070E" w:rsidRPr="008B68A9" w:rsidRDefault="00C3070E" w:rsidP="00C3070E">
      <w:pPr>
        <w:pStyle w:val="5arangedleft"/>
      </w:pPr>
      <w:r w:rsidRPr="008B68A9">
        <w:t>Oppositional orientations were mostly observed between professionals and brokers. It should not be unsurprising in some respects that the point where both participant’s role ostensibly focussed on the budget user. For professionals, personalisation and brokers represented a challenge to their traditional service delivery as well as to their professional identities. Brokers on the other hand were focussed on the needs and plans co-produced with users and concerns about professionals were of secondary importance. Professionals were mostly passive in their opposition to personalisation by firstly creating tropes of personal workload capacity and professional limitations, and secondly through claiming a clinical rather than a brokerage identity, (where tasks associated with personalisation became those of brokers alone). Oppositional orientation to budget users, as with contingent narratives, was subtle, avoiding direct challenge but rather diminishing the users’ wishes as irrelevant or unnecessary through conventions of warrant.</w:t>
      </w:r>
    </w:p>
    <w:p w14:paraId="3C77386A" w14:textId="77777777" w:rsidR="00980A2B" w:rsidRPr="008B68A9" w:rsidRDefault="00980A2B" w:rsidP="00C3070E">
      <w:pPr>
        <w:pStyle w:val="5arangedleft"/>
      </w:pPr>
    </w:p>
    <w:p w14:paraId="58FB66E4" w14:textId="77777777" w:rsidR="00C3070E" w:rsidRPr="008B68A9" w:rsidRDefault="00C3070E" w:rsidP="00C3070E">
      <w:pPr>
        <w:pStyle w:val="5arangedleft"/>
      </w:pPr>
      <w:r w:rsidRPr="008B68A9">
        <w:t>Receptive orientation towards personalisation, however, was coded from budget user and broker narratives that showed story-line orientation based on an understanding of</w:t>
      </w:r>
      <w:r w:rsidRPr="008B68A9">
        <w:rPr>
          <w:b/>
        </w:rPr>
        <w:t xml:space="preserve"> </w:t>
      </w:r>
      <w:r w:rsidRPr="008B68A9">
        <w:t xml:space="preserve">personalisation that permitted the possibility of both learning and growth. Here examples of positive experience of personalisation and hope were observed in Story-Lines code. The framework shows that where receptiveness occurred between actors in personalisation, more open relationships become possible. </w:t>
      </w:r>
    </w:p>
    <w:p w14:paraId="3FA71763" w14:textId="77777777" w:rsidR="00C3070E" w:rsidRPr="008B68A9" w:rsidRDefault="00C3070E" w:rsidP="00C3070E">
      <w:pPr>
        <w:pStyle w:val="5arangedleft"/>
      </w:pPr>
      <w:r w:rsidRPr="008B68A9">
        <w:t>Story-line formation created the possibility of further learning and openness to alternate ideas, such as Hajer (1997) and Needham (2011b) articulate, where the potential for shared growth and co-operation becomes manifest. Conversely, where orientation was typically oppositional, discursive closure occurred; opportunities for growth and working co-productively were lessened. Consequently, a receptive orientation towards personalisation was preferable over an oppositional one. Although the simplicity implied by the above belies the potential this understanding has. By identifying where conflict in trope and orientation arise and mapping the story-lines that create and sustain opposition, educators and policy makers could use the framework as a tool.</w:t>
      </w:r>
    </w:p>
    <w:p w14:paraId="083913A6" w14:textId="77777777" w:rsidR="00C3070E" w:rsidRPr="008B68A9" w:rsidRDefault="00C3070E" w:rsidP="00C3070E">
      <w:pPr>
        <w:pStyle w:val="5arangedleft"/>
      </w:pPr>
      <w:r w:rsidRPr="008B68A9">
        <w:t>Brokers were mindful of the budget users’ goals, the tropes of fixed offer and regulatory functions of professionals’ role, and consequently positioned themselves as an intermediary between the budget user and authority. Brokers were aware of their role and the barriers they encountered; maintaining receptive orientations may have sustained their efficacy, providing a means for story-lines to be continued in the face of clear or even hostile professional opposition towards the pilots.</w:t>
      </w:r>
    </w:p>
    <w:bookmarkEnd w:id="387"/>
    <w:bookmarkEnd w:id="388"/>
    <w:p w14:paraId="10B38340" w14:textId="77777777" w:rsidR="00C3070E" w:rsidRPr="008B68A9" w:rsidRDefault="00C3070E" w:rsidP="00C3070E">
      <w:pPr>
        <w:pStyle w:val="5arangedleft"/>
      </w:pPr>
      <w:r w:rsidRPr="008B68A9">
        <w:t xml:space="preserve">The figure presented below represents a proposed framework of individual participant journeys that led to an orientation towards personalisation, where through the process of support planning and budget use, the opportunities for discursive closure or discursive opening occurred. Complex relationships between narrative trajectory and the opportunities arising from personalisation are mediated through positioning (broker and professional), producing story-line, trope and </w:t>
      </w:r>
      <w:r w:rsidRPr="008B68A9">
        <w:lastRenderedPageBreak/>
        <w:t xml:space="preserve">nuanced or binary orientations to personalisation. Few professionals showed the enthusiasm for personalisation that Brookes </w:t>
      </w:r>
      <w:r w:rsidRPr="008B68A9">
        <w:rPr>
          <w:i/>
        </w:rPr>
        <w:t>et al.</w:t>
      </w:r>
      <w:r w:rsidRPr="008B68A9">
        <w:t xml:space="preserve"> (2013), describe where their practice was wholly supportive of personal budgets and detached from statutory roles of gatekeeping, risk management and financial limitations, although some supported the project. Although personalisation in England is set in law through the Care Act (DH 2014) whether it will result in substantive change in the nature of relationships between users and providers is, I suggest, open to question. </w:t>
      </w:r>
    </w:p>
    <w:p w14:paraId="51BEEDB7" w14:textId="77777777" w:rsidR="00C3070E" w:rsidRPr="008B68A9" w:rsidRDefault="00C3070E" w:rsidP="00C3070E">
      <w:pPr>
        <w:pStyle w:val="5arangedleft"/>
      </w:pPr>
      <w:r w:rsidRPr="008B68A9">
        <w:t xml:space="preserve">The figure below charts the journey of orientation for the participants from this study, and I suggest that the participants whose orientation towards personalisation was both receptive and nuanced are more useful to the project of personalisation than those whose orientation was negatively binary and oppositional. Even when the participants’ orientation towards personalisation was positive but binary, (often budget users and/or carers), such accounts were like many of the simple stories used in personalisation case-studies and do little to reflect the complex interactions and tensions that personalisation creates. Professionals able to generate complex story-line may be more likely to support personalisation beyond a ritualised bureaucracy, as has been seen in other mental health policies, such as the Care Programme Approach (Simpson and Bowers 2003a, Simpson </w:t>
      </w:r>
      <w:r w:rsidRPr="008B68A9">
        <w:rPr>
          <w:i/>
        </w:rPr>
        <w:t>et al.</w:t>
      </w:r>
      <w:r w:rsidRPr="008B68A9">
        <w:t xml:space="preserve"> 2003). The figure as presented is to be read from the top to the bottom, contrasting users’, brokers’ and professionals’ interactions left to right.</w:t>
      </w:r>
    </w:p>
    <w:p w14:paraId="24B2598D" w14:textId="77777777" w:rsidR="00C3070E" w:rsidRPr="008B68A9" w:rsidRDefault="00C3070E" w:rsidP="00C3070E">
      <w:pPr>
        <w:pStyle w:val="5arangedleft"/>
      </w:pPr>
      <w:r w:rsidRPr="008B68A9">
        <w:t>.</w:t>
      </w:r>
      <w:r w:rsidRPr="008B68A9">
        <w:br w:type="page"/>
      </w:r>
    </w:p>
    <w:p w14:paraId="6922486B" w14:textId="77777777" w:rsidR="00C3070E" w:rsidRPr="008B68A9" w:rsidRDefault="00C3070E" w:rsidP="00C3070E">
      <w:r w:rsidRPr="008B68A9">
        <w:rPr>
          <w:noProof/>
          <w:lang w:eastAsia="en-GB"/>
        </w:rPr>
        <w:lastRenderedPageBreak/>
        <mc:AlternateContent>
          <mc:Choice Requires="wpg">
            <w:drawing>
              <wp:anchor distT="0" distB="0" distL="114300" distR="114300" simplePos="0" relativeHeight="251675648" behindDoc="0" locked="0" layoutInCell="1" allowOverlap="1" wp14:anchorId="4AA0A0FE" wp14:editId="0F4D131B">
                <wp:simplePos x="0" y="0"/>
                <wp:positionH relativeFrom="column">
                  <wp:posOffset>-57947</wp:posOffset>
                </wp:positionH>
                <wp:positionV relativeFrom="paragraph">
                  <wp:posOffset>212651</wp:posOffset>
                </wp:positionV>
                <wp:extent cx="5772681" cy="4825217"/>
                <wp:effectExtent l="0" t="0" r="19050" b="13970"/>
                <wp:wrapNone/>
                <wp:docPr id="351" name="Group 351"/>
                <wp:cNvGraphicFramePr/>
                <a:graphic xmlns:a="http://schemas.openxmlformats.org/drawingml/2006/main">
                  <a:graphicData uri="http://schemas.microsoft.com/office/word/2010/wordprocessingGroup">
                    <wpg:wgp>
                      <wpg:cNvGrpSpPr/>
                      <wpg:grpSpPr>
                        <a:xfrm>
                          <a:off x="0" y="0"/>
                          <a:ext cx="5772681" cy="4825217"/>
                          <a:chOff x="0" y="0"/>
                          <a:chExt cx="5772681" cy="4825217"/>
                        </a:xfrm>
                      </wpg:grpSpPr>
                      <wps:wsp>
                        <wps:cNvPr id="294" name="Text Box 294"/>
                        <wps:cNvSpPr txBox="1">
                          <a:spLocks noChangeArrowheads="1"/>
                        </wps:cNvSpPr>
                        <wps:spPr bwMode="auto">
                          <a:xfrm>
                            <a:off x="1998920" y="0"/>
                            <a:ext cx="1866900" cy="285115"/>
                          </a:xfrm>
                          <a:prstGeom prst="rect">
                            <a:avLst/>
                          </a:prstGeom>
                          <a:solidFill>
                            <a:srgbClr val="FFFFFF"/>
                          </a:solidFill>
                          <a:ln w="19050">
                            <a:solidFill>
                              <a:srgbClr val="000000"/>
                            </a:solidFill>
                            <a:miter lim="800000"/>
                            <a:headEnd/>
                            <a:tailEnd/>
                          </a:ln>
                        </wps:spPr>
                        <wps:txbx>
                          <w:txbxContent>
                            <w:p w14:paraId="1393F402" w14:textId="77777777" w:rsidR="00330D5F" w:rsidRPr="00E45A4E" w:rsidRDefault="00330D5F" w:rsidP="00C3070E">
                              <w:pPr>
                                <w:jc w:val="center"/>
                                <w:rPr>
                                  <w:b/>
                                </w:rPr>
                              </w:pPr>
                              <w:r w:rsidRPr="00E45A4E">
                                <w:rPr>
                                  <w:b/>
                                </w:rPr>
                                <w:t>Broker</w:t>
                              </w:r>
                              <w:r>
                                <w:rPr>
                                  <w:b/>
                                </w:rPr>
                                <w:t>s</w:t>
                              </w:r>
                            </w:p>
                          </w:txbxContent>
                        </wps:txbx>
                        <wps:bodyPr rot="0" vert="horz" wrap="square" lIns="91440" tIns="45720" rIns="91440" bIns="45720" anchor="t" anchorCtr="0">
                          <a:noAutofit/>
                        </wps:bodyPr>
                      </wps:wsp>
                      <wps:wsp>
                        <wps:cNvPr id="28" name="Text Box 2"/>
                        <wps:cNvSpPr txBox="1">
                          <a:spLocks noChangeArrowheads="1"/>
                        </wps:cNvSpPr>
                        <wps:spPr bwMode="auto">
                          <a:xfrm>
                            <a:off x="4199860" y="0"/>
                            <a:ext cx="1533525" cy="285115"/>
                          </a:xfrm>
                          <a:prstGeom prst="rect">
                            <a:avLst/>
                          </a:prstGeom>
                          <a:solidFill>
                            <a:srgbClr val="FFFFFF"/>
                          </a:solidFill>
                          <a:ln w="19050">
                            <a:solidFill>
                              <a:srgbClr val="000000"/>
                            </a:solidFill>
                            <a:miter lim="800000"/>
                            <a:headEnd/>
                            <a:tailEnd/>
                          </a:ln>
                        </wps:spPr>
                        <wps:txbx>
                          <w:txbxContent>
                            <w:p w14:paraId="2E04B297" w14:textId="77777777" w:rsidR="00330D5F" w:rsidRPr="00E45A4E" w:rsidRDefault="00330D5F" w:rsidP="00C3070E">
                              <w:pPr>
                                <w:jc w:val="center"/>
                                <w:rPr>
                                  <w:b/>
                                </w:rPr>
                              </w:pPr>
                              <w:r w:rsidRPr="00E45A4E">
                                <w:rPr>
                                  <w:b/>
                                </w:rPr>
                                <w:t>Professionals</w:t>
                              </w:r>
                            </w:p>
                          </w:txbxContent>
                        </wps:txbx>
                        <wps:bodyPr rot="0" vert="horz" wrap="square" lIns="91440" tIns="45720" rIns="91440" bIns="45720" anchor="t" anchorCtr="0">
                          <a:noAutofit/>
                        </wps:bodyPr>
                      </wps:wsp>
                      <wps:wsp>
                        <wps:cNvPr id="301" name="Text Box 301"/>
                        <wps:cNvSpPr txBox="1">
                          <a:spLocks noChangeArrowheads="1"/>
                        </wps:cNvSpPr>
                        <wps:spPr bwMode="auto">
                          <a:xfrm>
                            <a:off x="170120" y="1201479"/>
                            <a:ext cx="1423035" cy="350520"/>
                          </a:xfrm>
                          <a:prstGeom prst="rect">
                            <a:avLst/>
                          </a:prstGeom>
                          <a:solidFill>
                            <a:srgbClr val="FFFFFF"/>
                          </a:solidFill>
                          <a:ln w="19050">
                            <a:solidFill>
                              <a:srgbClr val="000000"/>
                            </a:solidFill>
                            <a:miter lim="800000"/>
                            <a:headEnd/>
                            <a:tailEnd/>
                          </a:ln>
                        </wps:spPr>
                        <wps:txbx>
                          <w:txbxContent>
                            <w:p w14:paraId="054417BC" w14:textId="77777777" w:rsidR="00330D5F" w:rsidRPr="00E13D17" w:rsidRDefault="00330D5F" w:rsidP="00C3070E">
                              <w:pPr>
                                <w:spacing w:after="0"/>
                                <w:jc w:val="center"/>
                                <w:rPr>
                                  <w:sz w:val="18"/>
                                </w:rPr>
                              </w:pPr>
                              <w:r>
                                <w:rPr>
                                  <w:sz w:val="18"/>
                                </w:rPr>
                                <w:t>Regressive narrative</w:t>
                              </w:r>
                            </w:p>
                          </w:txbxContent>
                        </wps:txbx>
                        <wps:bodyPr rot="0" vert="horz" wrap="square" lIns="91440" tIns="45720" rIns="91440" bIns="45720" anchor="t" anchorCtr="0">
                          <a:noAutofit/>
                        </wps:bodyPr>
                      </wps:wsp>
                      <wps:wsp>
                        <wps:cNvPr id="307" name="Text Box 2"/>
                        <wps:cNvSpPr txBox="1">
                          <a:spLocks noChangeArrowheads="1"/>
                        </wps:cNvSpPr>
                        <wps:spPr bwMode="auto">
                          <a:xfrm>
                            <a:off x="0" y="0"/>
                            <a:ext cx="1621790" cy="285115"/>
                          </a:xfrm>
                          <a:prstGeom prst="rect">
                            <a:avLst/>
                          </a:prstGeom>
                          <a:solidFill>
                            <a:srgbClr val="FFFFFF"/>
                          </a:solidFill>
                          <a:ln w="19050">
                            <a:solidFill>
                              <a:schemeClr val="tx1"/>
                            </a:solidFill>
                            <a:miter lim="800000"/>
                            <a:headEnd/>
                            <a:tailEnd/>
                          </a:ln>
                        </wps:spPr>
                        <wps:txbx>
                          <w:txbxContent>
                            <w:p w14:paraId="204F48B6" w14:textId="77777777" w:rsidR="00330D5F" w:rsidRPr="00E45A4E" w:rsidRDefault="00330D5F" w:rsidP="00C3070E">
                              <w:pPr>
                                <w:jc w:val="center"/>
                                <w:rPr>
                                  <w:b/>
                                </w:rPr>
                              </w:pPr>
                              <w:r w:rsidRPr="00E45A4E">
                                <w:rPr>
                                  <w:b/>
                                </w:rPr>
                                <w:t xml:space="preserve">Budget </w:t>
                              </w:r>
                              <w:r>
                                <w:rPr>
                                  <w:b/>
                                </w:rPr>
                                <w:t>users</w:t>
                              </w:r>
                            </w:p>
                          </w:txbxContent>
                        </wps:txbx>
                        <wps:bodyPr rot="0" vert="horz" wrap="square" lIns="91440" tIns="45720" rIns="91440" bIns="45720" anchor="t" anchorCtr="0">
                          <a:noAutofit/>
                        </wps:bodyPr>
                      </wps:wsp>
                      <wps:wsp>
                        <wps:cNvPr id="302" name="Down Arrow Callout 302"/>
                        <wps:cNvSpPr/>
                        <wps:spPr>
                          <a:xfrm>
                            <a:off x="159488" y="1722475"/>
                            <a:ext cx="1436946" cy="466725"/>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A5378D" w14:textId="77777777" w:rsidR="00330D5F" w:rsidRPr="00915EAD" w:rsidRDefault="00330D5F" w:rsidP="00C3070E">
                              <w:pPr>
                                <w:spacing w:after="0"/>
                                <w:jc w:val="center"/>
                                <w:rPr>
                                  <w:sz w:val="28"/>
                                </w:rPr>
                              </w:pPr>
                              <w:r w:rsidRPr="00915EAD">
                                <w:rPr>
                                  <w:color w:val="000000" w:themeColor="text1"/>
                                  <w:sz w:val="18"/>
                                </w:rPr>
                                <w:t>Contin</w:t>
                              </w:r>
                              <w:r>
                                <w:rPr>
                                  <w:color w:val="000000" w:themeColor="text1"/>
                                  <w:sz w:val="18"/>
                                </w:rPr>
                                <w:t>gent n</w:t>
                              </w:r>
                              <w:r w:rsidRPr="00915EAD">
                                <w:rPr>
                                  <w:color w:val="000000" w:themeColor="text1"/>
                                  <w:sz w:val="18"/>
                                </w:rPr>
                                <w:t>arrative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5" name="Flowchart: Collate 305"/>
                        <wps:cNvSpPr/>
                        <wps:spPr>
                          <a:xfrm rot="16200000">
                            <a:off x="1679943" y="3115340"/>
                            <a:ext cx="365125" cy="643255"/>
                          </a:xfrm>
                          <a:prstGeom prst="flowChartCollate">
                            <a:avLst/>
                          </a:prstGeom>
                          <a:solidFill>
                            <a:schemeClr val="accent3">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Flowchart: Sort 303"/>
                        <wps:cNvSpPr/>
                        <wps:spPr>
                          <a:xfrm rot="5400000">
                            <a:off x="3817087" y="2860159"/>
                            <a:ext cx="398145" cy="602615"/>
                          </a:xfrm>
                          <a:prstGeom prst="flowChartSort">
                            <a:avLst/>
                          </a:prstGeom>
                          <a:solidFill>
                            <a:schemeClr val="accent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0" name="Straight Connector 300"/>
                        <wps:cNvCnPr/>
                        <wps:spPr>
                          <a:xfrm>
                            <a:off x="1871330" y="1180214"/>
                            <a:ext cx="8255" cy="3261995"/>
                          </a:xfrm>
                          <a:prstGeom prst="line">
                            <a:avLst/>
                          </a:prstGeom>
                          <a:ln w="381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297" name="Down Arrow Callout 297"/>
                        <wps:cNvSpPr/>
                        <wps:spPr>
                          <a:xfrm>
                            <a:off x="893134" y="552893"/>
                            <a:ext cx="1980565" cy="453390"/>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50D000" w14:textId="77777777" w:rsidR="00330D5F" w:rsidRPr="00915EAD" w:rsidRDefault="00330D5F" w:rsidP="00C3070E">
                              <w:pPr>
                                <w:spacing w:after="0"/>
                                <w:jc w:val="center"/>
                                <w:rPr>
                                  <w:sz w:val="28"/>
                                </w:rPr>
                              </w:pPr>
                              <w:r>
                                <w:rPr>
                                  <w:color w:val="000000" w:themeColor="text1"/>
                                  <w:sz w:val="18"/>
                                </w:rPr>
                                <w:t>Positioning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8" name="Down Arrow Callout 298"/>
                        <wps:cNvSpPr/>
                        <wps:spPr>
                          <a:xfrm>
                            <a:off x="3338623" y="563526"/>
                            <a:ext cx="1337945" cy="415925"/>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48572E" w14:textId="77777777" w:rsidR="00330D5F" w:rsidRPr="00915EAD" w:rsidRDefault="00330D5F" w:rsidP="00C3070E">
                              <w:pPr>
                                <w:spacing w:after="0"/>
                                <w:jc w:val="center"/>
                                <w:rPr>
                                  <w:sz w:val="28"/>
                                </w:rPr>
                              </w:pPr>
                              <w:r>
                                <w:rPr>
                                  <w:color w:val="000000" w:themeColor="text1"/>
                                  <w:sz w:val="18"/>
                                </w:rPr>
                                <w:t>Positioning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9" name="Straight Connector 299"/>
                        <wps:cNvCnPr/>
                        <wps:spPr>
                          <a:xfrm>
                            <a:off x="4019107" y="1158949"/>
                            <a:ext cx="3175" cy="3261995"/>
                          </a:xfrm>
                          <a:prstGeom prst="line">
                            <a:avLst/>
                          </a:prstGeom>
                          <a:ln w="38100">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304" name="Down Arrow Callout 304"/>
                        <wps:cNvSpPr/>
                        <wps:spPr>
                          <a:xfrm>
                            <a:off x="4359348" y="2509284"/>
                            <a:ext cx="1337945" cy="1397000"/>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456EFA" w14:textId="77777777" w:rsidR="00330D5F" w:rsidRDefault="00330D5F" w:rsidP="00C3070E">
                              <w:pPr>
                                <w:spacing w:after="0"/>
                                <w:jc w:val="center"/>
                                <w:rPr>
                                  <w:color w:val="000000" w:themeColor="text1"/>
                                  <w:sz w:val="18"/>
                                </w:rPr>
                              </w:pPr>
                              <w:r>
                                <w:rPr>
                                  <w:color w:val="000000" w:themeColor="text1"/>
                                  <w:sz w:val="18"/>
                                </w:rPr>
                                <w:t>Story-line</w:t>
                              </w:r>
                            </w:p>
                            <w:p w14:paraId="48BF62FB" w14:textId="77777777" w:rsidR="00330D5F" w:rsidRDefault="00330D5F" w:rsidP="00C3070E">
                              <w:pPr>
                                <w:spacing w:after="0"/>
                                <w:jc w:val="center"/>
                                <w:rPr>
                                  <w:color w:val="000000" w:themeColor="text1"/>
                                  <w:sz w:val="18"/>
                                </w:rPr>
                              </w:pPr>
                              <w:r>
                                <w:rPr>
                                  <w:color w:val="000000" w:themeColor="text1"/>
                                  <w:sz w:val="18"/>
                                </w:rPr>
                                <w:t>Tropes</w:t>
                              </w:r>
                            </w:p>
                            <w:p w14:paraId="71452241" w14:textId="77777777" w:rsidR="00330D5F" w:rsidRPr="00664264" w:rsidRDefault="00330D5F" w:rsidP="00C3070E">
                              <w:pPr>
                                <w:spacing w:after="0"/>
                                <w:jc w:val="center"/>
                                <w:rPr>
                                  <w:color w:val="000000" w:themeColor="text1"/>
                                  <w:sz w:val="18"/>
                                </w:rPr>
                              </w:pPr>
                              <w:r w:rsidRPr="00664264">
                                <w:rPr>
                                  <w:color w:val="000000" w:themeColor="text1"/>
                                  <w:sz w:val="18"/>
                                </w:rPr>
                                <w:t>Warranted voice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6" name="Down Arrow Callout 306"/>
                        <wps:cNvSpPr/>
                        <wps:spPr>
                          <a:xfrm>
                            <a:off x="2243469" y="3083442"/>
                            <a:ext cx="1337945" cy="863600"/>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40071C" w14:textId="77777777" w:rsidR="00330D5F" w:rsidRDefault="00330D5F" w:rsidP="00C3070E">
                              <w:pPr>
                                <w:spacing w:after="0"/>
                                <w:jc w:val="center"/>
                                <w:rPr>
                                  <w:color w:val="000000" w:themeColor="text1"/>
                                  <w:sz w:val="18"/>
                                </w:rPr>
                              </w:pPr>
                              <w:r>
                                <w:rPr>
                                  <w:color w:val="000000" w:themeColor="text1"/>
                                  <w:sz w:val="18"/>
                                </w:rPr>
                                <w:t>Story-line</w:t>
                              </w:r>
                            </w:p>
                            <w:p w14:paraId="275D7B70" w14:textId="77777777" w:rsidR="00330D5F" w:rsidRPr="00915EAD" w:rsidRDefault="00330D5F" w:rsidP="00C3070E">
                              <w:pPr>
                                <w:spacing w:after="0"/>
                                <w:jc w:val="center"/>
                                <w:rPr>
                                  <w:sz w:val="28"/>
                                </w:rPr>
                              </w:pPr>
                              <w:r>
                                <w:rPr>
                                  <w:color w:val="000000" w:themeColor="text1"/>
                                  <w:sz w:val="18"/>
                                </w:rPr>
                                <w:t>Tropes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2" name="Down Arrow Callout 312"/>
                        <wps:cNvSpPr/>
                        <wps:spPr>
                          <a:xfrm>
                            <a:off x="4199860" y="1201479"/>
                            <a:ext cx="1442720" cy="1085215"/>
                          </a:xfrm>
                          <a:prstGeom prst="downArrowCallou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554F5A" w14:textId="77777777" w:rsidR="00330D5F" w:rsidRPr="00911FC1" w:rsidRDefault="00330D5F" w:rsidP="00C3070E">
                              <w:pPr>
                                <w:spacing w:after="0"/>
                                <w:jc w:val="center"/>
                                <w:rPr>
                                  <w:color w:val="000000" w:themeColor="text1"/>
                                  <w:sz w:val="18"/>
                                </w:rPr>
                              </w:pPr>
                              <w:r w:rsidRPr="00911FC1">
                                <w:rPr>
                                  <w:color w:val="000000" w:themeColor="text1"/>
                                  <w:sz w:val="18"/>
                                </w:rPr>
                                <w:t>Contingent narrative/</w:t>
                              </w:r>
                            </w:p>
                            <w:p w14:paraId="0BD21D78" w14:textId="77777777" w:rsidR="00330D5F" w:rsidRPr="00911FC1" w:rsidRDefault="00330D5F" w:rsidP="00C3070E">
                              <w:pPr>
                                <w:spacing w:after="0"/>
                                <w:jc w:val="center"/>
                                <w:rPr>
                                  <w:color w:val="000000" w:themeColor="text1"/>
                                  <w:sz w:val="28"/>
                                </w:rPr>
                              </w:pPr>
                              <w:r w:rsidRPr="00911FC1">
                                <w:rPr>
                                  <w:color w:val="000000" w:themeColor="text1"/>
                                  <w:sz w:val="18"/>
                                </w:rPr>
                                <w:t>Conventions of warrant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4" name="Rectangle 314"/>
                        <wps:cNvSpPr/>
                        <wps:spPr>
                          <a:xfrm>
                            <a:off x="2275367" y="2264735"/>
                            <a:ext cx="1438275" cy="257175"/>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6C13C0B" w14:textId="77777777" w:rsidR="00330D5F" w:rsidRPr="009F6E2F" w:rsidRDefault="00330D5F" w:rsidP="00C3070E">
                              <w:pPr>
                                <w:jc w:val="center"/>
                                <w:rPr>
                                  <w:sz w:val="18"/>
                                </w:rPr>
                              </w:pPr>
                              <w:r>
                                <w:rPr>
                                  <w:sz w:val="18"/>
                                </w:rPr>
                                <w:t>Brokerage actions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 name="Down Arrow Callout 315"/>
                        <wps:cNvSpPr/>
                        <wps:spPr>
                          <a:xfrm>
                            <a:off x="170120" y="2275368"/>
                            <a:ext cx="1423035" cy="797560"/>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29355C" w14:textId="77777777" w:rsidR="00330D5F" w:rsidRPr="008E2844" w:rsidRDefault="00330D5F" w:rsidP="00C3070E">
                              <w:pPr>
                                <w:spacing w:after="0"/>
                                <w:jc w:val="center"/>
                                <w:rPr>
                                  <w:color w:val="000000" w:themeColor="text1"/>
                                  <w:sz w:val="18"/>
                                </w:rPr>
                              </w:pPr>
                              <w:r w:rsidRPr="008E2844">
                                <w:rPr>
                                  <w:color w:val="000000" w:themeColor="text1"/>
                                  <w:sz w:val="18"/>
                                </w:rPr>
                                <w:t>Dramatic engagement</w:t>
                              </w:r>
                              <w:r>
                                <w:rPr>
                                  <w:color w:val="000000" w:themeColor="text1"/>
                                  <w:sz w:val="18"/>
                                </w:rPr>
                                <w:t>/</w:t>
                              </w:r>
                            </w:p>
                            <w:p w14:paraId="5DF0C936" w14:textId="77777777" w:rsidR="00330D5F" w:rsidRPr="00915EAD" w:rsidRDefault="00330D5F" w:rsidP="00C3070E">
                              <w:pPr>
                                <w:jc w:val="center"/>
                                <w:rPr>
                                  <w:sz w:val="28"/>
                                </w:rPr>
                              </w:pPr>
                              <w:r>
                                <w:rPr>
                                  <w:color w:val="000000" w:themeColor="text1"/>
                                  <w:sz w:val="18"/>
                                </w:rPr>
                                <w:t>Progressive n</w:t>
                              </w:r>
                              <w:r w:rsidRPr="00915EAD">
                                <w:rPr>
                                  <w:color w:val="000000" w:themeColor="text1"/>
                                  <w:sz w:val="18"/>
                                </w:rPr>
                                <w:t>arrative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6" name="Down Arrow Callout 316"/>
                        <wps:cNvSpPr/>
                        <wps:spPr>
                          <a:xfrm>
                            <a:off x="159488" y="3136605"/>
                            <a:ext cx="1337945" cy="863600"/>
                          </a:xfrm>
                          <a:prstGeom prst="downArrowCallou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63FEB2" w14:textId="77777777" w:rsidR="00330D5F" w:rsidRDefault="00330D5F" w:rsidP="00C3070E">
                              <w:pPr>
                                <w:spacing w:after="0"/>
                                <w:jc w:val="center"/>
                                <w:rPr>
                                  <w:color w:val="000000" w:themeColor="text1"/>
                                  <w:sz w:val="18"/>
                                </w:rPr>
                              </w:pPr>
                              <w:r>
                                <w:rPr>
                                  <w:color w:val="000000" w:themeColor="text1"/>
                                  <w:sz w:val="18"/>
                                </w:rPr>
                                <w:t>Story-line</w:t>
                              </w:r>
                            </w:p>
                            <w:p w14:paraId="0C2EE9F4" w14:textId="77777777" w:rsidR="00330D5F" w:rsidRPr="00915EAD" w:rsidRDefault="00330D5F" w:rsidP="00C3070E">
                              <w:pPr>
                                <w:spacing w:after="0"/>
                                <w:jc w:val="center"/>
                                <w:rPr>
                                  <w:sz w:val="28"/>
                                </w:rPr>
                              </w:pPr>
                              <w:r>
                                <w:rPr>
                                  <w:color w:val="000000" w:themeColor="text1"/>
                                  <w:sz w:val="18"/>
                                </w:rPr>
                                <w:t>Tropes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7" name="Down Arrow Callout 317"/>
                        <wps:cNvSpPr/>
                        <wps:spPr>
                          <a:xfrm>
                            <a:off x="2243469" y="1201479"/>
                            <a:ext cx="1442720" cy="863600"/>
                          </a:xfrm>
                          <a:prstGeom prst="downArrowCallou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D1EFB5" w14:textId="77777777" w:rsidR="00330D5F" w:rsidRPr="008E2844" w:rsidRDefault="00330D5F" w:rsidP="00C3070E">
                              <w:pPr>
                                <w:spacing w:after="0"/>
                                <w:jc w:val="center"/>
                                <w:rPr>
                                  <w:color w:val="000000" w:themeColor="text1"/>
                                  <w:sz w:val="18"/>
                                </w:rPr>
                              </w:pPr>
                              <w:r w:rsidRPr="008E2844">
                                <w:rPr>
                                  <w:color w:val="000000" w:themeColor="text1"/>
                                  <w:sz w:val="18"/>
                                </w:rPr>
                                <w:t>Narrative trajectory</w:t>
                              </w:r>
                              <w:r>
                                <w:rPr>
                                  <w:color w:val="000000" w:themeColor="text1"/>
                                  <w:sz w:val="18"/>
                                </w:rPr>
                                <w:t>/</w:t>
                              </w:r>
                              <w:r w:rsidRPr="008E2844">
                                <w:rPr>
                                  <w:color w:val="000000" w:themeColor="text1"/>
                                  <w:sz w:val="18"/>
                                </w:rPr>
                                <w:t xml:space="preserve"> Contingent narrative</w:t>
                              </w:r>
                            </w:p>
                            <w:p w14:paraId="56E5EA30" w14:textId="77777777" w:rsidR="00330D5F" w:rsidRPr="00911FC1" w:rsidRDefault="00330D5F" w:rsidP="00C3070E">
                              <w:pPr>
                                <w:jc w:val="center"/>
                                <w:rPr>
                                  <w:color w:val="000000" w:themeColor="text1"/>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2" name="Text Box 322"/>
                        <wps:cNvSpPr txBox="1">
                          <a:spLocks noChangeArrowheads="1"/>
                        </wps:cNvSpPr>
                        <wps:spPr bwMode="auto">
                          <a:xfrm>
                            <a:off x="2243469" y="4529470"/>
                            <a:ext cx="1360170" cy="285115"/>
                          </a:xfrm>
                          <a:prstGeom prst="rect">
                            <a:avLst/>
                          </a:prstGeom>
                          <a:solidFill>
                            <a:srgbClr val="FFFFFF"/>
                          </a:solidFill>
                          <a:ln w="19050">
                            <a:solidFill>
                              <a:srgbClr val="000000"/>
                            </a:solidFill>
                            <a:miter lim="800000"/>
                            <a:headEnd/>
                            <a:tailEnd/>
                          </a:ln>
                        </wps:spPr>
                        <wps:txbx>
                          <w:txbxContent>
                            <w:p w14:paraId="4D5621F5" w14:textId="77777777" w:rsidR="00330D5F" w:rsidRPr="00032955" w:rsidRDefault="00330D5F" w:rsidP="00C3070E">
                              <w:pPr>
                                <w:jc w:val="center"/>
                                <w:rPr>
                                  <w:sz w:val="20"/>
                                </w:rPr>
                              </w:pPr>
                              <w:r w:rsidRPr="00032955">
                                <w:rPr>
                                  <w:sz w:val="20"/>
                                </w:rPr>
                                <w:t>Orientation</w:t>
                              </w:r>
                            </w:p>
                          </w:txbxContent>
                        </wps:txbx>
                        <wps:bodyPr rot="0" vert="horz" wrap="square" lIns="91440" tIns="45720" rIns="91440" bIns="45720" anchor="t" anchorCtr="0">
                          <a:noAutofit/>
                        </wps:bodyPr>
                      </wps:wsp>
                      <wps:wsp>
                        <wps:cNvPr id="323" name="Rectangle 323"/>
                        <wps:cNvSpPr/>
                        <wps:spPr>
                          <a:xfrm>
                            <a:off x="3094074" y="3955312"/>
                            <a:ext cx="523875" cy="4953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4" name="Oval 324"/>
                        <wps:cNvSpPr/>
                        <wps:spPr>
                          <a:xfrm>
                            <a:off x="2317897" y="3934047"/>
                            <a:ext cx="476250" cy="504825"/>
                          </a:xfrm>
                          <a:prstGeom prst="ellipse">
                            <a:avLst/>
                          </a:prstGeom>
                          <a:noFill/>
                          <a:ln>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5" name="Plus 325"/>
                        <wps:cNvSpPr/>
                        <wps:spPr>
                          <a:xfrm>
                            <a:off x="3125972" y="4125433"/>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6" name="Minus 326"/>
                        <wps:cNvSpPr/>
                        <wps:spPr>
                          <a:xfrm>
                            <a:off x="3359888" y="4157330"/>
                            <a:ext cx="190500" cy="9525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Text Box 309"/>
                        <wps:cNvSpPr txBox="1">
                          <a:spLocks noChangeArrowheads="1"/>
                        </wps:cNvSpPr>
                        <wps:spPr bwMode="auto">
                          <a:xfrm>
                            <a:off x="4412511" y="4518837"/>
                            <a:ext cx="1360170" cy="285115"/>
                          </a:xfrm>
                          <a:prstGeom prst="rect">
                            <a:avLst/>
                          </a:prstGeom>
                          <a:solidFill>
                            <a:srgbClr val="FFFFFF"/>
                          </a:solidFill>
                          <a:ln w="19050">
                            <a:solidFill>
                              <a:srgbClr val="000000"/>
                            </a:solidFill>
                            <a:miter lim="800000"/>
                            <a:headEnd/>
                            <a:tailEnd/>
                          </a:ln>
                        </wps:spPr>
                        <wps:txbx>
                          <w:txbxContent>
                            <w:p w14:paraId="7C618AC4" w14:textId="77777777" w:rsidR="00330D5F" w:rsidRPr="00032955" w:rsidRDefault="00330D5F" w:rsidP="00C3070E">
                              <w:pPr>
                                <w:jc w:val="center"/>
                                <w:rPr>
                                  <w:sz w:val="20"/>
                                </w:rPr>
                              </w:pPr>
                              <w:r w:rsidRPr="00032955">
                                <w:rPr>
                                  <w:sz w:val="20"/>
                                </w:rPr>
                                <w:t>Orientation</w:t>
                              </w:r>
                            </w:p>
                          </w:txbxContent>
                        </wps:txbx>
                        <wps:bodyPr rot="0" vert="horz" wrap="square" lIns="91440" tIns="45720" rIns="91440" bIns="45720" anchor="t" anchorCtr="0">
                          <a:noAutofit/>
                        </wps:bodyPr>
                      </wps:wsp>
                      <wps:wsp>
                        <wps:cNvPr id="313" name="Rectangle 313"/>
                        <wps:cNvSpPr/>
                        <wps:spPr>
                          <a:xfrm>
                            <a:off x="5209953" y="3955312"/>
                            <a:ext cx="523875" cy="4953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8" name="Oval 318"/>
                        <wps:cNvSpPr/>
                        <wps:spPr>
                          <a:xfrm>
                            <a:off x="4401879" y="3934047"/>
                            <a:ext cx="476250" cy="504825"/>
                          </a:xfrm>
                          <a:prstGeom prst="ellipse">
                            <a:avLst/>
                          </a:prstGeom>
                          <a:noFill/>
                          <a:ln>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9" name="Plus 319"/>
                        <wps:cNvSpPr/>
                        <wps:spPr>
                          <a:xfrm>
                            <a:off x="5263116" y="4104168"/>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0" name="Minus 320"/>
                        <wps:cNvSpPr/>
                        <wps:spPr>
                          <a:xfrm>
                            <a:off x="5507665" y="4157330"/>
                            <a:ext cx="190500" cy="9525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9" name="Text Box 329"/>
                        <wps:cNvSpPr txBox="1">
                          <a:spLocks noChangeArrowheads="1"/>
                        </wps:cNvSpPr>
                        <wps:spPr bwMode="auto">
                          <a:xfrm>
                            <a:off x="180753" y="4540102"/>
                            <a:ext cx="1360170" cy="285115"/>
                          </a:xfrm>
                          <a:prstGeom prst="rect">
                            <a:avLst/>
                          </a:prstGeom>
                          <a:solidFill>
                            <a:srgbClr val="FFFFFF"/>
                          </a:solidFill>
                          <a:ln w="19050">
                            <a:solidFill>
                              <a:srgbClr val="000000"/>
                            </a:solidFill>
                            <a:miter lim="800000"/>
                            <a:headEnd/>
                            <a:tailEnd/>
                          </a:ln>
                        </wps:spPr>
                        <wps:txbx>
                          <w:txbxContent>
                            <w:p w14:paraId="45158E71" w14:textId="77777777" w:rsidR="00330D5F" w:rsidRPr="0049569F" w:rsidRDefault="00330D5F" w:rsidP="00C3070E">
                              <w:pPr>
                                <w:jc w:val="center"/>
                                <w:rPr>
                                  <w:sz w:val="20"/>
                                </w:rPr>
                              </w:pPr>
                              <w:r w:rsidRPr="0049569F">
                                <w:rPr>
                                  <w:sz w:val="20"/>
                                </w:rPr>
                                <w:t>Orientation</w:t>
                              </w:r>
                            </w:p>
                          </w:txbxContent>
                        </wps:txbx>
                        <wps:bodyPr rot="0" vert="horz" wrap="square" lIns="91440" tIns="45720" rIns="91440" bIns="45720" anchor="t" anchorCtr="0">
                          <a:noAutofit/>
                        </wps:bodyPr>
                      </wps:wsp>
                      <wps:wsp>
                        <wps:cNvPr id="330" name="Rectangle 330"/>
                        <wps:cNvSpPr/>
                        <wps:spPr>
                          <a:xfrm>
                            <a:off x="956930" y="3965944"/>
                            <a:ext cx="523875" cy="4953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1" name="Oval 331"/>
                        <wps:cNvSpPr/>
                        <wps:spPr>
                          <a:xfrm>
                            <a:off x="180753" y="3944679"/>
                            <a:ext cx="476250" cy="504825"/>
                          </a:xfrm>
                          <a:prstGeom prst="ellipse">
                            <a:avLst/>
                          </a:prstGeom>
                          <a:noFill/>
                          <a:ln>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2" name="Plus 332"/>
                        <wps:cNvSpPr/>
                        <wps:spPr>
                          <a:xfrm>
                            <a:off x="988827" y="4136065"/>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5" name="Minus 335"/>
                        <wps:cNvSpPr/>
                        <wps:spPr>
                          <a:xfrm>
                            <a:off x="1233376" y="4167963"/>
                            <a:ext cx="190500" cy="9525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7" name="Flowchart: Collate 347"/>
                        <wps:cNvSpPr/>
                        <wps:spPr>
                          <a:xfrm rot="16200000">
                            <a:off x="3817088" y="3221666"/>
                            <a:ext cx="365125" cy="643255"/>
                          </a:xfrm>
                          <a:prstGeom prst="flowChartCollate">
                            <a:avLst/>
                          </a:prstGeom>
                          <a:solidFill>
                            <a:schemeClr val="accent3">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AA0A0FE" id="Group 351" o:spid="_x0000_s1047" style="position:absolute;margin-left:-4.55pt;margin-top:16.75pt;width:454.55pt;height:379.95pt;z-index:251675648" coordsize="57726,48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IsIkwsAALqBAAAOAAAAZHJzL2Uyb0RvYy54bWzsXV1zm8gSfb9V+x8o3jcGhk9VnK1cZ526&#10;VdlNap1b+4wRkqhFoAs4svfX39Mzw4AwkiWvV+tIkweHz2FountOn+kevf3pfpkb39Kqzsri0rTf&#10;WKaRFkk5zYr5pfnfr9c/hqZRN3ExjfOySC/Nh7Q2f3r3w7/erleT1CkXZT5NKwONFPVkvbo0F02z&#10;mlxc1MkiXcb1m3KVFjg5K6tl3GC3ml9Mq3iN1pf5hWNZ/sW6rKarqkzSusbRD+Kk+Y63P5ulSfN5&#10;NqvTxsgvTfSt4X8r/veW/l68extP5lW8WmSJ7Eb8jF4s46zAQ1VTH+ImNu6q7FFTyyypyrqcNW+S&#10;cnlRzmZZkvJ3wNvY1uBtPlbl3Yq/y3yynq+UmCDagZye3Wzy67cvlZFNL03m2aZRxEt8JP5cgw5A&#10;POvVfIKrPlarm9WXSh6Yiz164/tZtaT/8S7GPRfsgxJset8YCQ56QeD4IdpPcM4NHc+xAyH6ZIHv&#10;8+i+ZPHzE3detA++oP6p7qxXUKO6k1T91yR1s4hXKf8ANclASsqJ3FZSX+kN/13eG3SMy4ZfSJIy&#10;mnucgE1wvahXn8rkj9ooyqtFXMzT91VVrhdpPEUPuZjxHupWEno9qamR2/Uv5RSfJL5rSt7QQNx2&#10;FIWRA81+LHQ79P3IwikSuhN6tu1RF5Xk4smqqpuPabk0aOPSrGAt/Bnxt091Iy5tL6EvXJd5Nr3O&#10;8pzvVPPbq7wyvsWwrGv+T7a+cVleGGu8YWR5lpDD1jYs/m+sjWXWwEfk2fLSDNVF8YSk93MxRT/j&#10;SRNnudjG6+UF3rKVoJBlc397z7XcjtrPdFtOHyDgqhQ+AT4MG4uy+tM01vAHl2b9v7u4Sk0j/0+B&#10;jxTZrksOhO+4XkAyr/pnbvtn4iJBU5dmYxpi86rhTof6WpTv8TFnGZcwdVP0RPYZ2iu6/PerMVyz&#10;sPdOi1vhQNmPp8MuKbE/rsMeY57jaR2GmigdhupJV3P2OswsNWgpJaZjUj5HVWM7sGzpifG/7Qbc&#10;1cSTdhC0XYdZTOoy8yxPfMfz9seO+lZal63glTjkcVfsA7RFOPV64QQFDakCJc29AFYD4PKSaMJx&#10;Wk+jtddyWu39UK4LgwNc4yrO8/KuMRjObvpkuUcgl0DRENZ6kRsCnwC52oHjuAGHrn1fyvzI9WVA&#10;4fsBMAJa3O5Lp+gT75Ls0f44d1OpbuejSrUb5m42MaqX47C1bh7ylMSTF7+lMwBYxBOOwNGbbcZJ&#10;khaNDDUW8TQVuNwjuCwFw0Nqsg4uJt4gtTwDnldtywbG2xbyldfTrSmPr9XNEuDvulndwZ9cFo26&#10;eZkVZTX2ZjneSj5ZXN9ieyEaws8dMGKtkg3MsV4l1xlinE9x3XyJK0T48GOE+D/jzywvEaKUcss0&#10;KAYYO/6yEUJxt7wqEToBv6B3fBN9qpq83ZxV5fJ3kBvvKS7BqTakSJqq3ZFBhQF6JEnfv+eXgVZY&#10;xc2n4maVUOMkaIrhvt7/HlcrGeg1gCS/lm1wG08G8Z64lu58LaEKswCbRKxyja+VLOKqmRiQVB43&#10;KZwLN35SBQn4RpyLCPRsH6QR2QS9nWQsbD+IIpdxZ8MQJDPEeWigczbM9+w2BvFd5nhP+BpSKET5&#10;VSM7yB82kDGF3fSMeiMeHrMdxm/P75YgAoRVB2TWo1a90RqFwbsfoD1ROiMZzV7KE2m3c2JuB17h&#10;kdu5KSsCNGqsecrneO4jl8NCBIsh4D5n5nzL9gaxIotC25Whom85/lPUnXI51Lm/5m84UAMc0b6E&#10;w61/DNVoX3JivgQYTviSm6aKs/miAYApCnDuZQV3ojg9uJOrQk60iEkAGqKG8VEY2IyhRQqQ7NBy&#10;bD790GEWzLG0TBO8RxQ9AVnyrKB5jkdQsIUpIr6B25LQacM5qMhCwJNRVCFQ6Ie4XoiL6oeadiSK&#10;GWHsx0KfPcKT8bhmDyM+dlzTSUmij8dxjfAAFPwQtD3ixECkiKiRUN7BWYmvt498pEoSXocRsxkm&#10;zKCpnudgbxNc21Foeb7UVRd0PygmeuVO5dspKBm86Ehe2RsX07jG72Eqx9b4gyJ5NZuqh8GTGgad&#10;SM06jvqW8CDfwhgLfUeE7p6PmUJ/4FwYC6IWR7tA2Zom1DShKZSgm3lXOQC1pgm/a5rQiaIdGJvO&#10;dsDlaYztWnZk05wcx9heGLnDIN3GtASfDmMaY4OiJtCnsImA+e28hEB0x0YcrxhjM0vlkI2Mg3S2&#10;U1XKxJF7W6bLXOZFzBXzZY5nRU44CAcRLHYDoc2ioGOQ28hSw2zMxpzbhBnHS3okPMEJM8yNC7Zp&#10;1L2o775XCI8JeOb6GFsxEjIrZK7LSeKObdpwL6HPfDU/pb1Lfb7T8Yoo0kH8SQXxzN6Z64OzB4GX&#10;XvrvlsRJ1+H51pR5ZlshqgeeoLMP4QiL8hopMOgwZdnsSlbfnJzvsGWPC9dZPC+RxaM4IO02Tsxt&#10;qJjnN0x7oQwmR/KOmLnanbzTm05wnMBjvpw6d3w3QEY1N94uzZqFuEbmqXoBBem4YPuEwlNlL6/D&#10;K3DExv0LcuZIHjKYFkmBo3R/j3AXSX50m0rBEzfuiNrbJ6o7+FP3SpWZ/nFA0p5iZbS5n5i5wwi3&#10;xyBiDN/b7nvVFcIF8FGiF4L0qyuCKPBQULTT7A/BCL0h/hHFpTOCn+NcWv/wDOfSc2tPZgQjRQJK&#10;oAmO0yM47J0EB87K774XwYGZwbbcAMkKvi8SinvOpU+fan7DbGl9QgTny28w7sS0czlB57IrAYqJ&#10;tQv2Ri599vRpfuOlvYumN2gREFVntCPeORYkUeyYjndOK95BNaiMd7pa9K5CVAKR4ywL0vc5rofF&#10;SQIOhPuIBlUHOPiKq3n7C4zwCoo2oNuIxl6ynJepmo6Bab5s6V9byfeaFwdhlFUngvceV4eDh8Bq&#10;ZkWuFYjcXxZ5Hs0b4P5OCz2HhS1V50aezIJ/PlWnBrvB8i9jyeS6jlYIqaujHSh9rbPhvutsOOYo&#10;uv0zVmkyaP8Q63UAdEMqBaBZf6QXWa5cs6tl2t3AR7KRGEI8i5b1ova3W2+a59mq3llnogxYrOI0&#10;qEIbJJfdzoUN92tjtyfw9EYNTqOjpwThRUYV39LF9ntQa9pJnBhoVST9l/yuhpPgRrx3cIsh3YsC&#10;AF84CRfbrsBQ3RCP4jSQ8cJJ8GXgWhS3JTMI6zwuqCfbq9G02Q6zbLXZbq6ydwYLYqDSRcLzX7KC&#10;2+1hjDeW1YtCucIOCmMCKibdgObSVnl8GGEJvj3MlvdE2+3+0+Tabs/Obi1VodJxRDi2icuPwxG5&#10;NF7bWH+Ihm7PDkM2wPeYCdMcUTVYQBalzPJjDZDwGXJE9hhHhIOb2iz3tpSuYBVMrE4gSjg1R9RO&#10;rEJmCFKPXS+lx6OzG49sVY4tOCLsH2K9WBPbDrHQreaIBtxUa8hnmSExGBk1kfydr76IRfNlsCk4&#10;om4R/b2yq7AsA9ZVRMDKOSLLtf1h7qbmiF5DioI22xOjdtWKYy1HxEmcvbldz7MCn5Zm4narOSKN&#10;yZ/7cyh6sePp2O873Yz+vBBz1HDbcUQ4tonLj8MRYfYG5VaSIgLWF8u492Z3NEXEF7Ann6qWIRcV&#10;aXRoMKKeIUVEa1Q+SiPqqjL2wo+R50fUDoYhFvlI1R8sbuLpLKKDCvv+3kTXgc7r4O87D/5Q5SAt&#10;WDBEXdXDXsbbG0EYLBdr7dNA1o0gOonoDEtotI84rUiTqcx3QRBhfxOtyr0tc0CUieCIREOXJh0R&#10;c274CJ1D9CpKWLTVnpjVqtQ/yQ91gct+Q7uD9XeDltfFyO4/WtsbP/sqE4R1DtE/Vnqm7fa07BZ5&#10;+BKRj/0YlsjS303ybv8xLPHLNGIlUeY4tu/zvMIOr+sfw0LNgK4U0KkiryhVBBnx88l6jh8OR9LQ&#10;HD9evsiSD3ET9/exvV5NUqdclPk0rd79HwAA//8DAFBLAwQUAAYACAAAACEAa6Z4VeAAAAAJAQAA&#10;DwAAAGRycy9kb3ducmV2LnhtbEyPQUvDQBSE74L/YXmCt3YTY7WJeSmlqKci2ArS22v2NQnN7obs&#10;Nkn/vetJj8MMM9/kq0m3YuDeNdYgxPMIBJvSqsZUCF/7t9kShPNkFLXWMMKVHayK25ucMmVH88nD&#10;zlcilBiXEULtfZdJ6cqaNbm57dgE72R7TT7IvpKqpzGU61Y+RNGT1NSYsFBTx5uay/PuohHeRxrX&#10;Sfw6bM+nzfWwX3x8b2NGvL+b1i8gPE/+Lwy/+AEdisB0tBejnGgRZmkckghJsgAR/DSKwrcjwnOa&#10;PIIscvn/QfEDAAD//wMAUEsBAi0AFAAGAAgAAAAhALaDOJL+AAAA4QEAABMAAAAAAAAAAAAAAAAA&#10;AAAAAFtDb250ZW50X1R5cGVzXS54bWxQSwECLQAUAAYACAAAACEAOP0h/9YAAACUAQAACwAAAAAA&#10;AAAAAAAAAAAvAQAAX3JlbHMvLnJlbHNQSwECLQAUAAYACAAAACEAB4iLCJMLAAC6gQAADgAAAAAA&#10;AAAAAAAAAAAuAgAAZHJzL2Uyb0RvYy54bWxQSwECLQAUAAYACAAAACEAa6Z4VeAAAAAJAQAADwAA&#10;AAAAAAAAAAAAAADtDQAAZHJzL2Rvd25yZXYueG1sUEsFBgAAAAAEAAQA8wAAAPoOAAAAAA==&#10;">
                <v:shapetype id="_x0000_t202" coordsize="21600,21600" o:spt="202" path="m,l,21600r21600,l21600,xe">
                  <v:stroke joinstyle="miter"/>
                  <v:path gradientshapeok="t" o:connecttype="rect"/>
                </v:shapetype>
                <v:shape id="Text Box 294" o:spid="_x0000_s1048" type="#_x0000_t202" style="position:absolute;left:19989;width:18669;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S/dMMA&#10;AADcAAAADwAAAGRycy9kb3ducmV2LnhtbESPT4vCMBTE7wt+h/CEva2p0l20GkUWtnhc/+H12Tyb&#10;YvNSmmyt394Iwh6HmfkNs1j1thYdtb5yrGA8SkAQF05XXCo47H8+piB8QNZYOyYFd/KwWg7eFphp&#10;d+MtdbtQighhn6ECE0KTSekLQxb9yDXE0bu41mKIsi2lbvEW4baWkyT5khYrjgsGG/o2VFx3f1bB&#10;pz/9pt39XJlyesxl3tttus+Veh/26zmIQH34D7/aG61gMkvheSYeAb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S/dMMAAADcAAAADwAAAAAAAAAAAAAAAACYAgAAZHJzL2Rv&#10;d25yZXYueG1sUEsFBgAAAAAEAAQA9QAAAIgDAAAAAA==&#10;" strokeweight="1.5pt">
                  <v:textbox>
                    <w:txbxContent>
                      <w:p w14:paraId="1393F402" w14:textId="77777777" w:rsidR="00330D5F" w:rsidRPr="00E45A4E" w:rsidRDefault="00330D5F" w:rsidP="00C3070E">
                        <w:pPr>
                          <w:jc w:val="center"/>
                          <w:rPr>
                            <w:b/>
                          </w:rPr>
                        </w:pPr>
                        <w:r w:rsidRPr="00E45A4E">
                          <w:rPr>
                            <w:b/>
                          </w:rPr>
                          <w:t>Broker</w:t>
                        </w:r>
                        <w:r>
                          <w:rPr>
                            <w:b/>
                          </w:rPr>
                          <w:t>s</w:t>
                        </w:r>
                      </w:p>
                    </w:txbxContent>
                  </v:textbox>
                </v:shape>
                <v:shape id="Text Box 2" o:spid="_x0000_s1049" type="#_x0000_t202" style="position:absolute;left:41998;width:15335;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M2FsAA&#10;AADbAAAADwAAAGRycy9kb3ducmV2LnhtbERPz2vCMBS+C/4P4Q1203TiRGpTEcGy46obu741z6bY&#10;vJQm1va/Xw4Djx/f72w/2lYM1PvGsYK3ZQKCuHK64VrB1+W02ILwAVlj65gUTORhn89nGabaPbik&#10;4RxqEUPYp6jAhNClUvrKkEW/dB1x5K6utxgi7Gupe3zEcNvKVZJspMWGY4PBjo6Gqtv5bhW8+5/P&#10;9TD9NqbefheyGG25vhRKvb6Mhx2IQGN4iv/dH1rBKo6NX+IPkPk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OM2FsAAAADbAAAADwAAAAAAAAAAAAAAAACYAgAAZHJzL2Rvd25y&#10;ZXYueG1sUEsFBgAAAAAEAAQA9QAAAIUDAAAAAA==&#10;" strokeweight="1.5pt">
                  <v:textbox>
                    <w:txbxContent>
                      <w:p w14:paraId="2E04B297" w14:textId="77777777" w:rsidR="00330D5F" w:rsidRPr="00E45A4E" w:rsidRDefault="00330D5F" w:rsidP="00C3070E">
                        <w:pPr>
                          <w:jc w:val="center"/>
                          <w:rPr>
                            <w:b/>
                          </w:rPr>
                        </w:pPr>
                        <w:r w:rsidRPr="00E45A4E">
                          <w:rPr>
                            <w:b/>
                          </w:rPr>
                          <w:t>Professionals</w:t>
                        </w:r>
                      </w:p>
                    </w:txbxContent>
                  </v:textbox>
                </v:shape>
                <v:shape id="Text Box 301" o:spid="_x0000_s1050" type="#_x0000_t202" style="position:absolute;left:1701;top:12014;width:14230;height:3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iG9sQA&#10;AADcAAAADwAAAGRycy9kb3ducmV2LnhtbESPS2vDMBCE74H+B7GF3hI5rROCE8WUQk2PeZVeN9bW&#10;MrVWxlL9+PdRoZDjMDPfMLt8tI3oqfO1YwXLRQKCuHS65krB5fw+34DwAVlj45gUTOQh3z/Mdphp&#10;N/CR+lOoRISwz1CBCaHNpPSlIYt+4Vri6H27zmKIsquk7nCIcNvI5yRZS4s1xwWDLb0ZKn9Ov1bB&#10;yn8d0n661qbafBayGO0xPRdKPT2Or1sQgcZwD/+3P7SCl2QJf2fiEZD7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ohvbEAAAA3AAAAA8AAAAAAAAAAAAAAAAAmAIAAGRycy9k&#10;b3ducmV2LnhtbFBLBQYAAAAABAAEAPUAAACJAwAAAAA=&#10;" strokeweight="1.5pt">
                  <v:textbox>
                    <w:txbxContent>
                      <w:p w14:paraId="054417BC" w14:textId="77777777" w:rsidR="00330D5F" w:rsidRPr="00E13D17" w:rsidRDefault="00330D5F" w:rsidP="00C3070E">
                        <w:pPr>
                          <w:spacing w:after="0"/>
                          <w:jc w:val="center"/>
                          <w:rPr>
                            <w:sz w:val="18"/>
                          </w:rPr>
                        </w:pPr>
                        <w:r>
                          <w:rPr>
                            <w:sz w:val="18"/>
                          </w:rPr>
                          <w:t>Regressive narrative</w:t>
                        </w:r>
                      </w:p>
                    </w:txbxContent>
                  </v:textbox>
                </v:shape>
                <v:shape id="Text Box 2" o:spid="_x0000_s1051" type="#_x0000_t202" style="position:absolute;width:16217;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THEMUA&#10;AADcAAAADwAAAGRycy9kb3ducmV2LnhtbESPQWvCQBSE74L/YXmCN91URdvUVUQULGLbWC+9PbKv&#10;STD7NmRXE/99VxA8DjPzDTNftqYUV6pdYVnByzACQZxaXXCm4PSzHbyCcB5ZY2mZFNzIwXLR7cwx&#10;1rbhhK5Hn4kAYRejgtz7KpbSpTkZdENbEQfvz9YGfZB1JnWNTYCbUo6iaCoNFhwWcqxonVN6Pl6M&#10;gq/N7Js/fzlr9pOPyS1J3tridFCq32tX7yA8tf4ZfrR3WsE4msH9TDg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BMcQxQAAANwAAAAPAAAAAAAAAAAAAAAAAJgCAABkcnMv&#10;ZG93bnJldi54bWxQSwUGAAAAAAQABAD1AAAAigMAAAAA&#10;" strokecolor="black [3213]" strokeweight="1.5pt">
                  <v:textbox>
                    <w:txbxContent>
                      <w:p w14:paraId="204F48B6" w14:textId="77777777" w:rsidR="00330D5F" w:rsidRPr="00E45A4E" w:rsidRDefault="00330D5F" w:rsidP="00C3070E">
                        <w:pPr>
                          <w:jc w:val="center"/>
                          <w:rPr>
                            <w:b/>
                          </w:rPr>
                        </w:pPr>
                        <w:r w:rsidRPr="00E45A4E">
                          <w:rPr>
                            <w:b/>
                          </w:rPr>
                          <w:t xml:space="preserve">Budget </w:t>
                        </w:r>
                        <w:r>
                          <w:rPr>
                            <w:b/>
                          </w:rPr>
                          <w:t>users</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302" o:spid="_x0000_s1052" type="#_x0000_t80" style="position:absolute;left:1594;top:17224;width:14370;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V2cQA&#10;AADcAAAADwAAAGRycy9kb3ducmV2LnhtbESPT2sCMRTE74LfITyhN020xcpqFFsQvBTqn4PHR/Lc&#10;Xdy8rJuoq5++EYQeh5n5DTNbtK4SV2pC6VnDcKBAEBtvS8417Her/gREiMgWK8+k4U4BFvNuZ4aZ&#10;9Tfe0HUbc5EgHDLUUMRYZ1IGU5DDMPA1cfKOvnEYk2xyaRu8Jbir5EipsXRYcloosKbvgsxpe3Ea&#10;VLSHDT0+9x9f51873rFx6x+j9VuvXU5BRGrjf/jVXlsN72oEzzPpCM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7FdnEAAAA3AAAAA8AAAAAAAAAAAAAAAAAmAIAAGRycy9k&#10;b3ducmV2LnhtbFBLBQYAAAAABAAEAPUAAACJAwAAAAA=&#10;" adj="14035,9046,16200,9923" fillcolor="white [3212]" strokecolor="black [3213]" strokeweight="1.5pt">
                  <v:textbox>
                    <w:txbxContent>
                      <w:p w14:paraId="1CA5378D" w14:textId="77777777" w:rsidR="00330D5F" w:rsidRPr="00915EAD" w:rsidRDefault="00330D5F" w:rsidP="00C3070E">
                        <w:pPr>
                          <w:spacing w:after="0"/>
                          <w:jc w:val="center"/>
                          <w:rPr>
                            <w:sz w:val="28"/>
                          </w:rPr>
                        </w:pPr>
                        <w:r w:rsidRPr="00915EAD">
                          <w:rPr>
                            <w:color w:val="000000" w:themeColor="text1"/>
                            <w:sz w:val="18"/>
                          </w:rPr>
                          <w:t>Contin</w:t>
                        </w:r>
                        <w:r>
                          <w:rPr>
                            <w:color w:val="000000" w:themeColor="text1"/>
                            <w:sz w:val="18"/>
                          </w:rPr>
                          <w:t>gent n</w:t>
                        </w:r>
                        <w:r w:rsidRPr="00915EAD">
                          <w:rPr>
                            <w:color w:val="000000" w:themeColor="text1"/>
                            <w:sz w:val="18"/>
                          </w:rPr>
                          <w:t>arrative</w:t>
                        </w:r>
                      </w:p>
                    </w:txbxContent>
                  </v:textbox>
                </v:shape>
                <v:shapetype id="_x0000_t125" coordsize="21600,21600" o:spt="125" path="m21600,21600l,21600,21600,,,xe">
                  <v:stroke joinstyle="miter"/>
                  <v:path o:extrusionok="f" gradientshapeok="t" o:connecttype="custom" o:connectlocs="10800,0;10800,10800;10800,21600" textboxrect="5400,5400,16200,16200"/>
                </v:shapetype>
                <v:shape id="Flowchart: Collate 305" o:spid="_x0000_s1053" type="#_x0000_t125" style="position:absolute;left:16799;top:31153;width:3651;height:6433;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OPNcYA&#10;AADcAAAADwAAAGRycy9kb3ducmV2LnhtbESPQWvCQBSE7wX/w/KEXkqzMbZpia7SCEUvFhqFXB/Z&#10;ZxLMvg3Zrab/visUPA4z8w2zXI+mExcaXGtZwSyKQRBXVrdcKzgePp/fQTiPrLGzTAp+ycF6NXlY&#10;Yqbtlb/pUvhaBAi7DBU03veZlK5qyKCLbE8cvJMdDPogh1rqAa8BbjqZxHEqDbYcFhrsadNQdS5+&#10;jIKvfPuUvuCu1Pu8TPc2KTdv41ypx+n4sQDhafT38H97pxXM41e4nQ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OPNcYAAADcAAAADwAAAAAAAAAAAAAAAACYAgAAZHJz&#10;L2Rvd25yZXYueG1sUEsFBgAAAAAEAAQA9QAAAIsDAAAAAA==&#10;" fillcolor="#76923c [2406]" strokecolor="black [3213]" strokeweight="2pt"/>
                <v:shapetype id="_x0000_t126" coordsize="21600,21600" o:spt="126" path="m10800,l,10800,10800,21600,21600,10800xem,10800nfl21600,10800e">
                  <v:stroke joinstyle="miter"/>
                  <v:path o:extrusionok="f" gradientshapeok="t" o:connecttype="rect" textboxrect="5400,5400,16200,16200"/>
                </v:shapetype>
                <v:shape id="Flowchart: Sort 303" o:spid="_x0000_s1054" type="#_x0000_t126" style="position:absolute;left:38170;top:28601;width:3982;height:602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oz3cQA&#10;AADcAAAADwAAAGRycy9kb3ducmV2LnhtbESPX0sDMRDE34V+h7AFX6RNtCDlbFpEFMSHSv/Q5+3t&#10;mhxeNsclXs9vbwTBx2FmfsOsNmNo1cB9aqJYuJ0bUCx1pEachePhZbYElTIKYRuFLXxzgs16crXC&#10;iuJFdjzss1MFIqlCCz7nrtI61Z4DpnnsWIr3EfuAucjeaerxUuCh1XfG3OuAjZQFjx0/ea4/91/B&#10;giH3PtDZnajlNzrE3fZ562+svZ6Ojw+gMo/5P/zXfiULC7OA3zPlCO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aM93EAAAA3AAAAA8AAAAAAAAAAAAAAAAAmAIAAGRycy9k&#10;b3ducmV2LnhtbFBLBQYAAAAABAAEAPUAAACJAwAAAAA=&#10;" fillcolor="#c0504d [3205]" strokecolor="black [3213]" strokeweight="2pt"/>
                <v:line id="Straight Connector 300" o:spid="_x0000_s1055" style="position:absolute;visibility:visible;mso-wrap-style:square" from="18713,11802" to="18795,444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8wp78AAADcAAAADwAAAGRycy9kb3ducmV2LnhtbERPzU4CMRC+m/gOzZh4k1YkgCuFEBKU&#10;6y4+wLgdtxu303U7wPr29kDC8cv3v9qMoVNnGlIb2cLzxIAirqNrubHwedw/LUElQXbYRSYLf5Rg&#10;s76/W2Hh4oVLOlfSqBzCqUALXqQvtE61p4BpEnvizH3HIaBkODTaDXjJ4aHTU2PmOmDLucFjTztP&#10;9U91Cha+lif56Pzs/bWckSmrX5cWR7H28WHcvoESGuUmvroPzsKLyfPzmXwE9Po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Y8wp78AAADcAAAADwAAAAAAAAAAAAAAAACh&#10;AgAAZHJzL2Rvd25yZXYueG1sUEsFBgAAAAAEAAQA+QAAAI0DAAAAAA==&#10;" strokecolor="black [3213]" strokeweight="3pt">
                  <v:stroke dashstyle="3 1"/>
                </v:line>
                <v:shape id="Down Arrow Callout 297" o:spid="_x0000_s1056" type="#_x0000_t80" style="position:absolute;left:8931;top:5528;width:19805;height:4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XkYsQA&#10;AADcAAAADwAAAGRycy9kb3ducmV2LnhtbESPQWsCMRSE74L/ITyht5rVg9WtUVS0lEIPrnp/3bxu&#10;lm5eliSu2/76plDwOMzMN8xy3dtGdORD7VjBZJyBIC6drrlScD4dHucgQkTW2DgmBd8UYL0aDpaY&#10;a3fjI3VFrESCcMhRgYmxzaUMpSGLYexa4uR9Om8xJukrqT3eEtw2cpplM2mx5rRgsKWdofKruFoF&#10;2ent/TIvw0d8+dn7boOmc7OtUg+jfvMMIlIf7+H/9qtWMF08wd+Zd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l5GLEAAAA3AAAAA8AAAAAAAAAAAAAAAAAmAIAAGRycy9k&#10;b3ducmV2LnhtbFBLBQYAAAAABAAEAPUAAACJAwAAAAA=&#10;" adj="14035,9564,16200,10182" fillcolor="white [3212]" strokecolor="black [3213]" strokeweight="1.5pt">
                  <v:textbox>
                    <w:txbxContent>
                      <w:p w14:paraId="0950D000" w14:textId="77777777" w:rsidR="00330D5F" w:rsidRPr="00915EAD" w:rsidRDefault="00330D5F" w:rsidP="00C3070E">
                        <w:pPr>
                          <w:spacing w:after="0"/>
                          <w:jc w:val="center"/>
                          <w:rPr>
                            <w:sz w:val="28"/>
                          </w:rPr>
                        </w:pPr>
                        <w:r>
                          <w:rPr>
                            <w:color w:val="000000" w:themeColor="text1"/>
                            <w:sz w:val="18"/>
                          </w:rPr>
                          <w:t>Positioning</w:t>
                        </w:r>
                      </w:p>
                    </w:txbxContent>
                  </v:textbox>
                </v:shape>
                <v:shape id="Down Arrow Callout 298" o:spid="_x0000_s1057" type="#_x0000_t80" style="position:absolute;left:33386;top:5635;width:13379;height:41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JPpcQA&#10;AADcAAAADwAAAGRycy9kb3ducmV2LnhtbERPTWvCQBC9C/6HZYTedGOQUlM3QSxF20MhppR6G7Nj&#10;EszOhuxW0/767kHw+Hjfq2wwrbhQ7xrLCuazCARxaXXDlYLP4nX6BMJ5ZI2tZVLwSw6ydDxaYaLt&#10;lXO67H0lQgi7BBXU3neJlK6syaCb2Y44cCfbG/QB9pXUPV5DuGllHEWP0mDDoaHGjjY1lef9j1Fg&#10;P17yL1zs/t4p+t4eh/hQrPM3pR4mw/oZhKfB38U3904riJdhbTgTjoB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ST6XEAAAA3AAAAA8AAAAAAAAAAAAAAAAAmAIAAGRycy9k&#10;b3ducmV2LnhtbFBLBQYAAAAABAAEAPUAAACJAwAAAAA=&#10;" adj="14035,9121,16200,9961" fillcolor="white [3212]" strokecolor="black [3213]" strokeweight="1.5pt">
                  <v:textbox>
                    <w:txbxContent>
                      <w:p w14:paraId="7C48572E" w14:textId="77777777" w:rsidR="00330D5F" w:rsidRPr="00915EAD" w:rsidRDefault="00330D5F" w:rsidP="00C3070E">
                        <w:pPr>
                          <w:spacing w:after="0"/>
                          <w:jc w:val="center"/>
                          <w:rPr>
                            <w:sz w:val="28"/>
                          </w:rPr>
                        </w:pPr>
                        <w:r>
                          <w:rPr>
                            <w:color w:val="000000" w:themeColor="text1"/>
                            <w:sz w:val="18"/>
                          </w:rPr>
                          <w:t>Positioning</w:t>
                        </w:r>
                      </w:p>
                    </w:txbxContent>
                  </v:textbox>
                </v:shape>
                <v:line id="Straight Connector 299" o:spid="_x0000_s1058" style="position:absolute;visibility:visible;mso-wrap-style:square" from="40191,11589" to="40222,44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DIMMAAADcAAAADwAAAGRycy9kb3ducmV2LnhtbESPzW7CMBCE75X6DtYi9VYcECokYFBV&#10;qT/XBB5gG2/jiHidxgukb18jIXEczcw3ms1u9J060xDbwAZm0wwUcR1sy42Bw/79eQUqCrLFLjAZ&#10;+KMIu+3jwwYLGy5c0rmSRiUIxwINOJG+0DrWjjzGaeiJk/cTBo+S5NBoO+AlwX2n51n2oj22nBYc&#10;9vTmqD5WJ2/ge3WSz84tPvJyQVlZ/dq43IsxT5PxdQ1KaJR7+Nb+sgbmeQ7XM+kI6O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5eAyDDAAAA3AAAAA8AAAAAAAAAAAAA&#10;AAAAoQIAAGRycy9kb3ducmV2LnhtbFBLBQYAAAAABAAEAPkAAACRAwAAAAA=&#10;" strokecolor="black [3213]" strokeweight="3pt">
                  <v:stroke dashstyle="3 1"/>
                </v:line>
                <v:shape id="Down Arrow Callout 304" o:spid="_x0000_s1059" type="#_x0000_t80" style="position:absolute;left:43593;top:25092;width:13379;height:139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XhSsUA&#10;AADcAAAADwAAAGRycy9kb3ducmV2LnhtbESP22oCMRRF3wv9h3AKvtXES4uORhFBsT4oVT/gODlz&#10;aScn4yTq9O9NodDHzb4s9nTe2krcqPGlYw29rgJBnDpTcq7hdFy9jkD4gGywckwafsjDfPb8NMXE&#10;uDt/0u0QchFH2CeooQihTqT0aUEWfdfVxNHLXGMxRNnk0jR4j+O2kn2l3qXFkiOhwJqWBaXfh6uN&#10;3Gy9d+p6Ovez3nn49ZZudx/ji9adl3YxARGoDf/hv/bGaBioIfyeiUd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FeFKxQAAANwAAAAPAAAAAAAAAAAAAAAAAJgCAABkcnMv&#10;ZG93bnJldi54bWxQSwUGAAAAAAQABAD1AAAAigMAAAAA&#10;" adj="14035,,16428" fillcolor="white [3212]" strokecolor="black [3213]" strokeweight="1.5pt">
                  <v:textbox>
                    <w:txbxContent>
                      <w:p w14:paraId="7E456EFA" w14:textId="77777777" w:rsidR="00330D5F" w:rsidRDefault="00330D5F" w:rsidP="00C3070E">
                        <w:pPr>
                          <w:spacing w:after="0"/>
                          <w:jc w:val="center"/>
                          <w:rPr>
                            <w:color w:val="000000" w:themeColor="text1"/>
                            <w:sz w:val="18"/>
                          </w:rPr>
                        </w:pPr>
                        <w:r>
                          <w:rPr>
                            <w:color w:val="000000" w:themeColor="text1"/>
                            <w:sz w:val="18"/>
                          </w:rPr>
                          <w:t>Story-line</w:t>
                        </w:r>
                      </w:p>
                      <w:p w14:paraId="48BF62FB" w14:textId="77777777" w:rsidR="00330D5F" w:rsidRDefault="00330D5F" w:rsidP="00C3070E">
                        <w:pPr>
                          <w:spacing w:after="0"/>
                          <w:jc w:val="center"/>
                          <w:rPr>
                            <w:color w:val="000000" w:themeColor="text1"/>
                            <w:sz w:val="18"/>
                          </w:rPr>
                        </w:pPr>
                        <w:r>
                          <w:rPr>
                            <w:color w:val="000000" w:themeColor="text1"/>
                            <w:sz w:val="18"/>
                          </w:rPr>
                          <w:t>Tropes</w:t>
                        </w:r>
                      </w:p>
                      <w:p w14:paraId="71452241" w14:textId="77777777" w:rsidR="00330D5F" w:rsidRPr="00664264" w:rsidRDefault="00330D5F" w:rsidP="00C3070E">
                        <w:pPr>
                          <w:spacing w:after="0"/>
                          <w:jc w:val="center"/>
                          <w:rPr>
                            <w:color w:val="000000" w:themeColor="text1"/>
                            <w:sz w:val="18"/>
                          </w:rPr>
                        </w:pPr>
                        <w:r w:rsidRPr="00664264">
                          <w:rPr>
                            <w:color w:val="000000" w:themeColor="text1"/>
                            <w:sz w:val="18"/>
                          </w:rPr>
                          <w:t>Warranted voice</w:t>
                        </w:r>
                      </w:p>
                    </w:txbxContent>
                  </v:textbox>
                </v:shape>
                <v:shape id="Down Arrow Callout 306" o:spid="_x0000_s1060" type="#_x0000_t80" style="position:absolute;left:22434;top:30834;width:13380;height:8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xpYsIA&#10;AADcAAAADwAAAGRycy9kb3ducmV2LnhtbESPQWsCMRSE74X+h/AK3mriCkvZGkUKi3qsWry+bl6T&#10;xc3Lskl1/feNIPQ4zMw3zGI1+k5caIhtYA2zqQJB3ATTstVwPNSvbyBiQjbYBSYNN4qwWj4/LbAy&#10;4cqfdNknKzKEY4UaXEp9JWVsHHmM09ATZ+8nDB5TloOVZsBrhvtOFkqV0mPLecFhTx+OmvP+12tQ&#10;m++Tvfm6LotiJ62zm3L2ddJ68jKu30EkGtN/+NHeGg1zVcL9TD4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DGliwgAAANwAAAAPAAAAAAAAAAAAAAAAAJgCAABkcnMvZG93&#10;bnJldi54bWxQSwUGAAAAAAQABAD1AAAAhwMAAAAA&#10;" adj="14035,7314,16200,9057" fillcolor="white [3212]" strokecolor="black [3213]" strokeweight="1.5pt">
                  <v:textbox>
                    <w:txbxContent>
                      <w:p w14:paraId="0440071C" w14:textId="77777777" w:rsidR="00330D5F" w:rsidRDefault="00330D5F" w:rsidP="00C3070E">
                        <w:pPr>
                          <w:spacing w:after="0"/>
                          <w:jc w:val="center"/>
                          <w:rPr>
                            <w:color w:val="000000" w:themeColor="text1"/>
                            <w:sz w:val="18"/>
                          </w:rPr>
                        </w:pPr>
                        <w:r>
                          <w:rPr>
                            <w:color w:val="000000" w:themeColor="text1"/>
                            <w:sz w:val="18"/>
                          </w:rPr>
                          <w:t>Story-line</w:t>
                        </w:r>
                      </w:p>
                      <w:p w14:paraId="275D7B70" w14:textId="77777777" w:rsidR="00330D5F" w:rsidRPr="00915EAD" w:rsidRDefault="00330D5F" w:rsidP="00C3070E">
                        <w:pPr>
                          <w:spacing w:after="0"/>
                          <w:jc w:val="center"/>
                          <w:rPr>
                            <w:sz w:val="28"/>
                          </w:rPr>
                        </w:pPr>
                        <w:r>
                          <w:rPr>
                            <w:color w:val="000000" w:themeColor="text1"/>
                            <w:sz w:val="18"/>
                          </w:rPr>
                          <w:t>Tropes</w:t>
                        </w:r>
                      </w:p>
                    </w:txbxContent>
                  </v:textbox>
                </v:shape>
                <v:shape id="Down Arrow Callout 312" o:spid="_x0000_s1061" type="#_x0000_t80" style="position:absolute;left:41998;top:12014;width:14427;height:108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MGjsQA&#10;AADcAAAADwAAAGRycy9kb3ducmV2LnhtbESPQUsDMRSE70L/Q3iCF7HZtlBkbVqkutJTwVYQb4/k&#10;uVncvIQktvHfG6HgcZiZb5jVprhRnCimwbOC2bQBQay9GbhX8Hbs7u5BpIxscPRMCn4owWY9uVph&#10;a/yZX+l0yL2oEE4tKrA5h1bKpC05TFMfiKv36aPDXGXspYl4rnA3ynnTLKXDgeuCxUBbS/rr8O0U&#10;6NvFMoT90650z++dfNHlg6NV6ua6PD6AyFTyf/jS3hkFi9kc/s7U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zBo7EAAAA3AAAAA8AAAAAAAAAAAAAAAAAmAIAAGRycy9k&#10;b3ducmV2LnhtbFBLBQYAAAAABAAEAPUAAACJAwAAAAA=&#10;" adj="14035,6738,16200,8769" filled="f" strokecolor="black [3213]" strokeweight="1.5pt">
                  <v:textbox>
                    <w:txbxContent>
                      <w:p w14:paraId="48554F5A" w14:textId="77777777" w:rsidR="00330D5F" w:rsidRPr="00911FC1" w:rsidRDefault="00330D5F" w:rsidP="00C3070E">
                        <w:pPr>
                          <w:spacing w:after="0"/>
                          <w:jc w:val="center"/>
                          <w:rPr>
                            <w:color w:val="000000" w:themeColor="text1"/>
                            <w:sz w:val="18"/>
                          </w:rPr>
                        </w:pPr>
                        <w:r w:rsidRPr="00911FC1">
                          <w:rPr>
                            <w:color w:val="000000" w:themeColor="text1"/>
                            <w:sz w:val="18"/>
                          </w:rPr>
                          <w:t>Contingent narrative/</w:t>
                        </w:r>
                      </w:p>
                      <w:p w14:paraId="0BD21D78" w14:textId="77777777" w:rsidR="00330D5F" w:rsidRPr="00911FC1" w:rsidRDefault="00330D5F" w:rsidP="00C3070E">
                        <w:pPr>
                          <w:spacing w:after="0"/>
                          <w:jc w:val="center"/>
                          <w:rPr>
                            <w:color w:val="000000" w:themeColor="text1"/>
                            <w:sz w:val="28"/>
                          </w:rPr>
                        </w:pPr>
                        <w:r w:rsidRPr="00911FC1">
                          <w:rPr>
                            <w:color w:val="000000" w:themeColor="text1"/>
                            <w:sz w:val="18"/>
                          </w:rPr>
                          <w:t>Conventions of warrant</w:t>
                        </w:r>
                      </w:p>
                    </w:txbxContent>
                  </v:textbox>
                </v:shape>
                <v:rect id="Rectangle 314" o:spid="_x0000_s1062" style="position:absolute;left:22753;top:22647;width:14383;height:2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IrYMUA&#10;AADcAAAADwAAAGRycy9kb3ducmV2LnhtbESPQWsCMRSE74X+h/AEbzW7rRXdGqUUqr2VbkV7fGze&#10;bhY3L0sSdf33TaHgcZiZb5jlerCdOJMPrWMF+SQDQVw53XKjYPf9/jAHESKyxs4xKbhSgPXq/m6J&#10;hXYX/qJzGRuRIBwKVGBi7AspQ2XIYpi4njh5tfMWY5K+kdrjJcFtJx+zbCYttpwWDPb0Zqg6lier&#10;YJOXh6s3z/kimLr+2c9ot/08KTUeDa8vICIN8Rb+b39oBU/5FP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EitgxQAAANwAAAAPAAAAAAAAAAAAAAAAAJgCAABkcnMv&#10;ZG93bnJldi54bWxQSwUGAAAAAAQABAD1AAAAigMAAAAA&#10;" fillcolor="white [3201]" strokecolor="black [3213]" strokeweight="1.5pt">
                  <v:textbox>
                    <w:txbxContent>
                      <w:p w14:paraId="16C13C0B" w14:textId="77777777" w:rsidR="00330D5F" w:rsidRPr="009F6E2F" w:rsidRDefault="00330D5F" w:rsidP="00C3070E">
                        <w:pPr>
                          <w:jc w:val="center"/>
                          <w:rPr>
                            <w:sz w:val="18"/>
                          </w:rPr>
                        </w:pPr>
                        <w:r>
                          <w:rPr>
                            <w:sz w:val="18"/>
                          </w:rPr>
                          <w:t>Brokerage actions</w:t>
                        </w:r>
                      </w:p>
                    </w:txbxContent>
                  </v:textbox>
                </v:rect>
                <v:shape id="Down Arrow Callout 315" o:spid="_x0000_s1063" type="#_x0000_t80" style="position:absolute;left:1701;top:22753;width:14230;height:79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Cw8QA&#10;AADcAAAADwAAAGRycy9kb3ducmV2LnhtbESPQWsCMRSE74X+h/AKXopmtVXK1igqCB7t6sHjY/Pc&#10;Xdy8rEnU+O9NQfA4zMw3zHQeTSuu5HxjWcFwkIEgLq1uuFKw3637PyB8QNbYWiYFd/Iwn72/TTHX&#10;9sZ/dC1CJRKEfY4K6hC6XEpf1mTQD2xHnLyjdQZDkq6S2uEtwU0rR1k2kQYbTgs1drSqqTwVF6Pg&#10;8um2x1Asl9u72X2PDqc4OW+iUr2PuPgFESiGV/jZ3mgFX8Mx/J9JR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GAsPEAAAA3AAAAA8AAAAAAAAAAAAAAAAAmAIAAGRycy9k&#10;b3ducmV2LnhtbFBLBQYAAAAABAAEAPUAAACJAwAAAAA=&#10;" adj="14035,7773,16200,9287" fillcolor="white [3212]" strokecolor="black [3213]" strokeweight="1.5pt">
                  <v:textbox>
                    <w:txbxContent>
                      <w:p w14:paraId="0E29355C" w14:textId="77777777" w:rsidR="00330D5F" w:rsidRPr="008E2844" w:rsidRDefault="00330D5F" w:rsidP="00C3070E">
                        <w:pPr>
                          <w:spacing w:after="0"/>
                          <w:jc w:val="center"/>
                          <w:rPr>
                            <w:color w:val="000000" w:themeColor="text1"/>
                            <w:sz w:val="18"/>
                          </w:rPr>
                        </w:pPr>
                        <w:r w:rsidRPr="008E2844">
                          <w:rPr>
                            <w:color w:val="000000" w:themeColor="text1"/>
                            <w:sz w:val="18"/>
                          </w:rPr>
                          <w:t>Dramatic engagement</w:t>
                        </w:r>
                        <w:r>
                          <w:rPr>
                            <w:color w:val="000000" w:themeColor="text1"/>
                            <w:sz w:val="18"/>
                          </w:rPr>
                          <w:t>/</w:t>
                        </w:r>
                      </w:p>
                      <w:p w14:paraId="5DF0C936" w14:textId="77777777" w:rsidR="00330D5F" w:rsidRPr="00915EAD" w:rsidRDefault="00330D5F" w:rsidP="00C3070E">
                        <w:pPr>
                          <w:jc w:val="center"/>
                          <w:rPr>
                            <w:sz w:val="28"/>
                          </w:rPr>
                        </w:pPr>
                        <w:r>
                          <w:rPr>
                            <w:color w:val="000000" w:themeColor="text1"/>
                            <w:sz w:val="18"/>
                          </w:rPr>
                          <w:t>Progressive n</w:t>
                        </w:r>
                        <w:r w:rsidRPr="00915EAD">
                          <w:rPr>
                            <w:color w:val="000000" w:themeColor="text1"/>
                            <w:sz w:val="18"/>
                          </w:rPr>
                          <w:t>arrative</w:t>
                        </w:r>
                      </w:p>
                    </w:txbxContent>
                  </v:textbox>
                </v:shape>
                <v:shape id="Down Arrow Callout 316" o:spid="_x0000_s1064" type="#_x0000_t80" style="position:absolute;left:1594;top:31366;width:13380;height:8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X/v8MA&#10;AADcAAAADwAAAGRycy9kb3ducmV2LnhtbESPzWrDMBCE74G8g9hCb41sF0xxo4RQMEmO+Sm5bq2t&#10;ZGKtjKUkzttHhUKOw8x8w8yXo+vElYbQelaQzzIQxI3XLRsFx0P99gEiRGSNnWdScKcAy8V0MsdK&#10;+xvv6LqPRiQIhwoV2Bj7SsrQWHIYZr4nTt6vHxzGJAcj9YC3BHedLLKslA5bTgsWe/qy1Jz3F6cg&#10;W/+czN3VdVkUW2msWZf590mp15dx9Qki0hif4f/2Rit4z0v4O5OOg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X/v8MAAADcAAAADwAAAAAAAAAAAAAAAACYAgAAZHJzL2Rv&#10;d25yZXYueG1sUEsFBgAAAAAEAAQA9QAAAIgDAAAAAA==&#10;" adj="14035,7314,16200,9057" fillcolor="white [3212]" strokecolor="black [3213]" strokeweight="1.5pt">
                  <v:textbox>
                    <w:txbxContent>
                      <w:p w14:paraId="7963FEB2" w14:textId="77777777" w:rsidR="00330D5F" w:rsidRDefault="00330D5F" w:rsidP="00C3070E">
                        <w:pPr>
                          <w:spacing w:after="0"/>
                          <w:jc w:val="center"/>
                          <w:rPr>
                            <w:color w:val="000000" w:themeColor="text1"/>
                            <w:sz w:val="18"/>
                          </w:rPr>
                        </w:pPr>
                        <w:r>
                          <w:rPr>
                            <w:color w:val="000000" w:themeColor="text1"/>
                            <w:sz w:val="18"/>
                          </w:rPr>
                          <w:t>Story-line</w:t>
                        </w:r>
                      </w:p>
                      <w:p w14:paraId="0C2EE9F4" w14:textId="77777777" w:rsidR="00330D5F" w:rsidRPr="00915EAD" w:rsidRDefault="00330D5F" w:rsidP="00C3070E">
                        <w:pPr>
                          <w:spacing w:after="0"/>
                          <w:jc w:val="center"/>
                          <w:rPr>
                            <w:sz w:val="28"/>
                          </w:rPr>
                        </w:pPr>
                        <w:r>
                          <w:rPr>
                            <w:color w:val="000000" w:themeColor="text1"/>
                            <w:sz w:val="18"/>
                          </w:rPr>
                          <w:t>Tropes</w:t>
                        </w:r>
                      </w:p>
                    </w:txbxContent>
                  </v:textbox>
                </v:shape>
                <v:shape id="Down Arrow Callout 317" o:spid="_x0000_s1065" type="#_x0000_t80" style="position:absolute;left:22434;top:12014;width:14427;height:8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G8r8QA&#10;AADcAAAADwAAAGRycy9kb3ducmV2LnhtbESPQWvCQBSE7wX/w/IK3uomSrVEVxGhUKEXowWPj+wz&#10;G5p9G7ObGP+9Wyh4HGbmG2a1GWwtemp95VhBOklAEBdOV1wqOB0/3z5A+ICssXZMCu7kYbMevaww&#10;0+7GB+rzUIoIYZ+hAhNCk0npC0MW/cQ1xNG7uNZiiLItpW7xFuG2ltMkmUuLFccFgw3tDBW/eWcV&#10;HN6v+/w7lF1/P3cp1easrz9OqfHrsF2CCDSEZ/i//aUVzNIF/J2JR0C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xvK/EAAAA3AAAAA8AAAAAAAAAAAAAAAAAmAIAAGRycy9k&#10;b3ducmV2LnhtbFBLBQYAAAAABAAEAPUAAACJAwAAAAA=&#10;" adj="14035,7568,16200,9184" filled="f" strokecolor="black [3213]" strokeweight="1.5pt">
                  <v:textbox>
                    <w:txbxContent>
                      <w:p w14:paraId="7ED1EFB5" w14:textId="77777777" w:rsidR="00330D5F" w:rsidRPr="008E2844" w:rsidRDefault="00330D5F" w:rsidP="00C3070E">
                        <w:pPr>
                          <w:spacing w:after="0"/>
                          <w:jc w:val="center"/>
                          <w:rPr>
                            <w:color w:val="000000" w:themeColor="text1"/>
                            <w:sz w:val="18"/>
                          </w:rPr>
                        </w:pPr>
                        <w:r w:rsidRPr="008E2844">
                          <w:rPr>
                            <w:color w:val="000000" w:themeColor="text1"/>
                            <w:sz w:val="18"/>
                          </w:rPr>
                          <w:t>Narrative trajectory</w:t>
                        </w:r>
                        <w:r>
                          <w:rPr>
                            <w:color w:val="000000" w:themeColor="text1"/>
                            <w:sz w:val="18"/>
                          </w:rPr>
                          <w:t>/</w:t>
                        </w:r>
                        <w:r w:rsidRPr="008E2844">
                          <w:rPr>
                            <w:color w:val="000000" w:themeColor="text1"/>
                            <w:sz w:val="18"/>
                          </w:rPr>
                          <w:t xml:space="preserve"> Contingent narrative</w:t>
                        </w:r>
                      </w:p>
                      <w:p w14:paraId="56E5EA30" w14:textId="77777777" w:rsidR="00330D5F" w:rsidRPr="00911FC1" w:rsidRDefault="00330D5F" w:rsidP="00C3070E">
                        <w:pPr>
                          <w:jc w:val="center"/>
                          <w:rPr>
                            <w:color w:val="000000" w:themeColor="text1"/>
                            <w:sz w:val="28"/>
                          </w:rPr>
                        </w:pPr>
                      </w:p>
                    </w:txbxContent>
                  </v:textbox>
                </v:shape>
                <v:shape id="Text Box 322" o:spid="_x0000_s1066" type="#_x0000_t202" style="position:absolute;left:22434;top:45294;width:13602;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9E4cMA&#10;AADcAAAADwAAAGRycy9kb3ducmV2LnhtbESPT4vCMBTE74LfITzBm6ZWV6RrFFnY4nH9h9e3zdum&#10;bPNSmljrt98Iwh6HmfkNs972thYdtb5yrGA2TUAQF05XXCo4nz4nKxA+IGusHZOCB3nYboaDNWba&#10;3flA3TGUIkLYZ6jAhNBkUvrCkEU/dQ1x9H5cazFE2ZZSt3iPcFvLNEmW0mLFccFgQx+Git/jzSp4&#10;89evRff4rky5uuQy7+1hccqVGo/63TuIQH34D7/ae61gnqbwPBOP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9E4cMAAADcAAAADwAAAAAAAAAAAAAAAACYAgAAZHJzL2Rv&#10;d25yZXYueG1sUEsFBgAAAAAEAAQA9QAAAIgDAAAAAA==&#10;" strokeweight="1.5pt">
                  <v:textbox>
                    <w:txbxContent>
                      <w:p w14:paraId="4D5621F5" w14:textId="77777777" w:rsidR="00330D5F" w:rsidRPr="00032955" w:rsidRDefault="00330D5F" w:rsidP="00C3070E">
                        <w:pPr>
                          <w:jc w:val="center"/>
                          <w:rPr>
                            <w:sz w:val="20"/>
                          </w:rPr>
                        </w:pPr>
                        <w:r w:rsidRPr="00032955">
                          <w:rPr>
                            <w:sz w:val="20"/>
                          </w:rPr>
                          <w:t>Orientation</w:t>
                        </w:r>
                      </w:p>
                    </w:txbxContent>
                  </v:textbox>
                </v:shape>
                <v:rect id="Rectangle 323" o:spid="_x0000_s1067" style="position:absolute;left:30940;top:39553;width:5239;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09cYA&#10;AADcAAAADwAAAGRycy9kb3ducmV2LnhtbESPQWvCQBSE74X+h+UVems2KkiJrqKCILQWYlTw9th9&#10;JtHs25Ddatpf3y0Uehxm5htmOu9tI27U+dqxgkGSgiDWztRcKtgX65dXED4gG2wck4Iv8jCfPT5M&#10;MTPuzjnddqEUEcI+QwVVCG0mpdcVWfSJa4mjd3adxRBlV0rT4T3CbSOHaTqWFmuOCxW2tKpIX3ef&#10;VgEdjpf8+/SmP971wuW8CsWy2Cr1/NQvJiAC9eE//NfeGAWj4Qh+z8QjIG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i09cYAAADcAAAADwAAAAAAAAAAAAAAAACYAgAAZHJz&#10;L2Rvd25yZXYueG1sUEsFBgAAAAAEAAQA9QAAAIsDAAAAAA==&#10;" filled="f" strokecolor="#243f60 [1604]" strokeweight="2pt"/>
                <v:oval id="Oval 324" o:spid="_x0000_s1068" style="position:absolute;left:23178;top:39340;width:4763;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a998IA&#10;AADcAAAADwAAAGRycy9kb3ducmV2LnhtbESPT4vCMBTE74LfIbwFb5quLirdRlFB0NPiv/ujeduW&#10;Ni81iVq//WZB8DjMzG+YbNmZRtzJ+cqygs9RAoI4t7riQsH5tB3OQfiArLGxTAqe5GG56PcyTLV9&#10;8IHux1CICGGfooIyhDaV0uclGfQj2xJH79c6gyFKV0jt8BHhppHjJJlKgxXHhRJb2pSU18ebUVBt&#10;fmYz3J9WddG57fqyv3LOqNTgo1t9gwjUhXf41d5pBZPxF/yfiUd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Nr33wgAAANwAAAAPAAAAAAAAAAAAAAAAAJgCAABkcnMvZG93&#10;bnJldi54bWxQSwUGAAAAAAQABAD1AAAAhwMAAAAA&#10;" filled="f" strokecolor="#938953 [1614]" strokeweight="2pt"/>
                <v:shape id="Plus 325" o:spid="_x0000_s1069" style="position:absolute;left:31259;top:41254;width:1810;height:1905;visibility:visible;mso-wrap-style:square;v-text-anchor:middle" coordsize="18097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fcgscA&#10;AADcAAAADwAAAGRycy9kb3ducmV2LnhtbESPT2sCMRTE7wW/Q3iF3mq2akVWoxSpWHsQ/128PTbP&#10;7OrmZd1Ed/32TaHQ4zAzv2Ems9aW4k61LxwreOsmIIgzpws2Cg77xesIhA/IGkvHpOBBHmbTztME&#10;U+0a3tJ9F4yIEPYpKshDqFIpfZaTRd91FXH0Tq62GKKsjdQ1NhFuS9lLkqG0WHBcyLGieU7ZZXez&#10;Cs7NbbvcHOXSfK6ruRlcvw+rx1Wpl+f2YwwiUBv+w3/tL62g33uH3zPxCMjp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H3ILHAAAA3AAAAA8AAAAAAAAAAAAAAAAAmAIAAGRy&#10;cy9kb3ducmV2LnhtbFBLBQYAAAAABAAEAPUAAACMAwAAAAA=&#10;" path="m23988,73967r45217,l69205,25251r42565,l111770,73967r45217,l156987,116533r-45217,l111770,165249r-42565,l69205,116533r-45217,l23988,73967xe" fillcolor="#4f81bd [3204]" strokecolor="#243f60 [1604]" strokeweight="2pt">
                  <v:path arrowok="t" o:connecttype="custom" o:connectlocs="23988,73967;69205,73967;69205,25251;111770,25251;111770,73967;156987,73967;156987,116533;111770,116533;111770,165249;69205,165249;69205,116533;23988,116533;23988,73967" o:connectangles="0,0,0,0,0,0,0,0,0,0,0,0,0"/>
                </v:shape>
                <v:shape id="Minus 326" o:spid="_x0000_s1070" style="position:absolute;left:33598;top:41573;width:1905;height:952;visibility:visible;mso-wrap-style:square;v-text-anchor:middle" coordsize="190500,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LLWcEA&#10;AADcAAAADwAAAGRycy9kb3ducmV2LnhtbESPS6vCMBSE9xf8D+EI7q6pCirVKL4Kd+sD3B6aY1ts&#10;TkoStfrrbwTB5TAz3zDzZWtqcSfnK8sKBv0EBHFudcWFgtMx+52C8AFZY22ZFDzJw3LR+Zljqu2D&#10;93Q/hEJECPsUFZQhNKmUPi/JoO/bhjh6F+sMhihdIbXDR4SbWg6TZCwNVhwXSmxoU1J+PdyMAlNc&#10;t9l5P9rc1hOqBjsXzCvTSvW67WoGIlAbvuFP+08rGA3H8D4Tj4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yy1nBAAAA3AAAAA8AAAAAAAAAAAAAAAAAmAIAAGRycy9kb3du&#10;cmV2LnhtbFBLBQYAAAAABAAEAPUAAACGAwAAAAA=&#10;" path="m25251,36424r139998,l165249,58826r-139998,l25251,36424xe" fillcolor="#4f81bd [3204]" strokecolor="#243f60 [1604]" strokeweight="2pt">
                  <v:path arrowok="t" o:connecttype="custom" o:connectlocs="25251,36424;165249,36424;165249,58826;25251,58826;25251,36424" o:connectangles="0,0,0,0,0"/>
                </v:shape>
                <v:shape id="Text Box 309" o:spid="_x0000_s1071" type="#_x0000_t202" style="position:absolute;left:44125;top:45188;width:13601;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6K8MQA&#10;AADcAAAADwAAAGRycy9kb3ducmV2LnhtbESPQWvCQBSE70L/w/IKvemm1haN2UgRGjxWo3h9Zl+z&#10;odm3IbuN8d+7hUKPw8x8w2Sb0bZioN43jhU8zxIQxJXTDdcKjuXHdAnCB2SNrWNScCMPm/xhkmGq&#10;3ZX3NBxCLSKEfYoKTAhdKqWvDFn0M9cRR+/L9RZDlH0tdY/XCLetnCfJm7TYcFww2NHWUPV9+LEK&#10;Xv35czHcLo2pl6dCFqPdL8pCqafH8X0NItAY/sN/7Z1W8JKs4PdMPAI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eivDEAAAA3AAAAA8AAAAAAAAAAAAAAAAAmAIAAGRycy9k&#10;b3ducmV2LnhtbFBLBQYAAAAABAAEAPUAAACJAwAAAAA=&#10;" strokeweight="1.5pt">
                  <v:textbox>
                    <w:txbxContent>
                      <w:p w14:paraId="7C618AC4" w14:textId="77777777" w:rsidR="00330D5F" w:rsidRPr="00032955" w:rsidRDefault="00330D5F" w:rsidP="00C3070E">
                        <w:pPr>
                          <w:jc w:val="center"/>
                          <w:rPr>
                            <w:sz w:val="20"/>
                          </w:rPr>
                        </w:pPr>
                        <w:r w:rsidRPr="00032955">
                          <w:rPr>
                            <w:sz w:val="20"/>
                          </w:rPr>
                          <w:t>Orientation</w:t>
                        </w:r>
                      </w:p>
                    </w:txbxContent>
                  </v:textbox>
                </v:shape>
                <v:rect id="Rectangle 313" o:spid="_x0000_s1072" style="position:absolute;left:52099;top:39553;width:5239;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R+SMYA&#10;AADcAAAADwAAAGRycy9kb3ducmV2LnhtbESPQWvCQBSE7wX/w/KE3pqNFaREV1FBKLQWYlTw9th9&#10;JtHs25Ddatpf3y0Uehxm5htmtuhtI27U+dqxglGSgiDWztRcKtgXm6cXED4gG2wck4Iv8rCYDx5m&#10;mBl355xuu1CKCGGfoYIqhDaT0uuKLPrEtcTRO7vOYoiyK6Xp8B7htpHPaTqRFmuOCxW2tK5IX3ef&#10;VgEdjpf8+/SmP9710uW8DsWq2Cr1OOyXUxCB+vAf/mu/GgXj0Rh+z8Qj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R+SMYAAADcAAAADwAAAAAAAAAAAAAAAACYAgAAZHJz&#10;L2Rvd25yZXYueG1sUEsFBgAAAAAEAAQA9QAAAIsDAAAAAA==&#10;" filled="f" strokecolor="#243f60 [1604]" strokeweight="2pt"/>
                <v:oval id="Oval 318" o:spid="_x0000_s1073" style="position:absolute;left:44018;top:39340;width:4763;height:5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9T7wA&#10;AADcAAAADwAAAGRycy9kb3ducmV2LnhtbERPSwrCMBDdC94hjOBOUxVUqlFUEHQl/vZDM7bFZlKT&#10;qPX2ZiG4fLz/fNmYSrzI+dKygkE/AUGcWV1yruBy3vamIHxA1lhZJgUf8rBctFtzTLV985Fep5CL&#10;GMI+RQVFCHUqpc8KMuj7tiaO3M06gyFCl0vt8B3DTSWHSTKWBkuODQXWtCkou5+eRkG5OUwmuD+v&#10;7nnjtuvr/sEZo1LdTrOagQjUhL/4595pBaNBXBvPxCMgF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rF31PvAAAANwAAAAPAAAAAAAAAAAAAAAAAJgCAABkcnMvZG93bnJldi54&#10;bWxQSwUGAAAAAAQABAD1AAAAgQMAAAAA&#10;" filled="f" strokecolor="#938953 [1614]" strokeweight="2pt"/>
                <v:shape id="Plus 319" o:spid="_x0000_s1074" style="position:absolute;left:52631;top:41041;width:1809;height:1905;visibility:visible;mso-wrap-style:square;v-text-anchor:middle" coordsize="18097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YcOscA&#10;AADcAAAADwAAAGRycy9kb3ducmV2LnhtbESPT2sCMRTE7wW/Q3iCt5q1llJXo4hUtD1I/XPx9tg8&#10;s6ubl3UT3fXbN4VCj8PM/IaZzFpbijvVvnCsYNBPQBBnThdsFBz2y+d3ED4gaywdk4IHeZhNO08T&#10;TLVreEv3XTAiQtinqCAPoUql9FlOFn3fVcTRO7naYoiyNlLX2ES4LeVLkrxJiwXHhRwrWuSUXXY3&#10;q+Dc3Lar76NcmY9NtTCv16/D5+OqVK/bzscgArXhP/zXXmsFw8EIfs/EIyC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7mHDrHAAAA3AAAAA8AAAAAAAAAAAAAAAAAmAIAAGRy&#10;cy9kb3ducmV2LnhtbFBLBQYAAAAABAAEAPUAAACMAwAAAAA=&#10;" path="m23988,73967r45217,l69205,25251r42565,l111770,73967r45217,l156987,116533r-45217,l111770,165249r-42565,l69205,116533r-45217,l23988,73967xe" fillcolor="#4f81bd [3204]" strokecolor="#243f60 [1604]" strokeweight="2pt">
                  <v:path arrowok="t" o:connecttype="custom" o:connectlocs="23988,73967;69205,73967;69205,25251;111770,25251;111770,73967;156987,73967;156987,116533;111770,116533;111770,165249;69205,165249;69205,116533;23988,116533;23988,73967" o:connectangles="0,0,0,0,0,0,0,0,0,0,0,0,0"/>
                </v:shape>
                <v:shape id="Minus 320" o:spid="_x0000_s1075" style="position:absolute;left:55076;top:41573;width:1905;height:952;visibility:visible;mso-wrap-style:square;v-text-anchor:middle" coordsize="190500,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f2tsEA&#10;AADcAAAADwAAAGRycy9kb3ducmV2LnhtbERPyWrDMBC9B/oPYgq9JXJiaIMbOTRJDb06CfQ6WFPb&#10;2BoZSV7ar68OhR4fbz8cF9OLiZxvLSvYbhIQxJXVLdcK7rdivQfhA7LG3jIp+CYPx/xhdcBM25lL&#10;mq6hFjGEfYYKmhCGTEpfNWTQb+xAHLkv6wyGCF0ttcM5hpte7pLkWRpsOTY0ONC5oaq7jkaBqbtL&#10;8Vmm5/H0Qu323QXzU2ilnh6Xt1cQgZbwL/5zf2gF6S7Oj2fiEZD5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X9rbBAAAA3AAAAA8AAAAAAAAAAAAAAAAAmAIAAGRycy9kb3du&#10;cmV2LnhtbFBLBQYAAAAABAAEAPUAAACGAwAAAAA=&#10;" path="m25251,36424r139998,l165249,58826r-139998,l25251,36424xe" fillcolor="#4f81bd [3204]" strokecolor="#243f60 [1604]" strokeweight="2pt">
                  <v:path arrowok="t" o:connecttype="custom" o:connectlocs="25251,36424;165249,36424;165249,58826;25251,58826;25251,36424" o:connectangles="0,0,0,0,0"/>
                </v:shape>
                <v:shape id="Text Box 329" o:spid="_x0000_s1076" type="#_x0000_t202" style="position:absolute;left:1807;top:45401;width:13602;height:2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vWkMQA&#10;AADcAAAADwAAAGRycy9kb3ducmV2LnhtbESPT2vCQBTE74LfYXmCN93UP8VGVymFBo9qWnp9zT6z&#10;odm3IbuN8du7guBxmJnfMJtdb2vRUesrxwpepgkI4sLpiksFX/nnZAXCB2SNtWNScCUPu+1wsMFU&#10;uwsfqTuFUkQI+xQVmBCaVEpfGLLop64hjt7ZtRZDlG0pdYuXCLe1nCXJq7RYcVww2NCHoeLv9G8V&#10;LP3PYdFdfytTrr4zmfX2uMgzpcaj/n0NIlAfnuFHe68VzGdvcD8Tj4D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1pDEAAAA3AAAAA8AAAAAAAAAAAAAAAAAmAIAAGRycy9k&#10;b3ducmV2LnhtbFBLBQYAAAAABAAEAPUAAACJAwAAAAA=&#10;" strokeweight="1.5pt">
                  <v:textbox>
                    <w:txbxContent>
                      <w:p w14:paraId="45158E71" w14:textId="77777777" w:rsidR="00330D5F" w:rsidRPr="0049569F" w:rsidRDefault="00330D5F" w:rsidP="00C3070E">
                        <w:pPr>
                          <w:jc w:val="center"/>
                          <w:rPr>
                            <w:sz w:val="20"/>
                          </w:rPr>
                        </w:pPr>
                        <w:r w:rsidRPr="0049569F">
                          <w:rPr>
                            <w:sz w:val="20"/>
                          </w:rPr>
                          <w:t>Orientation</w:t>
                        </w:r>
                      </w:p>
                    </w:txbxContent>
                  </v:textbox>
                </v:shape>
                <v:rect id="Rectangle 330" o:spid="_x0000_s1077" style="position:absolute;left:9569;top:39659;width:5239;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O8X8MA&#10;AADcAAAADwAAAGRycy9kb3ducmV2LnhtbERPW2vCMBR+H+w/hDPwbaabIKMaxQkDwQvUboJvh+TY&#10;VpuT0kSt/vrlQfDx47uPp52txYVaXzlW8NFPQBBrZyouFPzmP+9fIHxANlg7JgU38jCdvL6MMTXu&#10;yhldtqEQMYR9igrKEJpUSq9Lsuj7riGO3MG1FkOEbSFNi9cYbmv5mSRDabHi2FBiQ/OS9Gl7tgro&#10;b3fM7vul3qz0zGU8D/l3vlaq99bNRiACdeEpfrgXRsFgEOfHM/EIyM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O8X8MAAADcAAAADwAAAAAAAAAAAAAAAACYAgAAZHJzL2Rv&#10;d25yZXYueG1sUEsFBgAAAAAEAAQA9QAAAIgDAAAAAA==&#10;" filled="f" strokecolor="#243f60 [1604]" strokeweight="2pt"/>
                <v:oval id="Oval 331" o:spid="_x0000_s1078" style="position:absolute;left:1807;top:39446;width:4763;height:5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iIssEA&#10;AADcAAAADwAAAGRycy9kb3ducmV2LnhtbESPT4vCMBTE74LfITzBm6Yq6FJNxRUEPYl/9v5onm1p&#10;89JNona//UYQPA4z8xtmte5MIx7kfGVZwWScgCDOra64UHC97EZfIHxA1thYJgV/5GGd9XsrTLV9&#10;8oke51CICGGfooIyhDaV0uclGfRj2xJH72adwRClK6R2+Ixw08hpksylwYrjQoktbUvK6/PdKKi2&#10;x8UCD5dNXXRu9/1z+OWcUanhoNssQQTqwif8bu+1gtlsAq8z8QjI7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YiLLBAAAA3AAAAA8AAAAAAAAAAAAAAAAAmAIAAGRycy9kb3du&#10;cmV2LnhtbFBLBQYAAAAABAAEAPUAAACGAwAAAAA=&#10;" filled="f" strokecolor="#938953 [1614]" strokeweight="2pt"/>
                <v:shape id="Plus 332" o:spid="_x0000_s1079" style="position:absolute;left:9888;top:41360;width:1810;height:1905;visibility:visible;mso-wrap-style:square;v-text-anchor:middle" coordsize="18097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SK8YA&#10;AADcAAAADwAAAGRycy9kb3ducmV2LnhtbESPT2sCMRTE74V+h/AK3mpWLUVWo4i0aD0U/128PTbP&#10;7OrmZd1Ed/32plDwOMzMb5jxtLWluFHtC8cKet0EBHHmdMFGwX73/T4E4QOyxtIxKbiTh+nk9WWM&#10;qXYNb+i2DUZECPsUFeQhVKmUPsvJou+6ijh6R1dbDFHWRuoamwi3pewnyae0WHBcyLGieU7ZeXu1&#10;Ck7NdbNYH+TCfP1Wc/NxWe1/7helOm/tbAQiUBue4f/2UisYDPrwdyYeAT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fSK8YAAADcAAAADwAAAAAAAAAAAAAAAACYAgAAZHJz&#10;L2Rvd25yZXYueG1sUEsFBgAAAAAEAAQA9QAAAIsDAAAAAA==&#10;" path="m23988,73967r45217,l69205,25251r42565,l111770,73967r45217,l156987,116533r-45217,l111770,165249r-42565,l69205,116533r-45217,l23988,73967xe" fillcolor="#4f81bd [3204]" strokecolor="#243f60 [1604]" strokeweight="2pt">
                  <v:path arrowok="t" o:connecttype="custom" o:connectlocs="23988,73967;69205,73967;69205,25251;111770,25251;111770,73967;156987,73967;156987,116533;111770,116533;111770,165249;69205,165249;69205,116533;23988,116533;23988,73967" o:connectangles="0,0,0,0,0,0,0,0,0,0,0,0,0"/>
                </v:shape>
                <v:shape id="Minus 335" o:spid="_x0000_s1080" style="position:absolute;left:12333;top:41679;width:1905;height:953;visibility:visible;mso-wrap-style:square;v-text-anchor:middle" coordsize="190500,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nD88IA&#10;AADcAAAADwAAAGRycy9kb3ducmV2LnhtbESPT4vCMBTE78J+h/AWvGmqRV26Rll1C179A14fzdu2&#10;2LyUJGrXT28EweMwM79h5svONOJKzteWFYyGCQjiwuqaSwXHQz74AuEDssbGMin4Jw/LxUdvjpm2&#10;N97RdR9KESHsM1RQhdBmUvqiIoN+aFvi6P1ZZzBE6UqpHd4i3DRynCRTabDmuFBhS+uKivP+YhSY&#10;8rzJT7t0fVnNqB79umDuuVaq/9n9fIMI1IV3+NXeagVpOoH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cPzwgAAANwAAAAPAAAAAAAAAAAAAAAAAJgCAABkcnMvZG93&#10;bnJldi54bWxQSwUGAAAAAAQABAD1AAAAhwMAAAAA&#10;" path="m25251,36424r139998,l165249,58826r-139998,l25251,36424xe" fillcolor="#4f81bd [3204]" strokecolor="#243f60 [1604]" strokeweight="2pt">
                  <v:path arrowok="t" o:connecttype="custom" o:connectlocs="25251,36424;165249,36424;165249,58826;25251,58826;25251,36424" o:connectangles="0,0,0,0,0"/>
                </v:shape>
                <v:shape id="Flowchart: Collate 347" o:spid="_x0000_s1081" type="#_x0000_t125" style="position:absolute;left:38170;top:32217;width:3651;height:643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cNGcUA&#10;AADcAAAADwAAAGRycy9kb3ducmV2LnhtbESPT4vCMBTE78J+h/AEL7Km/qEuXaOsguhFwe5Cr4/m&#10;bVtsXkoTtX57Iwgeh5n5DbNYdaYWV2pdZVnBeBSBIM6trrhQ8Pe7/fwC4TyyxtoyKbiTg9Xyo7fA&#10;RNsbn+ia+kIECLsEFZTeN4mULi/JoBvZhjh4/7Y16INsC6lbvAW4qeUkimJpsOKwUGJDm5Lyc3ox&#10;Co7r3TCe4T7Th3UWH+wk28y7qVKDfvfzDcJT59/hV3uvFUxnc3ieC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Bw0ZxQAAANwAAAAPAAAAAAAAAAAAAAAAAJgCAABkcnMv&#10;ZG93bnJldi54bWxQSwUGAAAAAAQABAD1AAAAigMAAAAA&#10;" fillcolor="#76923c [2406]" strokecolor="black [3213]" strokeweight="2pt"/>
              </v:group>
            </w:pict>
          </mc:Fallback>
        </mc:AlternateContent>
      </w:r>
    </w:p>
    <w:p w14:paraId="634114AC" w14:textId="77777777" w:rsidR="00C3070E" w:rsidRPr="008B68A9" w:rsidRDefault="00C3070E" w:rsidP="00C3070E"/>
    <w:p w14:paraId="52C30896" w14:textId="77777777" w:rsidR="00C3070E" w:rsidRPr="008B68A9" w:rsidRDefault="00C3070E" w:rsidP="00C3070E"/>
    <w:p w14:paraId="1F2D573C" w14:textId="77777777" w:rsidR="00C3070E" w:rsidRPr="008B68A9" w:rsidRDefault="00C3070E" w:rsidP="00C3070E"/>
    <w:p w14:paraId="29784C20" w14:textId="77777777" w:rsidR="00C3070E" w:rsidRPr="008B68A9" w:rsidRDefault="00C3070E" w:rsidP="00C3070E"/>
    <w:p w14:paraId="070D2B5D" w14:textId="77777777" w:rsidR="00C3070E" w:rsidRPr="008B68A9" w:rsidRDefault="00C3070E" w:rsidP="00C3070E"/>
    <w:p w14:paraId="1F454A0E" w14:textId="77777777" w:rsidR="00C3070E" w:rsidRPr="008B68A9" w:rsidRDefault="00C3070E" w:rsidP="00C3070E"/>
    <w:p w14:paraId="4036C890" w14:textId="77777777" w:rsidR="00C3070E" w:rsidRPr="008B68A9" w:rsidRDefault="00C3070E" w:rsidP="00C3070E"/>
    <w:p w14:paraId="10B90F1D" w14:textId="77777777" w:rsidR="00C3070E" w:rsidRPr="008B68A9" w:rsidRDefault="00C3070E" w:rsidP="00C3070E"/>
    <w:p w14:paraId="26857400" w14:textId="77777777" w:rsidR="00C3070E" w:rsidRPr="008B68A9" w:rsidRDefault="00C3070E" w:rsidP="00C3070E"/>
    <w:p w14:paraId="68BFDAC5" w14:textId="77777777" w:rsidR="00C3070E" w:rsidRPr="008B68A9" w:rsidRDefault="00C3070E" w:rsidP="00C3070E">
      <w:pPr>
        <w:pBdr>
          <w:bottom w:val="single" w:sz="4" w:space="1" w:color="auto"/>
        </w:pBdr>
        <w:spacing w:after="0"/>
      </w:pPr>
    </w:p>
    <w:p w14:paraId="2338AF4E" w14:textId="77777777" w:rsidR="00C3070E" w:rsidRPr="008B68A9" w:rsidRDefault="00C3070E" w:rsidP="00C3070E">
      <w:pPr>
        <w:pStyle w:val="9afigurecaption"/>
      </w:pPr>
      <w:bookmarkStart w:id="392" w:name="_Toc451185935"/>
      <w:bookmarkStart w:id="393" w:name="_Toc466799821"/>
      <w:r w:rsidRPr="008B68A9">
        <w:rPr>
          <w:noProof/>
          <w:lang w:eastAsia="en-GB"/>
        </w:rPr>
        <w:t>Figure</w:t>
      </w:r>
      <w:r w:rsidRPr="008B68A9">
        <w:t xml:space="preserve"> 4: Oppositional/receptive and nuanced/binary model of orientation</w:t>
      </w:r>
      <w:bookmarkEnd w:id="392"/>
      <w:r w:rsidRPr="008B68A9">
        <w:rPr>
          <w:noProof/>
          <w:lang w:eastAsia="en-GB"/>
        </w:rPr>
        <mc:AlternateContent>
          <mc:Choice Requires="wpg">
            <w:drawing>
              <wp:anchor distT="0" distB="0" distL="114300" distR="114300" simplePos="0" relativeHeight="251672576" behindDoc="0" locked="0" layoutInCell="1" allowOverlap="1" wp14:anchorId="1AE2BCB1" wp14:editId="076D8987">
                <wp:simplePos x="0" y="0"/>
                <wp:positionH relativeFrom="column">
                  <wp:posOffset>-119380</wp:posOffset>
                </wp:positionH>
                <wp:positionV relativeFrom="paragraph">
                  <wp:posOffset>449580</wp:posOffset>
                </wp:positionV>
                <wp:extent cx="394335" cy="2496656"/>
                <wp:effectExtent l="0" t="0" r="24765" b="18415"/>
                <wp:wrapNone/>
                <wp:docPr id="800" name="Group 800"/>
                <wp:cNvGraphicFramePr/>
                <a:graphic xmlns:a="http://schemas.openxmlformats.org/drawingml/2006/main">
                  <a:graphicData uri="http://schemas.microsoft.com/office/word/2010/wordprocessingGroup">
                    <wpg:wgp>
                      <wpg:cNvGrpSpPr/>
                      <wpg:grpSpPr>
                        <a:xfrm>
                          <a:off x="0" y="0"/>
                          <a:ext cx="394335" cy="2496656"/>
                          <a:chOff x="0" y="0"/>
                          <a:chExt cx="394335" cy="2496656"/>
                        </a:xfrm>
                      </wpg:grpSpPr>
                      <wps:wsp>
                        <wps:cNvPr id="338" name="Flowchart: Collate 338"/>
                        <wps:cNvSpPr/>
                        <wps:spPr>
                          <a:xfrm rot="16200000">
                            <a:off x="106045" y="334423"/>
                            <a:ext cx="182245" cy="394335"/>
                          </a:xfrm>
                          <a:prstGeom prst="flowChartCollate">
                            <a:avLst/>
                          </a:prstGeom>
                          <a:solidFill>
                            <a:schemeClr val="accent3">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7" name="Flowchart: Sort 337"/>
                        <wps:cNvSpPr/>
                        <wps:spPr>
                          <a:xfrm rot="5400000">
                            <a:off x="58362" y="-33020"/>
                            <a:ext cx="269875" cy="335915"/>
                          </a:xfrm>
                          <a:prstGeom prst="flowChartSort">
                            <a:avLst/>
                          </a:prstGeom>
                          <a:solidFill>
                            <a:schemeClr val="accent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0" name="Straight Connector 340"/>
                        <wps:cNvCnPr/>
                        <wps:spPr>
                          <a:xfrm flipH="1">
                            <a:off x="181778" y="1201140"/>
                            <a:ext cx="0" cy="342900"/>
                          </a:xfrm>
                          <a:prstGeom prst="line">
                            <a:avLst/>
                          </a:prstGeom>
                          <a:ln w="2857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339" name="Straight Connector 339"/>
                        <wps:cNvCnPr/>
                        <wps:spPr>
                          <a:xfrm>
                            <a:off x="181778" y="847721"/>
                            <a:ext cx="0" cy="342900"/>
                          </a:xfrm>
                          <a:prstGeom prst="line">
                            <a:avLst/>
                          </a:prstGeom>
                          <a:ln w="2857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g:grpSp>
                        <wpg:cNvPr id="342" name="Group 342"/>
                        <wpg:cNvGrpSpPr/>
                        <wpg:grpSpPr>
                          <a:xfrm>
                            <a:off x="47143" y="2210906"/>
                            <a:ext cx="266700" cy="285750"/>
                            <a:chOff x="0" y="0"/>
                            <a:chExt cx="523875" cy="495300"/>
                          </a:xfrm>
                        </wpg:grpSpPr>
                        <wps:wsp>
                          <wps:cNvPr id="343" name="Rectangle 343"/>
                          <wps:cNvSpPr/>
                          <wps:spPr>
                            <a:xfrm>
                              <a:off x="0" y="0"/>
                              <a:ext cx="523875" cy="4953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5" name="Plus 345"/>
                          <wps:cNvSpPr/>
                          <wps:spPr>
                            <a:xfrm>
                              <a:off x="28575" y="171450"/>
                              <a:ext cx="180975" cy="190500"/>
                            </a:xfrm>
                            <a:prstGeom prst="mathPl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8" name="Minus 348"/>
                          <wps:cNvSpPr/>
                          <wps:spPr>
                            <a:xfrm>
                              <a:off x="266700" y="209550"/>
                              <a:ext cx="190500" cy="9525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41" name="Oval 341"/>
                        <wps:cNvSpPr/>
                        <wps:spPr>
                          <a:xfrm>
                            <a:off x="63972" y="1756511"/>
                            <a:ext cx="285750" cy="276225"/>
                          </a:xfrm>
                          <a:prstGeom prst="ellipse">
                            <a:avLst/>
                          </a:prstGeom>
                          <a:noFill/>
                          <a:ln>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D63B56E" id="Group 800" o:spid="_x0000_s1026" style="position:absolute;margin-left:-9.4pt;margin-top:35.4pt;width:31.05pt;height:196.6pt;z-index:251672576" coordsize="3943,249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1JngwUAAAkhAAAOAAAAZHJzL2Uyb0RvYy54bWzsWttu2zgQfV9g/0HQe2PdZRlxiiDZZBdo&#10;m6Dpos+MTFkCKFJL0rHTr98ZUpIdX2JvF8heqj64EimSw6OZwzOjnL9f1cx5olJVgk9d/8xzHcpz&#10;Mav4fOr+/uXm3dh1lCZ8RpjgdOo+U+W+v/j5p/NlM6GBKAWbUenAJFxNls3ULbVuJqORyktaE3Um&#10;GsqhsxCyJhpu5Xw0k2QJs9dsFHheMloKOWukyKlS0HptO90LM39R0FzfFYWi2mFTF2zT5lea30f8&#10;HV2ck8lckqas8tYM8h1W1KTisGg/1TXRxFnIamequsqlUKLQZ7moR6IoqpyaPcBufG9rN7dSLBqz&#10;l/lkOW96mADaLZy+e9r809O9dKrZ1B17gA8nNbwks66DDQDPsplP4Klb2Tw097JtmNs73PGqkDX+&#10;D3txVgbY5x5YutJODo1hFoVh7Do5dAVRliRxYpHPS3g9O8Py8pfXB466ZUdoXW/MsgEnUmuc1N/D&#10;6aEkDTXwK0SgxSkMwaUtTjdMLPOSSD1xrgRjRFMHew1GZkiPmJooAK+Dy5ECHNFPwIHhn/GbFj3f&#10;S7wIgAKcwjCKgtDC1OHoj4MAuxHHFlNYrEeDTBqp9C0VtYMXU7cAA6/QwNY8sxR5+qC0HdY9joYp&#10;warZTcWYucH4o1dMOk8EIofkOeU6NMPZov4oZrY9jdF+O5cJWRxiDHoxG+PHFtArv5tmbQbsC0fC&#10;O+7gM1f6mVGcj/HPtADXBf8KjGW9BZtG+7arJDNqm9Hk/TabCXHmAlDo524n2AdIZ3P7PA6lhnP6&#10;wfblHjDM4taPMCsLrvvBdcWF3LczpvuV7fMdSBYaROlRzJ7BYY2jQVyrJr+pwCU+EKXviQSKg0ag&#10;bX0HP+glU1e0V65TCvltXzs+DxEFva6zBMqcuuqPBZHUddhvHGIt86MIOdbcRHEawI3c7Hnc7OGL&#10;GrwSwsBYZy7xec26y0KK+iuw+yWuCl2E57D21M217G6utKVyOB9yenlpHgNebYj+wB+aHCdHVNHN&#10;v6y+Etm0caEhoD6JLr7JZCsk7LM4kovLhRZFZeJljWuLN3AN8uObkE66h3QehNTAOOmpjBNH6Psv&#10;CCceh0lg+OZdGHrwxsApwYtb+g2SbJx2fBPGmR+3UdqRfkcg23yDlhnot5BFbsIFXtDD3vAIdvnA&#10;0sHrgwcioQUCXAxEMhDJPvWCDG3Vy4OWpJqXGrQL5yCUhXRC6AUCQEoDwXPFW73XHb9WdTkFq5pf&#10;O27thMvYT1MQRiBMfFCyvp1ozSSwqhEtUZD1p+8BEmEVR9W1w8oddzDuwHEVjGNgpmNcspcO7IFw&#10;TVRpFYF6VnjTEs6JkuMEWbBfT5wgCd5aT6xRamnjkJ5AxdKed2928GWv+WuYHfdX9JFdLx1HaRoY&#10;GTU4qT0xNkXv/8hJ2/ywT2S7NC4C2bOZ7obQYLjvL6W7UepHoaG9IPC9zGvz2rWASlLgO5v4ImO1&#10;AutY3hsHYS+8oiwOtzjzn0h7cZsWr89wWBA+Z5DtQuP6vDiQ7W7EHyABB8SWyDyy152kVsLyr50P&#10;XGAW21GVzbuRtNSQOA6JY5tF/jiJI5aLbNjes4WCiDUpHMYDKLzjEWtllpF1wHQdfXX05o+9rMsP&#10;/cyD0korog5IOyjilmjG4fAdij2TrXR4iNkfL2b7CvPHipugPaGovHHMBolVHXDWBl4W70StjVQj&#10;SrI4sN2Hi8gYtMaOIWoR46Gy8p8r0a7l8ltlrRFUte2pewcfUODUNZnmyaduEmaprcr6aZzE/lae&#10;ag7lLqtIkyA4UpalDCo26tWiSi+aTymyPs7tB5fNT0GHP6ts1HqHLzrDF51//xcdQxfwvR2KXS8+&#10;6G/em0LY+i8YLv4EAAD//wMAUEsDBBQABgAIAAAAIQBPpzFG4AAAAAkBAAAPAAAAZHJzL2Rvd25y&#10;ZXYueG1sTI9BS8NAEIXvgv9hGcFbuxtTa4nZlFLUUxFsBfG2zU6T0OxsyG6T9N87nvT0GN7jvW/y&#10;9eRaMWAfGk8akrkCgVR621Cl4fPwOluBCNGQNa0n1HDFAOvi9iY3mfUjfeCwj5XgEgqZ0VDH2GVS&#10;hrJGZ8Lcd0jsnXzvTOSzr6TtzcjlrpUPSi2lMw3xQm063NZYnvcXp+FtNOMmTV6G3fm0vX4fHt+/&#10;dglqfX83bZ5BRJziXxh+8RkdCmY6+gvZIFoNs2TF6FHDk2LlwCJNQRxZlwsFssjl/w+KHwAAAP//&#10;AwBQSwECLQAUAAYACAAAACEAtoM4kv4AAADhAQAAEwAAAAAAAAAAAAAAAAAAAAAAW0NvbnRlbnRf&#10;VHlwZXNdLnhtbFBLAQItABQABgAIAAAAIQA4/SH/1gAAAJQBAAALAAAAAAAAAAAAAAAAAC8BAABf&#10;cmVscy8ucmVsc1BLAQItABQABgAIAAAAIQAwU1JngwUAAAkhAAAOAAAAAAAAAAAAAAAAAC4CAABk&#10;cnMvZTJvRG9jLnhtbFBLAQItABQABgAIAAAAIQBPpzFG4AAAAAkBAAAPAAAAAAAAAAAAAAAAAN0H&#10;AABkcnMvZG93bnJldi54bWxQSwUGAAAAAAQABADzAAAA6ggAAAAA&#10;">
                <v:shape id="Flowchart: Collate 338" o:spid="_x0000_s1027" type="#_x0000_t125" style="position:absolute;left:1060;top:3344;width:1823;height:3943;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7qFsIA&#10;AADcAAAADwAAAGRycy9kb3ducmV2LnhtbERPTYvCMBC9C/sfwgh7EU21UqUaZRWW9aJgFXodmrEt&#10;NpPSRO3++81hwePjfa+3vWnEkzpXW1YwnUQgiAuray4VXC/f4yUI55E1NpZJwS852G4+BmtMtX3x&#10;mZ6ZL0UIYZeigsr7NpXSFRUZdBPbEgfuZjuDPsCulLrDVwg3jZxFUSIN1hwaKmxpX1Fxzx5GwWn3&#10;M0rmeMj1cZcnRzvL94s+Vupz2H+tQHjq/Vv87z5oBXEc1oYz4QjI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nuoWwgAAANwAAAAPAAAAAAAAAAAAAAAAAJgCAABkcnMvZG93&#10;bnJldi54bWxQSwUGAAAAAAQABAD1AAAAhwMAAAAA&#10;" fillcolor="#76923c [2406]" strokecolor="black [3213]" strokeweight="2pt"/>
                <v:shape id="Flowchart: Sort 337" o:spid="_x0000_s1028" type="#_x0000_t126" style="position:absolute;left:584;top:-331;width:2698;height:335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3/Y8QA&#10;AADcAAAADwAAAGRycy9kb3ducmV2LnhtbESPQUsDMRSE74L/ITyhF2mzbUFl27SIVBAPlbbS8+u+&#10;12Tp5mXZxO36740geBxm5htmuR58o3ruYh3EwHRSgGKpAtViDXweXsdPoGJCIWyCsIFvjrBe3d4s&#10;saRwlR33+2RVhkgs0YBLqS21jpVjj3ESWpbsnUPnMWXZWU0dXjPcN3pWFA/aYy15wWHLL46ry/7L&#10;GyjIfvR0skdq+J0OYbfdbN29MaO74XkBKvGQ/sN/7TcyMJ8/wu+ZfAT0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N/2PEAAAA3AAAAA8AAAAAAAAAAAAAAAAAmAIAAGRycy9k&#10;b3ducmV2LnhtbFBLBQYAAAAABAAEAPUAAACJAwAAAAA=&#10;" fillcolor="#c0504d [3205]" strokecolor="black [3213]" strokeweight="2pt"/>
                <v:line id="Straight Connector 340" o:spid="_x0000_s1029" style="position:absolute;flip:x;visibility:visible;mso-wrap-style:square" from="1817,12011" to="1817,15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n+AsQAAADcAAAADwAAAGRycy9kb3ducmV2LnhtbERPz2vCMBS+C/sfwht4s+mcyKhGGcKc&#10;HgR1G17fmmfbrXmJTbSdf/1yEDx+fL+n887U4kKNrywreEpSEMS51RUXCj4/3gYvIHxA1lhbJgV/&#10;5GE+e+hNMdO25R1d9qEQMYR9hgrKEFwmpc9LMugT64gjd7SNwRBhU0jdYBvDTS2HaTqWBiuODSU6&#10;WpSU/+7PRsH6na6jxaFYuh+3OZ2/v1ozPG6V6j92rxMQgbpwF9/cK63geRTnxzPxCMj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Of4CxAAAANwAAAAPAAAAAAAAAAAA&#10;AAAAAKECAABkcnMvZG93bnJldi54bWxQSwUGAAAAAAQABAD5AAAAkgMAAAAA&#10;" strokecolor="black [3213]" strokeweight="2.25pt">
                  <v:stroke dashstyle="3 1"/>
                </v:line>
                <v:line id="Straight Connector 339" o:spid="_x0000_s1030" style="position:absolute;visibility:visible;mso-wrap-style:square" from="1817,8477" to="1817,11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1zPcQAAADcAAAADwAAAGRycy9kb3ducmV2LnhtbESPT2vCQBTE7wW/w/KE3nTXCmJSV1Fp&#10;RU/1X++v2dckmH0bsquJ394tCD0OM/MbZrbobCVu1PjSsYbRUIEgzpwpOddwPn0OpiB8QDZYOSYN&#10;d/KwmPdeZpga1/KBbseQiwhhn6KGIoQ6ldJnBVn0Q1cTR+/XNRZDlE0uTYNthNtKvik1kRZLjgsF&#10;1rQuKLscr1ZD9b1L1Hmj3Or69bPblPt2+nFptX7td8t3EIG68B9+trdGw3icwN+ZeATk/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rXM9xAAAANwAAAAPAAAAAAAAAAAA&#10;AAAAAKECAABkcnMvZG93bnJldi54bWxQSwUGAAAAAAQABAD5AAAAkgMAAAAA&#10;" strokecolor="black [3213]" strokeweight="2.25pt">
                  <v:stroke dashstyle="3 1"/>
                </v:line>
                <v:group id="Group 342" o:spid="_x0000_s1031" style="position:absolute;left:471;top:22109;width:2667;height:2857" coordsize="523875,4953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2kcYAAADcAAAADwAAAGRycy9kb3ducmV2LnhtbESPT2vCQBTE7wW/w/IK&#10;vdXNH1skdQ0itngQoSqU3h7ZZxKSfRuy2yR++25B6HGYmd8wq3wyrRiod7VlBfE8AkFcWF1zqeBy&#10;fn9egnAeWWNrmRTcyEG+nj2sMNN25E8aTr4UAcIuQwWV910mpSsqMujmtiMO3tX2Bn2QfSl1j2OA&#10;m1YmUfQqDdYcFirsaFtR0Zx+jIKPEcdNGu+GQ3Pd3r7PL8evQ0xKPT1OmzcQnib/H76391pBukj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v9HaRxgAAANwA&#10;AAAPAAAAAAAAAAAAAAAAAKoCAABkcnMvZG93bnJldi54bWxQSwUGAAAAAAQABAD6AAAAnQMAAAAA&#10;">
                  <v:rect id="Rectangle 343" o:spid="_x0000_s1032" style="position:absolute;width:523875;height:4953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dRVcYA&#10;AADcAAAADwAAAGRycy9kb3ducmV2LnhtbESPQWvCQBSE70L/w/KE3nRjFZHUVaxQKLQVYmyht8fu&#10;M4nNvg3Zrcb+elcQPA4z8w0zX3a2FkdqfeVYwWiYgCDWzlRcKNjlr4MZCB+QDdaOScGZPCwXD705&#10;psadOKPjNhQiQtinqKAMoUml9Loki37oGuLo7V1rMUTZFtK0eIpwW8unJJlKixXHhRIbWpekf7d/&#10;VgF9fR+y/593vfnQK5fxOuQv+adSj/1u9QwiUBfu4Vv7zSgYT8ZwPROPgF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dRVcYAAADcAAAADwAAAAAAAAAAAAAAAACYAgAAZHJz&#10;L2Rvd25yZXYueG1sUEsFBgAAAAAEAAQA9QAAAIsDAAAAAA==&#10;" filled="f" strokecolor="#243f60 [1604]" strokeweight="2pt"/>
                  <v:shape id="Plus 345" o:spid="_x0000_s1033" style="position:absolute;left:28575;top:171450;width:180975;height:190500;visibility:visible;mso-wrap-style:square;v-text-anchor:middle" coordsize="18097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g5IscA&#10;AADcAAAADwAAAGRycy9kb3ducmV2LnhtbESPT2sCMRTE7wW/Q3gFbzXbakVWoxRRbHsQ/128PTbP&#10;7OrmZd1Ed/32TaHQ4zAzv2Ems9aW4k61LxwreO0lIIgzpws2Cg775csIhA/IGkvHpOBBHmbTztME&#10;U+0a3tJ9F4yIEPYpKshDqFIpfZaTRd9zFXH0Tq62GKKsjdQ1NhFuS/mWJENpseC4kGNF85yyy+5m&#10;FZyb23a1OcqVWayruRlcvw9fj6tS3ef2YwwiUBv+w3/tT62gP3iH3zPxCMjp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wYOSLHAAAA3AAAAA8AAAAAAAAAAAAAAAAAmAIAAGRy&#10;cy9kb3ducmV2LnhtbFBLBQYAAAAABAAEAPUAAACMAwAAAAA=&#10;" path="m23988,73967r45217,l69205,25251r42565,l111770,73967r45217,l156987,116533r-45217,l111770,165249r-42565,l69205,116533r-45217,l23988,73967xe" fillcolor="#4f81bd [3204]" strokecolor="#243f60 [1604]" strokeweight="2pt">
                    <v:path arrowok="t" o:connecttype="custom" o:connectlocs="23988,73967;69205,73967;69205,25251;111770,25251;111770,73967;156987,73967;156987,116533;111770,116533;111770,165249;69205,165249;69205,116533;23988,116533;23988,73967" o:connectangles="0,0,0,0,0,0,0,0,0,0,0,0,0"/>
                  </v:shape>
                  <v:shape id="Minus 348" o:spid="_x0000_s1034" style="position:absolute;left:266700;top:209550;width:190500;height:95250;visibility:visible;mso-wrap-style:square;v-text-anchor:middle" coordsize="190500,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4fEMEA&#10;AADcAAAADwAAAGRycy9kb3ducmV2LnhtbERPy2rCQBTdF/oPwy24qxNNqZI6isYG3PoAt5fMbRLM&#10;3AkzYxL79Z2F0OXhvFeb0bSiJ+cbywpm0wQEcWl1w5WCy7l4X4LwAVlja5kUPMjDZv36ssJM24GP&#10;1J9CJWII+wwV1CF0mZS+rMmgn9qOOHI/1hkMEbpKaodDDDetnCfJpzTYcGyosaO8pvJ2uhsFprrt&#10;i+sxze+7BTWzbxfMb6GVmryN2y8QgcbwL366D1pB+hHXxjPxCM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HxDBAAAA3AAAAA8AAAAAAAAAAAAAAAAAmAIAAGRycy9kb3du&#10;cmV2LnhtbFBLBQYAAAAABAAEAPUAAACGAwAAAAA=&#10;" path="m25251,36424r139998,l165249,58826r-139998,l25251,36424xe" fillcolor="#4f81bd [3204]" strokecolor="#243f60 [1604]" strokeweight="2pt">
                    <v:path arrowok="t" o:connecttype="custom" o:connectlocs="25251,36424;165249,36424;165249,58826;25251,58826;25251,36424" o:connectangles="0,0,0,0,0"/>
                  </v:shape>
                </v:group>
                <v:oval id="Oval 341" o:spid="_x0000_s1035" style="position:absolute;left:639;top:17565;width:285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77z8IA&#10;AADcAAAADwAAAGRycy9kb3ducmV2LnhtbESPT4vCMBTE78J+h/AW9qapu6LSbRQVBD2J/+6P5m1b&#10;2rzUJKv12xtB8DjMzG+YbN6ZRlzJ+cqyguEgAUGcW11xoeB0XPenIHxA1thYJgV38jCfffQyTLW9&#10;8Z6uh1CICGGfooIyhDaV0uclGfQD2xJH7886gyFKV0jt8BbhppHfSTKWBiuOCyW2tCoprw//RkG1&#10;2k0muD0u6qJz6+V5e+GcUamvz27xCyJQF97hV3ujFfyMhvA8E4+A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vvPwgAAANwAAAAPAAAAAAAAAAAAAAAAAJgCAABkcnMvZG93&#10;bnJldi54bWxQSwUGAAAAAAQABAD1AAAAhwMAAAAA&#10;" filled="f" strokecolor="#938953 [1614]" strokeweight="2pt"/>
              </v:group>
            </w:pict>
          </mc:Fallback>
        </mc:AlternateContent>
      </w:r>
      <w:bookmarkEnd w:id="393"/>
    </w:p>
    <w:p w14:paraId="50AA00DA" w14:textId="77777777" w:rsidR="00C3070E" w:rsidRPr="008B68A9" w:rsidRDefault="00C3070E" w:rsidP="00C3070E">
      <w:pPr>
        <w:spacing w:line="360" w:lineRule="auto"/>
        <w:ind w:left="-851" w:firstLine="1571"/>
        <w:jc w:val="both"/>
        <w:rPr>
          <w:sz w:val="20"/>
          <w:szCs w:val="20"/>
        </w:rPr>
      </w:pPr>
      <w:r w:rsidRPr="008B68A9">
        <w:rPr>
          <w:b/>
          <w:sz w:val="22"/>
          <w:szCs w:val="20"/>
        </w:rPr>
        <w:t>Oppositional</w:t>
      </w:r>
      <w:r w:rsidRPr="008B68A9">
        <w:rPr>
          <w:b/>
          <w:sz w:val="20"/>
          <w:szCs w:val="20"/>
        </w:rPr>
        <w:t xml:space="preserve"> </w:t>
      </w:r>
      <w:r w:rsidRPr="008B68A9">
        <w:rPr>
          <w:sz w:val="20"/>
          <w:szCs w:val="20"/>
        </w:rPr>
        <w:t>discursive closure through story-lines towards personalisation.</w:t>
      </w:r>
    </w:p>
    <w:p w14:paraId="24EF89E8" w14:textId="77777777" w:rsidR="00C3070E" w:rsidRPr="008B68A9" w:rsidRDefault="00C3070E" w:rsidP="00C3070E">
      <w:pPr>
        <w:spacing w:line="360" w:lineRule="auto"/>
        <w:ind w:left="-851" w:firstLine="1571"/>
        <w:jc w:val="both"/>
        <w:rPr>
          <w:sz w:val="20"/>
          <w:szCs w:val="20"/>
        </w:rPr>
      </w:pPr>
      <w:r w:rsidRPr="008B68A9">
        <w:rPr>
          <w:b/>
          <w:sz w:val="22"/>
          <w:szCs w:val="20"/>
        </w:rPr>
        <w:t>Receptive</w:t>
      </w:r>
      <w:r w:rsidRPr="008B68A9">
        <w:rPr>
          <w:sz w:val="20"/>
          <w:szCs w:val="20"/>
        </w:rPr>
        <w:t>. A meeting converging on personalisation, a meeting of like direction.</w:t>
      </w:r>
    </w:p>
    <w:p w14:paraId="148A538A" w14:textId="77777777" w:rsidR="00C3070E" w:rsidRPr="008B68A9" w:rsidRDefault="00C3070E" w:rsidP="00C3070E">
      <w:pPr>
        <w:spacing w:line="360" w:lineRule="auto"/>
        <w:ind w:left="-131" w:firstLine="851"/>
        <w:jc w:val="both"/>
        <w:rPr>
          <w:sz w:val="20"/>
          <w:szCs w:val="20"/>
        </w:rPr>
      </w:pPr>
      <w:r w:rsidRPr="008B68A9">
        <w:rPr>
          <w:b/>
          <w:sz w:val="22"/>
          <w:szCs w:val="20"/>
        </w:rPr>
        <w:t>Positioning dramatic engagement</w:t>
      </w:r>
      <w:r w:rsidRPr="008B68A9">
        <w:rPr>
          <w:sz w:val="22"/>
          <w:szCs w:val="20"/>
        </w:rPr>
        <w:t xml:space="preserve"> </w:t>
      </w:r>
      <w:r w:rsidRPr="008B68A9">
        <w:rPr>
          <w:sz w:val="20"/>
          <w:szCs w:val="20"/>
        </w:rPr>
        <w:t>through brokerage with the budget users.</w:t>
      </w:r>
    </w:p>
    <w:p w14:paraId="19B388D6" w14:textId="77777777" w:rsidR="00C3070E" w:rsidRPr="008B68A9" w:rsidRDefault="00C3070E" w:rsidP="00C3070E">
      <w:pPr>
        <w:spacing w:line="360" w:lineRule="auto"/>
        <w:ind w:left="720"/>
        <w:jc w:val="both"/>
        <w:rPr>
          <w:sz w:val="20"/>
          <w:szCs w:val="20"/>
        </w:rPr>
      </w:pPr>
      <w:r w:rsidRPr="008B68A9">
        <w:rPr>
          <w:b/>
          <w:sz w:val="22"/>
          <w:szCs w:val="20"/>
        </w:rPr>
        <w:t xml:space="preserve">Positioning </w:t>
      </w:r>
      <w:r w:rsidRPr="008B68A9">
        <w:rPr>
          <w:sz w:val="20"/>
          <w:szCs w:val="20"/>
        </w:rPr>
        <w:t>between professionals and broker used to work and to encourage person centred planning.</w:t>
      </w:r>
    </w:p>
    <w:p w14:paraId="179539F5" w14:textId="77777777" w:rsidR="00C3070E" w:rsidRPr="008B68A9" w:rsidRDefault="00C3070E" w:rsidP="00C3070E">
      <w:pPr>
        <w:spacing w:line="360" w:lineRule="auto"/>
        <w:ind w:left="720"/>
        <w:jc w:val="both"/>
        <w:rPr>
          <w:sz w:val="20"/>
          <w:szCs w:val="20"/>
        </w:rPr>
      </w:pPr>
      <w:r w:rsidRPr="008B68A9">
        <w:rPr>
          <w:b/>
          <w:sz w:val="22"/>
          <w:szCs w:val="20"/>
        </w:rPr>
        <w:t>Nuanced orientation</w:t>
      </w:r>
      <w:r w:rsidRPr="008B68A9">
        <w:rPr>
          <w:sz w:val="22"/>
          <w:szCs w:val="20"/>
        </w:rPr>
        <w:t xml:space="preserve"> </w:t>
      </w:r>
      <w:r w:rsidRPr="008B68A9">
        <w:rPr>
          <w:sz w:val="20"/>
          <w:szCs w:val="20"/>
        </w:rPr>
        <w:t>towards personalisation</w:t>
      </w:r>
    </w:p>
    <w:p w14:paraId="52DD3908" w14:textId="77777777" w:rsidR="00C3070E" w:rsidRPr="008B68A9" w:rsidRDefault="00C3070E" w:rsidP="00C3070E">
      <w:pPr>
        <w:spacing w:line="360" w:lineRule="auto"/>
        <w:ind w:left="720"/>
        <w:jc w:val="both"/>
        <w:rPr>
          <w:sz w:val="20"/>
          <w:szCs w:val="20"/>
        </w:rPr>
      </w:pPr>
      <w:r w:rsidRPr="008B68A9">
        <w:rPr>
          <w:b/>
          <w:sz w:val="22"/>
          <w:szCs w:val="20"/>
        </w:rPr>
        <w:t xml:space="preserve">Binary orientation </w:t>
      </w:r>
      <w:r w:rsidRPr="008B68A9">
        <w:rPr>
          <w:b/>
          <w:sz w:val="32"/>
          <w:szCs w:val="20"/>
        </w:rPr>
        <w:t>+</w:t>
      </w:r>
      <w:r w:rsidRPr="008B68A9">
        <w:rPr>
          <w:b/>
          <w:sz w:val="20"/>
          <w:szCs w:val="20"/>
        </w:rPr>
        <w:t xml:space="preserve"> </w:t>
      </w:r>
      <w:r w:rsidRPr="008B68A9">
        <w:rPr>
          <w:sz w:val="20"/>
          <w:szCs w:val="20"/>
        </w:rPr>
        <w:t xml:space="preserve">positive binary </w:t>
      </w:r>
      <w:r w:rsidRPr="008B68A9">
        <w:rPr>
          <w:color w:val="C0504D" w:themeColor="accent2"/>
          <w:sz w:val="20"/>
          <w:szCs w:val="20"/>
        </w:rPr>
        <w:t xml:space="preserve"> </w:t>
      </w:r>
      <w:r w:rsidRPr="008B68A9">
        <w:rPr>
          <w:b/>
          <w:sz w:val="36"/>
          <w:szCs w:val="20"/>
        </w:rPr>
        <w:t>-</w:t>
      </w:r>
      <w:r w:rsidRPr="008B68A9">
        <w:rPr>
          <w:b/>
          <w:sz w:val="20"/>
          <w:szCs w:val="20"/>
        </w:rPr>
        <w:t xml:space="preserve"> </w:t>
      </w:r>
      <w:r w:rsidRPr="008B68A9">
        <w:rPr>
          <w:sz w:val="20"/>
          <w:szCs w:val="20"/>
        </w:rPr>
        <w:t xml:space="preserve">negative binary orientation towards personalisation </w:t>
      </w:r>
      <w:r w:rsidRPr="008B68A9">
        <w:rPr>
          <w:sz w:val="20"/>
          <w:szCs w:val="20"/>
        </w:rPr>
        <w:br w:type="page"/>
      </w:r>
    </w:p>
    <w:p w14:paraId="0BE1B742" w14:textId="77777777" w:rsidR="00C3070E" w:rsidRPr="008B68A9" w:rsidRDefault="00C3070E" w:rsidP="00C3070E">
      <w:pPr>
        <w:pStyle w:val="5arangedleft"/>
      </w:pPr>
      <w:r w:rsidRPr="008B68A9">
        <w:lastRenderedPageBreak/>
        <w:t xml:space="preserve">Most policy since </w:t>
      </w:r>
      <w:r w:rsidRPr="008B68A9">
        <w:rPr>
          <w:i/>
        </w:rPr>
        <w:t>Putting People First</w:t>
      </w:r>
      <w:r w:rsidRPr="008B68A9">
        <w:t xml:space="preserve"> (HM Government 1997), and many researchers too (Alakeson 2007, Glendinning </w:t>
      </w:r>
      <w:r w:rsidRPr="008B68A9">
        <w:rPr>
          <w:i/>
        </w:rPr>
        <w:t>et al.</w:t>
      </w:r>
      <w:r w:rsidRPr="008B68A9">
        <w:t xml:space="preserve"> 2008, Forder </w:t>
      </w:r>
      <w:r w:rsidRPr="008B68A9">
        <w:rPr>
          <w:i/>
        </w:rPr>
        <w:t>et al.</w:t>
      </w:r>
      <w:r w:rsidRPr="008B68A9">
        <w:t xml:space="preserve"> 2012), have used simple stories as case studies. The almost miraculous transformations attributed to personalisation and of co-production, I suggest, contribute to binary orientations towards personalisation. The intention of such stories is to seize the potential for better outcomes as well as a cost saving to the public purse. Stories of transformation and benefit have become necessary in promoting public service change. They do not, however, produce accounts that adequately reflect the work undertaken by stakeholders in achieving those successes.</w:t>
      </w:r>
    </w:p>
    <w:p w14:paraId="6D402029" w14:textId="77777777" w:rsidR="00C3070E" w:rsidRPr="008B68A9" w:rsidRDefault="00C3070E" w:rsidP="00C3070E">
      <w:pPr>
        <w:pStyle w:val="5arangedleft"/>
      </w:pPr>
      <w:r w:rsidRPr="008B68A9">
        <w:t>Nuance, on the other hand, reflects the inevitable tensions and dilemmas that personalisation generates. The role nuance serves is to balance the fundamental right to self-determination, with sufficient realism that acknowledges the merits and demerits of the project. Professional accountability and personal responsibility meet through nuance. The result is a developing responses to the often long term and largely intractable issues that characterise public sector care provision. Complexity and conflict are characteristics of story-line, they represent the strength of the reflexive discourse, and a nuanced orientation creates an individual’s capacity to simultaneously hold oppositional constructs. Unlike story-line or narrative smoothing (Sarbin 1983), nuance is a conscious act, signalling a mature and balanced orientation, which I suggest is necessary if personalisation is to achieve what many from the user movement hope it might.</w:t>
      </w:r>
    </w:p>
    <w:p w14:paraId="501EC625" w14:textId="77777777" w:rsidR="00C3070E" w:rsidRPr="008B68A9" w:rsidRDefault="00C3070E" w:rsidP="00C3070E">
      <w:pPr>
        <w:pStyle w:val="5arangedleft"/>
      </w:pPr>
      <w:r w:rsidRPr="008B68A9">
        <w:t xml:space="preserve">Story-lines, I argue, should be necessarily complex, because the worlds of the people whose narratives create them are themselves complex. Simple binary construction is not sufficient to support an informed or persuasive argument. Progressive trajectory in self-narrative and the lives simple stories represent are more than the acquisition of double glazing, a computer or gym membership. They are a complex and dynamic interaction between the individual and their environment, and of their identity within them. Their narratives demonstrate the work of re-casting or reconciling the past with their preferred future. </w:t>
      </w:r>
    </w:p>
    <w:p w14:paraId="47A46005" w14:textId="77777777" w:rsidR="00C3070E" w:rsidRPr="008B68A9" w:rsidRDefault="00C3070E" w:rsidP="00C3070E">
      <w:pPr>
        <w:pStyle w:val="5arangedleft"/>
      </w:pPr>
      <w:r w:rsidRPr="008B68A9">
        <w:lastRenderedPageBreak/>
        <w:t xml:space="preserve">The complex relationships between the individual and their health status, their personal recovery and the supportive relationships that facilitate change cannot, I argue, be sufficiently articulated though basic trope or in binary opposition. The demand of personalisation is an acknowledgement of such complexity that is inherent between an individual’s health and wellbeing, and the services that exist to support them. The role of nuance here enables an expression of complexity, acknowledging the oppositional tropes of both proponents and detractors of personalisation. Where the literature has criticised the introduction of personalisation as a management-led effort that has alienated front line workers (Duffy 2010a, Scourfield </w:t>
      </w:r>
      <w:r w:rsidRPr="008B68A9">
        <w:rPr>
          <w:i/>
        </w:rPr>
        <w:t>et al.</w:t>
      </w:r>
      <w:r w:rsidRPr="008B68A9">
        <w:t xml:space="preserve"> 2012), nuanced orientation could provide a way to framing the tensions and professional identity issues that personalisation creates.</w:t>
      </w:r>
    </w:p>
    <w:p w14:paraId="08046CD9" w14:textId="77777777" w:rsidR="00C3070E" w:rsidRPr="008B68A9" w:rsidRDefault="00C3070E" w:rsidP="00C3070E">
      <w:pPr>
        <w:pStyle w:val="2L2header"/>
      </w:pPr>
      <w:bookmarkStart w:id="394" w:name="_Toc413607883"/>
      <w:bookmarkStart w:id="395" w:name="_Toc413827517"/>
      <w:bookmarkStart w:id="396" w:name="_Toc451185531"/>
      <w:bookmarkStart w:id="397" w:name="_Toc451311296"/>
      <w:bookmarkStart w:id="398" w:name="_Toc466800412"/>
      <w:bookmarkStart w:id="399" w:name="_Toc413607881"/>
      <w:bookmarkStart w:id="400" w:name="_Toc413827515"/>
      <w:r w:rsidRPr="008B68A9">
        <w:t>7.</w:t>
      </w:r>
      <w:bookmarkEnd w:id="394"/>
      <w:bookmarkEnd w:id="395"/>
      <w:r w:rsidRPr="008B68A9">
        <w:t>6 Personalisation in mental health</w:t>
      </w:r>
      <w:bookmarkEnd w:id="396"/>
      <w:bookmarkEnd w:id="397"/>
      <w:bookmarkEnd w:id="398"/>
    </w:p>
    <w:p w14:paraId="2CD069D2" w14:textId="77777777" w:rsidR="00C3070E" w:rsidRPr="008B68A9" w:rsidRDefault="00C3070E" w:rsidP="00C3070E">
      <w:pPr>
        <w:pStyle w:val="5arangedleft"/>
      </w:pPr>
      <w:r w:rsidRPr="008B68A9">
        <w:t>The framework offered on page 248 was developed through the collective case study analysis, and it is my aim that the model may support further enquiry into personalisation. The application of personalisation in mental health raises a number of questions that this chapter now turns to. In this section the often transitory nature of the difficulties associated with mental health are discussed in the context of diagnosis, conventions of warrant and access to services.</w:t>
      </w:r>
    </w:p>
    <w:p w14:paraId="52785E7A" w14:textId="77777777" w:rsidR="00C3070E" w:rsidRPr="008B68A9" w:rsidRDefault="00C3070E" w:rsidP="00C3070E">
      <w:pPr>
        <w:pStyle w:val="5arangedleft"/>
      </w:pPr>
      <w:r w:rsidRPr="008B68A9">
        <w:t xml:space="preserve">Whether personalisation in human services represents the achievement of individual user decision making over authorised professional knowledge and expertise out of 50 years of user movement struggle; or whether individual choice and autonomy is more reflective of the personal choice and market agenda, has been discussed for much of personalisation’s history (Larkin and Mitchell 2016). The existence of autonomy for some groups is unequivocal; the discourse of choice and individual expression for people receiving Independent Living Fund support represents the social model of disability, where barriers to social inclusion and participation are overcome by adapting disabling environments (Oliver 1996). Additionally people with physical impairments have an emancipatory claim made on their behalf (Swain and French 2000). Although much of the work around the social model and emancipatory change have emerged from fields of physical and intellectual impairment </w:t>
      </w:r>
      <w:r w:rsidRPr="008B68A9">
        <w:lastRenderedPageBreak/>
        <w:t>(Shakespeare 1998), the potential for personalisation and individual budgets facilitating change for people with mental health problems is strong, though not substantiated in the literature.</w:t>
      </w:r>
    </w:p>
    <w:p w14:paraId="6ECD4935" w14:textId="77777777" w:rsidR="00C3070E" w:rsidRPr="008B68A9" w:rsidRDefault="00C3070E" w:rsidP="00C3070E">
      <w:pPr>
        <w:pStyle w:val="5arangedleft"/>
      </w:pPr>
      <w:r w:rsidRPr="008B68A9">
        <w:t xml:space="preserve">Through In Control and the coalition of TLAP it is accepted that people with a learning disability have control in their lives as a right through personalisation. Direct payments and personal budgets have become irrevocably established as a means of organising lives in ways suited to express individual needs and wishes (Glasby and Littlechild 2009). It is less certain that a similar juncture has occurred for people with mental health problems. Increased user voice and involvement (Repper and Perkins 2003) and a focus on recovery orientated services (Anthony 1993, Bonney and Stickley 2008) have undoubtedly created positive change in mental health policy (Slade 2009). The advance of recovery is seen through policy approaches, legislative direction and service protocols (Scottish Executive 2010, DH 2011, Mental Health Wales Measure 2010). The narratives presented within my thesis raise questions as to whether mental health professionals and their organisations are ready or disposed to accept personalisation for people with fluctuating mental health problems. </w:t>
      </w:r>
    </w:p>
    <w:p w14:paraId="547E5CC1" w14:textId="77777777" w:rsidR="00C3070E" w:rsidRPr="008B68A9" w:rsidRDefault="00C3070E" w:rsidP="00C3070E">
      <w:pPr>
        <w:pStyle w:val="5arangedleft"/>
      </w:pPr>
      <w:r w:rsidRPr="008B68A9">
        <w:t>Conflicting story-lines in my study, oppositional to or receptive for personalisation, served to highlight the conflict between professional and personal knowledge and power. Personalisation demands professionals relinquish their monopoly of decision making, instead adopting relationships founded on principles of co-production cited by Needham and Carr (2012). Whereas, mental health treatment approaches are currently framed within a discourse of evidence based practice, mediated through hierarchies of evidence (DH 2011) and regulated through legislated bodies such as the National Institute for Health and Care Excellence (NICE). The guidelines NICE produces indicate where positivist evidence to support interventions is strong, indicating therefore what is considered effective and value for money. Personalisation does not concord to positivist knowledge.  Where large scale RCT designed evaluations have occurred such as Glendinning et al. (2008) or Forder et al., (2012) their results are equivocal and highlight more questions than those studies answered.</w:t>
      </w:r>
    </w:p>
    <w:p w14:paraId="0EB9448A" w14:textId="77777777" w:rsidR="00C3070E" w:rsidRPr="008B68A9" w:rsidRDefault="00C3070E" w:rsidP="00C3070E">
      <w:pPr>
        <w:pStyle w:val="5arangedleft"/>
      </w:pPr>
      <w:r w:rsidRPr="008B68A9">
        <w:lastRenderedPageBreak/>
        <w:t xml:space="preserve">Personalisation does not create priority over professional knowledge, rather it instigates a dialogue between professional expertise and personal knowledge; as Leadbeater (2004) stated, on a new platform, equal and working collaboratively towards shared goals. A conceptual dichotomy between professional control and personal knowledge in mental health is articulated in part through recovery discourses (Repper and Perkins 2003, Shepherd </w:t>
      </w:r>
      <w:r w:rsidRPr="008B68A9">
        <w:rPr>
          <w:i/>
        </w:rPr>
        <w:t>et al.</w:t>
      </w:r>
      <w:r w:rsidRPr="008B68A9">
        <w:t xml:space="preserve"> 2008, Slade 2009) which might be harnessed to support the promotion and application of personalisation in practice. Though similarities between personalisation and recovery approaches can be made, the enactment of outcomes based interventions directed by the user sets personalisation apart from recovery.</w:t>
      </w:r>
    </w:p>
    <w:p w14:paraId="74870F3D" w14:textId="77777777" w:rsidR="00C3070E" w:rsidRPr="008B68A9" w:rsidRDefault="00C3070E" w:rsidP="00C3070E">
      <w:pPr>
        <w:pStyle w:val="5arangedleft"/>
      </w:pPr>
      <w:r w:rsidRPr="008B68A9">
        <w:t>Moreover, the notion of clinical need and what interventions amount to authentic or valid treatment has importance in mental health as it influences professionals’ receptive or oppositional orientation to personalisation. Treatment constitutes authorised actions and remedies prescribed and instigated by licenced practitioners (Godin 2003) through conventions of warrant (Gergen 1999). Personalisation demands attention of the users’ expertise of what is important to and for their life.</w:t>
      </w:r>
    </w:p>
    <w:p w14:paraId="7C607E55" w14:textId="77777777" w:rsidR="00C3070E" w:rsidRPr="008B68A9" w:rsidRDefault="00C3070E" w:rsidP="00C3070E">
      <w:pPr>
        <w:pStyle w:val="5arangedleft"/>
      </w:pPr>
      <w:r w:rsidRPr="008B68A9">
        <w:t xml:space="preserve">The difference between a warranted health issue or mental ill-health problem, where ’private’ accounts of health according to Radley and Billig’s (1996 p.234) view are defined by the ‘public’ authority of medical power, places both a responsibility and dilemma on the individual. The identity work for the person with mental health problems is to transmit their experiences of distress in an identifiable and warranted form so as to be understood by mental health professionals. But the user is also obliged to demonstrate their willingness to be, in medicine’s eyes, healthy or attempting to achieve health. The challenge of authenticating such distress for people whose diagnostic identity exists within opaque and diagnostically unreliable approaches (Kinderman 2013), such as the Diagnostic and Statistical Manual (DSM 5, APA 2013) and the International Classification of Disease, 10 (World Health Organisation 1994) remains contested and contentious. </w:t>
      </w:r>
    </w:p>
    <w:p w14:paraId="5E162942" w14:textId="77777777" w:rsidR="009B2AE6" w:rsidRPr="008B68A9" w:rsidRDefault="009B2AE6" w:rsidP="00C3070E">
      <w:pPr>
        <w:pStyle w:val="5arangedleft"/>
      </w:pPr>
    </w:p>
    <w:p w14:paraId="1CDB87BB" w14:textId="77777777" w:rsidR="00C3070E" w:rsidRPr="008B68A9" w:rsidRDefault="00C3070E" w:rsidP="00C3070E">
      <w:pPr>
        <w:pStyle w:val="5arangedleft"/>
      </w:pPr>
      <w:r w:rsidRPr="008B68A9">
        <w:lastRenderedPageBreak/>
        <w:t xml:space="preserve">In the context of Radley and Billig’s (1996) work, service users with authenticated classificatory diagnostic labels experience a scrutiny as to the truthfulness of their distress. The onus upon an individual with mental health problems to convince professionals of their warrant of mental health disorder was difficult for some in my study, given that the outcomes they set for improving their lives did not conform to traditional or sanctioned treatments. Most of the participants in the case study were considered to have major mental health diagnosis and not the more contentious labels such as having personality disorder. However, a proportion of the study participants had a comorbidity, such as substance misuse, where negative constructions of that group from helping professions are well documented (Shanks </w:t>
      </w:r>
      <w:r w:rsidRPr="008B68A9">
        <w:rPr>
          <w:i/>
        </w:rPr>
        <w:t>et al.</w:t>
      </w:r>
      <w:r w:rsidRPr="008B68A9">
        <w:t xml:space="preserve"> 2011, Bodner </w:t>
      </w:r>
      <w:r w:rsidRPr="008B68A9">
        <w:rPr>
          <w:i/>
        </w:rPr>
        <w:t>et al.</w:t>
      </w:r>
      <w:r w:rsidRPr="008B68A9">
        <w:t xml:space="preserve"> 2015). For these participants the presence of contingent narrative was unambiguously present, influencing the social acts of staff and budget users alike. </w:t>
      </w:r>
    </w:p>
    <w:p w14:paraId="2CF2C65C" w14:textId="77777777" w:rsidR="00C3070E" w:rsidRPr="008B68A9" w:rsidRDefault="00C3070E" w:rsidP="00C3070E">
      <w:pPr>
        <w:pStyle w:val="5arangedleft"/>
      </w:pPr>
      <w:r w:rsidRPr="008B68A9">
        <w:t xml:space="preserve">A consequence of authorised health-seeking behaviours in personalisation is that many of the actions identified in support plans and subsequent budgets do not conform to traditional approaches to intervention as Alakeson makes clear in a UK context (2008), and Croft and Parish do more recently in a US study (2016). Psychiatry treats mental health problems through psychopharmacological treatments (Kinderman 2015) as well as through psychological therapies, although the latter is less common and often not first line approach (DH 2012a). However, sometimes as Cleary (2003, p. 140) stated the immediacy of perceived need in mental health means that “…within the challenge of a tension of… upholding human rights at the same time as making provision for (essentially paternalistic) interventions deemed to be in the interests of the patient’s health”. With the tradition and therefore expectation in psychiatry being medically and paternalistically determined, questions of authentic need were likely to be found in service provider narratives that challenged the level of need of budget users and their use of budget monies. Tropes were important here as themes that facilitated a congruence in self-narrative. As Sarbin (1986 p. 17) describes, the narrator "constructs the text so that the self as narrative figure is protected, defended or enhanced. The narrative smoothing… is carried out in the service of maintaining an acceptable identity.” Professional staff therefore </w:t>
      </w:r>
      <w:r w:rsidRPr="008B68A9">
        <w:lastRenderedPageBreak/>
        <w:t>maintained acceptable identities through their use of trope justifying professional asymmetry, fixed offer of resources available and regulatory demands all serving to limit their use of personalisation. Further, as seen in nursing narratives, the trope of equity of service challenged individual budgets with varying amounts of financial increment allocated. These staff used a construction of fair and equitable service delivery as a concept of equity and parity for all in NHS settings, even though financial parity in the UK’s NHS has never existed (Buck and Dixon 2013).</w:t>
      </w:r>
    </w:p>
    <w:p w14:paraId="78B07E73" w14:textId="77777777" w:rsidR="00C3070E" w:rsidRPr="008B68A9" w:rsidRDefault="00C3070E" w:rsidP="00C3070E">
      <w:pPr>
        <w:pStyle w:val="5arangedleft"/>
      </w:pPr>
      <w:r w:rsidRPr="008B68A9">
        <w:t>Power relationships observed in my study co-existed with tropes of regulatory and fixed offers, which held both professionals and the budget service users within a traditional service delivery approach. Although practitioners saw benefits in working differently with users, their use of trope referring to existing channels of accountability and authority in their practice and clinical orthodoxy meant little in terms of service change. Professionals, particularly nurses, were bound in their hierarchy, where asymmetric relationships are strictly ordered as established structures (Burnard and Chapman 1990). Whilst studies have shown that in acute mental health settings power and control are used expressly to stabilise patients in their crisis (Cleary 2003), the justification for professional’s use of power through warrants of convention in community mental health settings can be less justified. Users in my study adopted largely passive positions, rather than challenging the services offered by the authority. Users’ identities were mediated by others whose direct control was established and maintained through conventions of voice (Gergen 1998) and professionals’ social acts through interlocutionary devices (as described by Harré and Van Langenhove 1999).</w:t>
      </w:r>
    </w:p>
    <w:p w14:paraId="25F00979" w14:textId="77777777" w:rsidR="00C3070E" w:rsidRPr="008B68A9" w:rsidRDefault="00C3070E" w:rsidP="00C3070E">
      <w:pPr>
        <w:pStyle w:val="5arangedleft"/>
      </w:pPr>
      <w:r w:rsidRPr="008B68A9">
        <w:t xml:space="preserve">Decision making encounters were negotiated between actors at micro and meso levels, meaning the nurse or social worker’s social acts were influenced by their organisation’s need for evidence based action (Standing 2008). Whilst at a micro level, interpersonal interaction between professionals and users, practitioners interpreted and responded to user needs in novel ways. Non-traditional interventions seen in personal budgets, such as purchasing cars (Eost-Telling 2011) obtaining computer equipment, (Glendinning </w:t>
      </w:r>
      <w:r w:rsidRPr="008B68A9">
        <w:rPr>
          <w:i/>
        </w:rPr>
        <w:t>et al</w:t>
      </w:r>
      <w:r w:rsidRPr="008B68A9">
        <w:t xml:space="preserve"> 2008) or buying holidays, (Coyle 2011), deviate significantly from traditional services to such a degree that the </w:t>
      </w:r>
      <w:r w:rsidRPr="008B68A9">
        <w:lastRenderedPageBreak/>
        <w:t>professionals’ narratives returned to the trope of a traditional service delivery and prescribed formats of practice. By limiting their practice to a recognisable traditional offer they risked retreating from personalisation’s potential into organisationally sanctioned forms of service delivery. Needham (2011b p. 83) usefully cites Freeman (2009 p. 441) that in the context of translating policy that it: “…is often the result of multiple iterations by multiple actors, eroding the distinction between source and target.” The implementation of the new script of personalisation must therefore be mediated by multiple iterations, interpretation and local distortion.</w:t>
      </w:r>
    </w:p>
    <w:p w14:paraId="04A83F00" w14:textId="77777777" w:rsidR="00C3070E" w:rsidRPr="008B68A9" w:rsidRDefault="00C3070E" w:rsidP="00C3070E">
      <w:pPr>
        <w:pStyle w:val="5arangedleft"/>
      </w:pPr>
      <w:r w:rsidRPr="008B68A9">
        <w:t>Personalisation and user power have become synonymous and yet curiously antithetical. Power of warranted voice is relocated from professionals to service users, thereby creating a potential for professional groups’ exclusion and their loss of their warranted voice. Co-production that creates individual and sustainable interventions addressing the whole person, not diagnostic terms was preferable, though as demonstrated in the discussion above, the concept is complex. Meeting mental health need through personalisation requires a nuanced approach rather than the deployment of simple binary constructions, story-line or trope. Nuanced constructions, I argue, that reflect the complex interactions in professionals and users alike will facilitate the interpersonal conditions where a co-productive endeavour between participants and providers becomes possible.</w:t>
      </w:r>
    </w:p>
    <w:p w14:paraId="4585A6E3" w14:textId="77777777" w:rsidR="00C3070E" w:rsidRPr="008B68A9" w:rsidRDefault="00C3070E" w:rsidP="00C3070E">
      <w:pPr>
        <w:pStyle w:val="5arangedleft"/>
      </w:pPr>
      <w:r w:rsidRPr="008B68A9">
        <w:t>For over a decade mental health services, recovery approaches have provided the foundation for values based practise which, to some, suggests a potential for synergy with personalisation and individual budgets (Alakeson and Repper 2012). The question of whether recovery approaches might contribute to the personalisation agenda is salient, as recovery approaches represent policy and law in Wales (Mental Health Measure Wales 2010). It is conceivable and a danger that the professionals’ language associated with recovery approaches in mental health be replicated for personalisation, thereby consigning the concept to a linguistic turn of the street level practice and little more.</w:t>
      </w:r>
    </w:p>
    <w:p w14:paraId="33601BAC" w14:textId="77777777" w:rsidR="00C3070E" w:rsidRPr="008B68A9" w:rsidRDefault="00C3070E" w:rsidP="00C3070E">
      <w:pPr>
        <w:pStyle w:val="2L2header"/>
      </w:pPr>
      <w:bookmarkStart w:id="401" w:name="_Toc413607882"/>
      <w:bookmarkStart w:id="402" w:name="_Toc413827516"/>
      <w:bookmarkStart w:id="403" w:name="_Toc451185532"/>
      <w:bookmarkStart w:id="404" w:name="_Toc451311297"/>
      <w:bookmarkStart w:id="405" w:name="_Toc466800413"/>
      <w:bookmarkEnd w:id="399"/>
      <w:bookmarkEnd w:id="400"/>
      <w:r w:rsidRPr="008B68A9">
        <w:lastRenderedPageBreak/>
        <w:t>7.</w:t>
      </w:r>
      <w:bookmarkEnd w:id="401"/>
      <w:bookmarkEnd w:id="402"/>
      <w:r w:rsidRPr="008B68A9">
        <w:t>7 Policy-push over professional pull</w:t>
      </w:r>
      <w:bookmarkEnd w:id="403"/>
      <w:bookmarkEnd w:id="404"/>
      <w:bookmarkEnd w:id="405"/>
    </w:p>
    <w:p w14:paraId="09125AB9" w14:textId="77777777" w:rsidR="00C3070E" w:rsidRPr="008B68A9" w:rsidRDefault="00C3070E" w:rsidP="00C3070E">
      <w:pPr>
        <w:pStyle w:val="5arangedleft"/>
      </w:pPr>
      <w:r w:rsidRPr="008B68A9">
        <w:t xml:space="preserve">This thesis has shown through its analysis of narrative how far individual practitioners and users of services have travelled in terms of adopting co-production and personalisation as the basis of their contact. My work challenges professionals’ contingent narrative where they struggle to rebalance their professional dominance over budget recipients to a facilitative and co-productive endeavour. Working with personalisation is complex and requires systems based changes as well of those working within them. Personalisation, I suggest, in mental health is unlike other areas, creating a unique set of challenges arising from multiple and contested constructions of mental health, warrants of convention and the subsequent professional responses to articulated needs. </w:t>
      </w:r>
    </w:p>
    <w:p w14:paraId="202F1864" w14:textId="77777777" w:rsidR="00C3070E" w:rsidRPr="008B68A9" w:rsidRDefault="00C3070E" w:rsidP="00C3070E">
      <w:pPr>
        <w:pStyle w:val="5arangedleft"/>
      </w:pPr>
      <w:r w:rsidRPr="008B68A9">
        <w:t>The National Audit Office report (2016) showed that whilst Local Authorities remain supportive of personalised commissioning their capacity to achieve the demands of the Care Act (2014) is limited.  More worryingly is the government’s ability to judge the success of their policy and legislation as the NAO report criticises the Department of Health’s data and collection processes as old and inadequate.  People using individual budgets appreciate personalisation, though as the NAO point out in their interviews of 200 participants, the way individual budgets are implemented is key as to whether users benefit from them. A legitimate question therefore remains as to the extent that personalisation has been adopted at individual or interpersonal levels between professionals and those receiving services, or whether progress towards personalisation remains mostly at policy and legislative levels.</w:t>
      </w:r>
    </w:p>
    <w:p w14:paraId="00C93603" w14:textId="3D2136EA" w:rsidR="00980A2B" w:rsidRPr="008B68A9" w:rsidRDefault="00C3070E" w:rsidP="00C3070E">
      <w:pPr>
        <w:pStyle w:val="5arangedleft"/>
      </w:pPr>
      <w:r w:rsidRPr="008B68A9">
        <w:t xml:space="preserve">As Power (2014) has suggested, at its inception of its personalisation policy the UK government relied on a legislated push to “get personalisation over the line” with the hope that practice will follow. My thesis shows that to an extent the hope of practice change through policy push was evident, as practitioner narratives spoke of support towards it. However their scepticism if not towards personalisation but the likelihood of its success was also evident. This study suggests that personalisation requires more than adherence to a protocol: the act of warranting voice and coproducing support </w:t>
      </w:r>
      <w:r w:rsidRPr="008B68A9">
        <w:lastRenderedPageBreak/>
        <w:t>planning towards recovery in mental health demands an honesty that was not always apparent in the social acts of professionals.</w:t>
      </w:r>
    </w:p>
    <w:p w14:paraId="04F11877" w14:textId="77777777" w:rsidR="00C3070E" w:rsidRPr="008B68A9" w:rsidRDefault="00C3070E" w:rsidP="00C3070E">
      <w:pPr>
        <w:pStyle w:val="2L2header"/>
      </w:pPr>
      <w:bookmarkStart w:id="406" w:name="_Toc413607902"/>
      <w:bookmarkStart w:id="407" w:name="_Toc413827536"/>
      <w:bookmarkStart w:id="408" w:name="_Toc451185533"/>
      <w:bookmarkStart w:id="409" w:name="_Toc451311298"/>
      <w:bookmarkStart w:id="410" w:name="_Toc466800414"/>
      <w:bookmarkStart w:id="411" w:name="_Toc413607889"/>
      <w:bookmarkStart w:id="412" w:name="_Toc413827523"/>
      <w:r w:rsidRPr="008B68A9">
        <w:t xml:space="preserve">7.8 </w:t>
      </w:r>
      <w:bookmarkEnd w:id="406"/>
      <w:bookmarkEnd w:id="407"/>
      <w:r w:rsidRPr="008B68A9">
        <w:t>Reflexivity</w:t>
      </w:r>
      <w:bookmarkEnd w:id="408"/>
      <w:bookmarkEnd w:id="409"/>
      <w:bookmarkEnd w:id="410"/>
    </w:p>
    <w:p w14:paraId="30443BFD" w14:textId="77777777" w:rsidR="00C3070E" w:rsidRPr="008B68A9" w:rsidRDefault="00C3070E" w:rsidP="00C3070E">
      <w:pPr>
        <w:pStyle w:val="5arangedleft"/>
      </w:pPr>
      <w:r w:rsidRPr="008B68A9">
        <w:t xml:space="preserve">In terms of reflexivity this thesis represents a tension of concept and of method. The project of personalisation may have begun as a development from the disability user movement (Power 2013) and the social model of disability (Oliver 1996). Further developed from Leadbeater’s (2004) notions of a new compact between government and active citizenship, epitomised by the Blair administration and Giddens’ (1998) Third Way. Personalisation was realised by </w:t>
      </w:r>
      <w:r w:rsidRPr="008B68A9">
        <w:rPr>
          <w:i/>
        </w:rPr>
        <w:t>Putting People First</w:t>
      </w:r>
      <w:r w:rsidRPr="008B68A9">
        <w:t xml:space="preserve"> (HM Government 1997) and the promotion of choice and competition (Le Grand 2007), where public service users seen as consumers has come to represent choice and control. Personalisation in terms of the user and their choices may represent an individual project, albeit facilitated through co-production with knowledgeable others. </w:t>
      </w:r>
    </w:p>
    <w:p w14:paraId="44BE1993" w14:textId="77777777" w:rsidR="00C3070E" w:rsidRPr="008B68A9" w:rsidRDefault="00C3070E" w:rsidP="00C3070E">
      <w:pPr>
        <w:pStyle w:val="5arangedleft"/>
      </w:pPr>
      <w:r w:rsidRPr="008B68A9">
        <w:t>The history of personalisation suggests that the rise of the individual as equal, as consumer and as service integrator (Alakeson 2011b) through an expression of choice and personal action, is a natural course that most citizens make in neo-liberal consumerism. However, my method for exploring the identity work and orientation to personalisation has been through social constructionism, where the individual as ‘I’ is fundamentally questioned (Burr 1995). Examining the nature of individual choice set within a socially constructed setting might appear counterintuitive or even paradoxical; however, I have reconciled the mismatch between subject and method by focusing on the interaction between participants and their social constructions of role and action that are permitted with others. Therefore, whilst the mechanism of personalisation suggests a primacy of individualism, action and choice are essentially a social act that is negotiated using interlocutionary forces that determine action between budget users, professionals and brokers.</w:t>
      </w:r>
    </w:p>
    <w:p w14:paraId="4BE7ECE0" w14:textId="77777777" w:rsidR="00C3070E" w:rsidRPr="008B68A9" w:rsidRDefault="00C3070E" w:rsidP="00C3070E">
      <w:pPr>
        <w:pStyle w:val="5arangedleft"/>
      </w:pPr>
      <w:r w:rsidRPr="008B68A9">
        <w:t xml:space="preserve">Traditional service delivery has changed its location over the past thirty years, with the emptying of what are now regarded as inappropriate institutions of confinement (Foucault 1967). Since that time, the buildings have changed, and the roles and focus of nurses and social workers have also shifted; but the central question of what is </w:t>
      </w:r>
      <w:r w:rsidRPr="008B68A9">
        <w:lastRenderedPageBreak/>
        <w:t xml:space="preserve">mental health and health, and what helps people gain a sense of recovery, hope and direction remains. The persistence of medical and biologically framed constructions, held by many (Cutcliffe 2008, Stacey </w:t>
      </w:r>
      <w:r w:rsidRPr="008B68A9">
        <w:rPr>
          <w:i/>
        </w:rPr>
        <w:t>et al.</w:t>
      </w:r>
      <w:r w:rsidRPr="008B68A9">
        <w:t xml:space="preserve"> 2016), leads to the suggestion that as personalisation continues its narrative advance without a paradigm shift in professional and user identities, little in terms of intrapersonal change will occur. In offering a framework of orientation from a large analysis of narratives that represent user, commissioner, professional and carer identity work, this study has the potential to produce training and education that promotes nuanced and informed orientation towards personalisation. </w:t>
      </w:r>
    </w:p>
    <w:p w14:paraId="1B772A5D" w14:textId="77777777" w:rsidR="00C3070E" w:rsidRPr="008B68A9" w:rsidRDefault="00C3070E" w:rsidP="00C3070E">
      <w:pPr>
        <w:pStyle w:val="5arangedleft"/>
      </w:pPr>
      <w:r w:rsidRPr="008B68A9">
        <w:t xml:space="preserve">Some authors have argued that the brokerage function could form part of existing professionals’ role (Lymbery 2011, Scourfield 2007); however, the work in this study questions that assertion, highlighting that external brokerage may be necessary. Professional identity represented through the conventions of warrant in mental health may prove too great an obstacle for real change in the way mental health practitioners and service users create their identities of power. However, within the context of recovery approaches and the acceptance in principle and name, some progress may be made towards co-production and support planning. The role for peer brokerage represented a small part of my work, however the potential for peer-led services is being developed in many parts of the UK (Rugg 2014). Though the role peers may undertake could be as readily dismissed by the professional hegemony as the peer brokers in this study were, their impact on personalisation could be great. This work creates opportunities for a further exploration of the orientation processes involved in the change prescribed for mental health by personalisation. Understanding and appreciating the formation of antagonistic as opposed to co-operative relationships in personalisation may be of use in understanding ways that personalisation might further develop in mental health settings. </w:t>
      </w:r>
    </w:p>
    <w:p w14:paraId="45A0F538" w14:textId="77777777" w:rsidR="00C3070E" w:rsidRPr="008B68A9" w:rsidRDefault="00C3070E" w:rsidP="00C3070E">
      <w:pPr>
        <w:pStyle w:val="5arangedleft"/>
      </w:pPr>
      <w:r w:rsidRPr="008B68A9">
        <w:t>The work undertaken with brokers in this study also indicates independent role and function being more important than previously acknowledged. Relying on mental health professionals from health or social care to undertake broker facilitation work and broker advocacy work, in addition to statutory and regulatory mandated functions, appears hopeful at best and arguably renders personalisation and co-</w:t>
      </w:r>
      <w:r w:rsidRPr="008B68A9">
        <w:lastRenderedPageBreak/>
        <w:t xml:space="preserve">production being reduced to procedural and bureaucratically driven activities. Brokers have a significant role in personalisation, and a separation of the duties and functions of nursing and social work appears to be worth further investigation. History provides the example of advocacy in human services, which required a separation from statutory service provider roles, to the benefit of users; and my contention is that brokerage will require a similar delineation of function. This is not to suggest that brokerage – or rather the tenets of creating more equal relationships in personalisation between budget users and nursing and social work professionals – will not occur. Just as nursing and social work professionals undertake certain advocacy roles up to a limit, so too might work alongside the budget user on a more equal platform. They may as a result consider the limitations of their service’s offer set against the kinds of interventions an individual budget often produces. </w:t>
      </w:r>
    </w:p>
    <w:bookmarkEnd w:id="411"/>
    <w:bookmarkEnd w:id="412"/>
    <w:p w14:paraId="4AEC5177" w14:textId="77777777" w:rsidR="00C3070E" w:rsidRPr="008B68A9" w:rsidRDefault="00C3070E" w:rsidP="00C3070E">
      <w:pPr>
        <w:pStyle w:val="5arangedleft"/>
        <w:rPr>
          <w:szCs w:val="36"/>
        </w:rPr>
      </w:pPr>
      <w:r w:rsidRPr="008B68A9">
        <w:t>The issues of national policy and local direction and structure are beyond the influence of practitioners in their day-to-day practice, and whilst they are required to work within those structures, they contribute to the users’ experience. As legislation demands more joined up structures (Care Act 2014), saving money but also creating fewer barriers allowing seamless movement between services will have an impact on the way those accessing services will experience health and social care. However, without co-production between users and professionals, the impact of any organisational change will be considerably lessened.</w:t>
      </w:r>
    </w:p>
    <w:p w14:paraId="3E25C919" w14:textId="1041AE80" w:rsidR="00C3070E" w:rsidRPr="008B68A9" w:rsidRDefault="00C3070E" w:rsidP="00C3070E">
      <w:pPr>
        <w:pStyle w:val="5arangedleft"/>
      </w:pPr>
      <w:r w:rsidRPr="008B68A9">
        <w:t xml:space="preserve">History may judge that personalisation occurred at a bad point in the economic cycle and became bound up in a wider, more political, endeavour of active citizenship and consumerism (Power 2014). Or perhaps the concept of personalised care represents a shift from state to individual and community responsibility (Carr 2011c). Quite possibly personalisation may become another rhetorical device where the policy discourses and personal experience diverge, with little changing in the relationships between professional agencies and the users of services. For personalisation to become a lost opportunity to improve equity in helping relationships between people with mental health problems and professionals represents a great risk. Personalisation is at once a simple concept of transferring power from professionally constructed institutions with a universal approach to care, to individually designed </w:t>
      </w:r>
      <w:r w:rsidRPr="008B68A9">
        <w:lastRenderedPageBreak/>
        <w:t xml:space="preserve">solutions that respond to personal recovery, it is also necessarily complex. This study offers a framework to navigate the implementation of personalisation in mental health. Therefore whilst we might usefully recall the dictum of Korzybski (1933 p.58) that </w:t>
      </w:r>
      <w:r w:rsidRPr="008B68A9">
        <w:rPr>
          <w:rFonts w:ascii="Verdana" w:hAnsi="Verdana"/>
          <w:sz w:val="20"/>
          <w:szCs w:val="20"/>
        </w:rPr>
        <w:t>"</w:t>
      </w:r>
      <w:r w:rsidRPr="008B68A9">
        <w:t>A map is not the territory it represents, but if correct, it has a similar structure to the territory, which accounts for its usefulness.” A map that guides the education and training of professionals implementing personalisation may in time prove useful.</w:t>
      </w:r>
    </w:p>
    <w:p w14:paraId="31E115EC" w14:textId="77777777" w:rsidR="001710C3" w:rsidRPr="008B68A9" w:rsidRDefault="001710C3" w:rsidP="002F0FD7">
      <w:pPr>
        <w:pStyle w:val="5arangedleft"/>
      </w:pPr>
    </w:p>
    <w:p w14:paraId="2098A92C" w14:textId="77777777" w:rsidR="008E4573" w:rsidRPr="008B68A9" w:rsidRDefault="008E4573" w:rsidP="002F0FD7">
      <w:pPr>
        <w:pStyle w:val="5arangedleft"/>
        <w:sectPr w:rsidR="008E4573" w:rsidRPr="008B68A9" w:rsidSect="00D03E0A">
          <w:footerReference w:type="default" r:id="rId21"/>
          <w:pgSz w:w="11906" w:h="16838"/>
          <w:pgMar w:top="1440" w:right="1418" w:bottom="1440" w:left="2268" w:header="709" w:footer="709" w:gutter="0"/>
          <w:cols w:space="708"/>
          <w:docGrid w:linePitch="360"/>
        </w:sectPr>
      </w:pPr>
    </w:p>
    <w:p w14:paraId="1B9EBE8D" w14:textId="44189182" w:rsidR="008E4573" w:rsidRPr="008B68A9" w:rsidRDefault="008E4573" w:rsidP="008E4573">
      <w:pPr>
        <w:pStyle w:val="1L1header"/>
      </w:pPr>
      <w:bookmarkStart w:id="413" w:name="_Toc413607904"/>
      <w:bookmarkStart w:id="414" w:name="_Toc413827538"/>
      <w:bookmarkStart w:id="415" w:name="_Toc451185534"/>
      <w:bookmarkStart w:id="416" w:name="_Toc466800415"/>
      <w:r w:rsidRPr="008B68A9">
        <w:lastRenderedPageBreak/>
        <w:t>Chapter 8: Conclusion</w:t>
      </w:r>
      <w:bookmarkEnd w:id="413"/>
      <w:bookmarkEnd w:id="414"/>
      <w:bookmarkEnd w:id="415"/>
      <w:bookmarkEnd w:id="416"/>
    </w:p>
    <w:p w14:paraId="3400D83A" w14:textId="15FE5106" w:rsidR="008E4573" w:rsidRPr="008B68A9" w:rsidRDefault="008E4573" w:rsidP="002F0FD7">
      <w:pPr>
        <w:pStyle w:val="5arangedleft"/>
      </w:pPr>
      <w:r w:rsidRPr="008B68A9">
        <w:t>This thesis attempted to draw on multiple narratives from participants involved with personalisation, and on multiple interpretations by</w:t>
      </w:r>
      <w:r w:rsidR="004B5203" w:rsidRPr="008B68A9">
        <w:t xml:space="preserve"> those</w:t>
      </w:r>
      <w:r w:rsidRPr="008B68A9">
        <w:t xml:space="preserve"> actors </w:t>
      </w:r>
      <w:r w:rsidR="004B5203" w:rsidRPr="008B68A9">
        <w:t>representing</w:t>
      </w:r>
      <w:r w:rsidRPr="008B68A9">
        <w:t xml:space="preserve"> a wide range of interests. The breadth and diversity of narratives associated with personalisation make an examination of personalisation interesting</w:t>
      </w:r>
      <w:r w:rsidR="004B5203" w:rsidRPr="008B68A9">
        <w:t xml:space="preserve"> and the importance of personalisation in public policy is relevant</w:t>
      </w:r>
      <w:r w:rsidRPr="008B68A9">
        <w:t xml:space="preserve">. The </w:t>
      </w:r>
      <w:r w:rsidR="004B5203" w:rsidRPr="008B68A9">
        <w:t>presence</w:t>
      </w:r>
      <w:r w:rsidRPr="008B68A9">
        <w:t xml:space="preserve"> of personalisation in public sector policy and legislation makes this work contemporary </w:t>
      </w:r>
      <w:r w:rsidR="004B5203" w:rsidRPr="008B68A9">
        <w:t xml:space="preserve">as the </w:t>
      </w:r>
      <w:r w:rsidRPr="008B68A9">
        <w:t>questions of choice</w:t>
      </w:r>
      <w:r w:rsidR="004B5203" w:rsidRPr="008B68A9">
        <w:t xml:space="preserve"> and autonomy are seen across many strands of UK public sector delivery</w:t>
      </w:r>
      <w:r w:rsidRPr="008B68A9">
        <w:t xml:space="preserve">. As no one </w:t>
      </w:r>
      <w:r w:rsidR="004B5203" w:rsidRPr="008B68A9">
        <w:t xml:space="preserve">narrative </w:t>
      </w:r>
      <w:r w:rsidRPr="008B68A9">
        <w:t>strand of personalisation exists, this work’s strength is that it support</w:t>
      </w:r>
      <w:r w:rsidR="004B5203" w:rsidRPr="008B68A9">
        <w:t>s</w:t>
      </w:r>
      <w:r w:rsidRPr="008B68A9">
        <w:t xml:space="preserve"> a position of orientation cognisant of oppositional </w:t>
      </w:r>
      <w:r w:rsidR="004B5203" w:rsidRPr="008B68A9">
        <w:t>and</w:t>
      </w:r>
      <w:r w:rsidRPr="008B68A9">
        <w:t xml:space="preserve"> binary construction</w:t>
      </w:r>
      <w:r w:rsidR="004B5203" w:rsidRPr="008B68A9">
        <w:t>s</w:t>
      </w:r>
      <w:r w:rsidRPr="008B68A9">
        <w:t xml:space="preserve"> of personalisation. The study suggests that nuanced orientation </w:t>
      </w:r>
      <w:r w:rsidR="00853446" w:rsidRPr="008B68A9">
        <w:t>to personalisation in professionals and service users allow</w:t>
      </w:r>
      <w:r w:rsidR="004B5203" w:rsidRPr="008B68A9">
        <w:t>s multiple and sometimes conflicting story-line</w:t>
      </w:r>
      <w:r w:rsidRPr="008B68A9">
        <w:t xml:space="preserve"> </w:t>
      </w:r>
      <w:r w:rsidR="004B5203" w:rsidRPr="008B68A9">
        <w:t xml:space="preserve">to co-exist. </w:t>
      </w:r>
    </w:p>
    <w:p w14:paraId="1F73FAF8" w14:textId="57201121" w:rsidR="008E4573" w:rsidRPr="008B68A9" w:rsidRDefault="008E4573" w:rsidP="002F0FD7">
      <w:pPr>
        <w:pStyle w:val="5arangedleft"/>
      </w:pPr>
      <w:r w:rsidRPr="008B68A9">
        <w:t xml:space="preserve">Just as multiple interpretations of personalisation are held by various actors, so too does the more fundamental question of reality and constructions of self and others. This work has accepted the premise of understanding of self and others </w:t>
      </w:r>
      <w:r w:rsidR="004B5203" w:rsidRPr="008B68A9">
        <w:t xml:space="preserve">a realist sense </w:t>
      </w:r>
      <w:r w:rsidRPr="008B68A9">
        <w:t xml:space="preserve">as </w:t>
      </w:r>
      <w:r w:rsidR="004B5203" w:rsidRPr="008B68A9">
        <w:t>social constructions</w:t>
      </w:r>
      <w:r w:rsidRPr="008B68A9">
        <w:t xml:space="preserve"> after Burr (2015). The </w:t>
      </w:r>
      <w:r w:rsidR="004B5203" w:rsidRPr="008B68A9">
        <w:t xml:space="preserve">actors’ </w:t>
      </w:r>
      <w:r w:rsidRPr="008B68A9">
        <w:t xml:space="preserve">identities, whether paid professionals, budget users or those performing brokerage functions, are mediated and understood through their interaction with others. Processes of casting and recasting story through narrative </w:t>
      </w:r>
      <w:r w:rsidR="004B5203" w:rsidRPr="008B68A9">
        <w:t>reveals</w:t>
      </w:r>
      <w:r w:rsidRPr="008B68A9">
        <w:t xml:space="preserve"> the work at hand </w:t>
      </w:r>
      <w:r w:rsidR="00800693" w:rsidRPr="008B68A9">
        <w:t>for</w:t>
      </w:r>
      <w:r w:rsidRPr="008B68A9">
        <w:t xml:space="preserve"> that actor, </w:t>
      </w:r>
      <w:r w:rsidR="00800693" w:rsidRPr="008B68A9">
        <w:t xml:space="preserve">whether a </w:t>
      </w:r>
      <w:r w:rsidRPr="008B68A9">
        <w:t xml:space="preserve">conscious </w:t>
      </w:r>
      <w:r w:rsidR="00800693" w:rsidRPr="008B68A9">
        <w:t>act or not</w:t>
      </w:r>
      <w:r w:rsidR="004B5203" w:rsidRPr="008B68A9">
        <w:t>. Social relationships produce</w:t>
      </w:r>
      <w:r w:rsidRPr="008B68A9">
        <w:t xml:space="preserve"> identities of function for actors, whereby roles, responsibilities (established or new) were played out with consequences. As social constructionism represents a broad range of </w:t>
      </w:r>
      <w:r w:rsidR="004B5203" w:rsidRPr="008B68A9">
        <w:t>epistemological and ontological positions</w:t>
      </w:r>
      <w:r w:rsidRPr="008B68A9">
        <w:t xml:space="preserve">, </w:t>
      </w:r>
      <w:r w:rsidR="004B5203" w:rsidRPr="008B68A9">
        <w:t>my</w:t>
      </w:r>
      <w:r w:rsidRPr="008B68A9">
        <w:t xml:space="preserve"> work has shown how personalisation stories </w:t>
      </w:r>
      <w:r w:rsidR="004B5203" w:rsidRPr="008B68A9">
        <w:t>can</w:t>
      </w:r>
      <w:r w:rsidRPr="008B68A9">
        <w:t xml:space="preserve"> been mapped to a framework, </w:t>
      </w:r>
      <w:r w:rsidR="00973F8B" w:rsidRPr="008B68A9">
        <w:t>and therefore</w:t>
      </w:r>
      <w:r w:rsidRPr="008B68A9">
        <w:t xml:space="preserve"> have application</w:t>
      </w:r>
      <w:r w:rsidR="004B5203" w:rsidRPr="008B68A9">
        <w:t xml:space="preserve"> for education, training and preparation of staff and users embarking on personalisation.</w:t>
      </w:r>
      <w:r w:rsidRPr="008B68A9">
        <w:t xml:space="preserve"> The interest of positioning strategies and story-line remain personal in my work </w:t>
      </w:r>
      <w:r w:rsidR="00973F8B" w:rsidRPr="008B68A9">
        <w:t>and</w:t>
      </w:r>
      <w:r w:rsidRPr="008B68A9">
        <w:t xml:space="preserve"> be adopted, modified or even rejected by others through their reading. Just as the socially constructed nature of things permits many perspectives with no one singular </w:t>
      </w:r>
      <w:r w:rsidRPr="008B68A9">
        <w:lastRenderedPageBreak/>
        <w:t>construction representing truth, the position of difference, of adaptation or divergence, is not only inevitable but welcomed.</w:t>
      </w:r>
    </w:p>
    <w:p w14:paraId="47E86A27" w14:textId="77777777" w:rsidR="00FF52A7" w:rsidRPr="008B68A9" w:rsidRDefault="008E4573" w:rsidP="002F0FD7">
      <w:pPr>
        <w:pStyle w:val="5arangedleft"/>
      </w:pPr>
      <w:r w:rsidRPr="008B68A9">
        <w:t xml:space="preserve">This work </w:t>
      </w:r>
      <w:r w:rsidR="00973F8B" w:rsidRPr="008B68A9">
        <w:t>has</w:t>
      </w:r>
      <w:r w:rsidRPr="008B68A9">
        <w:t xml:space="preserve"> produce</w:t>
      </w:r>
      <w:r w:rsidR="00973F8B" w:rsidRPr="008B68A9">
        <w:t>d</w:t>
      </w:r>
      <w:r w:rsidRPr="008B68A9">
        <w:t xml:space="preserve"> a collective case study drawn from an existing body of research, and subject</w:t>
      </w:r>
      <w:r w:rsidR="00973F8B" w:rsidRPr="008B68A9">
        <w:t>ed</w:t>
      </w:r>
      <w:r w:rsidRPr="008B68A9">
        <w:t xml:space="preserve"> the interview data to a social constructionist narrative based analysis. The central interest was to explore the impact of personalisation on the actors’ identity and the interactions between them as they negotiated changes brought by the introduction of personalisation. </w:t>
      </w:r>
      <w:r w:rsidR="00973F8B" w:rsidRPr="008B68A9">
        <w:t>My</w:t>
      </w:r>
      <w:r w:rsidRPr="008B68A9">
        <w:t xml:space="preserve"> work shows that the participants, </w:t>
      </w:r>
      <w:r w:rsidR="00973F8B" w:rsidRPr="008B68A9">
        <w:t>through</w:t>
      </w:r>
      <w:r w:rsidRPr="008B68A9">
        <w:t xml:space="preserve"> their narrative journeys, revealed their orientation to personalisation through story-line, positioning and tropes. </w:t>
      </w:r>
    </w:p>
    <w:p w14:paraId="568E5E97" w14:textId="03F7D6C1" w:rsidR="00FF52A7" w:rsidRPr="008B68A9" w:rsidRDefault="008E4573" w:rsidP="002F0FD7">
      <w:pPr>
        <w:pStyle w:val="5arangedleft"/>
      </w:pPr>
      <w:r w:rsidRPr="008B68A9">
        <w:t xml:space="preserve">Budget users, whose narratives had mostly been regressive before the budgets, produced accounts of progressive trajectory where they reported hope </w:t>
      </w:r>
      <w:r w:rsidR="00973F8B" w:rsidRPr="008B68A9">
        <w:t>as their</w:t>
      </w:r>
      <w:r w:rsidRPr="008B68A9">
        <w:t xml:space="preserve"> future. Their talk acts went beyond satisfaction with personalisation, as most studies report; instead, these actor’s accounts suggest</w:t>
      </w:r>
      <w:r w:rsidR="00973F8B" w:rsidRPr="008B68A9">
        <w:t>ed</w:t>
      </w:r>
      <w:r w:rsidRPr="008B68A9">
        <w:t xml:space="preserve"> </w:t>
      </w:r>
      <w:r w:rsidR="00973F8B" w:rsidRPr="008B68A9">
        <w:t>better</w:t>
      </w:r>
      <w:r w:rsidRPr="008B68A9">
        <w:t xml:space="preserve"> physical health, </w:t>
      </w:r>
      <w:r w:rsidR="00973F8B" w:rsidRPr="008B68A9">
        <w:t xml:space="preserve">stronger community </w:t>
      </w:r>
      <w:r w:rsidRPr="008B68A9">
        <w:t>connection and sense of life course direction.</w:t>
      </w:r>
      <w:r w:rsidR="00973F8B" w:rsidRPr="008B68A9">
        <w:t xml:space="preserve"> The accounts showed lives improved though simple acquisitions that cut across traditional service boundaries and the limitations of those se</w:t>
      </w:r>
      <w:r w:rsidR="00D516AB" w:rsidRPr="008B68A9">
        <w:t xml:space="preserve">rvices budgets and regulation. </w:t>
      </w:r>
      <w:r w:rsidR="00FF52A7" w:rsidRPr="008B68A9">
        <w:t xml:space="preserve">The satisfaction experienced by the budget users was marked, and in keeping with other personalisation studies, although this study clearly demonstrated their experience went beyond satisfaction as a perception. Hope and connecting through tangible purchases made possible by the personal budgets contributed to a progressive narrative trajectory previously </w:t>
      </w:r>
      <w:r w:rsidR="009B2AE6" w:rsidRPr="008B68A9">
        <w:t>unthought-of</w:t>
      </w:r>
      <w:r w:rsidR="00FF52A7" w:rsidRPr="008B68A9">
        <w:t>. The budgets and the processes that led to purchases were in themselves contributory to the users’ narrative trajectory, instilling a sense of hope and worthiness.</w:t>
      </w:r>
    </w:p>
    <w:p w14:paraId="3DC00268" w14:textId="21ECA162" w:rsidR="008E4573" w:rsidRPr="008B68A9" w:rsidRDefault="008E4573" w:rsidP="002F0FD7">
      <w:pPr>
        <w:pStyle w:val="5arangedleft"/>
      </w:pPr>
      <w:r w:rsidRPr="008B68A9">
        <w:t xml:space="preserve">The practitioners’ conventions of warrant were </w:t>
      </w:r>
      <w:r w:rsidR="00800693" w:rsidRPr="008B68A9">
        <w:t>seen</w:t>
      </w:r>
      <w:r w:rsidRPr="008B68A9">
        <w:t xml:space="preserve"> </w:t>
      </w:r>
      <w:r w:rsidR="00D516AB" w:rsidRPr="008B68A9">
        <w:t>through</w:t>
      </w:r>
      <w:r w:rsidRPr="008B68A9">
        <w:t xml:space="preserve"> their speech acts, and their narrative smoothing to maintain their professional identities was apparent. Personalisation challenged these actors’ notions of professional identity </w:t>
      </w:r>
      <w:r w:rsidR="00D516AB" w:rsidRPr="008B68A9">
        <w:t>and their</w:t>
      </w:r>
      <w:r w:rsidR="00800693" w:rsidRPr="008B68A9">
        <w:t xml:space="preserve"> position</w:t>
      </w:r>
      <w:r w:rsidRPr="008B68A9">
        <w:t xml:space="preserve"> of powerlessness </w:t>
      </w:r>
      <w:r w:rsidR="00800693" w:rsidRPr="008B68A9">
        <w:t>was</w:t>
      </w:r>
      <w:r w:rsidRPr="008B68A9">
        <w:t xml:space="preserve"> </w:t>
      </w:r>
      <w:r w:rsidR="00800693" w:rsidRPr="008B68A9">
        <w:t>interpreted</w:t>
      </w:r>
      <w:r w:rsidRPr="008B68A9">
        <w:t xml:space="preserve"> </w:t>
      </w:r>
      <w:r w:rsidR="00D516AB" w:rsidRPr="008B68A9">
        <w:t xml:space="preserve">from </w:t>
      </w:r>
      <w:r w:rsidRPr="008B68A9">
        <w:t xml:space="preserve">what they reported as </w:t>
      </w:r>
      <w:r w:rsidR="00800693" w:rsidRPr="008B68A9">
        <w:t>the</w:t>
      </w:r>
      <w:r w:rsidRPr="008B68A9">
        <w:t xml:space="preserve"> imposition of </w:t>
      </w:r>
      <w:r w:rsidR="00800693" w:rsidRPr="008B68A9">
        <w:t>personalisation</w:t>
      </w:r>
      <w:r w:rsidRPr="008B68A9">
        <w:t xml:space="preserve">. </w:t>
      </w:r>
      <w:r w:rsidR="00FF52A7" w:rsidRPr="008B68A9">
        <w:t xml:space="preserve">My work suggests that personalisation works best when co-production is interpreted as joint working, something that is mutually beneficial to users and staff alike. </w:t>
      </w:r>
    </w:p>
    <w:p w14:paraId="0A291CA9" w14:textId="472A96CF" w:rsidR="008E4573" w:rsidRPr="008B68A9" w:rsidRDefault="008E4573" w:rsidP="002F0FD7">
      <w:pPr>
        <w:pStyle w:val="5arangedleft"/>
      </w:pPr>
      <w:r w:rsidRPr="008B68A9">
        <w:lastRenderedPageBreak/>
        <w:t>The work explored the impact of personalisation on people with mental health problems and actors involved in their care and support, showing the tensions and complexities of narrative trajectory and contingent narratives blurring personal aspiration and positioning. The role that actors with brokerage roles had in listening and responding to the users was central to their success, which was achieved mostly through their purposeful and deliberate use of positioning. The issue of independence was important in creating identities for the users that were separate from what the previous services offered.</w:t>
      </w:r>
    </w:p>
    <w:p w14:paraId="0DF7FD3A" w14:textId="7DBA5EA0" w:rsidR="00FF52A7" w:rsidRPr="008B68A9" w:rsidRDefault="00FF52A7" w:rsidP="002F0FD7">
      <w:pPr>
        <w:pStyle w:val="5arangedleft"/>
      </w:pPr>
      <w:r w:rsidRPr="008B68A9">
        <w:t>Brokerage roles were subject to positioning action from both budget holders and the professionals they worked with. The brokers’ responses demonstrated the socially constructed nature of their role, indicating a high level of sophisticated action through deliberate positioning strategies. This work suggests such roles may best be undertaken by actors independent of provider services, to minimise conflicts of interest and consequent lessening of their effectiveness for budget users.</w:t>
      </w:r>
    </w:p>
    <w:p w14:paraId="02528DB4" w14:textId="68EF8A53" w:rsidR="00FF52A7" w:rsidRPr="008B68A9" w:rsidRDefault="008E4573" w:rsidP="009B2AE6">
      <w:pPr>
        <w:pStyle w:val="5arangedleft"/>
      </w:pPr>
      <w:r w:rsidRPr="008B68A9">
        <w:t xml:space="preserve">At the outset of undertaking the </w:t>
      </w:r>
      <w:r w:rsidR="00FF52A7" w:rsidRPr="008B68A9">
        <w:t>collective case study analysis</w:t>
      </w:r>
      <w:r w:rsidRPr="008B68A9">
        <w:t xml:space="preserve"> </w:t>
      </w:r>
      <w:r w:rsidR="00FF52A7" w:rsidRPr="008B68A9">
        <w:t xml:space="preserve">the complex positioning undertaken by brokers, or the level of suspicion they were held in by professional workers could not have been </w:t>
      </w:r>
      <w:r w:rsidRPr="008B68A9">
        <w:t xml:space="preserve">predicted. However, this work </w:t>
      </w:r>
      <w:r w:rsidR="00FF52A7" w:rsidRPr="008B68A9">
        <w:t xml:space="preserve">shows that </w:t>
      </w:r>
      <w:r w:rsidRPr="008B68A9">
        <w:t>through the use of positioning theory and story-line the formation of receptive and oppositional constructions of personalisation</w:t>
      </w:r>
      <w:r w:rsidR="00FF52A7" w:rsidRPr="008B68A9">
        <w:t xml:space="preserve"> are</w:t>
      </w:r>
      <w:r w:rsidRPr="008B68A9">
        <w:t xml:space="preserve"> produced </w:t>
      </w:r>
      <w:r w:rsidR="00FF52A7" w:rsidRPr="008B68A9">
        <w:t>through</w:t>
      </w:r>
      <w:r w:rsidRPr="008B68A9">
        <w:t xml:space="preserve"> the interactions of these groups. </w:t>
      </w:r>
      <w:r w:rsidR="00FF52A7" w:rsidRPr="008B68A9">
        <w:t xml:space="preserve">It is these interactions and constructions that have enabled a framework of their development to be produced. </w:t>
      </w:r>
      <w:r w:rsidRPr="008B68A9">
        <w:t xml:space="preserve">The study </w:t>
      </w:r>
      <w:r w:rsidR="00FF52A7" w:rsidRPr="008B68A9">
        <w:t xml:space="preserve">therefore </w:t>
      </w:r>
      <w:r w:rsidRPr="008B68A9">
        <w:t>offers a perspective of interactions between actors, as they negotiate</w:t>
      </w:r>
      <w:r w:rsidR="00FF52A7" w:rsidRPr="008B68A9">
        <w:t>d</w:t>
      </w:r>
      <w:r w:rsidRPr="008B68A9">
        <w:t xml:space="preserve"> a policy of self-determination and autonomy for users. </w:t>
      </w:r>
    </w:p>
    <w:p w14:paraId="56EC0EA1" w14:textId="294A3646" w:rsidR="008E4573" w:rsidRPr="008B68A9" w:rsidRDefault="008E4573" w:rsidP="008E4573">
      <w:pPr>
        <w:pStyle w:val="2L2header"/>
      </w:pPr>
      <w:bookmarkStart w:id="417" w:name="_Toc451185535"/>
      <w:bookmarkStart w:id="418" w:name="_Toc466800416"/>
      <w:r w:rsidRPr="008B68A9">
        <w:t>8.1 Theoretical and policy implications of the study</w:t>
      </w:r>
      <w:bookmarkEnd w:id="417"/>
      <w:bookmarkEnd w:id="418"/>
      <w:r w:rsidRPr="008B68A9">
        <w:t xml:space="preserve"> </w:t>
      </w:r>
    </w:p>
    <w:p w14:paraId="3412E066" w14:textId="77777777" w:rsidR="00FF52A7" w:rsidRPr="008B68A9" w:rsidRDefault="008E4573" w:rsidP="002F0FD7">
      <w:pPr>
        <w:pStyle w:val="5arangedleft"/>
      </w:pPr>
      <w:r w:rsidRPr="008B68A9">
        <w:t xml:space="preserve">The framework produced suggests a temporal process of narrative trajectory and story-line, culminating in binary or nuanced positions towards the personalisation project. The work is optimistic in its outlook in that, in spite of many practitioners’ ambivalence to personalisation and ceding power from their conventions of warrant, the use of story-lines permits multiple and sometimes contrary constructions. The presence of multiple strands and constructions of what personalisation means </w:t>
      </w:r>
      <w:r w:rsidRPr="008B68A9">
        <w:lastRenderedPageBreak/>
        <w:t xml:space="preserve">theoretically and in practice creates a space where a nuanced discourse can be articulated. Personalisation has been promoted by policy stakeholders, politicians and user movements to promote their view of increased self-direction of services. </w:t>
      </w:r>
    </w:p>
    <w:p w14:paraId="38FA10A1" w14:textId="5DE8E59B" w:rsidR="008E4573" w:rsidRPr="008B68A9" w:rsidRDefault="008E4573" w:rsidP="002F0FD7">
      <w:pPr>
        <w:pStyle w:val="5arangedleft"/>
      </w:pPr>
      <w:r w:rsidRPr="008B68A9">
        <w:t>Each strand offers an understanding that has a potential to enhance the interested actor’s engagement with the personalisation discourse. For social and moral philosophers, personalisation represents opportunities for social justice and ethical society, where vulnerable others are afforded spaces and support to produce solutions most relevant to their circumstances with beneficial consequences for society. Consumerism and commodification represented through personalisation offer</w:t>
      </w:r>
      <w:r w:rsidR="00FF52A7" w:rsidRPr="008B68A9">
        <w:t>s</w:t>
      </w:r>
      <w:r w:rsidRPr="008B68A9">
        <w:t xml:space="preserve"> the opportunity for disruption of tradition, and </w:t>
      </w:r>
      <w:r w:rsidR="00FF52A7" w:rsidRPr="008B68A9">
        <w:t xml:space="preserve">the </w:t>
      </w:r>
      <w:r w:rsidRPr="008B68A9">
        <w:t>creation of new and potentially improved markets built on competition and choice. The disruptive impact of personalisation for users and professionals may be great, and some suggest that beyond concerns of justice and choice</w:t>
      </w:r>
      <w:r w:rsidR="00FF52A7" w:rsidRPr="008B68A9">
        <w:t>,</w:t>
      </w:r>
      <w:r w:rsidRPr="008B68A9">
        <w:t xml:space="preserve"> the disruptive influence personalisation represents is in itself its most valued strength.</w:t>
      </w:r>
    </w:p>
    <w:p w14:paraId="6C5CB7AB" w14:textId="0EDEF87C" w:rsidR="008E4573" w:rsidRPr="008B68A9" w:rsidRDefault="008E4573" w:rsidP="002F0FD7">
      <w:pPr>
        <w:pStyle w:val="5arangedleft"/>
      </w:pPr>
      <w:r w:rsidRPr="008B68A9">
        <w:t xml:space="preserve">Too often personalisation has been reduced to a mandated position, a coercion through legislative and policy control where practitioners and users alike are required to adhere to it as policy principle. Locally, managers responding to these directives within the confines imposed through austerity measures are challenged with the task of implementing an essentially individualised service model within existing organisational structures and limitations. Users and professional workers are encouraged to adopt personalisation through the simple, often near miraculous stories of change and hope brought about by personalisation. </w:t>
      </w:r>
      <w:r w:rsidR="00BE67A4" w:rsidRPr="008B68A9">
        <w:t>My</w:t>
      </w:r>
      <w:r w:rsidRPr="008B68A9">
        <w:t xml:space="preserve"> work is clear in its message that simple stories and simple binary constructions are insufficient to either appreciate the multiplicity of narratives associated with personalisation, or</w:t>
      </w:r>
      <w:r w:rsidR="00BE67A4" w:rsidRPr="008B68A9">
        <w:t xml:space="preserve"> to</w:t>
      </w:r>
      <w:r w:rsidRPr="008B68A9">
        <w:t xml:space="preserve"> provide guidance </w:t>
      </w:r>
      <w:r w:rsidR="00BE67A4" w:rsidRPr="008B68A9">
        <w:t>for</w:t>
      </w:r>
      <w:r w:rsidRPr="008B68A9">
        <w:t xml:space="preserve"> stakeholders as they</w:t>
      </w:r>
      <w:r w:rsidR="00BE67A4" w:rsidRPr="008B68A9">
        <w:t xml:space="preserve"> attempt to</w:t>
      </w:r>
      <w:r w:rsidRPr="008B68A9">
        <w:t xml:space="preserve"> navigate their way</w:t>
      </w:r>
      <w:r w:rsidR="00BE67A4" w:rsidRPr="008B68A9">
        <w:t xml:space="preserve"> through personalisation policy</w:t>
      </w:r>
      <w:r w:rsidRPr="008B68A9">
        <w:t xml:space="preserve">. </w:t>
      </w:r>
    </w:p>
    <w:p w14:paraId="3BFF0A64" w14:textId="1AEF69F7" w:rsidR="008E4573" w:rsidRPr="008B68A9" w:rsidRDefault="008E4573" w:rsidP="002F0FD7">
      <w:pPr>
        <w:pStyle w:val="5arangedleft"/>
      </w:pPr>
      <w:r w:rsidRPr="008B68A9">
        <w:t xml:space="preserve">Practitioners and users alike are both cast into the multiple narrative strands personalisation promises, where users are ascribed consumer identities, powerful in the choices they can exert, and practitioners tempted to cede power inequalities for co-production and a promise of more user-centred approaches. Each actor with an </w:t>
      </w:r>
      <w:r w:rsidRPr="008B68A9">
        <w:lastRenderedPageBreak/>
        <w:t xml:space="preserve">interest in personalisation will find complexity in responding to the demands of the policy if they are able to navigate their orientation with reflexivity and honesty. However, policy narratives are portrayed through the simple stories of redemptive success and </w:t>
      </w:r>
      <w:r w:rsidR="00BE67A4" w:rsidRPr="008B68A9">
        <w:t xml:space="preserve">a promise </w:t>
      </w:r>
      <w:r w:rsidRPr="008B68A9">
        <w:t>of greater efficiencies, while those with a critical perspective have more complex tales to tell.</w:t>
      </w:r>
    </w:p>
    <w:p w14:paraId="564447D7" w14:textId="6B35B284" w:rsidR="00BE67A4" w:rsidRPr="008B68A9" w:rsidRDefault="008E4573" w:rsidP="002F0FD7">
      <w:pPr>
        <w:pStyle w:val="5arangedleft"/>
      </w:pPr>
      <w:r w:rsidRPr="008B68A9">
        <w:t>The framework produced from this study offers practitioners, users and trainers a scaffold to support their understanding of diverse narrative strands in personalisation. Potentially, the framework may allow actors the opportunity to remain binary or adopt nuanced constructions of this concept. The framework may assist practitioners locate</w:t>
      </w:r>
      <w:r w:rsidR="00BE67A4" w:rsidRPr="008B68A9">
        <w:t xml:space="preserve"> through reflection</w:t>
      </w:r>
      <w:r w:rsidRPr="008B68A9">
        <w:t xml:space="preserve"> their orientation as binary or nuanced, from where they may support others to appreciate necessary complexity over simple and arbitrary story-lines. Budget users also may understand bureaucracy as a necessary strand of public sector governance processes, safeguarding vulnerable people and probity of taxpayers’ money. I suggest that this work offers an opportunity to have different conversations between actors, irrespective of whether they define their identities as professionals, users or other. The existence of multiple strands of personalisation narrative, and the smoothing of identity through the stories actors tell, suggest the framework of orientation may permit those conversations in ways where story-line and trope have</w:t>
      </w:r>
      <w:r w:rsidR="00BE67A4" w:rsidRPr="008B68A9">
        <w:t xml:space="preserve"> previously</w:t>
      </w:r>
      <w:r w:rsidR="009B2AE6" w:rsidRPr="008B68A9">
        <w:t xml:space="preserve"> been closed.</w:t>
      </w:r>
    </w:p>
    <w:p w14:paraId="7013AC9F" w14:textId="2E2DC1A3" w:rsidR="008E4573" w:rsidRPr="008B68A9" w:rsidRDefault="008E4573" w:rsidP="008E4573">
      <w:pPr>
        <w:pStyle w:val="2L2header"/>
      </w:pPr>
      <w:bookmarkStart w:id="419" w:name="_Toc413607906"/>
      <w:bookmarkStart w:id="420" w:name="_Toc413827540"/>
      <w:bookmarkStart w:id="421" w:name="_Toc451185536"/>
      <w:bookmarkStart w:id="422" w:name="_Toc466800417"/>
      <w:r w:rsidRPr="008B68A9">
        <w:t>8.2 Direction for further research</w:t>
      </w:r>
      <w:bookmarkEnd w:id="419"/>
      <w:bookmarkEnd w:id="420"/>
      <w:bookmarkEnd w:id="421"/>
      <w:bookmarkEnd w:id="422"/>
    </w:p>
    <w:p w14:paraId="3DD2384A" w14:textId="776D315D" w:rsidR="008E4573" w:rsidRPr="008B68A9" w:rsidRDefault="008E4573" w:rsidP="002F0FD7">
      <w:pPr>
        <w:pStyle w:val="5arangedleft"/>
      </w:pPr>
      <w:r w:rsidRPr="008B68A9">
        <w:t>This study has drawn on the rich tradition of narrative and social constructionist work, examining the interactions between participants as they negotiate role and identity through their interactions. The topic of power in mental health is widely researched, though mostly from a Foucauldian perspective, whereas this study relies more on perspectives informed by social constructionists rather than philosophers. The interactions between relevant actors interpreting policy shifts such as personalisation makes for a rich ground to undertake research, and it h</w:t>
      </w:r>
      <w:r w:rsidR="00BE67A4" w:rsidRPr="008B68A9">
        <w:t>as been subject to many studies.</w:t>
      </w:r>
      <w:r w:rsidRPr="008B68A9">
        <w:t xml:space="preserve"> </w:t>
      </w:r>
      <w:r w:rsidR="00BE67A4" w:rsidRPr="008B68A9">
        <w:t>T</w:t>
      </w:r>
      <w:r w:rsidRPr="008B68A9">
        <w:t>he use of Gergen and Gergen (1983) and positioning in mental health has not</w:t>
      </w:r>
      <w:r w:rsidR="00BE67A4" w:rsidRPr="008B68A9">
        <w:t xml:space="preserve"> as a research focus has not been used in the way I have</w:t>
      </w:r>
      <w:r w:rsidRPr="008B68A9">
        <w:t>. This study used a relatively small sample, taken as a collective case study from previously</w:t>
      </w:r>
      <w:r w:rsidR="00BE67A4" w:rsidRPr="008B68A9">
        <w:t xml:space="preserve"> delivered </w:t>
      </w:r>
      <w:r w:rsidR="00BE67A4" w:rsidRPr="008B68A9">
        <w:lastRenderedPageBreak/>
        <w:t>evaluative projects and as a corpus of data may yield further conceptual results. Future studies might use</w:t>
      </w:r>
      <w:r w:rsidRPr="008B68A9">
        <w:t xml:space="preserve"> primary data as the main topic for analysis</w:t>
      </w:r>
      <w:r w:rsidR="00BE67A4" w:rsidRPr="008B68A9">
        <w:t xml:space="preserve"> using the methods that I have employed</w:t>
      </w:r>
      <w:r w:rsidRPr="008B68A9">
        <w:t xml:space="preserve">, with </w:t>
      </w:r>
      <w:r w:rsidR="00BE67A4" w:rsidRPr="008B68A9">
        <w:t>the</w:t>
      </w:r>
      <w:r w:rsidRPr="008B68A9">
        <w:t xml:space="preserve"> advantage that the design of the study would from the outset be focused to its overall aims.</w:t>
      </w:r>
    </w:p>
    <w:p w14:paraId="22723A7F" w14:textId="6FEE405A" w:rsidR="00BE67A4" w:rsidRPr="008B68A9" w:rsidRDefault="008E4573" w:rsidP="009B2AE6">
      <w:pPr>
        <w:pStyle w:val="5arangedleft"/>
      </w:pPr>
      <w:r w:rsidRPr="008B68A9">
        <w:t>Opportunities to explore the nature of identity change and challenge arising from personalisation policy and practice, and especially the relationships between paid brokers and professional workers, are possible. Future work should explore areas of peer interaction with professionals, and how identities of practice and support are negotiated through the medicall</w:t>
      </w:r>
      <w:r w:rsidR="00BE67A4" w:rsidRPr="008B68A9">
        <w:t xml:space="preserve">y dominated service framework. </w:t>
      </w:r>
      <w:r w:rsidRPr="008B68A9">
        <w:t xml:space="preserve">The framework and the analytical processes that led to its development </w:t>
      </w:r>
      <w:r w:rsidR="00BE67A4" w:rsidRPr="008B68A9">
        <w:t>will</w:t>
      </w:r>
      <w:r w:rsidRPr="008B68A9">
        <w:t xml:space="preserve"> form the basis of papers presenting the identity work of participants in relation to their interactions with other actors</w:t>
      </w:r>
      <w:r w:rsidR="00BE67A4" w:rsidRPr="008B68A9">
        <w:t xml:space="preserve"> in personalisation enactment</w:t>
      </w:r>
      <w:r w:rsidRPr="008B68A9">
        <w:t xml:space="preserve">. As </w:t>
      </w:r>
      <w:r w:rsidR="00BE67A4" w:rsidRPr="008B68A9">
        <w:t xml:space="preserve">the policy of </w:t>
      </w:r>
      <w:r w:rsidRPr="008B68A9">
        <w:t xml:space="preserve">personalisation transcends traditional boundaries of service </w:t>
      </w:r>
      <w:r w:rsidR="00BE67A4" w:rsidRPr="008B68A9">
        <w:t>limitation</w:t>
      </w:r>
      <w:r w:rsidRPr="008B68A9">
        <w:t xml:space="preserve">, the papers derived from my data and analysis may also be appropriate for health, social policy and qualitative journals to disseminate. </w:t>
      </w:r>
    </w:p>
    <w:p w14:paraId="326A2D3E" w14:textId="64BB8F07" w:rsidR="008E4573" w:rsidRPr="008B68A9" w:rsidRDefault="008E4573" w:rsidP="008E4573">
      <w:pPr>
        <w:pStyle w:val="2L2header"/>
      </w:pPr>
      <w:bookmarkStart w:id="423" w:name="_Toc413607907"/>
      <w:bookmarkStart w:id="424" w:name="_Toc413827541"/>
      <w:bookmarkStart w:id="425" w:name="_Toc451185537"/>
      <w:bookmarkStart w:id="426" w:name="_Toc466800418"/>
      <w:r w:rsidRPr="008B68A9">
        <w:t>8.3 Limitations of this work</w:t>
      </w:r>
      <w:bookmarkEnd w:id="423"/>
      <w:bookmarkEnd w:id="424"/>
      <w:bookmarkEnd w:id="425"/>
      <w:bookmarkEnd w:id="426"/>
    </w:p>
    <w:p w14:paraId="2E566FF4" w14:textId="77777777" w:rsidR="008E4573" w:rsidRPr="008B68A9" w:rsidRDefault="008E4573" w:rsidP="002F0FD7">
      <w:pPr>
        <w:pStyle w:val="5arangedleft"/>
      </w:pPr>
      <w:r w:rsidRPr="008B68A9">
        <w:t xml:space="preserve">Whilst I have argued the merits of qualitative approaches used in this study, the knowledge and understanding produced are not of the type that influences policy implementation. The kinds of evidence in an empirical sense that many of the large-scale implementation studies call for cannot be produced here with the scale and approaches used. Therefore, a qualitative study such as this offers perspectives, which are primarily a reflection of interpretation, produced through a close and immersed engagement with the material which may not be shared by others. In terms of reflexivity, my background in mental health nursing and experiences of unequal relationships, conventions of warrant and intractable service limitations have undoubtedly shaped this work. Personalisation in the context of representing an opportunity for exploring forms of partnership between statutory services and users is a valid project, and whilst the policy enactment of personalisation is subject to multiple interpretation and agendas, it nevertheless offers a hope for greater self-direction, for some if not all. </w:t>
      </w:r>
    </w:p>
    <w:p w14:paraId="4511B89C" w14:textId="1DEE9868" w:rsidR="008E4573" w:rsidRPr="008B68A9" w:rsidRDefault="008E4573" w:rsidP="002F0FD7">
      <w:pPr>
        <w:pStyle w:val="5arangedleft"/>
      </w:pPr>
      <w:r w:rsidRPr="008B68A9">
        <w:lastRenderedPageBreak/>
        <w:t xml:space="preserve">As a nurse researching personalisation, my journey has challenged </w:t>
      </w:r>
      <w:r w:rsidR="00BE67A4" w:rsidRPr="008B68A9">
        <w:t>how I thought of</w:t>
      </w:r>
      <w:r w:rsidRPr="008B68A9">
        <w:t xml:space="preserve"> power, illness and disorder, and I have recognised the limitations of my profession and the pervasive power of the medicalised traditions in mental health. As lecturer, and nurse, I have been cha</w:t>
      </w:r>
      <w:r w:rsidR="00BE67A4" w:rsidRPr="008B68A9">
        <w:t>llenged and changed through my research and producing this thesis.</w:t>
      </w:r>
      <w:r w:rsidRPr="008B68A9">
        <w:t xml:space="preserve"> </w:t>
      </w:r>
      <w:r w:rsidR="00BE67A4" w:rsidRPr="008B68A9">
        <w:t>I recognise</w:t>
      </w:r>
      <w:r w:rsidRPr="008B68A9">
        <w:t xml:space="preserve"> the limits of </w:t>
      </w:r>
      <w:r w:rsidR="007A07E5" w:rsidRPr="008B68A9">
        <w:t xml:space="preserve">mental health nursing’s </w:t>
      </w:r>
      <w:r w:rsidRPr="008B68A9">
        <w:t>identity in</w:t>
      </w:r>
      <w:r w:rsidR="007A07E5" w:rsidRPr="008B68A9">
        <w:t xml:space="preserve"> its</w:t>
      </w:r>
      <w:r w:rsidRPr="008B68A9">
        <w:t xml:space="preserve"> current form</w:t>
      </w:r>
      <w:r w:rsidR="007A07E5" w:rsidRPr="008B68A9">
        <w:t xml:space="preserve"> and the limitations nursing within psychiatry has</w:t>
      </w:r>
      <w:r w:rsidRPr="008B68A9">
        <w:t xml:space="preserve">. The arbitrary boundaries between health services and social care for people with mental health problems </w:t>
      </w:r>
      <w:r w:rsidR="007A07E5" w:rsidRPr="008B68A9">
        <w:t>create</w:t>
      </w:r>
      <w:r w:rsidRPr="008B68A9">
        <w:t xml:space="preserve"> fundamental barriers to people’s recovery journeys, and the relationships that form </w:t>
      </w:r>
      <w:r w:rsidR="007A07E5" w:rsidRPr="008B68A9">
        <w:t xml:space="preserve">professional and user </w:t>
      </w:r>
      <w:r w:rsidRPr="008B68A9">
        <w:t xml:space="preserve">identities need to be re-considered. These positions have affected my approach to this work, and </w:t>
      </w:r>
      <w:r w:rsidR="007A07E5" w:rsidRPr="008B68A9">
        <w:t xml:space="preserve">though </w:t>
      </w:r>
      <w:r w:rsidRPr="008B68A9">
        <w:t xml:space="preserve">the study </w:t>
      </w:r>
      <w:r w:rsidR="007A07E5" w:rsidRPr="008B68A9">
        <w:t>I</w:t>
      </w:r>
      <w:r w:rsidRPr="008B68A9">
        <w:t xml:space="preserve"> </w:t>
      </w:r>
      <w:r w:rsidR="007A07E5" w:rsidRPr="008B68A9">
        <w:t>hold</w:t>
      </w:r>
      <w:r w:rsidRPr="008B68A9">
        <w:t xml:space="preserve"> a more critical stance toward my profession and to the attributes often ascribed to those working in it. However, the framework that this study offers an interesting and potentially useful structure for further investigation.</w:t>
      </w:r>
    </w:p>
    <w:p w14:paraId="53E411C3" w14:textId="77777777" w:rsidR="008E4573" w:rsidRPr="008B68A9" w:rsidRDefault="008E4573" w:rsidP="008E4573">
      <w:pPr>
        <w:spacing w:line="360" w:lineRule="auto"/>
        <w:jc w:val="both"/>
        <w:rPr>
          <w:sz w:val="32"/>
          <w:szCs w:val="36"/>
        </w:rPr>
      </w:pPr>
    </w:p>
    <w:p w14:paraId="6F8A3E8D" w14:textId="77777777" w:rsidR="008E4573" w:rsidRPr="008B68A9" w:rsidRDefault="008E4573" w:rsidP="008E4573">
      <w:pPr>
        <w:spacing w:line="360" w:lineRule="auto"/>
        <w:jc w:val="both"/>
        <w:rPr>
          <w:sz w:val="36"/>
          <w:szCs w:val="36"/>
        </w:rPr>
        <w:sectPr w:rsidR="008E4573" w:rsidRPr="008B68A9" w:rsidSect="00D03E0A">
          <w:pgSz w:w="11906" w:h="16838"/>
          <w:pgMar w:top="1440" w:right="1418" w:bottom="1440" w:left="2268" w:header="709" w:footer="709" w:gutter="0"/>
          <w:cols w:space="708"/>
          <w:docGrid w:linePitch="360"/>
        </w:sectPr>
      </w:pPr>
    </w:p>
    <w:p w14:paraId="258EA9D3" w14:textId="40845D6E" w:rsidR="008E4573" w:rsidRPr="008B68A9" w:rsidRDefault="008E4573" w:rsidP="008E4573">
      <w:pPr>
        <w:pStyle w:val="1L1header"/>
      </w:pPr>
      <w:bookmarkStart w:id="427" w:name="_Toc413607908"/>
      <w:bookmarkStart w:id="428" w:name="_Toc413827542"/>
      <w:bookmarkStart w:id="429" w:name="_Toc451185538"/>
      <w:bookmarkStart w:id="430" w:name="_Toc466800419"/>
      <w:r w:rsidRPr="008B68A9">
        <w:lastRenderedPageBreak/>
        <w:t>References</w:t>
      </w:r>
      <w:bookmarkEnd w:id="427"/>
      <w:bookmarkEnd w:id="428"/>
      <w:bookmarkEnd w:id="429"/>
      <w:bookmarkEnd w:id="430"/>
      <w:r w:rsidRPr="008B68A9">
        <w:t xml:space="preserve"> </w:t>
      </w:r>
    </w:p>
    <w:p w14:paraId="43DF4848" w14:textId="692853CC" w:rsidR="00C963ED" w:rsidRPr="008B68A9" w:rsidRDefault="00C963ED" w:rsidP="00947BAF">
      <w:pPr>
        <w:spacing w:after="80" w:line="240" w:lineRule="auto"/>
        <w:ind w:left="357" w:hanging="357"/>
        <w:rPr>
          <w:rFonts w:eastAsia="Calibri" w:cs="Times New Roman"/>
          <w:szCs w:val="24"/>
        </w:rPr>
      </w:pPr>
      <w:r w:rsidRPr="008B68A9">
        <w:t xml:space="preserve">Aguinaldo, J, P. (2004) </w:t>
      </w:r>
      <w:r w:rsidR="00F01E80" w:rsidRPr="008B68A9">
        <w:t>Rethinking validity in qualitative research from a social constructionist perspective: From is this valid research? To what is this research v</w:t>
      </w:r>
      <w:r w:rsidRPr="008B68A9">
        <w:t xml:space="preserve">alid for? </w:t>
      </w:r>
      <w:r w:rsidRPr="008B68A9">
        <w:rPr>
          <w:i/>
        </w:rPr>
        <w:t>The Qualitative Report</w:t>
      </w:r>
      <w:r w:rsidRPr="008B68A9">
        <w:t xml:space="preserve"> </w:t>
      </w:r>
      <w:r w:rsidRPr="008B68A9">
        <w:rPr>
          <w:b/>
        </w:rPr>
        <w:t>9</w:t>
      </w:r>
      <w:r w:rsidRPr="008B68A9">
        <w:t xml:space="preserve"> (1).</w:t>
      </w:r>
      <w:r w:rsidR="00F01E80" w:rsidRPr="008B68A9">
        <w:t xml:space="preserve"> Accessible from http://nsuworks.nova.edu/cgi/viewcontent.cgi?article=1941&amp;context=tqr.</w:t>
      </w:r>
    </w:p>
    <w:p w14:paraId="08F6AB9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(2007) </w:t>
      </w:r>
      <w:r w:rsidRPr="008B68A9">
        <w:rPr>
          <w:rFonts w:eastAsia="Calibri" w:cs="Times New Roman"/>
          <w:i/>
          <w:szCs w:val="24"/>
        </w:rPr>
        <w:t>The contribution of self-direction to improving the quality of mental health services.</w:t>
      </w:r>
      <w:r w:rsidRPr="008B68A9">
        <w:rPr>
          <w:rFonts w:eastAsia="Calibri" w:cs="Times New Roman"/>
          <w:szCs w:val="24"/>
        </w:rPr>
        <w:t xml:space="preserve"> U.S. Department of Health and Human Services, Assistant Secretary for Planning and Evaluation Office of Disability, Aging and Long-Term Care Policy.</w:t>
      </w:r>
    </w:p>
    <w:p w14:paraId="7A224A8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(2008) Let patients control the purse strings. </w:t>
      </w:r>
      <w:r w:rsidRPr="008B68A9">
        <w:rPr>
          <w:rFonts w:eastAsia="Calibri" w:cs="Times New Roman"/>
          <w:i/>
          <w:szCs w:val="24"/>
        </w:rPr>
        <w:t>British Medical Journal,</w:t>
      </w:r>
      <w:r w:rsidRPr="008B68A9">
        <w:rPr>
          <w:rFonts w:eastAsia="Calibri" w:cs="Times New Roman"/>
          <w:szCs w:val="24"/>
        </w:rPr>
        <w:t xml:space="preserve"> 336, pp. 807-809.</w:t>
      </w:r>
    </w:p>
    <w:p w14:paraId="1091E22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Alakeson, V. (2010)</w:t>
      </w:r>
      <w:r w:rsidRPr="008B68A9">
        <w:rPr>
          <w:rFonts w:eastAsia="Calibri" w:cs="Times New Roman"/>
          <w:i/>
          <w:szCs w:val="24"/>
        </w:rPr>
        <w:t xml:space="preserve"> International developments in self-directed care. Issues in international health policy</w:t>
      </w:r>
      <w:r w:rsidRPr="008B68A9">
        <w:rPr>
          <w:rFonts w:eastAsia="Calibri" w:cs="Times New Roman"/>
          <w:szCs w:val="24"/>
        </w:rPr>
        <w:t>. London: The Commonwealth Foundation. Commonwealth Fund pub. 1370 Vol. 78.</w:t>
      </w:r>
    </w:p>
    <w:p w14:paraId="479CD1B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Alakeson, V. (2011) Personal communication.</w:t>
      </w:r>
    </w:p>
    <w:p w14:paraId="66276A5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(2013a) </w:t>
      </w:r>
      <w:r w:rsidRPr="008B68A9">
        <w:rPr>
          <w:rFonts w:eastAsia="Calibri" w:cs="Times New Roman"/>
          <w:i/>
          <w:szCs w:val="24"/>
        </w:rPr>
        <w:t>Delivering personal health budgets: A guide to policy and practice</w:t>
      </w:r>
      <w:r w:rsidRPr="008B68A9">
        <w:rPr>
          <w:rFonts w:eastAsia="Calibri" w:cs="Times New Roman"/>
          <w:szCs w:val="24"/>
        </w:rPr>
        <w:t>. Bristol: Policy Press, 168.</w:t>
      </w:r>
    </w:p>
    <w:p w14:paraId="1127A9A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(2013b) The individual as service integrator: Experience from the personal health budget pilot in the English NHS.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 xml:space="preserve">21 </w:t>
      </w:r>
      <w:r w:rsidRPr="008B68A9">
        <w:rPr>
          <w:rFonts w:eastAsia="Calibri" w:cs="Times New Roman"/>
          <w:szCs w:val="24"/>
        </w:rPr>
        <w:t>(4), 188-197.</w:t>
      </w:r>
    </w:p>
    <w:p w14:paraId="39A36266" w14:textId="77777777" w:rsidR="00947BAF" w:rsidRPr="008B68A9" w:rsidRDefault="00947BAF" w:rsidP="00947BAF">
      <w:pPr>
        <w:spacing w:after="80" w:line="240" w:lineRule="auto"/>
        <w:ind w:left="357" w:hanging="357"/>
        <w:rPr>
          <w:rFonts w:eastAsia="Calibri" w:cs="Times New Roman"/>
          <w:szCs w:val="24"/>
          <w:lang w:val="en"/>
        </w:rPr>
      </w:pPr>
      <w:r w:rsidRPr="008B68A9">
        <w:rPr>
          <w:rFonts w:eastAsia="Calibri" w:cs="Times New Roman"/>
          <w:szCs w:val="24"/>
        </w:rPr>
        <w:t xml:space="preserve">Alakeson, V. &amp; Coyle, D. </w:t>
      </w:r>
      <w:r w:rsidRPr="008B68A9">
        <w:rPr>
          <w:rFonts w:eastAsia="Calibri" w:cs="Times New Roman"/>
          <w:szCs w:val="24"/>
          <w:lang w:val="en"/>
        </w:rPr>
        <w:t>(2011a) Personal health budgets and the role of nursing.</w:t>
      </w:r>
      <w:r w:rsidRPr="008B68A9">
        <w:rPr>
          <w:rFonts w:eastAsia="Calibri" w:cs="Times New Roman"/>
          <w:i/>
          <w:szCs w:val="24"/>
          <w:lang w:val="en"/>
        </w:rPr>
        <w:t xml:space="preserve"> Nursing Standard</w:t>
      </w:r>
      <w:r w:rsidRPr="008B68A9">
        <w:rPr>
          <w:rFonts w:eastAsia="Calibri" w:cs="Times New Roman"/>
          <w:szCs w:val="24"/>
          <w:lang w:val="en"/>
        </w:rPr>
        <w:t xml:space="preserve"> </w:t>
      </w:r>
      <w:r w:rsidRPr="008B68A9">
        <w:rPr>
          <w:rFonts w:eastAsia="Calibri" w:cs="Times New Roman"/>
          <w:b/>
          <w:szCs w:val="24"/>
          <w:lang w:val="en"/>
        </w:rPr>
        <w:t>25</w:t>
      </w:r>
      <w:r w:rsidRPr="008B68A9">
        <w:rPr>
          <w:rFonts w:eastAsia="Calibri" w:cs="Times New Roman"/>
          <w:szCs w:val="24"/>
          <w:lang w:val="en"/>
        </w:rPr>
        <w:t>, 26, 35-39.</w:t>
      </w:r>
    </w:p>
    <w:p w14:paraId="4C02C5E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&amp; Coyle, D. (2011b) </w:t>
      </w:r>
      <w:r w:rsidRPr="008B68A9">
        <w:rPr>
          <w:rFonts w:eastAsia="Calibri" w:cs="Times New Roman"/>
          <w:i/>
          <w:szCs w:val="24"/>
        </w:rPr>
        <w:t>Personal health budgets</w:t>
      </w:r>
      <w:r w:rsidRPr="008B68A9">
        <w:rPr>
          <w:rFonts w:eastAsia="Calibri" w:cs="Times New Roman"/>
          <w:szCs w:val="24"/>
        </w:rPr>
        <w:t xml:space="preserve">, </w:t>
      </w:r>
      <w:r w:rsidRPr="008B68A9">
        <w:rPr>
          <w:rFonts w:eastAsia="Calibri" w:cs="Times New Roman"/>
          <w:i/>
          <w:szCs w:val="24"/>
        </w:rPr>
        <w:t>British Medical Journal</w:t>
      </w:r>
      <w:r w:rsidRPr="008B68A9">
        <w:rPr>
          <w:rFonts w:eastAsia="Calibri" w:cs="Times New Roman"/>
          <w:szCs w:val="24"/>
        </w:rPr>
        <w:t xml:space="preserve"> [Blog], accessible from http://blogs.bmj.com/bmj/2011/10/12/vidhya-alakeson-and-david-coyle-personal-health-budgets/  [Accessed 05/01/15].</w:t>
      </w:r>
    </w:p>
    <w:p w14:paraId="216E5F5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&amp; Duffy, S. (2011) </w:t>
      </w:r>
      <w:r w:rsidRPr="008B68A9">
        <w:rPr>
          <w:rFonts w:eastAsia="Calibri" w:cs="Times New Roman"/>
          <w:i/>
          <w:szCs w:val="24"/>
        </w:rPr>
        <w:t>Health efficiencies: The possible impact of personalisation in healthcare.</w:t>
      </w:r>
      <w:r w:rsidRPr="008B68A9">
        <w:rPr>
          <w:rFonts w:eastAsia="Calibri" w:cs="Times New Roman"/>
          <w:szCs w:val="24"/>
        </w:rPr>
        <w:t xml:space="preserve"> Sheffield, Centre for Welfare Reform.</w:t>
      </w:r>
    </w:p>
    <w:p w14:paraId="224C908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&amp; Rosen, R. (2011) Chronic disease and integrated care, (pp. 188-213), in Smith, J. and Walsche, K. (eds.) </w:t>
      </w:r>
      <w:r w:rsidRPr="008B68A9">
        <w:rPr>
          <w:rFonts w:eastAsia="Calibri" w:cs="Times New Roman"/>
          <w:i/>
          <w:szCs w:val="24"/>
        </w:rPr>
        <w:t>Healthcare Management,</w:t>
      </w:r>
      <w:r w:rsidRPr="008B68A9">
        <w:rPr>
          <w:rFonts w:eastAsia="Calibri" w:cs="Times New Roman"/>
          <w:szCs w:val="24"/>
        </w:rPr>
        <w:t xml:space="preserve"> London, McGraw Hill International.</w:t>
      </w:r>
    </w:p>
    <w:p w14:paraId="6E526C6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&amp; Perkins, R. (2012) </w:t>
      </w:r>
      <w:r w:rsidRPr="008B68A9">
        <w:rPr>
          <w:rFonts w:eastAsia="Calibri" w:cs="Times New Roman"/>
          <w:i/>
          <w:szCs w:val="24"/>
        </w:rPr>
        <w:t>Recovery, personalisation and personal budgets.</w:t>
      </w:r>
      <w:r w:rsidRPr="008B68A9">
        <w:rPr>
          <w:rFonts w:eastAsia="Calibri" w:cs="Times New Roman"/>
          <w:szCs w:val="24"/>
        </w:rPr>
        <w:t xml:space="preserve"> Centre for Mental Health, London, NHS Confederation.</w:t>
      </w:r>
    </w:p>
    <w:p w14:paraId="6B159CE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and Rumbold, B. (2013) </w:t>
      </w:r>
      <w:r w:rsidRPr="008B68A9">
        <w:rPr>
          <w:rFonts w:eastAsia="Calibri" w:cs="Times New Roman"/>
          <w:i/>
          <w:szCs w:val="24"/>
        </w:rPr>
        <w:t>Personal health budgets: Challenges for commissioners and policy-makers</w:t>
      </w:r>
      <w:r w:rsidRPr="008B68A9">
        <w:rPr>
          <w:rFonts w:eastAsia="Calibri" w:cs="Times New Roman"/>
          <w:szCs w:val="24"/>
        </w:rPr>
        <w:t xml:space="preserve">, London, Nuffield Trust. </w:t>
      </w:r>
    </w:p>
    <w:p w14:paraId="37325DD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Alakeson, V., Boardman, J., Boland, B., Crimlisk, H., Harrison, C., Lliffe, S., Khan, M., O’Shea, R., &amp; Patterson, J. (2016) Debating personal health budgets. </w:t>
      </w:r>
      <w:r w:rsidRPr="008B68A9">
        <w:rPr>
          <w:rFonts w:eastAsia="Calibri" w:cs="Times New Roman"/>
          <w:i/>
          <w:szCs w:val="24"/>
        </w:rPr>
        <w:t>Royal College of Psychiatrists Bulletin</w:t>
      </w:r>
      <w:r w:rsidRPr="008B68A9">
        <w:rPr>
          <w:rFonts w:eastAsia="Calibri" w:cs="Times New Roman"/>
          <w:szCs w:val="24"/>
        </w:rPr>
        <w:t xml:space="preserve"> </w:t>
      </w:r>
      <w:r w:rsidRPr="008B68A9">
        <w:rPr>
          <w:rFonts w:eastAsia="Calibri" w:cs="Times New Roman"/>
          <w:b/>
          <w:szCs w:val="24"/>
        </w:rPr>
        <w:t>40</w:t>
      </w:r>
      <w:r w:rsidRPr="008B68A9">
        <w:rPr>
          <w:rFonts w:eastAsia="Calibri" w:cs="Times New Roman"/>
          <w:szCs w:val="24"/>
        </w:rPr>
        <w:t xml:space="preserve"> (1), 34-37.</w:t>
      </w:r>
    </w:p>
    <w:p w14:paraId="22477D1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Allen, R. G. P. &amp; Onyett, S. (2009) </w:t>
      </w:r>
      <w:r w:rsidRPr="008B68A9">
        <w:rPr>
          <w:rFonts w:eastAsia="Calibri" w:cs="Times New Roman"/>
          <w:i/>
          <w:szCs w:val="24"/>
        </w:rPr>
        <w:t>Report 27:</w:t>
      </w:r>
      <w:r w:rsidRPr="008B68A9">
        <w:rPr>
          <w:rFonts w:eastAsia="Calibri" w:cs="Times New Roman"/>
          <w:szCs w:val="24"/>
        </w:rPr>
        <w:t xml:space="preserve"> </w:t>
      </w:r>
      <w:r w:rsidRPr="008B68A9">
        <w:rPr>
          <w:rFonts w:eastAsia="Calibri" w:cs="Times New Roman"/>
          <w:i/>
          <w:szCs w:val="24"/>
        </w:rPr>
        <w:t>Leadership for personalisation and social inclusion in mental health</w:t>
      </w:r>
      <w:r w:rsidRPr="008B68A9">
        <w:rPr>
          <w:rFonts w:eastAsia="Calibri" w:cs="Times New Roman"/>
          <w:szCs w:val="24"/>
        </w:rPr>
        <w:t>, London, Social Care Institute for Excellence.</w:t>
      </w:r>
    </w:p>
    <w:p w14:paraId="2B96AFB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Almedon, A. M. (2005) Social capital and mental health: An interdisciplinary review of primary evidence. </w:t>
      </w:r>
      <w:r w:rsidRPr="008B68A9">
        <w:rPr>
          <w:rFonts w:eastAsia="Calibri" w:cs="Times New Roman"/>
          <w:bCs/>
          <w:i/>
          <w:szCs w:val="24"/>
        </w:rPr>
        <w:t>Social Science &amp; Medicine</w:t>
      </w:r>
      <w:r w:rsidRPr="008B68A9">
        <w:rPr>
          <w:rFonts w:eastAsia="Calibri" w:cs="Times New Roman"/>
          <w:b/>
          <w:bCs/>
          <w:szCs w:val="24"/>
        </w:rPr>
        <w:t xml:space="preserve">, </w:t>
      </w:r>
      <w:r w:rsidRPr="008B68A9">
        <w:rPr>
          <w:rFonts w:eastAsia="Calibri" w:cs="Times New Roman"/>
          <w:b/>
          <w:szCs w:val="24"/>
        </w:rPr>
        <w:t>61</w:t>
      </w:r>
      <w:r w:rsidRPr="008B68A9">
        <w:rPr>
          <w:rFonts w:eastAsia="Calibri" w:cs="Times New Roman"/>
          <w:szCs w:val="24"/>
        </w:rPr>
        <w:t>, (5), 943-64.</w:t>
      </w:r>
    </w:p>
    <w:p w14:paraId="4EE03A4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Antaki, C., Billig, M., Edwards, D., Potter, J. (2003) Discourse analysis means doing analysis: A critique of six analytic shortcomings.</w:t>
      </w:r>
      <w:r w:rsidRPr="008B68A9">
        <w:rPr>
          <w:rFonts w:eastAsia="Calibri" w:cs="Times New Roman"/>
          <w:i/>
          <w:szCs w:val="24"/>
        </w:rPr>
        <w:t xml:space="preserve"> Analysis</w:t>
      </w:r>
      <w:r w:rsidRPr="008B68A9">
        <w:rPr>
          <w:rFonts w:eastAsia="Calibri" w:cs="Times New Roman"/>
          <w:szCs w:val="24"/>
        </w:rPr>
        <w:t xml:space="preserve"> </w:t>
      </w:r>
      <w:r w:rsidRPr="008B68A9">
        <w:rPr>
          <w:rFonts w:eastAsia="Calibri" w:cs="Times New Roman"/>
          <w:i/>
          <w:szCs w:val="24"/>
        </w:rPr>
        <w:t>Online</w:t>
      </w:r>
      <w:r w:rsidRPr="008B68A9">
        <w:rPr>
          <w:rFonts w:eastAsia="Calibri" w:cs="Times New Roman"/>
          <w:szCs w:val="24"/>
        </w:rPr>
        <w:t xml:space="preserve"> (1) Available at: http://extra.shu.ac.uk/daol/articles/open/2002/002/antaki2002002-paper.html &gt;. [Accessed 06/11/14]</w:t>
      </w:r>
    </w:p>
    <w:p w14:paraId="0B28891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Anthony, W. (1993) Recovery from mental health: The guiding vision of the mental health system in the 1990s. </w:t>
      </w:r>
      <w:r w:rsidRPr="008B68A9">
        <w:rPr>
          <w:rFonts w:eastAsia="Calibri" w:cs="Times New Roman"/>
          <w:i/>
          <w:szCs w:val="24"/>
        </w:rPr>
        <w:t>Psychosocial Rehabilitation Journal</w:t>
      </w:r>
      <w:r w:rsidRPr="008B68A9">
        <w:rPr>
          <w:rFonts w:eastAsia="Calibri" w:cs="Times New Roman"/>
          <w:szCs w:val="24"/>
        </w:rPr>
        <w:t xml:space="preserve"> (Original 1991 </w:t>
      </w:r>
      <w:r w:rsidRPr="008B68A9">
        <w:rPr>
          <w:rFonts w:eastAsia="Calibri" w:cs="Times New Roman"/>
          <w:i/>
          <w:szCs w:val="24"/>
        </w:rPr>
        <w:t xml:space="preserve">Innovations and Research </w:t>
      </w:r>
      <w:r w:rsidRPr="008B68A9">
        <w:rPr>
          <w:rFonts w:eastAsia="Calibri" w:cs="Times New Roman"/>
          <w:szCs w:val="24"/>
        </w:rPr>
        <w:t xml:space="preserve">2 p.17-24), </w:t>
      </w:r>
      <w:r w:rsidRPr="008B68A9">
        <w:rPr>
          <w:rFonts w:eastAsia="Calibri" w:cs="Times New Roman"/>
          <w:b/>
          <w:szCs w:val="24"/>
        </w:rPr>
        <w:t>16</w:t>
      </w:r>
      <w:r w:rsidRPr="008B68A9">
        <w:rPr>
          <w:rFonts w:eastAsia="Calibri" w:cs="Times New Roman"/>
          <w:szCs w:val="24"/>
        </w:rPr>
        <w:t>, (4), 11-23.</w:t>
      </w:r>
    </w:p>
    <w:p w14:paraId="2D20F6C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Arksey, H. and Glendinning, C. (2007) Choice in the context of informal caregiving. </w:t>
      </w:r>
      <w:r w:rsidRPr="008B68A9">
        <w:rPr>
          <w:rFonts w:eastAsia="Calibri" w:cs="Times New Roman"/>
          <w:i/>
          <w:szCs w:val="24"/>
        </w:rPr>
        <w:t>Health and Social Care in the Community</w:t>
      </w:r>
      <w:r w:rsidRPr="008B68A9">
        <w:rPr>
          <w:rFonts w:eastAsia="Calibri" w:cs="Times New Roman"/>
          <w:szCs w:val="24"/>
        </w:rPr>
        <w:t xml:space="preserve">, </w:t>
      </w:r>
      <w:r w:rsidRPr="008B68A9">
        <w:rPr>
          <w:rFonts w:eastAsia="Calibri" w:cs="Times New Roman"/>
          <w:b/>
          <w:szCs w:val="24"/>
        </w:rPr>
        <w:t>15</w:t>
      </w:r>
      <w:r w:rsidRPr="008B68A9">
        <w:rPr>
          <w:rFonts w:eastAsia="Calibri" w:cs="Times New Roman"/>
          <w:szCs w:val="24"/>
        </w:rPr>
        <w:t xml:space="preserve">, (2), 165–75. </w:t>
      </w:r>
    </w:p>
    <w:p w14:paraId="64A7F09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Arksey, H. &amp; Kemp, P. (2008) </w:t>
      </w:r>
      <w:r w:rsidRPr="008B68A9">
        <w:rPr>
          <w:rFonts w:eastAsia="Calibri" w:cs="Times New Roman"/>
          <w:i/>
          <w:szCs w:val="24"/>
        </w:rPr>
        <w:t>Dimensions of choice: A narrative review of cash-for-care schemes.</w:t>
      </w:r>
      <w:r w:rsidRPr="008B68A9">
        <w:rPr>
          <w:rFonts w:eastAsia="Calibri" w:cs="Times New Roman"/>
          <w:szCs w:val="24"/>
        </w:rPr>
        <w:t xml:space="preserve"> York, Social Policy Research Unit, University of York.</w:t>
      </w:r>
    </w:p>
    <w:p w14:paraId="19C5582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Arntz, M. &amp; Thomsen, S. L. (2010) </w:t>
      </w:r>
      <w:r w:rsidRPr="008B68A9">
        <w:rPr>
          <w:rFonts w:eastAsia="Calibri" w:cs="Times New Roman"/>
          <w:i/>
          <w:szCs w:val="24"/>
        </w:rPr>
        <w:t xml:space="preserve">The crowding out of informal care: Evidence from a social experiment </w:t>
      </w:r>
      <w:r w:rsidRPr="008B68A9">
        <w:rPr>
          <w:rFonts w:eastAsia="Calibri" w:cs="Times New Roman"/>
          <w:szCs w:val="24"/>
        </w:rPr>
        <w:t>in Germany.</w:t>
      </w:r>
      <w:r w:rsidRPr="008B68A9">
        <w:rPr>
          <w:rFonts w:eastAsia="Calibri" w:cs="ArialUnicodeMS"/>
          <w:szCs w:val="24"/>
        </w:rPr>
        <w:t xml:space="preserve"> ZEW Discussion Papers, No. 08-113.</w:t>
      </w:r>
      <w:r w:rsidRPr="008B68A9">
        <w:rPr>
          <w:rFonts w:eastAsia="Calibri" w:cs="Times New Roman"/>
          <w:szCs w:val="24"/>
        </w:rPr>
        <w:t xml:space="preserve"> Available at: ftp://ftp.zew.de/pub/zew-docs/dp/dp08113.pdf.</w:t>
      </w:r>
    </w:p>
    <w:p w14:paraId="42D28ED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Atkinson. P. (1997) Narrative turn or blind alley? </w:t>
      </w:r>
      <w:r w:rsidRPr="008B68A9">
        <w:rPr>
          <w:rFonts w:eastAsia="Calibri" w:cs="Times New Roman"/>
          <w:i/>
          <w:szCs w:val="24"/>
        </w:rPr>
        <w:t>Qualitative Health Research</w:t>
      </w:r>
      <w:r w:rsidRPr="008B68A9">
        <w:rPr>
          <w:rFonts w:eastAsia="Calibri" w:cs="Times New Roman"/>
          <w:szCs w:val="24"/>
        </w:rPr>
        <w:t xml:space="preserve">, </w:t>
      </w:r>
      <w:r w:rsidRPr="008B68A9">
        <w:rPr>
          <w:rFonts w:eastAsia="Calibri" w:cs="Times New Roman"/>
          <w:b/>
          <w:szCs w:val="24"/>
        </w:rPr>
        <w:t>7</w:t>
      </w:r>
      <w:r w:rsidRPr="008B68A9">
        <w:rPr>
          <w:rFonts w:eastAsia="Calibri" w:cs="Times New Roman"/>
          <w:szCs w:val="24"/>
        </w:rPr>
        <w:t>, (3), 325-344.</w:t>
      </w:r>
    </w:p>
    <w:p w14:paraId="22BF291F"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Atkinson, P. &amp; Silverman, D. (1997). Kundera's immortality: The interview society and the invention of self. </w:t>
      </w:r>
      <w:r w:rsidRPr="008B68A9">
        <w:rPr>
          <w:rFonts w:eastAsia="Arial" w:cs="Arial"/>
          <w:i/>
          <w:szCs w:val="24"/>
        </w:rPr>
        <w:t>Qualitative Inquiry</w:t>
      </w:r>
      <w:r w:rsidRPr="008B68A9">
        <w:rPr>
          <w:rFonts w:eastAsia="Arial" w:cs="Arial"/>
          <w:szCs w:val="24"/>
        </w:rPr>
        <w:t xml:space="preserve">, </w:t>
      </w:r>
      <w:r w:rsidRPr="008B68A9">
        <w:rPr>
          <w:rFonts w:eastAsia="Arial" w:cs="Arial"/>
          <w:b/>
          <w:szCs w:val="24"/>
        </w:rPr>
        <w:t xml:space="preserve">3 </w:t>
      </w:r>
      <w:r w:rsidRPr="008B68A9">
        <w:rPr>
          <w:rFonts w:eastAsia="Arial" w:cs="Arial"/>
          <w:szCs w:val="24"/>
        </w:rPr>
        <w:t>(3), 304-325.</w:t>
      </w:r>
    </w:p>
    <w:p w14:paraId="1A9961A1"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Audit Commission (2010) </w:t>
      </w:r>
      <w:r w:rsidRPr="008B68A9">
        <w:rPr>
          <w:rFonts w:eastAsia="Arial" w:cs="Arial"/>
          <w:i/>
          <w:szCs w:val="24"/>
        </w:rPr>
        <w:t>Financial management of personal budgets, challenges and opportunities for councils</w:t>
      </w:r>
      <w:r w:rsidRPr="008B68A9">
        <w:rPr>
          <w:rFonts w:eastAsia="Arial" w:cs="Arial"/>
          <w:szCs w:val="24"/>
        </w:rPr>
        <w:t>. London, The Stationery Office.</w:t>
      </w:r>
    </w:p>
    <w:p w14:paraId="09432F63"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Avis, M. (1995). Valid arguments? A consideration of the concept of validity in establishing the credibility of research findings. </w:t>
      </w:r>
      <w:r w:rsidRPr="008B68A9">
        <w:rPr>
          <w:rFonts w:eastAsia="Arial" w:cs="Arial"/>
          <w:i/>
          <w:szCs w:val="24"/>
        </w:rPr>
        <w:t>Journal of Advanced Nursing</w:t>
      </w:r>
      <w:r w:rsidRPr="008B68A9">
        <w:rPr>
          <w:rFonts w:eastAsia="Arial" w:cs="Arial"/>
          <w:szCs w:val="24"/>
        </w:rPr>
        <w:t xml:space="preserve">, </w:t>
      </w:r>
      <w:r w:rsidRPr="008B68A9">
        <w:rPr>
          <w:rFonts w:eastAsia="Arial" w:cs="Arial"/>
          <w:b/>
          <w:szCs w:val="24"/>
        </w:rPr>
        <w:t>22</w:t>
      </w:r>
      <w:r w:rsidRPr="008B68A9">
        <w:rPr>
          <w:rFonts w:eastAsia="Arial" w:cs="Arial"/>
          <w:szCs w:val="24"/>
        </w:rPr>
        <w:t>, 1203-1209.</w:t>
      </w:r>
    </w:p>
    <w:p w14:paraId="717DB0E5"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Baker, K. (2014) </w:t>
      </w:r>
      <w:r w:rsidRPr="008B68A9">
        <w:rPr>
          <w:rFonts w:eastAsia="Arial" w:cs="Arial"/>
          <w:i/>
          <w:szCs w:val="24"/>
        </w:rPr>
        <w:t>A new settlement for health and social care.</w:t>
      </w:r>
      <w:r w:rsidRPr="008B68A9">
        <w:rPr>
          <w:rFonts w:eastAsia="Arial" w:cs="Arial"/>
          <w:szCs w:val="24"/>
        </w:rPr>
        <w:t xml:space="preserve"> </w:t>
      </w:r>
      <w:r w:rsidRPr="008B68A9">
        <w:rPr>
          <w:rFonts w:eastAsia="Arial" w:cs="Arial"/>
          <w:i/>
          <w:szCs w:val="24"/>
        </w:rPr>
        <w:t>Final report of the independent Commission on the Future of Health and Social Care in England.</w:t>
      </w:r>
      <w:r w:rsidRPr="008B68A9">
        <w:rPr>
          <w:rFonts w:eastAsia="Arial" w:cs="Arial"/>
          <w:szCs w:val="24"/>
        </w:rPr>
        <w:t xml:space="preserve"> London, King’s Fund. </w:t>
      </w:r>
    </w:p>
    <w:p w14:paraId="7DF8296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Bamber, C. &amp; Flannigan, P. (2008, July/August) Mental health and self-directed support. </w:t>
      </w:r>
      <w:r w:rsidRPr="008B68A9">
        <w:rPr>
          <w:rFonts w:eastAsia="Calibri" w:cs="Times New Roman"/>
          <w:i/>
          <w:szCs w:val="24"/>
        </w:rPr>
        <w:t>Mental Health Today</w:t>
      </w:r>
      <w:r w:rsidRPr="008B68A9">
        <w:rPr>
          <w:rFonts w:eastAsia="Calibri" w:cs="Times New Roman"/>
          <w:szCs w:val="24"/>
        </w:rPr>
        <w:t>, 26-28.</w:t>
      </w:r>
    </w:p>
    <w:p w14:paraId="3459BAD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Barker, P. J. (2001) The tidal model: The lived experience in person-centred mental health nursing care. </w:t>
      </w:r>
      <w:r w:rsidRPr="008B68A9">
        <w:rPr>
          <w:rFonts w:eastAsia="Calibri" w:cs="Times New Roman"/>
          <w:i/>
          <w:szCs w:val="24"/>
        </w:rPr>
        <w:t>Nursing Philosophy</w:t>
      </w:r>
      <w:r w:rsidRPr="008B68A9">
        <w:rPr>
          <w:rFonts w:eastAsia="Calibri" w:cs="Times New Roman"/>
          <w:szCs w:val="24"/>
        </w:rPr>
        <w:t xml:space="preserve"> </w:t>
      </w:r>
      <w:r w:rsidRPr="008B68A9">
        <w:rPr>
          <w:rFonts w:eastAsia="Calibri" w:cs="Times New Roman"/>
          <w:b/>
          <w:szCs w:val="24"/>
        </w:rPr>
        <w:t>2</w:t>
      </w:r>
      <w:r w:rsidRPr="008B68A9">
        <w:rPr>
          <w:rFonts w:eastAsia="Calibri" w:cs="Times New Roman"/>
          <w:szCs w:val="24"/>
        </w:rPr>
        <w:t xml:space="preserve"> (3), 213-223.</w:t>
      </w:r>
    </w:p>
    <w:p w14:paraId="7160F91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Barker, P. &amp; Buchanan Barker, P. (2005) </w:t>
      </w:r>
      <w:r w:rsidRPr="008B68A9">
        <w:rPr>
          <w:rFonts w:eastAsia="Calibri" w:cs="Times New Roman"/>
          <w:i/>
          <w:szCs w:val="24"/>
        </w:rPr>
        <w:t xml:space="preserve">The tidal model: A guide for mental health professionals. </w:t>
      </w:r>
      <w:r w:rsidRPr="008B68A9">
        <w:rPr>
          <w:rFonts w:eastAsia="Calibri" w:cs="Times New Roman"/>
          <w:szCs w:val="24"/>
        </w:rPr>
        <w:t>Hove and New York, Brunner-Routledge.</w:t>
      </w:r>
    </w:p>
    <w:p w14:paraId="3041737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Bartlett, J. (2009) </w:t>
      </w:r>
      <w:r w:rsidRPr="008B68A9">
        <w:rPr>
          <w:rFonts w:eastAsia="Calibri" w:cs="Times New Roman"/>
          <w:i/>
          <w:szCs w:val="24"/>
        </w:rPr>
        <w:t xml:space="preserve">At your service: Navigating the market in health and social care. </w:t>
      </w:r>
      <w:r w:rsidRPr="008B68A9">
        <w:rPr>
          <w:rFonts w:eastAsia="Calibri" w:cs="Times New Roman"/>
          <w:szCs w:val="24"/>
        </w:rPr>
        <w:t xml:space="preserve">London, Demos. </w:t>
      </w:r>
    </w:p>
    <w:p w14:paraId="59F6D951"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Beck, A. T., Rush, J. A., Shaw, B. F., &amp; Emery, G. (1979) </w:t>
      </w:r>
      <w:r w:rsidRPr="008B68A9">
        <w:rPr>
          <w:rFonts w:eastAsia="Arial" w:cs="Arial"/>
          <w:i/>
          <w:szCs w:val="24"/>
        </w:rPr>
        <w:t>Cognitive theory of depression.</w:t>
      </w:r>
      <w:r w:rsidRPr="008B68A9">
        <w:rPr>
          <w:rFonts w:eastAsia="Arial" w:cs="Arial"/>
          <w:szCs w:val="24"/>
        </w:rPr>
        <w:t xml:space="preserve"> New York, Guilford Press.</w:t>
      </w:r>
    </w:p>
    <w:p w14:paraId="6DFBF0C2"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Bennett, S. (2014) </w:t>
      </w:r>
      <w:r w:rsidRPr="008B68A9">
        <w:rPr>
          <w:rFonts w:eastAsia="Arial" w:cs="Arial"/>
          <w:i/>
          <w:szCs w:val="24"/>
        </w:rPr>
        <w:t>Getting serious about personalisation in the NHS: Think Local Act Personal.</w:t>
      </w:r>
      <w:r w:rsidRPr="008B68A9">
        <w:rPr>
          <w:rFonts w:eastAsia="Arial" w:cs="Arial"/>
          <w:szCs w:val="24"/>
        </w:rPr>
        <w:t xml:space="preserve"> London, Think Local Act Personal.</w:t>
      </w:r>
    </w:p>
    <w:p w14:paraId="755037B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Bentall, R. (2004) </w:t>
      </w:r>
      <w:r w:rsidRPr="008B68A9">
        <w:rPr>
          <w:rFonts w:eastAsia="Arial" w:cs="Arial"/>
          <w:i/>
          <w:szCs w:val="24"/>
        </w:rPr>
        <w:t>Madness explained: Psychosis and human nature</w:t>
      </w:r>
      <w:r w:rsidRPr="008B68A9">
        <w:rPr>
          <w:rFonts w:eastAsia="Arial" w:cs="Arial"/>
          <w:szCs w:val="24"/>
        </w:rPr>
        <w:t xml:space="preserve">, London, Penguin. </w:t>
      </w:r>
    </w:p>
    <w:p w14:paraId="217731D7"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lastRenderedPageBreak/>
        <w:t xml:space="preserve">Bentall, R. (2009) </w:t>
      </w:r>
      <w:r w:rsidRPr="008B68A9">
        <w:rPr>
          <w:rFonts w:eastAsia="Arial" w:cs="Arial"/>
          <w:i/>
          <w:szCs w:val="24"/>
        </w:rPr>
        <w:t xml:space="preserve">Doctoring the mind: Is our current treatment of mental health really any good? </w:t>
      </w:r>
      <w:r w:rsidRPr="008B68A9">
        <w:rPr>
          <w:rFonts w:eastAsia="Arial" w:cs="Arial"/>
          <w:szCs w:val="24"/>
        </w:rPr>
        <w:t>New York,</w:t>
      </w:r>
      <w:r w:rsidRPr="008B68A9">
        <w:rPr>
          <w:rFonts w:eastAsia="Arial" w:cs="Arial"/>
          <w:i/>
          <w:szCs w:val="24"/>
        </w:rPr>
        <w:t xml:space="preserve"> </w:t>
      </w:r>
      <w:r w:rsidRPr="008B68A9">
        <w:rPr>
          <w:rFonts w:eastAsia="Arial" w:cs="Arial"/>
          <w:szCs w:val="24"/>
        </w:rPr>
        <w:t>New York University Press.</w:t>
      </w:r>
    </w:p>
    <w:p w14:paraId="74BFD966"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Bentall, R. (2016) All in the brain [Blog] [Accessed 24/03/16] https://blogs.canterbury.ac.uk/discursive/all-in-the-brain/ </w:t>
      </w:r>
    </w:p>
    <w:p w14:paraId="7F04052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Beresford, P. (2008) Time to get real about personalisation.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Cs/>
          <w:szCs w:val="24"/>
        </w:rPr>
        <w:t>16,</w:t>
      </w:r>
      <w:r w:rsidRPr="008B68A9">
        <w:rPr>
          <w:rFonts w:eastAsia="Calibri" w:cs="Times New Roman"/>
          <w:szCs w:val="24"/>
        </w:rPr>
        <w:t xml:space="preserve"> (2), 2-4.</w:t>
      </w:r>
    </w:p>
    <w:p w14:paraId="5846A6F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Beresford, P. (2009) </w:t>
      </w:r>
      <w:r w:rsidRPr="008B68A9">
        <w:rPr>
          <w:rFonts w:eastAsia="Calibri" w:cs="Times New Roman"/>
          <w:i/>
          <w:szCs w:val="24"/>
        </w:rPr>
        <w:t>Who’s personalisation?</w:t>
      </w:r>
      <w:r w:rsidRPr="008B68A9">
        <w:rPr>
          <w:rFonts w:eastAsia="Calibri" w:cs="Times New Roman"/>
          <w:szCs w:val="24"/>
        </w:rPr>
        <w:t xml:space="preserve"> </w:t>
      </w:r>
      <w:r w:rsidRPr="008B68A9">
        <w:rPr>
          <w:rFonts w:eastAsia="Calibri" w:cs="Times New Roman"/>
          <w:i/>
          <w:szCs w:val="24"/>
        </w:rPr>
        <w:t>Think pieces: Compass directions for the democratic left</w:t>
      </w:r>
      <w:r w:rsidRPr="008B68A9">
        <w:rPr>
          <w:rFonts w:eastAsia="Calibri" w:cs="Times New Roman"/>
          <w:szCs w:val="24"/>
        </w:rPr>
        <w:t>. London, Compass.</w:t>
      </w:r>
    </w:p>
    <w:p w14:paraId="29807766"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Beresford P. (2014a) </w:t>
      </w:r>
      <w:r w:rsidRPr="008B68A9">
        <w:rPr>
          <w:rFonts w:eastAsia="Arial" w:cs="Arial"/>
          <w:i/>
          <w:szCs w:val="24"/>
        </w:rPr>
        <w:t>Personalisation: Critical and radical debates in social work.</w:t>
      </w:r>
      <w:r w:rsidRPr="008B68A9">
        <w:rPr>
          <w:rFonts w:eastAsia="Arial" w:cs="Arial"/>
          <w:szCs w:val="24"/>
        </w:rPr>
        <w:t xml:space="preserve"> Bristol, The Policy Press.</w:t>
      </w:r>
    </w:p>
    <w:p w14:paraId="40714ED5"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Beresford, P. (2014b) Advancing the positives of personalisation/person centred support. Chapter 14 in Needham, C. &amp; Glasby, J. (2014) (eds.) </w:t>
      </w:r>
      <w:r w:rsidRPr="008B68A9">
        <w:rPr>
          <w:rFonts w:eastAsia="Arial" w:cs="Arial"/>
          <w:i/>
          <w:szCs w:val="24"/>
        </w:rPr>
        <w:t>Debates on personalisation</w:t>
      </w:r>
      <w:r w:rsidRPr="008B68A9">
        <w:rPr>
          <w:rFonts w:eastAsia="Arial" w:cs="Arial"/>
          <w:szCs w:val="24"/>
        </w:rPr>
        <w:t>, Bristol, The Policy Press.</w:t>
      </w:r>
    </w:p>
    <w:p w14:paraId="55EA25DB"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Berger, P. &amp; Luckmann, T. (1966) </w:t>
      </w:r>
      <w:r w:rsidRPr="008B68A9">
        <w:rPr>
          <w:rFonts w:eastAsia="Arial" w:cs="Arial"/>
          <w:i/>
          <w:szCs w:val="24"/>
        </w:rPr>
        <w:t>The construction of reality: A treatise in the sociology of knowledge</w:t>
      </w:r>
      <w:r w:rsidRPr="008B68A9">
        <w:rPr>
          <w:rFonts w:eastAsia="Arial" w:cs="Arial"/>
          <w:szCs w:val="24"/>
        </w:rPr>
        <w:t>. New York, Penguin.</w:t>
      </w:r>
    </w:p>
    <w:p w14:paraId="12BB32A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Bird, A. &amp; Wooster, E. (2008, September-October). Personalise this!</w:t>
      </w:r>
      <w:r w:rsidRPr="008B68A9">
        <w:rPr>
          <w:rFonts w:eastAsia="Calibri" w:cs="Times New Roman"/>
          <w:szCs w:val="24"/>
        </w:rPr>
        <w:t xml:space="preserve"> </w:t>
      </w:r>
      <w:r w:rsidRPr="008B68A9">
        <w:rPr>
          <w:rFonts w:eastAsia="Arial" w:cs="Arial"/>
          <w:i/>
          <w:szCs w:val="24"/>
        </w:rPr>
        <w:t>Openmind</w:t>
      </w:r>
      <w:r w:rsidRPr="008B68A9">
        <w:rPr>
          <w:rFonts w:eastAsia="Arial" w:cs="Arial"/>
          <w:szCs w:val="24"/>
        </w:rPr>
        <w:t>, 153, 6-9.</w:t>
      </w:r>
    </w:p>
    <w:p w14:paraId="3293005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Bodner, E., Cohen, F., Mashiah, M., Segal, M., Grinshpoon, A., Fischel, T., &amp; Iancu, I. (2015) The attitudes of psychiatric hospital staff toward hospitalization and treatment of patients with borderline personality disorder. </w:t>
      </w:r>
      <w:r w:rsidRPr="008B68A9">
        <w:rPr>
          <w:rFonts w:eastAsia="Calibri" w:cs="Times New Roman"/>
          <w:i/>
          <w:szCs w:val="24"/>
        </w:rPr>
        <w:t>BMC Psychiatry</w:t>
      </w:r>
      <w:r w:rsidRPr="008B68A9">
        <w:rPr>
          <w:rFonts w:eastAsia="Calibri" w:cs="Times New Roman"/>
          <w:szCs w:val="24"/>
        </w:rPr>
        <w:t xml:space="preserve"> </w:t>
      </w:r>
      <w:r w:rsidRPr="008B68A9">
        <w:rPr>
          <w:rFonts w:eastAsia="Calibri" w:cs="Times New Roman"/>
          <w:b/>
          <w:szCs w:val="24"/>
        </w:rPr>
        <w:t>15</w:t>
      </w:r>
      <w:r w:rsidRPr="008B68A9">
        <w:rPr>
          <w:rFonts w:eastAsia="Calibri" w:cs="Times New Roman"/>
          <w:szCs w:val="24"/>
        </w:rPr>
        <w:t xml:space="preserve"> (2).</w:t>
      </w:r>
    </w:p>
    <w:p w14:paraId="4C80007C"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Bonney, S., &amp; Stickley, T. (2008) Recovery and mental health: A review of the British literature. </w:t>
      </w:r>
      <w:r w:rsidRPr="008B68A9">
        <w:rPr>
          <w:rFonts w:eastAsia="Arial" w:cs="Arial"/>
          <w:i/>
          <w:szCs w:val="24"/>
        </w:rPr>
        <w:t>Journal of Psychiatric &amp; Mental Health Nursing</w:t>
      </w:r>
      <w:r w:rsidRPr="008B68A9">
        <w:rPr>
          <w:rFonts w:eastAsia="Arial" w:cs="Arial"/>
          <w:szCs w:val="24"/>
        </w:rPr>
        <w:t xml:space="preserve">, </w:t>
      </w:r>
      <w:r w:rsidRPr="008B68A9">
        <w:rPr>
          <w:rFonts w:eastAsia="Arial" w:cs="Arial"/>
          <w:b/>
          <w:szCs w:val="24"/>
        </w:rPr>
        <w:t>15</w:t>
      </w:r>
      <w:r w:rsidRPr="008B68A9">
        <w:rPr>
          <w:rFonts w:eastAsia="Arial" w:cs="Arial"/>
          <w:szCs w:val="24"/>
        </w:rPr>
        <w:t xml:space="preserve"> (2),</w:t>
      </w:r>
      <w:r w:rsidRPr="008B68A9">
        <w:rPr>
          <w:rFonts w:eastAsia="Calibri" w:cs="Times New Roman"/>
          <w:szCs w:val="24"/>
        </w:rPr>
        <w:t xml:space="preserve"> </w:t>
      </w:r>
      <w:r w:rsidRPr="008B68A9">
        <w:rPr>
          <w:rFonts w:eastAsia="Arial" w:cs="Arial"/>
          <w:szCs w:val="24"/>
        </w:rPr>
        <w:t>140-153.</w:t>
      </w:r>
    </w:p>
    <w:p w14:paraId="659F85D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Bowers, L. (2014) Safewards: A new model of conflict and containment on psychiatric in patient wards. </w:t>
      </w:r>
      <w:r w:rsidRPr="008B68A9">
        <w:rPr>
          <w:rFonts w:eastAsia="Calibri" w:cs="Times New Roman"/>
          <w:i/>
          <w:szCs w:val="24"/>
        </w:rPr>
        <w:t>Journal of Psychiatric and Mental Health Nursing</w:t>
      </w:r>
      <w:r w:rsidRPr="008B68A9">
        <w:rPr>
          <w:rFonts w:eastAsia="Calibri" w:cs="Times New Roman"/>
          <w:szCs w:val="24"/>
        </w:rPr>
        <w:t xml:space="preserve">, </w:t>
      </w:r>
      <w:r w:rsidRPr="008B68A9">
        <w:rPr>
          <w:rFonts w:eastAsia="Calibri" w:cs="Times New Roman"/>
          <w:b/>
          <w:szCs w:val="24"/>
        </w:rPr>
        <w:t>21</w:t>
      </w:r>
      <w:r w:rsidRPr="008B68A9">
        <w:rPr>
          <w:rFonts w:eastAsia="Calibri" w:cs="Times New Roman"/>
          <w:szCs w:val="24"/>
        </w:rPr>
        <w:t xml:space="preserve"> (6) 499-508.</w:t>
      </w:r>
    </w:p>
    <w:p w14:paraId="33DD649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Bowling, A., &amp; Ebrahim, S. (2005) </w:t>
      </w:r>
      <w:r w:rsidRPr="008B68A9">
        <w:rPr>
          <w:rFonts w:eastAsia="Calibri" w:cs="Times New Roman"/>
          <w:i/>
          <w:iCs/>
          <w:szCs w:val="24"/>
        </w:rPr>
        <w:t>Handbook of health research methods</w:t>
      </w:r>
      <w:r w:rsidRPr="008B68A9">
        <w:rPr>
          <w:rFonts w:eastAsia="Calibri" w:cs="Times New Roman"/>
          <w:i/>
          <w:szCs w:val="24"/>
        </w:rPr>
        <w:t xml:space="preserve">: </w:t>
      </w:r>
      <w:r w:rsidRPr="008B68A9">
        <w:rPr>
          <w:rFonts w:eastAsia="Calibri" w:cs="Times New Roman"/>
          <w:i/>
          <w:iCs/>
          <w:szCs w:val="24"/>
        </w:rPr>
        <w:t>Investigation measurement and analysis.</w:t>
      </w:r>
      <w:r w:rsidRPr="008B68A9">
        <w:rPr>
          <w:rFonts w:eastAsia="Calibri" w:cs="Times New Roman"/>
          <w:szCs w:val="24"/>
        </w:rPr>
        <w:t xml:space="preserve"> Maidenhead, Open University Press.</w:t>
      </w:r>
    </w:p>
    <w:p w14:paraId="4F67C6A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Boyle, D. &amp; Harris, M. (2009). </w:t>
      </w:r>
      <w:r w:rsidRPr="008B68A9">
        <w:rPr>
          <w:rFonts w:eastAsia="Calibri" w:cs="Times New Roman"/>
          <w:i/>
          <w:szCs w:val="24"/>
        </w:rPr>
        <w:t>The challenge of co-production: How equal partnerships between professional and the public are crucial to improving public services.</w:t>
      </w:r>
      <w:r w:rsidRPr="008B68A9">
        <w:rPr>
          <w:rFonts w:eastAsia="Calibri" w:cs="Times New Roman"/>
          <w:szCs w:val="24"/>
        </w:rPr>
        <w:t xml:space="preserve"> London, NESTA.</w:t>
      </w:r>
    </w:p>
    <w:p w14:paraId="5B3C9C1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Boyle, D., Slay, J., &amp; Stephens, L. (2010a) </w:t>
      </w:r>
      <w:r w:rsidRPr="008B68A9">
        <w:rPr>
          <w:rFonts w:eastAsia="Calibri" w:cs="Times New Roman"/>
          <w:i/>
          <w:szCs w:val="24"/>
        </w:rPr>
        <w:t xml:space="preserve">Public services inside out: Putting co-production into practice. </w:t>
      </w:r>
      <w:r w:rsidRPr="008B68A9">
        <w:rPr>
          <w:rFonts w:eastAsia="Calibri" w:cs="Times New Roman"/>
          <w:szCs w:val="24"/>
        </w:rPr>
        <w:t>London, NESTA.</w:t>
      </w:r>
    </w:p>
    <w:p w14:paraId="3F3C99E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Boyle, D., Coote, A., Sherwood, C., &amp; Slay, J. (2010b) R</w:t>
      </w:r>
      <w:r w:rsidRPr="008B68A9">
        <w:rPr>
          <w:rFonts w:eastAsia="Calibri" w:cs="Times New Roman"/>
          <w:i/>
          <w:szCs w:val="24"/>
        </w:rPr>
        <w:t>ight here, right now: Taking co-production into the mainstream</w:t>
      </w:r>
      <w:r w:rsidRPr="008B68A9">
        <w:rPr>
          <w:rFonts w:eastAsia="Calibri" w:cs="Times New Roman"/>
          <w:szCs w:val="24"/>
        </w:rPr>
        <w:t>. London, NESTA.</w:t>
      </w:r>
    </w:p>
    <w:p w14:paraId="12EA4A8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Bracken, P., &amp; Thomas, P. (2005) </w:t>
      </w:r>
      <w:r w:rsidRPr="008B68A9">
        <w:rPr>
          <w:rFonts w:eastAsia="Calibri" w:cs="Times New Roman"/>
          <w:i/>
          <w:szCs w:val="24"/>
        </w:rPr>
        <w:t>Postpsychiatry: Mental health in a postmodern world.</w:t>
      </w:r>
      <w:r w:rsidRPr="008B68A9">
        <w:rPr>
          <w:rFonts w:eastAsia="Calibri" w:cs="Times New Roman"/>
          <w:szCs w:val="24"/>
        </w:rPr>
        <w:t xml:space="preserve"> Oxford, Oxford University Press.</w:t>
      </w:r>
    </w:p>
    <w:p w14:paraId="4139FBA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Bradstreet, S. (2012) Recovery in Scotland. Presentation to Mental Health Nurse Academics (UK) meeting, Edinburgh Napier University, 30/03/2012.</w:t>
      </w:r>
    </w:p>
    <w:p w14:paraId="6879057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Braun, V., &amp; Clarke, V. (2006) Using thematic analysis in psychology. </w:t>
      </w:r>
      <w:r w:rsidRPr="008B68A9">
        <w:rPr>
          <w:rFonts w:eastAsia="Calibri" w:cs="Times New Roman"/>
          <w:i/>
          <w:szCs w:val="24"/>
        </w:rPr>
        <w:t>Qualitative Research in Psychology,</w:t>
      </w:r>
      <w:r w:rsidRPr="008B68A9">
        <w:rPr>
          <w:rFonts w:eastAsia="Calibri" w:cs="Times New Roman"/>
          <w:szCs w:val="24"/>
        </w:rPr>
        <w:t xml:space="preserve"> </w:t>
      </w:r>
      <w:r w:rsidRPr="008B68A9">
        <w:rPr>
          <w:rFonts w:eastAsia="Calibri" w:cs="Times New Roman"/>
          <w:b/>
          <w:szCs w:val="24"/>
        </w:rPr>
        <w:t>3</w:t>
      </w:r>
      <w:r w:rsidRPr="008B68A9">
        <w:rPr>
          <w:rFonts w:eastAsia="Calibri" w:cs="Times New Roman"/>
          <w:szCs w:val="24"/>
        </w:rPr>
        <w:t xml:space="preserve"> (2) 77-101.</w:t>
      </w:r>
    </w:p>
    <w:p w14:paraId="05D4B753" w14:textId="77777777" w:rsidR="00947BAF" w:rsidRPr="008B68A9" w:rsidRDefault="00947BAF" w:rsidP="00947BAF">
      <w:pPr>
        <w:spacing w:after="80" w:line="240" w:lineRule="auto"/>
        <w:ind w:left="357" w:hanging="357"/>
        <w:rPr>
          <w:rFonts w:eastAsia="Times New Roman" w:cs="Times New Roman"/>
          <w:szCs w:val="24"/>
          <w:lang w:eastAsia="en-GB"/>
        </w:rPr>
      </w:pPr>
      <w:r w:rsidRPr="008B68A9">
        <w:rPr>
          <w:rFonts w:eastAsia="Times New Roman" w:cs="Times New Roman"/>
          <w:szCs w:val="24"/>
          <w:lang w:eastAsia="en-GB"/>
        </w:rPr>
        <w:lastRenderedPageBreak/>
        <w:t xml:space="preserve">Bronfenbrenner, U. (1979) </w:t>
      </w:r>
      <w:r w:rsidRPr="008B68A9">
        <w:rPr>
          <w:rFonts w:eastAsia="Times New Roman" w:cs="Times New Roman"/>
          <w:i/>
          <w:szCs w:val="24"/>
          <w:lang w:eastAsia="en-GB"/>
        </w:rPr>
        <w:t xml:space="preserve">The ecology of human development: Experiments by nature and design. </w:t>
      </w:r>
      <w:r w:rsidRPr="008B68A9">
        <w:rPr>
          <w:rFonts w:eastAsia="Times New Roman" w:cs="Times New Roman"/>
          <w:szCs w:val="24"/>
          <w:lang w:eastAsia="en-GB"/>
        </w:rPr>
        <w:t>Cambridge MA, Harvard University Press.</w:t>
      </w:r>
    </w:p>
    <w:p w14:paraId="7C0CDC1D" w14:textId="77777777" w:rsidR="00F13432" w:rsidRPr="008B68A9" w:rsidRDefault="00F13432" w:rsidP="00F13432">
      <w:pPr>
        <w:spacing w:after="80" w:line="240" w:lineRule="auto"/>
        <w:ind w:left="357" w:hanging="357"/>
        <w:rPr>
          <w:rFonts w:eastAsia="Calibri" w:cs="Times New Roman"/>
          <w:szCs w:val="24"/>
        </w:rPr>
      </w:pPr>
      <w:r w:rsidRPr="008B68A9">
        <w:rPr>
          <w:rFonts w:eastAsia="Calibri" w:cs="Times New Roman"/>
          <w:szCs w:val="24"/>
        </w:rPr>
        <w:t>Brookes, N., Callaghan, L., Netten, A., &amp; Fox, D. (2013). Personalisation and innovation in a cold financial climate.</w:t>
      </w:r>
      <w:r w:rsidRPr="008B68A9">
        <w:rPr>
          <w:rFonts w:eastAsia="Calibri" w:cs="Times New Roman"/>
          <w:i/>
          <w:iCs/>
          <w:szCs w:val="24"/>
        </w:rPr>
        <w:t xml:space="preserve"> British Journal of Social Work. </w:t>
      </w:r>
      <w:r w:rsidRPr="008B68A9">
        <w:rPr>
          <w:rFonts w:eastAsia="Calibri" w:cs="Times New Roman"/>
          <w:szCs w:val="24"/>
        </w:rPr>
        <w:t>Advance online publication.</w:t>
      </w:r>
      <w:r w:rsidRPr="008B68A9">
        <w:rPr>
          <w:rFonts w:eastAsia="Calibri" w:cs="Times New Roman"/>
          <w:i/>
          <w:iCs/>
          <w:szCs w:val="24"/>
        </w:rPr>
        <w:t xml:space="preserve"> </w:t>
      </w:r>
      <w:r w:rsidRPr="008B68A9">
        <w:rPr>
          <w:rFonts w:eastAsia="Calibri" w:cs="Times New Roman"/>
          <w:szCs w:val="24"/>
        </w:rPr>
        <w:t xml:space="preserve">doi:10.1093/bjsw/bct104 </w:t>
      </w:r>
    </w:p>
    <w:p w14:paraId="5871A2D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Brooks, P. (1984) </w:t>
      </w:r>
      <w:r w:rsidRPr="008B68A9">
        <w:rPr>
          <w:rFonts w:eastAsia="Calibri" w:cs="Times New Roman"/>
          <w:i/>
          <w:szCs w:val="24"/>
        </w:rPr>
        <w:t>Reading for the plot: Design and intention in narrative</w:t>
      </w:r>
      <w:r w:rsidRPr="008B68A9">
        <w:rPr>
          <w:rFonts w:eastAsia="Calibri" w:cs="Times New Roman"/>
          <w:szCs w:val="24"/>
        </w:rPr>
        <w:t xml:space="preserve">. </w:t>
      </w:r>
      <w:r w:rsidRPr="008B68A9">
        <w:rPr>
          <w:rFonts w:eastAsia="Times New Roman" w:cs="Times New Roman"/>
          <w:szCs w:val="24"/>
          <w:lang w:eastAsia="en-GB"/>
        </w:rPr>
        <w:t>Cambridge MA</w:t>
      </w:r>
      <w:r w:rsidRPr="008B68A9">
        <w:rPr>
          <w:rFonts w:eastAsia="Calibri" w:cs="Times New Roman"/>
          <w:szCs w:val="24"/>
        </w:rPr>
        <w:t>, Harvard University Press.</w:t>
      </w:r>
    </w:p>
    <w:p w14:paraId="1A80363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Bruner, J. (1987) Life as narrative. </w:t>
      </w:r>
      <w:r w:rsidRPr="008B68A9">
        <w:rPr>
          <w:rFonts w:eastAsia="Calibri" w:cs="Times New Roman"/>
          <w:i/>
          <w:szCs w:val="24"/>
        </w:rPr>
        <w:t>Social Research</w:t>
      </w:r>
      <w:r w:rsidRPr="008B68A9">
        <w:rPr>
          <w:rFonts w:eastAsia="Calibri" w:cs="Times New Roman"/>
          <w:szCs w:val="24"/>
        </w:rPr>
        <w:t xml:space="preserve">, </w:t>
      </w:r>
      <w:r w:rsidRPr="008B68A9">
        <w:rPr>
          <w:rFonts w:eastAsia="Calibri" w:cs="Times New Roman"/>
          <w:b/>
          <w:szCs w:val="24"/>
        </w:rPr>
        <w:t>54</w:t>
      </w:r>
      <w:r w:rsidRPr="008B68A9">
        <w:rPr>
          <w:rFonts w:eastAsia="Calibri" w:cs="Times New Roman"/>
          <w:szCs w:val="24"/>
        </w:rPr>
        <w:t>, (1), 11-32.</w:t>
      </w:r>
    </w:p>
    <w:p w14:paraId="43ADCE34"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Bryman, A. (2010). </w:t>
      </w:r>
      <w:r w:rsidRPr="008B68A9">
        <w:rPr>
          <w:rFonts w:eastAsia="Arial" w:cs="Arial"/>
          <w:i/>
          <w:szCs w:val="24"/>
        </w:rPr>
        <w:t>Social research methods</w:t>
      </w:r>
      <w:r w:rsidRPr="008B68A9">
        <w:rPr>
          <w:rFonts w:eastAsia="Arial" w:cs="Arial"/>
          <w:szCs w:val="24"/>
        </w:rPr>
        <w:t>. (3rd ed.). Oxford: Oxford</w:t>
      </w:r>
      <w:r w:rsidRPr="008B68A9">
        <w:rPr>
          <w:rFonts w:eastAsia="Calibri" w:cs="Times New Roman"/>
          <w:szCs w:val="24"/>
        </w:rPr>
        <w:t xml:space="preserve"> </w:t>
      </w:r>
      <w:r w:rsidRPr="008B68A9">
        <w:rPr>
          <w:rFonts w:eastAsia="Arial" w:cs="Arial"/>
          <w:szCs w:val="24"/>
        </w:rPr>
        <w:t>University Press.</w:t>
      </w:r>
    </w:p>
    <w:p w14:paraId="7DCC670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Buck, D. &amp; Dixon, A. (2013) </w:t>
      </w:r>
      <w:r w:rsidRPr="008B68A9">
        <w:rPr>
          <w:rFonts w:eastAsia="Calibri" w:cs="Times New Roman"/>
          <w:i/>
          <w:szCs w:val="24"/>
        </w:rPr>
        <w:t>Improving the allocation of health resources in England: How to decide who gets what.</w:t>
      </w:r>
      <w:r w:rsidRPr="008B68A9">
        <w:rPr>
          <w:rFonts w:eastAsia="Calibri" w:cs="Times New Roman"/>
          <w:szCs w:val="24"/>
        </w:rPr>
        <w:t xml:space="preserve"> London: The Kings Fund.</w:t>
      </w:r>
    </w:p>
    <w:p w14:paraId="25992B9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Burnard, P (1991) A method of analysing interview transcripts. </w:t>
      </w:r>
      <w:r w:rsidRPr="008B68A9">
        <w:rPr>
          <w:rFonts w:eastAsia="Calibri" w:cs="Times New Roman"/>
          <w:i/>
          <w:szCs w:val="24"/>
        </w:rPr>
        <w:t>Nurse Education Today,</w:t>
      </w:r>
      <w:r w:rsidRPr="008B68A9">
        <w:rPr>
          <w:rFonts w:eastAsia="Calibri" w:cs="Times New Roman"/>
          <w:szCs w:val="24"/>
        </w:rPr>
        <w:t xml:space="preserve"> </w:t>
      </w:r>
      <w:r w:rsidRPr="008B68A9">
        <w:rPr>
          <w:rFonts w:eastAsia="Calibri" w:cs="Times New Roman"/>
          <w:b/>
          <w:szCs w:val="24"/>
        </w:rPr>
        <w:t>11</w:t>
      </w:r>
      <w:r w:rsidRPr="008B68A9">
        <w:rPr>
          <w:rFonts w:eastAsia="Calibri" w:cs="Times New Roman"/>
          <w:szCs w:val="24"/>
        </w:rPr>
        <w:t xml:space="preserve"> (6), 461-466.</w:t>
      </w:r>
    </w:p>
    <w:p w14:paraId="002B2F8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Burnard, P. &amp; Chapman, C. (1994) Nurse education: The way forward. London, Scutari Press.</w:t>
      </w:r>
    </w:p>
    <w:p w14:paraId="13CB33C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Burr, V. (1995) </w:t>
      </w:r>
      <w:r w:rsidRPr="008B68A9">
        <w:rPr>
          <w:rFonts w:eastAsia="Calibri" w:cs="Times New Roman"/>
          <w:i/>
          <w:szCs w:val="24"/>
        </w:rPr>
        <w:t>Introduction to social constructionism.</w:t>
      </w:r>
      <w:r w:rsidRPr="008B68A9">
        <w:rPr>
          <w:rFonts w:eastAsia="Calibri" w:cs="Times New Roman"/>
          <w:szCs w:val="24"/>
        </w:rPr>
        <w:t xml:space="preserve"> London, Routledge.</w:t>
      </w:r>
    </w:p>
    <w:p w14:paraId="758EE63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Burr, V. (2015) </w:t>
      </w:r>
      <w:r w:rsidRPr="008B68A9">
        <w:rPr>
          <w:rFonts w:eastAsia="Calibri" w:cs="Times New Roman"/>
          <w:i/>
          <w:szCs w:val="24"/>
        </w:rPr>
        <w:t>Introduction to social constructionism</w:t>
      </w:r>
      <w:r w:rsidRPr="008B68A9">
        <w:rPr>
          <w:rFonts w:eastAsia="Calibri" w:cs="Times New Roman"/>
          <w:szCs w:val="24"/>
        </w:rPr>
        <w:t xml:space="preserve"> (3</w:t>
      </w:r>
      <w:r w:rsidRPr="008B68A9">
        <w:rPr>
          <w:rFonts w:eastAsia="Calibri" w:cs="Times New Roman"/>
          <w:szCs w:val="24"/>
          <w:vertAlign w:val="superscript"/>
        </w:rPr>
        <w:t>rd</w:t>
      </w:r>
      <w:r w:rsidRPr="008B68A9">
        <w:rPr>
          <w:rFonts w:eastAsia="Calibri" w:cs="Times New Roman"/>
          <w:szCs w:val="24"/>
        </w:rPr>
        <w:t xml:space="preserve"> ed.). London, Routledge. </w:t>
      </w:r>
    </w:p>
    <w:p w14:paraId="06228A4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Burt, R. (1992) </w:t>
      </w:r>
      <w:r w:rsidRPr="008B68A9">
        <w:rPr>
          <w:rFonts w:eastAsia="Calibri" w:cs="Times New Roman"/>
          <w:i/>
          <w:szCs w:val="24"/>
        </w:rPr>
        <w:t>Structural holes: The social structure of competition.</w:t>
      </w:r>
      <w:r w:rsidRPr="008B68A9">
        <w:rPr>
          <w:rFonts w:eastAsia="Calibri" w:cs="Times New Roman"/>
          <w:szCs w:val="24"/>
        </w:rPr>
        <w:t xml:space="preserve"> Cambridge MA, Harvard University Press.</w:t>
      </w:r>
    </w:p>
    <w:p w14:paraId="7620928C"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Bury, M. (1982) Chronic health as biographical disruption. </w:t>
      </w:r>
      <w:r w:rsidRPr="008B68A9">
        <w:rPr>
          <w:rFonts w:eastAsia="Arial" w:cs="Arial"/>
          <w:i/>
          <w:szCs w:val="24"/>
        </w:rPr>
        <w:t>Sociology of Health &amp; Health,</w:t>
      </w:r>
      <w:r w:rsidRPr="008B68A9">
        <w:rPr>
          <w:rFonts w:eastAsia="Arial" w:cs="Arial"/>
          <w:szCs w:val="24"/>
        </w:rPr>
        <w:t xml:space="preserve"> </w:t>
      </w:r>
      <w:r w:rsidRPr="008B68A9">
        <w:rPr>
          <w:rFonts w:eastAsia="Arial" w:cs="Arial"/>
          <w:b/>
          <w:szCs w:val="24"/>
        </w:rPr>
        <w:t>4</w:t>
      </w:r>
      <w:r w:rsidRPr="008B68A9">
        <w:rPr>
          <w:rFonts w:eastAsia="Arial" w:cs="Arial"/>
          <w:szCs w:val="24"/>
        </w:rPr>
        <w:t xml:space="preserve"> (2), 167-182.</w:t>
      </w:r>
    </w:p>
    <w:p w14:paraId="5AA2F83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Bury, M. (2001) Health narratives: Fact or fiction? </w:t>
      </w:r>
      <w:r w:rsidRPr="008B68A9">
        <w:rPr>
          <w:rFonts w:eastAsia="Calibri" w:cs="Times New Roman"/>
          <w:i/>
          <w:iCs/>
          <w:szCs w:val="24"/>
        </w:rPr>
        <w:t>Sociology of Health and Health,</w:t>
      </w:r>
      <w:r w:rsidRPr="008B68A9">
        <w:rPr>
          <w:rFonts w:eastAsia="Calibri" w:cs="Times New Roman"/>
          <w:szCs w:val="24"/>
        </w:rPr>
        <w:t xml:space="preserve"> </w:t>
      </w:r>
      <w:r w:rsidRPr="008B68A9">
        <w:rPr>
          <w:rFonts w:eastAsia="Calibri" w:cs="Times New Roman"/>
          <w:b/>
          <w:bCs/>
          <w:szCs w:val="24"/>
        </w:rPr>
        <w:t>23</w:t>
      </w:r>
      <w:r w:rsidRPr="008B68A9">
        <w:rPr>
          <w:rFonts w:eastAsia="Calibri" w:cs="Times New Roman"/>
          <w:szCs w:val="24"/>
        </w:rPr>
        <w:t xml:space="preserve"> (3), 263-285.</w:t>
      </w:r>
    </w:p>
    <w:p w14:paraId="391A7E9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Carlson, B. L., Foster, L., Dale, S. B. &amp; Brown, R. (2007) Effects of Cash and Counselling on personal care and wellbeing </w:t>
      </w:r>
      <w:r w:rsidRPr="008B68A9">
        <w:rPr>
          <w:rFonts w:eastAsia="Calibri" w:cs="Times New Roman"/>
          <w:i/>
          <w:szCs w:val="24"/>
        </w:rPr>
        <w:t>Health Service Research</w:t>
      </w:r>
      <w:r w:rsidRPr="008B68A9">
        <w:rPr>
          <w:rFonts w:eastAsia="Calibri" w:cs="Times New Roman"/>
          <w:szCs w:val="24"/>
        </w:rPr>
        <w:t xml:space="preserve">, </w:t>
      </w:r>
      <w:r w:rsidRPr="008B68A9">
        <w:rPr>
          <w:rFonts w:eastAsia="Calibri" w:cs="Times New Roman"/>
          <w:b/>
          <w:szCs w:val="24"/>
        </w:rPr>
        <w:t>42</w:t>
      </w:r>
      <w:r w:rsidRPr="008B68A9">
        <w:rPr>
          <w:rFonts w:eastAsia="Calibri" w:cs="Times New Roman"/>
          <w:szCs w:val="24"/>
        </w:rPr>
        <w:t xml:space="preserve"> (1 pt 2), 467-487. </w:t>
      </w:r>
    </w:p>
    <w:p w14:paraId="48779B2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(2008) </w:t>
      </w:r>
      <w:r w:rsidRPr="008B68A9">
        <w:rPr>
          <w:rFonts w:eastAsia="Calibri" w:cs="Times New Roman"/>
          <w:i/>
          <w:szCs w:val="24"/>
        </w:rPr>
        <w:t>Personalisation: A rough guide</w:t>
      </w:r>
      <w:r w:rsidRPr="008B68A9">
        <w:rPr>
          <w:rFonts w:eastAsia="Calibri" w:cs="Times New Roman"/>
          <w:szCs w:val="24"/>
        </w:rPr>
        <w:t xml:space="preserve">. London, Social Care Institute for Excellence. </w:t>
      </w:r>
    </w:p>
    <w:p w14:paraId="2F87423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(2010) </w:t>
      </w:r>
      <w:r w:rsidRPr="008B68A9">
        <w:rPr>
          <w:rFonts w:eastAsia="Calibri" w:cs="Times New Roman"/>
          <w:i/>
          <w:szCs w:val="24"/>
        </w:rPr>
        <w:t>Personalisation: A rough guide</w:t>
      </w:r>
      <w:r w:rsidRPr="008B68A9">
        <w:rPr>
          <w:rFonts w:eastAsia="Calibri" w:cs="Times New Roman"/>
          <w:szCs w:val="24"/>
        </w:rPr>
        <w:t xml:space="preserve"> (revised ed.) London, Social Care Institute for Excellence. </w:t>
      </w:r>
    </w:p>
    <w:p w14:paraId="730504A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(2010) </w:t>
      </w:r>
      <w:r w:rsidRPr="008B68A9">
        <w:rPr>
          <w:rFonts w:eastAsia="Calibri" w:cs="Times New Roman"/>
          <w:i/>
          <w:szCs w:val="24"/>
        </w:rPr>
        <w:t>Social Care Institute for Excellence Report 36.</w:t>
      </w:r>
      <w:r w:rsidRPr="008B68A9">
        <w:rPr>
          <w:rFonts w:eastAsia="Calibri" w:cs="Times New Roman"/>
          <w:szCs w:val="24"/>
        </w:rPr>
        <w:t xml:space="preserve"> </w:t>
      </w:r>
      <w:r w:rsidRPr="008B68A9">
        <w:rPr>
          <w:rFonts w:eastAsia="Calibri" w:cs="Times New Roman"/>
          <w:i/>
          <w:szCs w:val="24"/>
        </w:rPr>
        <w:t>Enabling risk, ensuring safety: Self-directed support and personal budgets</w:t>
      </w:r>
      <w:r w:rsidRPr="008B68A9">
        <w:rPr>
          <w:rFonts w:eastAsia="Calibri" w:cs="Times New Roman"/>
          <w:szCs w:val="24"/>
        </w:rPr>
        <w:t>. London, Social Care Institute for Excellence.</w:t>
      </w:r>
    </w:p>
    <w:p w14:paraId="2290B3D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(2011a), Uniformity or equality? Integration, equity and the challenge of personalization.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19</w:t>
      </w:r>
      <w:r w:rsidRPr="008B68A9">
        <w:rPr>
          <w:rFonts w:eastAsia="Calibri" w:cs="Times New Roman"/>
          <w:szCs w:val="24"/>
        </w:rPr>
        <w:t xml:space="preserve"> (3), 42-47.</w:t>
      </w:r>
    </w:p>
    <w:p w14:paraId="244F2C7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(2011b) </w:t>
      </w:r>
      <w:r w:rsidRPr="008B68A9">
        <w:rPr>
          <w:rFonts w:eastAsia="Calibri" w:cs="Times New Roman"/>
          <w:i/>
          <w:szCs w:val="24"/>
        </w:rPr>
        <w:t xml:space="preserve">Personalisation and marketization: Policy construction and practice implementation – implications for third sector provision of adult social care and support in England. </w:t>
      </w:r>
      <w:r w:rsidRPr="008B68A9">
        <w:rPr>
          <w:rFonts w:eastAsia="Calibri" w:cs="Times New Roman"/>
          <w:szCs w:val="24"/>
        </w:rPr>
        <w:t>The International Society for Third Sector Research. 10th International Conference, Siena, Italy, 10-13 July 2012.</w:t>
      </w:r>
    </w:p>
    <w:p w14:paraId="0C69E5B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Carr, S. (2011b) Enabling risk and ensuring safety: Self-directed support and personal budgets. </w:t>
      </w:r>
      <w:r w:rsidRPr="008B68A9">
        <w:rPr>
          <w:rFonts w:eastAsia="Calibri" w:cs="Times New Roman"/>
          <w:i/>
          <w:szCs w:val="24"/>
        </w:rPr>
        <w:t>Journal of Adult Protection</w:t>
      </w:r>
      <w:r w:rsidRPr="008B68A9">
        <w:rPr>
          <w:rFonts w:eastAsia="Calibri" w:cs="Times New Roman"/>
          <w:szCs w:val="24"/>
        </w:rPr>
        <w:t xml:space="preserve">, </w:t>
      </w:r>
      <w:r w:rsidRPr="008B68A9">
        <w:rPr>
          <w:rFonts w:eastAsia="Calibri" w:cs="Times New Roman"/>
          <w:b/>
          <w:szCs w:val="24"/>
        </w:rPr>
        <w:t>13</w:t>
      </w:r>
      <w:r w:rsidRPr="008B68A9">
        <w:rPr>
          <w:rFonts w:eastAsia="Calibri" w:cs="Times New Roman"/>
          <w:szCs w:val="24"/>
        </w:rPr>
        <w:t xml:space="preserve"> (3), 122-136.</w:t>
      </w:r>
    </w:p>
    <w:p w14:paraId="559F5DF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Charmaz, K. (1999) Stories of suffering: Subjective tales and research narratives. Keynote address at the Qualitative Health Research Conference, February 19-21, 1998, in Vancouver, British Columbia. </w:t>
      </w:r>
      <w:r w:rsidRPr="008B68A9">
        <w:rPr>
          <w:rFonts w:eastAsia="Calibri" w:cs="Times New Roman"/>
          <w:i/>
          <w:iCs/>
          <w:szCs w:val="24"/>
        </w:rPr>
        <w:t>Qualitative Health Research,</w:t>
      </w:r>
      <w:r w:rsidRPr="008B68A9">
        <w:rPr>
          <w:rFonts w:eastAsia="Calibri" w:cs="Times New Roman"/>
          <w:szCs w:val="24"/>
        </w:rPr>
        <w:t xml:space="preserve"> </w:t>
      </w:r>
      <w:r w:rsidRPr="008B68A9">
        <w:rPr>
          <w:rFonts w:eastAsia="Calibri" w:cs="Times New Roman"/>
          <w:b/>
          <w:bCs/>
          <w:szCs w:val="24"/>
        </w:rPr>
        <w:t>9</w:t>
      </w:r>
      <w:r w:rsidRPr="008B68A9">
        <w:rPr>
          <w:rFonts w:eastAsia="Calibri" w:cs="Times New Roman"/>
          <w:szCs w:val="24"/>
        </w:rPr>
        <w:t xml:space="preserve"> (3), 362-382.</w:t>
      </w:r>
    </w:p>
    <w:p w14:paraId="5DE40865"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Chase, S. E. (2003). Learning to listen: Narrative principles in a qualitative research methods course. Chapter 5 in R. Josselson, A. Lieblich, &amp;.McAdams, P. D (eds.) (2003) </w:t>
      </w:r>
      <w:r w:rsidRPr="008B68A9">
        <w:rPr>
          <w:rFonts w:eastAsia="Arial" w:cs="Arial"/>
          <w:i/>
          <w:szCs w:val="24"/>
        </w:rPr>
        <w:t>Up close and personal: The teaching and learning of narrative research</w:t>
      </w:r>
      <w:r w:rsidRPr="008B68A9">
        <w:rPr>
          <w:rFonts w:eastAsia="Arial" w:cs="Arial"/>
          <w:szCs w:val="24"/>
        </w:rPr>
        <w:t>. Washington DC: American Psychological Association.</w:t>
      </w:r>
    </w:p>
    <w:p w14:paraId="1022F1B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Clarke, A. (1999). </w:t>
      </w:r>
      <w:r w:rsidRPr="008B68A9">
        <w:rPr>
          <w:rFonts w:eastAsia="Calibri" w:cs="Times New Roman"/>
          <w:i/>
          <w:szCs w:val="24"/>
        </w:rPr>
        <w:t xml:space="preserve">Evaluation research: An introduction to principles, methods and practice. </w:t>
      </w:r>
      <w:r w:rsidRPr="008B68A9">
        <w:rPr>
          <w:rFonts w:eastAsia="Calibri" w:cs="Times New Roman"/>
          <w:szCs w:val="24"/>
        </w:rPr>
        <w:t xml:space="preserve">London, Sage. </w:t>
      </w:r>
    </w:p>
    <w:p w14:paraId="279FF05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Clarke, H. &amp; Spafford, J. (2002) </w:t>
      </w:r>
      <w:r w:rsidRPr="008B68A9">
        <w:rPr>
          <w:color w:val="000000"/>
          <w:szCs w:val="24"/>
        </w:rPr>
        <w:t xml:space="preserve">Adapting to the culture of user control? </w:t>
      </w:r>
      <w:r w:rsidRPr="008B68A9">
        <w:rPr>
          <w:i/>
          <w:color w:val="000000"/>
          <w:szCs w:val="24"/>
        </w:rPr>
        <w:t>Social Work Education,</w:t>
      </w:r>
      <w:r w:rsidRPr="008B68A9">
        <w:rPr>
          <w:color w:val="000000"/>
          <w:szCs w:val="24"/>
        </w:rPr>
        <w:t xml:space="preserve"> </w:t>
      </w:r>
      <w:r w:rsidRPr="008B68A9">
        <w:rPr>
          <w:b/>
          <w:color w:val="000000"/>
          <w:szCs w:val="24"/>
        </w:rPr>
        <w:t>22</w:t>
      </w:r>
      <w:r w:rsidRPr="008B68A9">
        <w:rPr>
          <w:color w:val="000000"/>
          <w:szCs w:val="24"/>
        </w:rPr>
        <w:t xml:space="preserve"> (2), 247-257.</w:t>
      </w:r>
    </w:p>
    <w:p w14:paraId="3DD3306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Cleary, M. (2003). The challenges of mental health care reform for contemporary mental health nursing practice: Relationships, power and control. </w:t>
      </w:r>
      <w:r w:rsidRPr="008B68A9">
        <w:rPr>
          <w:rFonts w:eastAsia="Calibri" w:cs="Times New Roman"/>
          <w:i/>
          <w:szCs w:val="24"/>
        </w:rPr>
        <w:t>International Journal of Mental Health Nursing</w:t>
      </w:r>
      <w:r w:rsidRPr="008B68A9">
        <w:rPr>
          <w:rFonts w:eastAsia="Calibri" w:cs="Times New Roman"/>
          <w:szCs w:val="24"/>
        </w:rPr>
        <w:t xml:space="preserve">, </w:t>
      </w:r>
      <w:r w:rsidRPr="008B68A9">
        <w:rPr>
          <w:rFonts w:eastAsia="Calibri" w:cs="Times New Roman"/>
          <w:b/>
          <w:szCs w:val="24"/>
        </w:rPr>
        <w:t>12</w:t>
      </w:r>
      <w:r w:rsidRPr="008B68A9">
        <w:rPr>
          <w:rFonts w:eastAsia="Calibri" w:cs="Times New Roman"/>
          <w:szCs w:val="24"/>
        </w:rPr>
        <w:t>, (2), 139-147.</w:t>
      </w:r>
    </w:p>
    <w:p w14:paraId="69F515F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Clewett, N., Hamilton, D., Szymczynska, P., Manthorpe, J., Tew, J., Larsen, J., &amp; Pinfold, V. (2015) How can the benefits of personal budgets for people with mental illness be sustained after the payments stop? </w:t>
      </w:r>
      <w:r w:rsidRPr="008B68A9">
        <w:rPr>
          <w:rFonts w:eastAsia="Calibri" w:cs="Times New Roman"/>
          <w:i/>
          <w:szCs w:val="24"/>
        </w:rPr>
        <w:t xml:space="preserve">Research, Policy and Planning, </w:t>
      </w:r>
      <w:r w:rsidRPr="008B68A9">
        <w:rPr>
          <w:rFonts w:eastAsia="Calibri" w:cs="Times New Roman"/>
          <w:b/>
          <w:szCs w:val="24"/>
        </w:rPr>
        <w:t>31</w:t>
      </w:r>
      <w:r w:rsidRPr="008B68A9">
        <w:rPr>
          <w:rFonts w:eastAsia="Calibri" w:cs="Times New Roman"/>
          <w:szCs w:val="24"/>
        </w:rPr>
        <w:t xml:space="preserve"> (2), 105-126.</w:t>
      </w:r>
    </w:p>
    <w:p w14:paraId="7A57AAA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Coburn, D. (2000) Income inequality, social cohesion and the health status of populations: The role of neo-liberalism. </w:t>
      </w:r>
      <w:r w:rsidRPr="008B68A9">
        <w:rPr>
          <w:rFonts w:eastAsia="Calibri" w:cs="Times New Roman"/>
          <w:bCs/>
          <w:i/>
          <w:szCs w:val="24"/>
        </w:rPr>
        <w:t>Social Science &amp; Medicine</w:t>
      </w:r>
      <w:r w:rsidRPr="008B68A9">
        <w:rPr>
          <w:rFonts w:eastAsia="Calibri" w:cs="Times New Roman"/>
          <w:bCs/>
          <w:szCs w:val="24"/>
        </w:rPr>
        <w:t>,</w:t>
      </w:r>
      <w:r w:rsidRPr="008B68A9">
        <w:rPr>
          <w:rFonts w:eastAsia="Calibri" w:cs="Times New Roman"/>
          <w:b/>
          <w:bCs/>
          <w:szCs w:val="24"/>
        </w:rPr>
        <w:t xml:space="preserve"> </w:t>
      </w:r>
      <w:r w:rsidRPr="008B68A9">
        <w:rPr>
          <w:rFonts w:eastAsia="Calibri" w:cs="Times New Roman"/>
          <w:b/>
          <w:szCs w:val="24"/>
        </w:rPr>
        <w:t>51</w:t>
      </w:r>
      <w:r w:rsidRPr="008B68A9">
        <w:rPr>
          <w:rFonts w:eastAsia="Calibri" w:cs="Times New Roman"/>
          <w:szCs w:val="24"/>
        </w:rPr>
        <w:t>, (1), 135-146.</w:t>
      </w:r>
    </w:p>
    <w:p w14:paraId="103B6673"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Cohen, B. (2008) </w:t>
      </w:r>
      <w:r w:rsidRPr="008B68A9">
        <w:rPr>
          <w:rFonts w:eastAsia="Arial" w:cs="Arial"/>
          <w:i/>
          <w:szCs w:val="24"/>
        </w:rPr>
        <w:t>Mental health user narratives: New perspectives on health and recovery</w:t>
      </w:r>
      <w:r w:rsidRPr="008B68A9">
        <w:rPr>
          <w:rFonts w:eastAsia="Arial" w:cs="Arial"/>
          <w:szCs w:val="24"/>
        </w:rPr>
        <w:t>. London, Macmillan Palgrave.</w:t>
      </w:r>
    </w:p>
    <w:p w14:paraId="51D5F4D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Commission for Social Care Inspection (2004) </w:t>
      </w:r>
      <w:r w:rsidRPr="008B68A9">
        <w:rPr>
          <w:rFonts w:eastAsia="Calibri" w:cs="Times New Roman"/>
          <w:i/>
          <w:szCs w:val="24"/>
        </w:rPr>
        <w:t>Direct payments: What are the barriers?</w:t>
      </w:r>
      <w:r w:rsidRPr="008B68A9">
        <w:rPr>
          <w:rFonts w:eastAsia="Calibri" w:cs="Times New Roman"/>
          <w:szCs w:val="24"/>
        </w:rPr>
        <w:t xml:space="preserve"> London, Social Care Institute for Excellence.</w:t>
      </w:r>
    </w:p>
    <w:p w14:paraId="181F86C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Commission for Social Care Inspection (2008) </w:t>
      </w:r>
      <w:r w:rsidRPr="008B68A9">
        <w:rPr>
          <w:rFonts w:eastAsia="Calibri" w:cs="Times New Roman"/>
          <w:i/>
          <w:szCs w:val="24"/>
        </w:rPr>
        <w:t>State of social care in England 2006-2007</w:t>
      </w:r>
      <w:r w:rsidRPr="008B68A9">
        <w:rPr>
          <w:rFonts w:eastAsia="Calibri" w:cs="Times New Roman"/>
          <w:szCs w:val="24"/>
        </w:rPr>
        <w:t>. London, Social Care Institute for Excellence.</w:t>
      </w:r>
    </w:p>
    <w:p w14:paraId="0C820E2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Commission for Social Care Inspection (2009) The state of social care in England 2007-08. London, Social Care Institute for Excellence.</w:t>
      </w:r>
    </w:p>
    <w:p w14:paraId="7465DF2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Commission for Healthcare Audit and Inspection (2008) </w:t>
      </w:r>
      <w:r w:rsidRPr="008B68A9">
        <w:rPr>
          <w:rFonts w:eastAsia="Calibri" w:cs="Times New Roman"/>
          <w:i/>
          <w:szCs w:val="24"/>
        </w:rPr>
        <w:t>No voice, no choice: A joint review of adult community mental health services in England</w:t>
      </w:r>
      <w:r w:rsidRPr="008B68A9">
        <w:rPr>
          <w:rFonts w:eastAsia="Calibri" w:cs="Times New Roman"/>
          <w:szCs w:val="24"/>
        </w:rPr>
        <w:t>. London: Commission for Healthcare Audit and Inspection.</w:t>
      </w:r>
    </w:p>
    <w:p w14:paraId="032EFE71"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Conrad, P. &amp; Barker, K. (2010) The social construction of illness: Key insights and policy implications.</w:t>
      </w:r>
      <w:r w:rsidRPr="008B68A9">
        <w:rPr>
          <w:rFonts w:eastAsia="Calibri" w:cs="Times New Roman"/>
          <w:i/>
          <w:color w:val="000000"/>
          <w:szCs w:val="24"/>
        </w:rPr>
        <w:t xml:space="preserve"> Journal of Health and Social Behaviour,</w:t>
      </w:r>
      <w:r w:rsidRPr="008B68A9">
        <w:rPr>
          <w:rFonts w:eastAsia="Calibri" w:cs="Times New Roman"/>
          <w:color w:val="000000"/>
          <w:szCs w:val="24"/>
        </w:rPr>
        <w:t xml:space="preserve"> 51 (s), S67-79.</w:t>
      </w:r>
    </w:p>
    <w:p w14:paraId="3CE3E0B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color w:val="000000"/>
          <w:szCs w:val="24"/>
        </w:rPr>
        <w:t>Conroy, J. W. &amp; Yuskauskas, A. (1996) Independent evaluation of the Monadnock Self Determination Project. The Center for Outcome Analysis.</w:t>
      </w:r>
    </w:p>
    <w:p w14:paraId="0D31622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Cook J. A., Russell C., Grey, D., &amp; Jonikas, J. A. (2008) A self-directed care model for mental health recovery. </w:t>
      </w:r>
      <w:r w:rsidRPr="008B68A9">
        <w:rPr>
          <w:rFonts w:eastAsia="Calibri" w:cs="Times New Roman"/>
          <w:i/>
          <w:szCs w:val="24"/>
        </w:rPr>
        <w:t>Psychiatric Services,</w:t>
      </w:r>
      <w:r w:rsidRPr="008B68A9">
        <w:rPr>
          <w:rFonts w:eastAsia="Calibri" w:cs="Times New Roman"/>
          <w:szCs w:val="24"/>
        </w:rPr>
        <w:t xml:space="preserve"> </w:t>
      </w:r>
      <w:r w:rsidRPr="008B68A9">
        <w:rPr>
          <w:rFonts w:eastAsia="Calibri" w:cs="Times New Roman"/>
          <w:b/>
          <w:bCs/>
          <w:szCs w:val="24"/>
        </w:rPr>
        <w:t xml:space="preserve">59 </w:t>
      </w:r>
      <w:r w:rsidRPr="008B68A9">
        <w:rPr>
          <w:rFonts w:eastAsia="Calibri" w:cs="Times New Roman"/>
          <w:szCs w:val="24"/>
        </w:rPr>
        <w:t>(6), 1-3.</w:t>
      </w:r>
    </w:p>
    <w:p w14:paraId="3A8FDC3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Cook, J. A., &amp; Shore, S. E. (2010) Participatory action research to establish self-directed care for mental health recovery in Texas. </w:t>
      </w:r>
      <w:r w:rsidRPr="008B68A9">
        <w:rPr>
          <w:rFonts w:eastAsia="Calibri" w:cs="Times New Roman"/>
          <w:i/>
          <w:szCs w:val="24"/>
        </w:rPr>
        <w:t>Psychiatric Rehabilitation Journal,</w:t>
      </w:r>
      <w:r w:rsidRPr="008B68A9">
        <w:rPr>
          <w:rFonts w:eastAsia="Calibri" w:cs="Times New Roman"/>
          <w:szCs w:val="24"/>
        </w:rPr>
        <w:t xml:space="preserve"> </w:t>
      </w:r>
      <w:r w:rsidRPr="008B68A9">
        <w:rPr>
          <w:rFonts w:eastAsia="Calibri" w:cs="Times New Roman"/>
          <w:b/>
          <w:bCs/>
          <w:szCs w:val="24"/>
        </w:rPr>
        <w:t xml:space="preserve">34 </w:t>
      </w:r>
      <w:r w:rsidRPr="008B68A9">
        <w:rPr>
          <w:rFonts w:eastAsia="Calibri" w:cs="Times New Roman"/>
          <w:szCs w:val="24"/>
        </w:rPr>
        <w:t>(2), 137-144.</w:t>
      </w:r>
    </w:p>
    <w:p w14:paraId="3C01217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Cook, J. A., Copeland, M. E., Jonikas, J. A., Hamilton, M. M., &amp; Razzano, L. A. (2012) Results of a randomized controlled trial of mental health self-management using Wellness Recovery Action Planning. </w:t>
      </w:r>
      <w:r w:rsidRPr="008B68A9">
        <w:rPr>
          <w:rFonts w:eastAsia="Calibri" w:cs="Times New Roman"/>
          <w:i/>
          <w:szCs w:val="24"/>
        </w:rPr>
        <w:t>Schizophrenia Bulletin</w:t>
      </w:r>
      <w:r w:rsidRPr="008B68A9">
        <w:rPr>
          <w:rFonts w:eastAsia="Calibri" w:cs="Times New Roman"/>
          <w:szCs w:val="24"/>
        </w:rPr>
        <w:t xml:space="preserve">, </w:t>
      </w:r>
      <w:r w:rsidRPr="008B68A9">
        <w:rPr>
          <w:rFonts w:eastAsia="Calibri" w:cs="Times New Roman"/>
          <w:b/>
          <w:szCs w:val="24"/>
        </w:rPr>
        <w:t>38</w:t>
      </w:r>
      <w:r w:rsidRPr="008B68A9">
        <w:rPr>
          <w:rFonts w:eastAsia="Calibri" w:cs="Times New Roman"/>
          <w:szCs w:val="24"/>
        </w:rPr>
        <w:t xml:space="preserve"> (4), 881-891.</w:t>
      </w:r>
    </w:p>
    <w:p w14:paraId="126CF3F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Cook, J. A. &amp; Mueser, K. T. (2015) Community health workers: Potential allies for the field of psychiatric rehabilitation. </w:t>
      </w:r>
      <w:r w:rsidRPr="008B68A9">
        <w:rPr>
          <w:rFonts w:eastAsia="Calibri" w:cs="Times New Roman"/>
          <w:i/>
          <w:szCs w:val="24"/>
        </w:rPr>
        <w:t>Psychiatric Rehabilitation Journal,</w:t>
      </w:r>
      <w:r w:rsidRPr="008B68A9">
        <w:rPr>
          <w:rFonts w:eastAsia="Calibri" w:cs="Times New Roman"/>
          <w:szCs w:val="24"/>
        </w:rPr>
        <w:t xml:space="preserve"> </w:t>
      </w:r>
      <w:r w:rsidRPr="008B68A9">
        <w:rPr>
          <w:rFonts w:eastAsia="Calibri" w:cs="Times New Roman"/>
          <w:b/>
          <w:szCs w:val="24"/>
        </w:rPr>
        <w:t>38</w:t>
      </w:r>
      <w:r w:rsidRPr="008B68A9">
        <w:rPr>
          <w:rFonts w:eastAsia="Calibri" w:cs="Times New Roman"/>
          <w:szCs w:val="24"/>
        </w:rPr>
        <w:t xml:space="preserve"> (3), 207-209.</w:t>
      </w:r>
    </w:p>
    <w:p w14:paraId="78D85DF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Edwards D., Hannigan, B., Burnard, P. &amp; Fothergill, A. (2000) An explanation of the coping strategies used by community psychiatric nurses in Wales. </w:t>
      </w:r>
      <w:r w:rsidRPr="008B68A9">
        <w:rPr>
          <w:rFonts w:eastAsia="Calibri" w:cs="Times New Roman"/>
          <w:i/>
          <w:szCs w:val="24"/>
        </w:rPr>
        <w:t>Nursing and Health Sciences,</w:t>
      </w:r>
      <w:r w:rsidRPr="008B68A9">
        <w:rPr>
          <w:rFonts w:eastAsia="Calibri" w:cs="Times New Roman"/>
          <w:szCs w:val="24"/>
        </w:rPr>
        <w:t xml:space="preserve"> </w:t>
      </w:r>
      <w:r w:rsidRPr="008B68A9">
        <w:rPr>
          <w:rFonts w:eastAsia="Calibri" w:cs="Times New Roman"/>
          <w:b/>
          <w:szCs w:val="24"/>
        </w:rPr>
        <w:t>1</w:t>
      </w:r>
      <w:r w:rsidRPr="008B68A9">
        <w:rPr>
          <w:rFonts w:eastAsia="Calibri" w:cs="Times New Roman"/>
          <w:szCs w:val="24"/>
        </w:rPr>
        <w:t xml:space="preserve"> (2), 59-67.</w:t>
      </w:r>
    </w:p>
    <w:p w14:paraId="1F99A3A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Edwards, D., Hannigan, B., Fothergill, A. &amp; Burnard, P. (2005) A systematic review of stress amongst mental health social workers. </w:t>
      </w:r>
      <w:r w:rsidRPr="008B68A9">
        <w:rPr>
          <w:rFonts w:eastAsia="Calibri" w:cs="Times New Roman"/>
          <w:i/>
          <w:szCs w:val="24"/>
        </w:rPr>
        <w:t>International Social Work</w:t>
      </w:r>
      <w:r w:rsidRPr="008B68A9">
        <w:rPr>
          <w:rFonts w:eastAsia="Calibri" w:cs="Times New Roman"/>
          <w:szCs w:val="24"/>
        </w:rPr>
        <w:t xml:space="preserve">, </w:t>
      </w:r>
      <w:r w:rsidRPr="008B68A9">
        <w:rPr>
          <w:rFonts w:eastAsia="Calibri" w:cs="Times New Roman"/>
          <w:b/>
          <w:szCs w:val="24"/>
        </w:rPr>
        <w:t>48</w:t>
      </w:r>
      <w:r w:rsidRPr="008B68A9">
        <w:rPr>
          <w:rFonts w:eastAsia="Calibri" w:cs="Times New Roman"/>
          <w:szCs w:val="24"/>
        </w:rPr>
        <w:t xml:space="preserve"> (2), 201-211.</w:t>
      </w:r>
    </w:p>
    <w:p w14:paraId="6427E5C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(2009) </w:t>
      </w:r>
      <w:r w:rsidRPr="008B68A9">
        <w:rPr>
          <w:rFonts w:eastAsia="Calibri" w:cs="Times New Roman"/>
          <w:i/>
          <w:szCs w:val="24"/>
        </w:rPr>
        <w:t>Poster 2: Person centred approaches for support planning in mental health</w:t>
      </w:r>
      <w:r w:rsidRPr="008B68A9">
        <w:rPr>
          <w:rFonts w:eastAsia="Calibri" w:cs="Times New Roman"/>
          <w:szCs w:val="24"/>
        </w:rPr>
        <w:t>. Royal College of Nursing Network for Psychiatric Nursing Research, 24-25.09.09.</w:t>
      </w:r>
    </w:p>
    <w:p w14:paraId="69A5FDC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(2009) </w:t>
      </w:r>
      <w:r w:rsidRPr="008B68A9">
        <w:rPr>
          <w:rFonts w:eastAsia="Calibri" w:cs="Times New Roman"/>
          <w:i/>
          <w:szCs w:val="24"/>
        </w:rPr>
        <w:t>Recovery budgets in a mental health service: Evaluating recovery budgets for people accessing an Early Intervention Service and the impact of working with self-directed services on the team members within a North West of England NHS trust.</w:t>
      </w:r>
      <w:r w:rsidRPr="008B68A9">
        <w:rPr>
          <w:rFonts w:eastAsia="Calibri" w:cs="Times New Roman"/>
          <w:szCs w:val="24"/>
        </w:rPr>
        <w:t xml:space="preserve"> University of Chester.</w:t>
      </w:r>
    </w:p>
    <w:p w14:paraId="2005548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Coyle, D. &amp; Lunt, K. (2009) In-Control The Big Event: Supporting people with mental health develop support plans. London, 15.03.09.</w:t>
      </w:r>
    </w:p>
    <w:p w14:paraId="369630D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(2011) Impact of person-centred thinking and personal budgets in mental health services: Reporting a UK pilot. </w:t>
      </w:r>
      <w:r w:rsidRPr="008B68A9">
        <w:rPr>
          <w:rFonts w:eastAsia="Calibri" w:cs="Times New Roman"/>
          <w:bCs/>
          <w:i/>
          <w:szCs w:val="24"/>
        </w:rPr>
        <w:t>Journal of Psychiatric &amp; Mental Health Nursing</w:t>
      </w:r>
      <w:r w:rsidRPr="008B68A9">
        <w:rPr>
          <w:rFonts w:eastAsia="Calibri" w:cs="Times New Roman"/>
          <w:szCs w:val="24"/>
        </w:rPr>
        <w:t xml:space="preserve">, </w:t>
      </w:r>
      <w:r w:rsidRPr="008B68A9">
        <w:rPr>
          <w:rFonts w:eastAsia="Calibri" w:cs="Times New Roman"/>
          <w:b/>
          <w:szCs w:val="24"/>
        </w:rPr>
        <w:t>18</w:t>
      </w:r>
      <w:r w:rsidRPr="008B68A9">
        <w:rPr>
          <w:rFonts w:eastAsia="Calibri" w:cs="Times New Roman"/>
          <w:szCs w:val="24"/>
        </w:rPr>
        <w:t xml:space="preserve"> (9), 796-803.</w:t>
      </w:r>
    </w:p>
    <w:p w14:paraId="3ADBA67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Coyle, D. (2014) Evaluation research.  In McIntosh, A., Mason, T., Mason-Whitehead, E., &amp; Coyle, D. (eds.) </w:t>
      </w:r>
      <w:r w:rsidRPr="008B68A9">
        <w:rPr>
          <w:rFonts w:eastAsia="Calibri" w:cs="Times New Roman"/>
          <w:i/>
          <w:szCs w:val="24"/>
        </w:rPr>
        <w:t>Key concepts in healthcare research.</w:t>
      </w:r>
      <w:r w:rsidRPr="008B68A9">
        <w:rPr>
          <w:rFonts w:eastAsia="Calibri" w:cs="Times New Roman"/>
          <w:szCs w:val="24"/>
        </w:rPr>
        <w:t xml:space="preserve"> London, Sage.</w:t>
      </w:r>
    </w:p>
    <w:p w14:paraId="178E8D6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Croft, B. &amp; Parish, J. (2016) </w:t>
      </w:r>
      <w:r w:rsidRPr="008B68A9">
        <w:rPr>
          <w:color w:val="000000"/>
          <w:szCs w:val="24"/>
        </w:rPr>
        <w:t xml:space="preserve">Participants’ assessment of the impact of behavioral health self-direction on recovery. </w:t>
      </w:r>
      <w:r w:rsidRPr="008B68A9">
        <w:rPr>
          <w:i/>
          <w:color w:val="000000"/>
          <w:szCs w:val="24"/>
        </w:rPr>
        <w:t>Community Mental Health Journal</w:t>
      </w:r>
      <w:r w:rsidRPr="008B68A9">
        <w:rPr>
          <w:color w:val="000000"/>
          <w:szCs w:val="24"/>
        </w:rPr>
        <w:t xml:space="preserve"> (early view).</w:t>
      </w:r>
    </w:p>
    <w:p w14:paraId="52D2B42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Crome, I., Chambers, P., Frisher, M., Bloor, R., &amp; Roberts, D. (2009) </w:t>
      </w:r>
      <w:r w:rsidRPr="008B68A9">
        <w:rPr>
          <w:rFonts w:eastAsia="Calibri" w:cs="Times New Roman"/>
          <w:i/>
          <w:szCs w:val="24"/>
        </w:rPr>
        <w:t>The relationship between dual diagnosis, substance misuse and dealing with mental health issues</w:t>
      </w:r>
      <w:r w:rsidRPr="008B68A9">
        <w:rPr>
          <w:rFonts w:eastAsia="Calibri" w:cs="Times New Roman"/>
          <w:szCs w:val="24"/>
        </w:rPr>
        <w:t xml:space="preserve">. Social Research Briefing 30. Care Institute of Excellence. Available at: http://www.scie.org.uk/publications/briefings/briefing30/ </w:t>
      </w:r>
    </w:p>
    <w:p w14:paraId="7855336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Crossley, N. (1999) Fish, field, habitus and madness: The first wave mental health users’ movement in Great Britain. </w:t>
      </w:r>
      <w:r w:rsidRPr="008B68A9">
        <w:rPr>
          <w:rFonts w:eastAsia="Calibri" w:cs="Times New Roman"/>
          <w:i/>
          <w:szCs w:val="24"/>
        </w:rPr>
        <w:t>British Journal of Sociology</w:t>
      </w:r>
      <w:r w:rsidRPr="008B68A9">
        <w:rPr>
          <w:rFonts w:eastAsia="Calibri" w:cs="Times New Roman"/>
          <w:szCs w:val="24"/>
        </w:rPr>
        <w:t xml:space="preserve">, </w:t>
      </w:r>
      <w:r w:rsidRPr="008B68A9">
        <w:rPr>
          <w:rFonts w:eastAsia="Calibri" w:cs="Times New Roman"/>
          <w:b/>
          <w:szCs w:val="24"/>
        </w:rPr>
        <w:t>50</w:t>
      </w:r>
      <w:r w:rsidRPr="008B68A9">
        <w:rPr>
          <w:rFonts w:eastAsia="Calibri" w:cs="Times New Roman"/>
          <w:szCs w:val="24"/>
        </w:rPr>
        <w:t>, (4), 647-670.</w:t>
      </w:r>
    </w:p>
    <w:p w14:paraId="77A2A37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Crossley, N. (2004) Not being mentally ill. </w:t>
      </w:r>
      <w:r w:rsidRPr="008B68A9">
        <w:rPr>
          <w:rFonts w:eastAsia="Calibri" w:cs="Times New Roman"/>
          <w:i/>
          <w:szCs w:val="24"/>
        </w:rPr>
        <w:t>Anthropology and Medicine</w:t>
      </w:r>
      <w:r w:rsidRPr="008B68A9">
        <w:rPr>
          <w:rFonts w:eastAsia="Calibri" w:cs="Times New Roman"/>
          <w:szCs w:val="24"/>
        </w:rPr>
        <w:t xml:space="preserve">, </w:t>
      </w:r>
      <w:r w:rsidRPr="008B68A9">
        <w:rPr>
          <w:rFonts w:eastAsia="Calibri" w:cs="Times New Roman"/>
          <w:b/>
          <w:szCs w:val="24"/>
        </w:rPr>
        <w:t>11</w:t>
      </w:r>
      <w:r w:rsidRPr="008B68A9">
        <w:rPr>
          <w:rFonts w:eastAsia="Calibri" w:cs="Times New Roman"/>
          <w:szCs w:val="24"/>
        </w:rPr>
        <w:t>, (2), 161-180.</w:t>
      </w:r>
    </w:p>
    <w:p w14:paraId="3566793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Crossley, N. (2006) The ﬁeld of psychiatric contention in the UK, 1960-2000. Social Science and Medicine, </w:t>
      </w:r>
      <w:r w:rsidRPr="008B68A9">
        <w:rPr>
          <w:rFonts w:eastAsia="Calibri" w:cs="Times New Roman"/>
          <w:b/>
          <w:szCs w:val="24"/>
        </w:rPr>
        <w:t>62</w:t>
      </w:r>
      <w:r w:rsidRPr="008B68A9">
        <w:rPr>
          <w:rFonts w:eastAsia="Calibri" w:cs="Times New Roman"/>
          <w:szCs w:val="24"/>
        </w:rPr>
        <w:t>, (1), 552-563.</w:t>
      </w:r>
    </w:p>
    <w:p w14:paraId="3745944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Crotty, M. (1996) </w:t>
      </w:r>
      <w:r w:rsidRPr="008B68A9">
        <w:rPr>
          <w:rFonts w:eastAsia="Calibri" w:cs="Times New Roman"/>
          <w:i/>
          <w:szCs w:val="24"/>
        </w:rPr>
        <w:t>Phenomenology and nursing research.</w:t>
      </w:r>
      <w:r w:rsidRPr="008B68A9">
        <w:rPr>
          <w:rFonts w:eastAsia="Calibri" w:cs="Times New Roman"/>
          <w:szCs w:val="24"/>
        </w:rPr>
        <w:t xml:space="preserve"> London, Churchill Livingstone. </w:t>
      </w:r>
    </w:p>
    <w:p w14:paraId="0356BC2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Crozier, M., Muenchberger, H., Ehrlich, C. &amp; Coley, J. H. (2012) </w:t>
      </w:r>
      <w:r w:rsidRPr="008B68A9">
        <w:rPr>
          <w:rFonts w:eastAsia="Calibri" w:cs="Times New Roman"/>
          <w:i/>
          <w:szCs w:val="24"/>
        </w:rPr>
        <w:t>Self-directed support: A state, national, international understanding</w:t>
      </w:r>
      <w:r w:rsidRPr="008B68A9">
        <w:rPr>
          <w:rFonts w:eastAsia="Calibri" w:cs="Times New Roman"/>
          <w:szCs w:val="24"/>
        </w:rPr>
        <w:t>. Griffith University.</w:t>
      </w:r>
    </w:p>
    <w:p w14:paraId="317C821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CSIP (Care Services Improvement Partnership) (2007) </w:t>
      </w:r>
      <w:r w:rsidRPr="008B68A9">
        <w:rPr>
          <w:rFonts w:eastAsia="Calibri" w:cs="Times New Roman"/>
          <w:i/>
          <w:szCs w:val="24"/>
        </w:rPr>
        <w:t>Self-directed support: The role of support brokerage within individual budgets.</w:t>
      </w:r>
      <w:r w:rsidRPr="008B68A9">
        <w:rPr>
          <w:rFonts w:eastAsia="Calibri" w:cs="Times New Roman"/>
          <w:szCs w:val="24"/>
        </w:rPr>
        <w:t xml:space="preserve"> Care Services Improvement Partnership.</w:t>
      </w:r>
    </w:p>
    <w:p w14:paraId="1096FA4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CSIP (Care Services Improvement Partnership) (2008) NIMHE National Social Inclusion Programme: Direct payment. </w:t>
      </w:r>
      <w:r w:rsidRPr="008B68A9">
        <w:rPr>
          <w:rFonts w:eastAsia="Calibri" w:cs="Times New Roman"/>
          <w:i/>
          <w:szCs w:val="24"/>
        </w:rPr>
        <w:t>Analysis of CSCI figures for direct payments use in lieu of adult mental health services.</w:t>
      </w:r>
      <w:r w:rsidRPr="008B68A9">
        <w:rPr>
          <w:rFonts w:eastAsia="Calibri" w:cs="Times New Roman"/>
          <w:szCs w:val="24"/>
        </w:rPr>
        <w:t xml:space="preserve"> 2001-8, Care Services Improvement Partnership.</w:t>
      </w:r>
    </w:p>
    <w:p w14:paraId="0B0D4F4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Curran, J. &amp; Takata, S. R. (2003) Ausubel’s advanced organizers. Available at http://www.csudh.edu/dearhabermas/advorg03.htm [Accessed 04/03/15].</w:t>
      </w:r>
    </w:p>
    <w:p w14:paraId="18A7924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Cutcliffe, J. R. (2008) The die has been cast? Rediscovering the essence of psychiatric nursing. </w:t>
      </w:r>
      <w:r w:rsidRPr="008B68A9">
        <w:rPr>
          <w:rFonts w:eastAsia="Calibri" w:cs="Times New Roman"/>
          <w:i/>
          <w:szCs w:val="24"/>
        </w:rPr>
        <w:t>British Journal of Nursing,</w:t>
      </w:r>
      <w:r w:rsidRPr="008B68A9">
        <w:rPr>
          <w:rFonts w:eastAsia="Calibri" w:cs="Times New Roman"/>
          <w:szCs w:val="24"/>
        </w:rPr>
        <w:t xml:space="preserve"> </w:t>
      </w:r>
      <w:r w:rsidRPr="008B68A9">
        <w:rPr>
          <w:rFonts w:eastAsia="Calibri" w:cs="Times New Roman"/>
          <w:b/>
          <w:szCs w:val="24"/>
        </w:rPr>
        <w:t>17</w:t>
      </w:r>
      <w:r w:rsidRPr="008B68A9">
        <w:rPr>
          <w:rFonts w:eastAsia="Calibri" w:cs="Times New Roman"/>
          <w:szCs w:val="24"/>
        </w:rPr>
        <w:t xml:space="preserve">, (2), 88-92. </w:t>
      </w:r>
    </w:p>
    <w:p w14:paraId="6FA3000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Cutcliffe, J. &amp; Hannigan, B. (2001) Mass media, monsters and mental health clients: The need for increased lobbying. </w:t>
      </w:r>
      <w:r w:rsidRPr="008B68A9">
        <w:rPr>
          <w:rFonts w:eastAsia="Calibri" w:cs="Times New Roman"/>
          <w:i/>
          <w:szCs w:val="24"/>
        </w:rPr>
        <w:t>Journal of Psychiatric and Mental Health Nursing,</w:t>
      </w:r>
      <w:r w:rsidRPr="008B68A9">
        <w:rPr>
          <w:rFonts w:eastAsia="Calibri" w:cs="Times New Roman"/>
          <w:szCs w:val="24"/>
        </w:rPr>
        <w:t xml:space="preserve"> 8, 315-321.</w:t>
      </w:r>
    </w:p>
    <w:p w14:paraId="5B444D9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Czarniawska, B. (2004) </w:t>
      </w:r>
      <w:r w:rsidRPr="008B68A9">
        <w:rPr>
          <w:rFonts w:eastAsia="Calibri" w:cs="Times New Roman"/>
          <w:i/>
          <w:szCs w:val="24"/>
        </w:rPr>
        <w:t>Narratives in social science research.</w:t>
      </w:r>
      <w:r w:rsidRPr="008B68A9">
        <w:rPr>
          <w:rFonts w:eastAsia="Calibri" w:cs="Times New Roman"/>
          <w:szCs w:val="24"/>
        </w:rPr>
        <w:t xml:space="preserve"> London, Sage.</w:t>
      </w:r>
    </w:p>
    <w:p w14:paraId="6661F6F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color w:val="000000"/>
          <w:szCs w:val="24"/>
        </w:rPr>
        <w:t xml:space="preserve">Da Roit, B. &amp; Le Bihan, B. (2010) Similar and yet so different: Cash-for-Care in six European countries' long-term care policies. </w:t>
      </w:r>
      <w:r w:rsidRPr="008B68A9">
        <w:rPr>
          <w:rFonts w:eastAsia="Calibri" w:cs="Times New Roman"/>
          <w:i/>
          <w:color w:val="000000"/>
          <w:szCs w:val="24"/>
        </w:rPr>
        <w:t>The Millbank Quarterly</w:t>
      </w:r>
      <w:r w:rsidRPr="008B68A9">
        <w:rPr>
          <w:rFonts w:eastAsia="Calibri" w:cs="Times New Roman"/>
          <w:color w:val="000000"/>
          <w:szCs w:val="24"/>
        </w:rPr>
        <w:t xml:space="preserve">, </w:t>
      </w:r>
      <w:r w:rsidRPr="008B68A9">
        <w:rPr>
          <w:rFonts w:eastAsia="Calibri" w:cs="Times New Roman"/>
          <w:b/>
          <w:color w:val="000000"/>
          <w:szCs w:val="24"/>
        </w:rPr>
        <w:t>88</w:t>
      </w:r>
      <w:r w:rsidRPr="008B68A9">
        <w:rPr>
          <w:rFonts w:eastAsia="Calibri" w:cs="Times New Roman"/>
          <w:color w:val="000000"/>
          <w:szCs w:val="24"/>
        </w:rPr>
        <w:t xml:space="preserve"> (3), 286-309.</w:t>
      </w:r>
    </w:p>
    <w:p w14:paraId="574C62C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Dale, S., Brown, R., &amp; Phillips, B. (2004) </w:t>
      </w:r>
      <w:r w:rsidRPr="008B68A9">
        <w:rPr>
          <w:rFonts w:eastAsia="Calibri" w:cs="Times New Roman"/>
          <w:i/>
          <w:szCs w:val="24"/>
        </w:rPr>
        <w:t>Does Arkansas Cash and Counseling affect use and public costs?</w:t>
      </w:r>
      <w:r w:rsidRPr="008B68A9">
        <w:rPr>
          <w:rFonts w:eastAsia="Calibri" w:cs="Times New Roman"/>
          <w:szCs w:val="24"/>
        </w:rPr>
        <w:t xml:space="preserve"> </w:t>
      </w:r>
      <w:r w:rsidRPr="008B68A9">
        <w:rPr>
          <w:rFonts w:eastAsia="Calibri" w:cs="Times New Roman"/>
          <w:i/>
          <w:szCs w:val="24"/>
        </w:rPr>
        <w:t>Final report.</w:t>
      </w:r>
      <w:r w:rsidRPr="008B68A9">
        <w:rPr>
          <w:rFonts w:eastAsia="Calibri" w:cs="Times New Roman"/>
          <w:szCs w:val="24"/>
        </w:rPr>
        <w:t xml:space="preserve"> US Department of Health and Human Services. </w:t>
      </w:r>
    </w:p>
    <w:p w14:paraId="28757E1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Dale, S. B., &amp; Brown, R. (2006). Reducing nursing home use through consumer-directed personal care services. </w:t>
      </w:r>
      <w:r w:rsidRPr="008B68A9">
        <w:rPr>
          <w:rFonts w:eastAsia="Calibri" w:cs="Times New Roman"/>
          <w:i/>
          <w:szCs w:val="24"/>
        </w:rPr>
        <w:t>Medical Care</w:t>
      </w:r>
      <w:r w:rsidRPr="008B68A9">
        <w:rPr>
          <w:rFonts w:eastAsia="Calibri" w:cs="Times New Roman"/>
          <w:szCs w:val="24"/>
        </w:rPr>
        <w:t xml:space="preserve">. </w:t>
      </w:r>
      <w:r w:rsidRPr="008B68A9">
        <w:rPr>
          <w:rFonts w:eastAsia="Calibri" w:cs="Times New Roman"/>
          <w:b/>
          <w:szCs w:val="24"/>
        </w:rPr>
        <w:t>44</w:t>
      </w:r>
      <w:r w:rsidRPr="008B68A9">
        <w:rPr>
          <w:rFonts w:eastAsia="Calibri" w:cs="Times New Roman"/>
          <w:szCs w:val="24"/>
        </w:rPr>
        <w:t xml:space="preserve"> (8), 760-767.</w:t>
      </w:r>
    </w:p>
    <w:p w14:paraId="3E72715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Daly, G. (2008) Is choice the right policy? </w:t>
      </w:r>
      <w:r w:rsidRPr="008B68A9">
        <w:rPr>
          <w:rFonts w:eastAsia="Calibri" w:cs="Times New Roman"/>
          <w:i/>
          <w:iCs/>
          <w:szCs w:val="24"/>
        </w:rPr>
        <w:t>Health Matters</w:t>
      </w:r>
      <w:r w:rsidRPr="008B68A9">
        <w:rPr>
          <w:rFonts w:eastAsia="Calibri" w:cs="Times New Roman"/>
          <w:iCs/>
          <w:szCs w:val="24"/>
        </w:rPr>
        <w:t>,</w:t>
      </w:r>
      <w:r w:rsidRPr="008B68A9">
        <w:rPr>
          <w:rFonts w:eastAsia="Calibri" w:cs="Times New Roman"/>
          <w:szCs w:val="24"/>
        </w:rPr>
        <w:t xml:space="preserve"> </w:t>
      </w:r>
      <w:r w:rsidRPr="008B68A9">
        <w:rPr>
          <w:rFonts w:eastAsia="Calibri" w:cs="Times New Roman"/>
          <w:b/>
          <w:szCs w:val="24"/>
        </w:rPr>
        <w:t>72</w:t>
      </w:r>
      <w:r w:rsidRPr="008B68A9">
        <w:rPr>
          <w:rFonts w:eastAsia="Calibri" w:cs="Times New Roman"/>
          <w:szCs w:val="24"/>
        </w:rPr>
        <w:t>, 16-17.</w:t>
      </w:r>
    </w:p>
    <w:p w14:paraId="47724F8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Daly, G., (2012) Citizenship, choice and care: An examination of the promotion of choice in the provision of adult social care. </w:t>
      </w:r>
      <w:r w:rsidRPr="008B68A9">
        <w:rPr>
          <w:rFonts w:eastAsia="Calibri" w:cs="Times New Roman"/>
          <w:i/>
          <w:szCs w:val="24"/>
        </w:rPr>
        <w:t xml:space="preserve">Research Policy and Planning, </w:t>
      </w:r>
      <w:r w:rsidRPr="008B68A9">
        <w:rPr>
          <w:rFonts w:eastAsia="Calibri" w:cs="Times New Roman"/>
          <w:b/>
          <w:szCs w:val="24"/>
        </w:rPr>
        <w:t>29</w:t>
      </w:r>
      <w:r w:rsidRPr="008B68A9">
        <w:rPr>
          <w:rFonts w:eastAsia="Calibri" w:cs="Times New Roman"/>
          <w:szCs w:val="24"/>
        </w:rPr>
        <w:t xml:space="preserve"> (3), 179-189.</w:t>
      </w:r>
    </w:p>
    <w:p w14:paraId="0760ACE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Daly, G., Roebuck, A., Dean, J., Bollard, M., &amp; Taylor, C. (2009). Gaining independence: An evaluation of service users’ accounts of the individual budgets pilot.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16</w:t>
      </w:r>
      <w:r w:rsidRPr="008B68A9">
        <w:rPr>
          <w:rFonts w:eastAsia="Calibri" w:cs="Times New Roman"/>
          <w:szCs w:val="24"/>
        </w:rPr>
        <w:t xml:space="preserve"> (3), 17-25.</w:t>
      </w:r>
    </w:p>
    <w:p w14:paraId="22D5033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Daly, G., and Woolham, J.(2010), </w:t>
      </w:r>
      <w:r w:rsidRPr="008B68A9">
        <w:rPr>
          <w:rFonts w:eastAsia="Calibri" w:cs="Times New Roman"/>
          <w:i/>
          <w:szCs w:val="24"/>
        </w:rPr>
        <w:t>Do personal budgets lead to personalisation and what can their promotion tell us about the nature of citizenship and public accountability in relation to social care? Reflections from a study of the impact of self‐directed support and personal budgets</w:t>
      </w:r>
      <w:r w:rsidRPr="008B68A9">
        <w:rPr>
          <w:rFonts w:eastAsia="Calibri" w:cs="Times New Roman"/>
          <w:szCs w:val="24"/>
        </w:rPr>
        <w:t>. Social Policy Association Annual Conference, University of Lincoln, 5th-7th July 2010.</w:t>
      </w:r>
    </w:p>
    <w:p w14:paraId="60EA0A4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Darzi, A. (2008) </w:t>
      </w:r>
      <w:r w:rsidRPr="008B68A9">
        <w:rPr>
          <w:rFonts w:eastAsia="Calibri" w:cs="Times New Roman"/>
          <w:i/>
          <w:szCs w:val="24"/>
        </w:rPr>
        <w:t>High quality care for all: NHS next stage review: Final report.</w:t>
      </w:r>
      <w:r w:rsidRPr="008B68A9">
        <w:rPr>
          <w:rFonts w:eastAsia="Calibri" w:cs="Times New Roman"/>
          <w:szCs w:val="24"/>
        </w:rPr>
        <w:t xml:space="preserve"> London, Department of Health.</w:t>
      </w:r>
    </w:p>
    <w:p w14:paraId="0D99652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Davidson, L. (2005) Recovery, self-management and the expert patient – Changing the culture of mental health from a UK perspective.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14</w:t>
      </w:r>
      <w:r w:rsidRPr="008B68A9">
        <w:rPr>
          <w:rFonts w:eastAsia="Calibri" w:cs="Times New Roman"/>
          <w:szCs w:val="24"/>
        </w:rPr>
        <w:t xml:space="preserve"> (1), 25-35.</w:t>
      </w:r>
    </w:p>
    <w:p w14:paraId="50CAE38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Davies, B., &amp; Harre, R. (2007) Positioning: The discursive production of selves. </w:t>
      </w:r>
      <w:r w:rsidRPr="008B68A9">
        <w:rPr>
          <w:rFonts w:eastAsia="Calibri" w:cs="Times New Roman"/>
          <w:i/>
          <w:szCs w:val="24"/>
        </w:rPr>
        <w:t>The Theory of Social Behaviour,</w:t>
      </w:r>
      <w:r w:rsidRPr="008B68A9">
        <w:rPr>
          <w:rFonts w:eastAsia="Calibri" w:cs="Times New Roman"/>
          <w:szCs w:val="24"/>
        </w:rPr>
        <w:t xml:space="preserve"> </w:t>
      </w:r>
      <w:r w:rsidRPr="008B68A9">
        <w:rPr>
          <w:rFonts w:eastAsia="Calibri" w:cs="Times New Roman"/>
          <w:b/>
          <w:szCs w:val="24"/>
        </w:rPr>
        <w:t>20</w:t>
      </w:r>
      <w:r w:rsidRPr="008B68A9">
        <w:rPr>
          <w:rFonts w:eastAsia="Calibri" w:cs="Times New Roman"/>
          <w:szCs w:val="24"/>
        </w:rPr>
        <w:t xml:space="preserve"> (1), 43-63.</w:t>
      </w:r>
    </w:p>
    <w:p w14:paraId="1286D79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Deegan P. E. (1988) Recovery: The lived experience of rehabilitation. </w:t>
      </w:r>
      <w:r w:rsidRPr="008B68A9">
        <w:rPr>
          <w:rFonts w:eastAsia="Calibri" w:cs="Times New Roman"/>
          <w:i/>
          <w:szCs w:val="24"/>
        </w:rPr>
        <w:t>Psychosocial Rehabilitation Journal</w:t>
      </w:r>
      <w:r w:rsidRPr="008B68A9">
        <w:rPr>
          <w:rFonts w:eastAsia="Calibri" w:cs="Times New Roman"/>
          <w:szCs w:val="24"/>
        </w:rPr>
        <w:t xml:space="preserve">, </w:t>
      </w:r>
      <w:r w:rsidRPr="008B68A9">
        <w:rPr>
          <w:rFonts w:eastAsia="Calibri" w:cs="Times New Roman"/>
          <w:b/>
          <w:szCs w:val="24"/>
        </w:rPr>
        <w:t>9</w:t>
      </w:r>
      <w:r w:rsidRPr="008B68A9">
        <w:rPr>
          <w:rFonts w:eastAsia="Calibri" w:cs="Times New Roman"/>
          <w:szCs w:val="24"/>
        </w:rPr>
        <w:t>, (4), 11-19.</w:t>
      </w:r>
    </w:p>
    <w:p w14:paraId="5A0A25EE"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Deegan, P. (1996). Recovery as a journey of the heart. </w:t>
      </w:r>
      <w:r w:rsidRPr="008B68A9">
        <w:rPr>
          <w:rFonts w:eastAsia="Arial" w:cs="Arial"/>
          <w:i/>
          <w:szCs w:val="24"/>
        </w:rPr>
        <w:t>Psychiatric</w:t>
      </w:r>
      <w:r w:rsidRPr="008B68A9">
        <w:rPr>
          <w:rFonts w:eastAsia="Calibri" w:cs="Times New Roman"/>
          <w:i/>
          <w:szCs w:val="24"/>
        </w:rPr>
        <w:t xml:space="preserve"> </w:t>
      </w:r>
      <w:r w:rsidRPr="008B68A9">
        <w:rPr>
          <w:rFonts w:eastAsia="Arial" w:cs="Arial"/>
          <w:i/>
          <w:szCs w:val="24"/>
        </w:rPr>
        <w:t>Rehabilitation Journal</w:t>
      </w:r>
      <w:r w:rsidRPr="008B68A9">
        <w:rPr>
          <w:rFonts w:eastAsia="Arial" w:cs="Arial"/>
          <w:szCs w:val="24"/>
        </w:rPr>
        <w:t xml:space="preserve">, </w:t>
      </w:r>
      <w:r w:rsidRPr="008B68A9">
        <w:rPr>
          <w:rFonts w:eastAsia="Arial" w:cs="Arial"/>
          <w:b/>
          <w:szCs w:val="24"/>
        </w:rPr>
        <w:t>19</w:t>
      </w:r>
      <w:r w:rsidRPr="008B68A9">
        <w:rPr>
          <w:rFonts w:eastAsia="Arial" w:cs="Arial"/>
          <w:szCs w:val="24"/>
        </w:rPr>
        <w:t xml:space="preserve"> (3), 91-97.</w:t>
      </w:r>
    </w:p>
    <w:p w14:paraId="525E0662"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Deegan, P. &amp; Drake, R. (2006). Shared decision-making and medication management in the recovery process. </w:t>
      </w:r>
      <w:r w:rsidRPr="008B68A9">
        <w:rPr>
          <w:rFonts w:eastAsia="Arial" w:cs="Arial"/>
          <w:i/>
          <w:szCs w:val="24"/>
        </w:rPr>
        <w:t>Psychiatric Services</w:t>
      </w:r>
      <w:r w:rsidRPr="008B68A9">
        <w:rPr>
          <w:rFonts w:eastAsia="Arial" w:cs="Arial"/>
          <w:szCs w:val="24"/>
        </w:rPr>
        <w:t xml:space="preserve"> </w:t>
      </w:r>
      <w:r w:rsidRPr="008B68A9">
        <w:rPr>
          <w:rFonts w:eastAsia="Arial" w:cs="Arial"/>
          <w:i/>
          <w:szCs w:val="24"/>
        </w:rPr>
        <w:t xml:space="preserve">Journal, </w:t>
      </w:r>
      <w:r w:rsidRPr="008B68A9">
        <w:rPr>
          <w:rFonts w:eastAsia="Arial" w:cs="Arial"/>
          <w:b/>
          <w:szCs w:val="24"/>
        </w:rPr>
        <w:t>57</w:t>
      </w:r>
      <w:r w:rsidRPr="008B68A9">
        <w:rPr>
          <w:rFonts w:eastAsia="Arial" w:cs="Arial"/>
          <w:szCs w:val="24"/>
        </w:rPr>
        <w:t xml:space="preserve"> (11), 1636-9.</w:t>
      </w:r>
    </w:p>
    <w:p w14:paraId="7C27BF28" w14:textId="77777777" w:rsidR="00947BAF" w:rsidRPr="008B68A9" w:rsidRDefault="00947BAF" w:rsidP="00947BAF">
      <w:pPr>
        <w:spacing w:after="80" w:line="240" w:lineRule="auto"/>
        <w:ind w:left="357" w:hanging="357"/>
        <w:rPr>
          <w:rFonts w:eastAsia="Arial" w:cs="Arial"/>
          <w:szCs w:val="24"/>
        </w:rPr>
      </w:pPr>
      <w:r w:rsidRPr="008B68A9">
        <w:rPr>
          <w:rFonts w:eastAsia="Calibri" w:cs="Times New Roman"/>
          <w:color w:val="000000"/>
          <w:szCs w:val="24"/>
        </w:rPr>
        <w:t xml:space="preserve">de Boer, F. Schuttel, P. &amp; Slippens, T. (2010) </w:t>
      </w:r>
      <w:r w:rsidRPr="008B68A9">
        <w:rPr>
          <w:rFonts w:eastAsia="Calibri" w:cs="Times New Roman"/>
          <w:i/>
          <w:color w:val="000000"/>
          <w:szCs w:val="24"/>
        </w:rPr>
        <w:t xml:space="preserve">Personal budgets (PGB's) for the long term care in the Netherlands. </w:t>
      </w:r>
      <w:r w:rsidRPr="008B68A9">
        <w:rPr>
          <w:rFonts w:eastAsia="Calibri" w:cs="Times New Roman"/>
          <w:color w:val="000000"/>
          <w:szCs w:val="24"/>
        </w:rPr>
        <w:t>International Seminar on Social and Health Systems in Europem organized by SITRA. Helsinki 7-8.</w:t>
      </w:r>
    </w:p>
    <w:p w14:paraId="1BDD4E6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De Milto, L. (2013) </w:t>
      </w:r>
      <w:r w:rsidRPr="008B68A9">
        <w:rPr>
          <w:rFonts w:eastAsia="Arial" w:cs="Arial"/>
          <w:i/>
          <w:szCs w:val="24"/>
        </w:rPr>
        <w:t>Pennsylvania Cash and Counseling: Robert Wood-Johnston Foundation Report.</w:t>
      </w:r>
      <w:r w:rsidRPr="008B68A9">
        <w:rPr>
          <w:rFonts w:eastAsia="Arial" w:cs="Arial"/>
          <w:szCs w:val="24"/>
        </w:rPr>
        <w:t xml:space="preserve"> Grant ID # 52100 from October 2004 to February 2009. Available from: http://www.drnpa.org/wp-content/uploads/2014/03/Robert-Wood-Article-on-PA-SMW.pdf [accessed 12/09/14].</w:t>
      </w:r>
    </w:p>
    <w:p w14:paraId="14159C6A"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(1995) </w:t>
      </w:r>
      <w:r w:rsidRPr="008B68A9">
        <w:rPr>
          <w:rFonts w:eastAsia="Arial" w:cs="Arial"/>
          <w:i/>
          <w:szCs w:val="24"/>
        </w:rPr>
        <w:t>Building bridges: A guide to arrangements for interagency working for the care and protection of severely mentally ill people</w:t>
      </w:r>
      <w:r w:rsidRPr="008B68A9">
        <w:rPr>
          <w:rFonts w:eastAsia="Arial" w:cs="Arial"/>
          <w:szCs w:val="24"/>
        </w:rPr>
        <w:t>. London, The Stationery Office.</w:t>
      </w:r>
    </w:p>
    <w:p w14:paraId="1C1E3D91"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 xml:space="preserve">DH (1996) </w:t>
      </w:r>
      <w:r w:rsidRPr="008B68A9">
        <w:rPr>
          <w:rFonts w:eastAsia="Calibri" w:cs="Times New Roman"/>
          <w:szCs w:val="24"/>
        </w:rPr>
        <w:t>Community Care Direct Payments Act London, The Stationery Office.</w:t>
      </w:r>
    </w:p>
    <w:p w14:paraId="4F2C99D9"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(1997) </w:t>
      </w:r>
      <w:r w:rsidRPr="008B68A9">
        <w:rPr>
          <w:rFonts w:eastAsia="Arial" w:cs="Arial"/>
          <w:i/>
          <w:szCs w:val="24"/>
        </w:rPr>
        <w:t>Developing partnerships in mental health</w:t>
      </w:r>
      <w:r w:rsidRPr="008B68A9">
        <w:rPr>
          <w:rFonts w:eastAsia="Arial" w:cs="Arial"/>
          <w:szCs w:val="24"/>
        </w:rPr>
        <w:t xml:space="preserve"> (Cm 3555), London, DH.</w:t>
      </w:r>
    </w:p>
    <w:p w14:paraId="7D17002E"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DH (1998) The National Health Service Act, London, TSO.</w:t>
      </w:r>
    </w:p>
    <w:p w14:paraId="766EE98E" w14:textId="77777777" w:rsidR="00947BAF" w:rsidRPr="008B68A9" w:rsidRDefault="00947BAF" w:rsidP="00947BAF">
      <w:pPr>
        <w:spacing w:after="80" w:line="240" w:lineRule="auto"/>
        <w:ind w:left="357" w:hanging="357"/>
        <w:rPr>
          <w:rFonts w:eastAsia="Arial" w:cs="Arial"/>
          <w:i/>
          <w:szCs w:val="24"/>
        </w:rPr>
      </w:pPr>
      <w:r w:rsidRPr="008B68A9">
        <w:rPr>
          <w:rFonts w:eastAsia="Arial" w:cs="Arial"/>
          <w:szCs w:val="24"/>
        </w:rPr>
        <w:t xml:space="preserve">DH (2002) </w:t>
      </w:r>
      <w:r w:rsidRPr="008B68A9">
        <w:rPr>
          <w:rFonts w:eastAsia="Arial" w:cs="Arial"/>
          <w:i/>
          <w:szCs w:val="24"/>
        </w:rPr>
        <w:t>Fast-forwarding primary care: Mental health 'gateway' workers.</w:t>
      </w:r>
      <w:r w:rsidRPr="008B68A9">
        <w:rPr>
          <w:rFonts w:eastAsia="Arial" w:cs="Arial"/>
          <w:szCs w:val="24"/>
        </w:rPr>
        <w:t xml:space="preserve"> London, </w:t>
      </w:r>
      <w:r w:rsidRPr="008B68A9">
        <w:rPr>
          <w:rFonts w:eastAsia="Calibri" w:cs="Times New Roman"/>
          <w:szCs w:val="24"/>
        </w:rPr>
        <w:t>TSO</w:t>
      </w:r>
      <w:r w:rsidRPr="008B68A9">
        <w:rPr>
          <w:rFonts w:eastAsia="Arial" w:cs="Arial"/>
          <w:szCs w:val="24"/>
        </w:rPr>
        <w:t>.</w:t>
      </w:r>
    </w:p>
    <w:p w14:paraId="1802EEB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(2003a) </w:t>
      </w:r>
      <w:r w:rsidRPr="008B68A9">
        <w:rPr>
          <w:rFonts w:eastAsia="Arial" w:cs="Arial"/>
          <w:i/>
          <w:szCs w:val="24"/>
        </w:rPr>
        <w:t>Direct payments guidance: Community care services for carers and children’s services (direct payments) guidance,</w:t>
      </w:r>
      <w:r w:rsidRPr="008B68A9">
        <w:rPr>
          <w:rFonts w:eastAsia="Arial" w:cs="Arial"/>
          <w:szCs w:val="24"/>
        </w:rPr>
        <w:t xml:space="preserve"> </w:t>
      </w:r>
      <w:r w:rsidRPr="008B68A9">
        <w:rPr>
          <w:rFonts w:eastAsia="Arial" w:cs="Arial"/>
          <w:i/>
          <w:szCs w:val="24"/>
        </w:rPr>
        <w:t>England.</w:t>
      </w:r>
      <w:r w:rsidRPr="008B68A9">
        <w:rPr>
          <w:rFonts w:eastAsia="Arial" w:cs="Arial"/>
          <w:szCs w:val="24"/>
        </w:rPr>
        <w:t xml:space="preserve"> London, </w:t>
      </w:r>
      <w:r w:rsidRPr="008B68A9">
        <w:rPr>
          <w:rFonts w:eastAsia="Calibri" w:cs="Times New Roman"/>
          <w:szCs w:val="24"/>
        </w:rPr>
        <w:t>TSO</w:t>
      </w:r>
      <w:r w:rsidRPr="008B68A9">
        <w:rPr>
          <w:rFonts w:eastAsia="Arial" w:cs="Arial"/>
          <w:szCs w:val="24"/>
        </w:rPr>
        <w:t xml:space="preserve">. </w:t>
      </w:r>
    </w:p>
    <w:p w14:paraId="438D8FC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(2005) </w:t>
      </w:r>
      <w:r w:rsidRPr="008B68A9">
        <w:rPr>
          <w:rFonts w:eastAsia="Calibri" w:cs="Times New Roman"/>
          <w:i/>
          <w:szCs w:val="24"/>
        </w:rPr>
        <w:t>Independence, wellbeing and choice: Our vision for the future of social care for adults in England</w:t>
      </w:r>
      <w:r w:rsidRPr="008B68A9">
        <w:rPr>
          <w:rFonts w:eastAsia="Calibri" w:cs="Times New Roman"/>
          <w:szCs w:val="24"/>
        </w:rPr>
        <w:t>. London, TSO.</w:t>
      </w:r>
    </w:p>
    <w:p w14:paraId="28D13A81"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(2006a) Direct </w:t>
      </w:r>
      <w:r w:rsidRPr="008B68A9">
        <w:rPr>
          <w:rFonts w:eastAsia="Arial" w:cs="Arial"/>
          <w:i/>
          <w:szCs w:val="24"/>
        </w:rPr>
        <w:t>payments for people with mental health problems: A guide to action</w:t>
      </w:r>
      <w:r w:rsidRPr="008B68A9">
        <w:rPr>
          <w:rFonts w:eastAsia="Arial" w:cs="Arial"/>
          <w:szCs w:val="24"/>
        </w:rPr>
        <w:t xml:space="preserve">. </w:t>
      </w:r>
      <w:r w:rsidRPr="008B68A9">
        <w:rPr>
          <w:rFonts w:eastAsia="Calibri" w:cs="Times New Roman"/>
          <w:szCs w:val="24"/>
        </w:rPr>
        <w:t>London, TSO.</w:t>
      </w:r>
    </w:p>
    <w:p w14:paraId="7DBE3AB4"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(2006b) </w:t>
      </w:r>
      <w:r w:rsidRPr="008B68A9">
        <w:rPr>
          <w:rFonts w:eastAsia="Arial" w:cs="Arial"/>
          <w:i/>
          <w:szCs w:val="24"/>
        </w:rPr>
        <w:t>Our health, our care, our say: A new direction for community services.</w:t>
      </w:r>
      <w:r w:rsidRPr="008B68A9">
        <w:rPr>
          <w:rFonts w:eastAsia="Arial" w:cs="Arial"/>
          <w:szCs w:val="24"/>
        </w:rPr>
        <w:t xml:space="preserve"> </w:t>
      </w:r>
      <w:r w:rsidRPr="008B68A9">
        <w:rPr>
          <w:rFonts w:eastAsia="Calibri" w:cs="Times New Roman"/>
          <w:szCs w:val="24"/>
        </w:rPr>
        <w:t>London, TSO.</w:t>
      </w:r>
    </w:p>
    <w:p w14:paraId="05DF156A"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(2006c) </w:t>
      </w:r>
      <w:r w:rsidRPr="008B68A9">
        <w:rPr>
          <w:rFonts w:eastAsia="Arial" w:cs="Arial"/>
          <w:i/>
          <w:szCs w:val="24"/>
        </w:rPr>
        <w:t>Our health, our care, our say: Making it happen.</w:t>
      </w:r>
      <w:r w:rsidRPr="008B68A9">
        <w:rPr>
          <w:rFonts w:eastAsia="Arial" w:cs="Arial"/>
          <w:szCs w:val="24"/>
        </w:rPr>
        <w:t xml:space="preserve"> </w:t>
      </w:r>
      <w:r w:rsidRPr="008B68A9">
        <w:rPr>
          <w:rFonts w:eastAsia="Calibri" w:cs="Times New Roman"/>
          <w:szCs w:val="24"/>
        </w:rPr>
        <w:t>London, TSO.</w:t>
      </w:r>
    </w:p>
    <w:p w14:paraId="5A452719"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DH (2006d) </w:t>
      </w:r>
      <w:r w:rsidRPr="008B68A9">
        <w:rPr>
          <w:rFonts w:eastAsia="Arial" w:cs="Arial"/>
          <w:i/>
          <w:szCs w:val="24"/>
        </w:rPr>
        <w:t>From values to action: The Chief Nursing Officer’s review of mental health nursing</w:t>
      </w:r>
      <w:r w:rsidRPr="008B68A9">
        <w:rPr>
          <w:rFonts w:eastAsia="Calibri" w:cs="Times New Roman"/>
          <w:szCs w:val="24"/>
        </w:rPr>
        <w:t>. London, TSO.</w:t>
      </w:r>
    </w:p>
    <w:p w14:paraId="29F9CEA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(2008a) </w:t>
      </w:r>
      <w:r w:rsidRPr="008B68A9">
        <w:rPr>
          <w:rFonts w:eastAsia="Calibri" w:cs="Times New Roman"/>
          <w:i/>
          <w:szCs w:val="24"/>
        </w:rPr>
        <w:t>High quality care for all: NHS next stage review: Final report.</w:t>
      </w:r>
      <w:r w:rsidRPr="008B68A9">
        <w:rPr>
          <w:rFonts w:eastAsia="Calibri" w:cs="Times New Roman"/>
          <w:szCs w:val="24"/>
        </w:rPr>
        <w:t xml:space="preserve"> London, TSO.</w:t>
      </w:r>
    </w:p>
    <w:p w14:paraId="6F7913E9" w14:textId="77777777" w:rsidR="00947BAF" w:rsidRPr="008B68A9" w:rsidRDefault="00947BAF" w:rsidP="00947BAF">
      <w:pPr>
        <w:spacing w:after="80" w:line="240" w:lineRule="auto"/>
        <w:ind w:left="357" w:hanging="357"/>
        <w:rPr>
          <w:rFonts w:eastAsia="Arial" w:cs="Arial"/>
          <w:szCs w:val="24"/>
        </w:rPr>
      </w:pPr>
      <w:r w:rsidRPr="008B68A9">
        <w:rPr>
          <w:rFonts w:eastAsia="Calibri" w:cs="Times New Roman"/>
          <w:szCs w:val="24"/>
        </w:rPr>
        <w:t xml:space="preserve">DH (2008b) </w:t>
      </w:r>
      <w:r w:rsidRPr="008B68A9">
        <w:rPr>
          <w:rFonts w:eastAsia="Calibri" w:cs="Times New Roman"/>
          <w:i/>
          <w:szCs w:val="24"/>
        </w:rPr>
        <w:t>Putting people first: The whole story.</w:t>
      </w:r>
      <w:r w:rsidRPr="008B68A9">
        <w:rPr>
          <w:rFonts w:eastAsia="Calibri" w:cs="Times New Roman"/>
          <w:szCs w:val="24"/>
        </w:rPr>
        <w:t xml:space="preserve"> London, TSO.</w:t>
      </w:r>
    </w:p>
    <w:p w14:paraId="12FDC38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(2008c) </w:t>
      </w:r>
      <w:r w:rsidRPr="008B68A9">
        <w:rPr>
          <w:rFonts w:eastAsia="Calibri" w:cs="Times New Roman"/>
          <w:i/>
          <w:iCs/>
          <w:szCs w:val="24"/>
        </w:rPr>
        <w:t>Local authority circular: Transforming social care</w:t>
      </w:r>
      <w:r w:rsidRPr="008B68A9">
        <w:rPr>
          <w:rFonts w:eastAsia="Calibri" w:cs="Times New Roman"/>
          <w:szCs w:val="24"/>
        </w:rPr>
        <w:t>. Available from: http://www.dh.gov.uk/prod_consum_dh/groups/dh_digitalassets/documents/digitalasset/dh_082139.pdf [Accessed January 2013].</w:t>
      </w:r>
    </w:p>
    <w:p w14:paraId="2C433C3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DH (2009a) </w:t>
      </w:r>
      <w:r w:rsidRPr="008B68A9">
        <w:rPr>
          <w:rFonts w:eastAsia="Calibri" w:cs="Times New Roman"/>
          <w:i/>
          <w:szCs w:val="24"/>
        </w:rPr>
        <w:t>Primary care and community services: Personal health budgets: First steps.</w:t>
      </w:r>
      <w:r w:rsidRPr="008B68A9">
        <w:rPr>
          <w:rFonts w:eastAsia="Calibri" w:cs="Times New Roman"/>
          <w:szCs w:val="24"/>
        </w:rPr>
        <w:t xml:space="preserve"> London, TSO.</w:t>
      </w:r>
    </w:p>
    <w:p w14:paraId="2A69842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(2009b) </w:t>
      </w:r>
      <w:r w:rsidRPr="008B68A9">
        <w:rPr>
          <w:rFonts w:eastAsia="Calibri" w:cs="Times New Roman"/>
          <w:i/>
          <w:szCs w:val="24"/>
        </w:rPr>
        <w:t>New horizons: A shared vision for mental health</w:t>
      </w:r>
      <w:r w:rsidRPr="008B68A9">
        <w:rPr>
          <w:rFonts w:eastAsia="Calibri" w:cs="Times New Roman"/>
          <w:szCs w:val="24"/>
        </w:rPr>
        <w:t>. London, NHS Confederation &amp; Department of Health.</w:t>
      </w:r>
    </w:p>
    <w:p w14:paraId="2CFF061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(2010a) </w:t>
      </w:r>
      <w:r w:rsidRPr="008B68A9">
        <w:rPr>
          <w:rFonts w:eastAsia="Calibri" w:cs="Times New Roman"/>
          <w:i/>
          <w:szCs w:val="24"/>
        </w:rPr>
        <w:t>Improving the health and well-being of people with long term conditions. World class services for people with long term conditions: Information tool for commissioners.</w:t>
      </w:r>
      <w:r w:rsidRPr="008B68A9">
        <w:rPr>
          <w:rFonts w:eastAsia="Calibri" w:cs="Times New Roman"/>
          <w:szCs w:val="24"/>
        </w:rPr>
        <w:t xml:space="preserve"> London, TSO. </w:t>
      </w:r>
    </w:p>
    <w:p w14:paraId="4E9A406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(2010b) </w:t>
      </w:r>
      <w:r w:rsidRPr="008B68A9">
        <w:rPr>
          <w:rFonts w:eastAsia="Calibri" w:cs="Times New Roman"/>
          <w:i/>
          <w:szCs w:val="24"/>
        </w:rPr>
        <w:t>Equity and excellence: Liberating the NHS.</w:t>
      </w:r>
      <w:r w:rsidRPr="008B68A9">
        <w:rPr>
          <w:rFonts w:eastAsia="Calibri" w:cs="Times New Roman"/>
          <w:szCs w:val="24"/>
        </w:rPr>
        <w:t xml:space="preserve"> London, TSO.</w:t>
      </w:r>
    </w:p>
    <w:p w14:paraId="0EA4ABC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(2010c) </w:t>
      </w:r>
      <w:r w:rsidRPr="008B68A9">
        <w:rPr>
          <w:rFonts w:eastAsia="Calibri" w:cs="Times New Roman"/>
          <w:i/>
          <w:szCs w:val="24"/>
        </w:rPr>
        <w:t>Personalisation through person centred planning.</w:t>
      </w:r>
      <w:r w:rsidRPr="008B68A9">
        <w:rPr>
          <w:rFonts w:eastAsia="Calibri" w:cs="Times New Roman"/>
          <w:szCs w:val="24"/>
        </w:rPr>
        <w:t xml:space="preserve"> London, TSO.</w:t>
      </w:r>
    </w:p>
    <w:p w14:paraId="5E5E78E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(2010d) </w:t>
      </w:r>
      <w:r w:rsidRPr="008B68A9">
        <w:rPr>
          <w:rFonts w:eastAsia="Calibri" w:cs="Times New Roman"/>
          <w:i/>
          <w:szCs w:val="24"/>
        </w:rPr>
        <w:t>Practical approaches to market and provider development</w:t>
      </w:r>
      <w:r w:rsidRPr="008B68A9">
        <w:rPr>
          <w:rFonts w:eastAsia="Calibri" w:cs="Times New Roman"/>
          <w:szCs w:val="24"/>
        </w:rPr>
        <w:t>. London, TSO.</w:t>
      </w:r>
    </w:p>
    <w:p w14:paraId="695256E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(2010e) </w:t>
      </w:r>
      <w:r w:rsidRPr="008B68A9">
        <w:rPr>
          <w:rFonts w:eastAsia="Calibri" w:cs="Times New Roman"/>
          <w:i/>
          <w:szCs w:val="24"/>
        </w:rPr>
        <w:t xml:space="preserve">Practical approaches to safeguarding and personalisation. </w:t>
      </w:r>
      <w:r w:rsidRPr="008B68A9">
        <w:rPr>
          <w:rFonts w:eastAsia="Calibri" w:cs="Times New Roman"/>
          <w:szCs w:val="24"/>
        </w:rPr>
        <w:t>London, TSO.</w:t>
      </w:r>
    </w:p>
    <w:p w14:paraId="16DC628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(2010f) </w:t>
      </w:r>
      <w:r w:rsidRPr="008B68A9">
        <w:rPr>
          <w:rFonts w:eastAsia="Calibri" w:cs="Times New Roman"/>
          <w:i/>
          <w:szCs w:val="24"/>
        </w:rPr>
        <w:t>Practical approaches to co-production.</w:t>
      </w:r>
      <w:r w:rsidRPr="008B68A9">
        <w:rPr>
          <w:rFonts w:eastAsia="Calibri" w:cs="Times New Roman"/>
          <w:szCs w:val="24"/>
        </w:rPr>
        <w:t xml:space="preserve"> London, TSO.</w:t>
      </w:r>
    </w:p>
    <w:p w14:paraId="1FBC14D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(2011). </w:t>
      </w:r>
      <w:r w:rsidRPr="008B68A9">
        <w:rPr>
          <w:rFonts w:eastAsia="Calibri" w:cs="Times New Roman"/>
          <w:i/>
          <w:szCs w:val="24"/>
        </w:rPr>
        <w:t xml:space="preserve">No health without mental health. </w:t>
      </w:r>
      <w:r w:rsidRPr="008B68A9">
        <w:rPr>
          <w:rFonts w:eastAsia="Calibri" w:cs="Times New Roman"/>
          <w:szCs w:val="24"/>
        </w:rPr>
        <w:t>London, TSO.</w:t>
      </w:r>
    </w:p>
    <w:p w14:paraId="0D77EFAC" w14:textId="48DB6C7E" w:rsidR="00947BAF" w:rsidRPr="008B68A9" w:rsidRDefault="00947BAF" w:rsidP="00947BAF">
      <w:pPr>
        <w:spacing w:after="80" w:line="240" w:lineRule="auto"/>
        <w:ind w:left="357" w:hanging="357"/>
        <w:rPr>
          <w:rFonts w:eastAsia="Arial" w:cs="Arial"/>
          <w:szCs w:val="24"/>
        </w:rPr>
      </w:pPr>
      <w:r w:rsidRPr="008B68A9">
        <w:rPr>
          <w:rFonts w:eastAsia="Calibri" w:cs="Times New Roman"/>
          <w:szCs w:val="24"/>
        </w:rPr>
        <w:t xml:space="preserve">DH (2012) </w:t>
      </w:r>
      <w:r w:rsidRPr="008B68A9">
        <w:rPr>
          <w:rFonts w:eastAsia="Calibri" w:cs="Times New Roman"/>
          <w:i/>
          <w:szCs w:val="24"/>
        </w:rPr>
        <w:t>The Health and Social Care Act.</w:t>
      </w:r>
      <w:r w:rsidRPr="008B68A9">
        <w:rPr>
          <w:rFonts w:eastAsia="Calibri" w:cs="Times New Roman"/>
          <w:szCs w:val="24"/>
        </w:rPr>
        <w:t xml:space="preserve"> </w:t>
      </w:r>
      <w:r w:rsidRPr="008B68A9">
        <w:rPr>
          <w:rFonts w:eastAsia="Arial" w:cs="Arial"/>
          <w:szCs w:val="24"/>
        </w:rPr>
        <w:t xml:space="preserve">London, </w:t>
      </w:r>
      <w:r w:rsidRPr="008B68A9">
        <w:rPr>
          <w:rFonts w:eastAsia="Calibri" w:cs="Times New Roman"/>
          <w:szCs w:val="24"/>
        </w:rPr>
        <w:t>TSO</w:t>
      </w:r>
      <w:r w:rsidRPr="008B68A9">
        <w:rPr>
          <w:rFonts w:eastAsia="Arial" w:cs="Arial"/>
          <w:szCs w:val="24"/>
        </w:rPr>
        <w:t>.</w:t>
      </w:r>
    </w:p>
    <w:p w14:paraId="7D9D6E5E" w14:textId="7428DFEB" w:rsidR="00476AC5" w:rsidRPr="008B68A9" w:rsidRDefault="00476AC5" w:rsidP="00947BAF">
      <w:pPr>
        <w:spacing w:after="80" w:line="240" w:lineRule="auto"/>
        <w:ind w:left="357" w:hanging="357"/>
        <w:rPr>
          <w:rFonts w:eastAsia="Calibri" w:cs="Times New Roman"/>
          <w:szCs w:val="24"/>
        </w:rPr>
      </w:pPr>
      <w:r w:rsidRPr="008B68A9">
        <w:rPr>
          <w:rFonts w:eastAsia="Calibri" w:cs="Times New Roman"/>
          <w:szCs w:val="24"/>
        </w:rPr>
        <w:t xml:space="preserve">DH (2012a) </w:t>
      </w:r>
      <w:r w:rsidRPr="008B68A9">
        <w:rPr>
          <w:rFonts w:eastAsia="Calibri" w:cs="Times New Roman"/>
          <w:i/>
          <w:szCs w:val="24"/>
        </w:rPr>
        <w:t xml:space="preserve">IAPT Three year Report: The First Million Patients </w:t>
      </w:r>
      <w:r w:rsidRPr="008B68A9">
        <w:rPr>
          <w:rFonts w:eastAsia="Calibri" w:cs="Times New Roman"/>
          <w:szCs w:val="24"/>
        </w:rPr>
        <w:t>TSO</w:t>
      </w:r>
    </w:p>
    <w:p w14:paraId="4D32471D" w14:textId="1BA009F5"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DH (2015) </w:t>
      </w:r>
      <w:r w:rsidRPr="008B68A9">
        <w:rPr>
          <w:rFonts w:eastAsia="Calibri" w:cs="Times New Roman"/>
          <w:i/>
          <w:szCs w:val="24"/>
        </w:rPr>
        <w:t>Mental Health Act 1983: Code of Practice</w:t>
      </w:r>
      <w:r w:rsidRPr="008B68A9">
        <w:rPr>
          <w:rFonts w:eastAsia="Calibri" w:cs="Times New Roman"/>
          <w:szCs w:val="24"/>
        </w:rPr>
        <w:t>. London TSO.</w:t>
      </w:r>
    </w:p>
    <w:p w14:paraId="1CDF152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Department for Work and Pensions (2012) </w:t>
      </w:r>
      <w:r w:rsidRPr="008B68A9">
        <w:rPr>
          <w:rFonts w:eastAsia="Calibri" w:cs="Times New Roman"/>
          <w:i/>
          <w:szCs w:val="24"/>
        </w:rPr>
        <w:t>The Welfare Reform Act.</w:t>
      </w:r>
      <w:r w:rsidRPr="008B68A9">
        <w:rPr>
          <w:rFonts w:eastAsia="Calibri" w:cs="Times New Roman"/>
          <w:szCs w:val="24"/>
        </w:rPr>
        <w:t xml:space="preserve"> </w:t>
      </w:r>
      <w:r w:rsidRPr="008B68A9">
        <w:rPr>
          <w:rFonts w:eastAsia="Arial" w:cs="Arial"/>
          <w:szCs w:val="24"/>
        </w:rPr>
        <w:t xml:space="preserve">London, </w:t>
      </w:r>
      <w:r w:rsidRPr="008B68A9">
        <w:rPr>
          <w:rFonts w:eastAsia="Calibri" w:cs="Times New Roman"/>
          <w:szCs w:val="24"/>
        </w:rPr>
        <w:t>TSO</w:t>
      </w:r>
      <w:r w:rsidRPr="008B68A9">
        <w:rPr>
          <w:rFonts w:eastAsia="Arial" w:cs="Arial"/>
          <w:szCs w:val="24"/>
        </w:rPr>
        <w:t xml:space="preserve">. </w:t>
      </w:r>
    </w:p>
    <w:p w14:paraId="353A548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De Witt, L. &amp; Ploeg, J. (2006) Critical appraisal of rigour in interpretive phenomenological nursing research. </w:t>
      </w:r>
      <w:r w:rsidRPr="008B68A9">
        <w:rPr>
          <w:rFonts w:eastAsia="Calibri" w:cs="Times New Roman"/>
          <w:i/>
          <w:szCs w:val="24"/>
        </w:rPr>
        <w:t>Journal of Advanced Nursing,</w:t>
      </w:r>
      <w:r w:rsidRPr="008B68A9">
        <w:rPr>
          <w:rFonts w:eastAsia="Calibri" w:cs="Times New Roman"/>
          <w:szCs w:val="24"/>
        </w:rPr>
        <w:t xml:space="preserve"> </w:t>
      </w:r>
      <w:r w:rsidRPr="008B68A9">
        <w:rPr>
          <w:rFonts w:eastAsia="Calibri" w:cs="Times New Roman"/>
          <w:b/>
          <w:szCs w:val="24"/>
        </w:rPr>
        <w:t>55</w:t>
      </w:r>
      <w:r w:rsidRPr="008B68A9">
        <w:rPr>
          <w:rFonts w:eastAsia="Calibri" w:cs="Times New Roman"/>
          <w:szCs w:val="24"/>
        </w:rPr>
        <w:t xml:space="preserve"> (2), 215-229.</w:t>
      </w:r>
    </w:p>
    <w:p w14:paraId="19CA7C9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Dixon, N. (2010) </w:t>
      </w:r>
      <w:r w:rsidRPr="008B68A9">
        <w:rPr>
          <w:rFonts w:eastAsia="Calibri" w:cs="Times New Roman"/>
          <w:i/>
          <w:szCs w:val="24"/>
        </w:rPr>
        <w:t>Putting people first: Case study: Self-directed support and personal budgets milestone.</w:t>
      </w:r>
      <w:r w:rsidRPr="008B68A9">
        <w:rPr>
          <w:rFonts w:eastAsia="Calibri" w:cs="Times New Roman"/>
          <w:szCs w:val="24"/>
        </w:rPr>
        <w:t xml:space="preserve"> Available from: http://www.puttingpeoplefirst.org.uk/_library/PPF/Self_Directed_Support_Case_Study.pdf. [Accessed 27/02/15].</w:t>
      </w:r>
    </w:p>
    <w:p w14:paraId="081A7EC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Doty, P. (2000) The federal role in the move toward consumer direction. </w:t>
      </w:r>
      <w:r w:rsidRPr="008B68A9">
        <w:rPr>
          <w:rFonts w:eastAsia="Calibri" w:cs="Times New Roman"/>
          <w:i/>
          <w:szCs w:val="24"/>
        </w:rPr>
        <w:t xml:space="preserve">Generations </w:t>
      </w:r>
      <w:r w:rsidRPr="008B68A9">
        <w:rPr>
          <w:rFonts w:eastAsia="Calibri" w:cs="Times New Roman"/>
          <w:szCs w:val="24"/>
        </w:rPr>
        <w:t>(Fall 2000), 22-27.</w:t>
      </w:r>
    </w:p>
    <w:p w14:paraId="7B7D7A0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Doty, P., Mahoney, K. J., &amp; Sciegaj, M. (2010). New state strategies to meet long-term care needs. </w:t>
      </w:r>
      <w:r w:rsidRPr="008B68A9">
        <w:rPr>
          <w:rFonts w:eastAsia="Calibri" w:cs="Times New Roman"/>
          <w:i/>
          <w:szCs w:val="24"/>
        </w:rPr>
        <w:t>Health Affairs</w:t>
      </w:r>
      <w:r w:rsidRPr="008B68A9">
        <w:rPr>
          <w:rFonts w:eastAsia="Calibri" w:cs="Times New Roman"/>
          <w:szCs w:val="24"/>
        </w:rPr>
        <w:t xml:space="preserve">, </w:t>
      </w:r>
      <w:r w:rsidRPr="008B68A9">
        <w:rPr>
          <w:rFonts w:eastAsia="Calibri" w:cs="Times New Roman"/>
          <w:b/>
          <w:szCs w:val="24"/>
        </w:rPr>
        <w:t>29</w:t>
      </w:r>
      <w:r w:rsidRPr="008B68A9">
        <w:rPr>
          <w:rFonts w:eastAsia="Calibri" w:cs="Times New Roman"/>
          <w:szCs w:val="24"/>
        </w:rPr>
        <w:t xml:space="preserve"> (1), 49-56.</w:t>
      </w:r>
    </w:p>
    <w:p w14:paraId="17BFE03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Doty, P., Mahoney, K. J., &amp; Simon-Rusinowitz, L. (2007) Designing the Cash and Counseling demonstration and evaluation. </w:t>
      </w:r>
      <w:r w:rsidRPr="008B68A9">
        <w:rPr>
          <w:rFonts w:eastAsia="Calibri" w:cs="Times New Roman"/>
          <w:i/>
          <w:szCs w:val="24"/>
        </w:rPr>
        <w:t>Health Service Research,</w:t>
      </w:r>
      <w:r w:rsidRPr="008B68A9">
        <w:rPr>
          <w:rFonts w:eastAsia="Calibri" w:cs="Times New Roman"/>
          <w:szCs w:val="24"/>
        </w:rPr>
        <w:t xml:space="preserve"> </w:t>
      </w:r>
      <w:r w:rsidRPr="008B68A9">
        <w:rPr>
          <w:rFonts w:eastAsia="Calibri" w:cs="Times New Roman"/>
          <w:b/>
          <w:szCs w:val="24"/>
        </w:rPr>
        <w:t>42</w:t>
      </w:r>
      <w:r w:rsidRPr="008B68A9">
        <w:rPr>
          <w:rFonts w:eastAsia="Calibri" w:cs="Times New Roman"/>
          <w:szCs w:val="24"/>
        </w:rPr>
        <w:t xml:space="preserve"> (1 pt II), 378-396.</w:t>
      </w:r>
    </w:p>
    <w:p w14:paraId="3709B7A9" w14:textId="77777777" w:rsidR="00947BAF" w:rsidRPr="008B68A9" w:rsidRDefault="00947BAF" w:rsidP="00947BAF">
      <w:pPr>
        <w:spacing w:after="80" w:line="240" w:lineRule="auto"/>
        <w:rPr>
          <w:rFonts w:eastAsia="Calibri" w:cs="Times New Roman"/>
          <w:szCs w:val="24"/>
        </w:rPr>
      </w:pPr>
      <w:r w:rsidRPr="008B68A9">
        <w:rPr>
          <w:rFonts w:eastAsia="Calibri" w:cs="Times New Roman"/>
          <w:szCs w:val="24"/>
        </w:rPr>
        <w:t xml:space="preserve">Dowling, W. C. (2011) </w:t>
      </w:r>
      <w:r w:rsidRPr="008B68A9">
        <w:rPr>
          <w:rFonts w:eastAsia="Calibri" w:cs="Times New Roman"/>
          <w:i/>
          <w:szCs w:val="24"/>
        </w:rPr>
        <w:t>Ricoeur on time and narrative</w:t>
      </w:r>
      <w:r w:rsidRPr="008B68A9">
        <w:rPr>
          <w:rFonts w:eastAsia="Calibri" w:cs="Times New Roman"/>
          <w:szCs w:val="24"/>
        </w:rPr>
        <w:t xml:space="preserve">. Indiana, Notre Dame Press. </w:t>
      </w:r>
    </w:p>
    <w:p w14:paraId="0AD796C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Dowson, S. (2007) </w:t>
      </w:r>
      <w:r w:rsidRPr="008B68A9">
        <w:rPr>
          <w:i/>
          <w:szCs w:val="24"/>
        </w:rPr>
        <w:t>Custom and control: The training and accreditation of independent support brokers.</w:t>
      </w:r>
      <w:r w:rsidRPr="008B68A9">
        <w:rPr>
          <w:szCs w:val="24"/>
        </w:rPr>
        <w:t xml:space="preserve"> National Development Team.</w:t>
      </w:r>
    </w:p>
    <w:p w14:paraId="0BC0159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(2005). Individual budget: Transferring the allocation of resources for care.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 xml:space="preserve">13 </w:t>
      </w:r>
      <w:r w:rsidRPr="008B68A9">
        <w:rPr>
          <w:rFonts w:eastAsia="Calibri" w:cs="Times New Roman"/>
          <w:szCs w:val="24"/>
        </w:rPr>
        <w:t>(1), 8-16.</w:t>
      </w:r>
    </w:p>
    <w:p w14:paraId="63098F7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(2006a) </w:t>
      </w:r>
      <w:r w:rsidRPr="008B68A9">
        <w:rPr>
          <w:rFonts w:eastAsia="Calibri" w:cs="Times New Roman"/>
          <w:i/>
          <w:szCs w:val="24"/>
        </w:rPr>
        <w:t>Keys to citizenship: A guide to getting good support for people with learning disabilities</w:t>
      </w:r>
      <w:r w:rsidRPr="008B68A9">
        <w:rPr>
          <w:rFonts w:eastAsia="Calibri" w:cs="Times New Roman"/>
          <w:szCs w:val="24"/>
        </w:rPr>
        <w:t xml:space="preserve"> (2</w:t>
      </w:r>
      <w:r w:rsidRPr="008B68A9">
        <w:rPr>
          <w:rFonts w:eastAsia="Calibri" w:cs="Times New Roman"/>
          <w:szCs w:val="24"/>
          <w:vertAlign w:val="superscript"/>
        </w:rPr>
        <w:t>nd</w:t>
      </w:r>
      <w:r w:rsidRPr="008B68A9">
        <w:rPr>
          <w:rFonts w:eastAsia="Calibri" w:cs="Times New Roman"/>
          <w:szCs w:val="24"/>
        </w:rPr>
        <w:t xml:space="preserve"> ed). Sheffield, The Centre for Welfare Reform.</w:t>
      </w:r>
    </w:p>
    <w:p w14:paraId="00D1658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(2006b) The implications of individual budgets.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 xml:space="preserve">14 </w:t>
      </w:r>
      <w:r w:rsidRPr="008B68A9">
        <w:rPr>
          <w:rFonts w:eastAsia="Calibri" w:cs="Times New Roman"/>
          <w:szCs w:val="24"/>
        </w:rPr>
        <w:t>(2), 3-10.</w:t>
      </w:r>
    </w:p>
    <w:p w14:paraId="7C30C6B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Duffy, S. (2007) Care management and self-directed support. </w:t>
      </w:r>
      <w:r w:rsidRPr="008B68A9">
        <w:rPr>
          <w:rFonts w:eastAsia="Calibri" w:cs="Times New Roman"/>
          <w:i/>
          <w:szCs w:val="24"/>
        </w:rPr>
        <w:t>Journal of Integrated Care</w:t>
      </w:r>
      <w:r w:rsidRPr="008B68A9">
        <w:rPr>
          <w:rFonts w:eastAsia="Calibri" w:cs="Times New Roman"/>
          <w:szCs w:val="24"/>
        </w:rPr>
        <w:t xml:space="preserve">, </w:t>
      </w:r>
      <w:r w:rsidRPr="008B68A9">
        <w:rPr>
          <w:rFonts w:eastAsia="Calibri" w:cs="Times New Roman"/>
          <w:b/>
          <w:szCs w:val="24"/>
        </w:rPr>
        <w:t xml:space="preserve">15 </w:t>
      </w:r>
      <w:r w:rsidRPr="008B68A9">
        <w:rPr>
          <w:rFonts w:eastAsia="Calibri" w:cs="Times New Roman"/>
          <w:szCs w:val="24"/>
        </w:rPr>
        <w:t>(5), 3-14.</w:t>
      </w:r>
    </w:p>
    <w:p w14:paraId="7643DF5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&amp; Fulton, K. (2009) </w:t>
      </w:r>
      <w:r w:rsidRPr="008B68A9">
        <w:rPr>
          <w:rFonts w:eastAsia="Calibri" w:cs="Times New Roman"/>
          <w:i/>
          <w:szCs w:val="24"/>
        </w:rPr>
        <w:t>Should we ban brokerage?</w:t>
      </w:r>
      <w:r w:rsidRPr="008B68A9">
        <w:rPr>
          <w:rFonts w:eastAsia="Calibri" w:cs="Times New Roman"/>
          <w:szCs w:val="24"/>
        </w:rPr>
        <w:t xml:space="preserve"> Sheffield, The Centre for Welfare Reform.</w:t>
      </w:r>
    </w:p>
    <w:p w14:paraId="24DC5DB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(2010a) The citizenship theory of social justice: Exploring the meaning of personalisation for social workers. </w:t>
      </w:r>
      <w:r w:rsidRPr="008B68A9">
        <w:rPr>
          <w:rFonts w:eastAsia="Calibri" w:cs="Times New Roman"/>
          <w:i/>
          <w:szCs w:val="24"/>
        </w:rPr>
        <w:t>Journal of Social Work Practice</w:t>
      </w:r>
      <w:r w:rsidRPr="008B68A9">
        <w:rPr>
          <w:rFonts w:eastAsia="Calibri" w:cs="Times New Roman"/>
          <w:szCs w:val="24"/>
        </w:rPr>
        <w:t xml:space="preserve">, </w:t>
      </w:r>
      <w:r w:rsidRPr="008B68A9">
        <w:rPr>
          <w:rFonts w:eastAsia="Calibri" w:cs="Times New Roman"/>
          <w:b/>
          <w:szCs w:val="24"/>
        </w:rPr>
        <w:t>24</w:t>
      </w:r>
      <w:r w:rsidRPr="008B68A9">
        <w:rPr>
          <w:rFonts w:eastAsia="Calibri" w:cs="Times New Roman"/>
          <w:szCs w:val="24"/>
        </w:rPr>
        <w:t xml:space="preserve"> (3), 253-267.</w:t>
      </w:r>
    </w:p>
    <w:p w14:paraId="3504A74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(2010b) </w:t>
      </w:r>
      <w:r w:rsidRPr="008B68A9">
        <w:rPr>
          <w:rFonts w:eastAsia="Calibri" w:cs="Times New Roman"/>
          <w:i/>
          <w:szCs w:val="24"/>
        </w:rPr>
        <w:t>New script for care managers</w:t>
      </w:r>
      <w:r w:rsidRPr="008B68A9">
        <w:rPr>
          <w:rFonts w:eastAsia="Calibri" w:cs="Times New Roman"/>
          <w:szCs w:val="24"/>
        </w:rPr>
        <w:t>. Sheffield, The Centre for Welfare Reform.</w:t>
      </w:r>
    </w:p>
    <w:p w14:paraId="0E92083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(2010c) </w:t>
      </w:r>
      <w:r w:rsidRPr="008B68A9">
        <w:rPr>
          <w:rFonts w:eastAsia="Calibri" w:cs="Times New Roman"/>
          <w:i/>
          <w:szCs w:val="24"/>
        </w:rPr>
        <w:t>Personalisation in mental health. C</w:t>
      </w:r>
      <w:r w:rsidRPr="008B68A9">
        <w:rPr>
          <w:rFonts w:eastAsia="Calibri" w:cs="Times New Roman"/>
          <w:szCs w:val="24"/>
        </w:rPr>
        <w:t>entre for Welfare Reform. Yorkshire and Humberside Improvement Partnership, Care Pathways and Packages Project. Association of Directors of Adult Social Services, Sheffield, The Centre for Welfare Reform.</w:t>
      </w:r>
    </w:p>
    <w:p w14:paraId="1350F88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&amp; Fulton, K. (2010) </w:t>
      </w:r>
      <w:r w:rsidRPr="008B68A9">
        <w:rPr>
          <w:rFonts w:eastAsia="Calibri" w:cs="Times New Roman"/>
          <w:i/>
          <w:szCs w:val="24"/>
        </w:rPr>
        <w:t>Architecture for personalisation</w:t>
      </w:r>
      <w:r w:rsidRPr="008B68A9">
        <w:rPr>
          <w:rFonts w:eastAsia="Calibri" w:cs="Times New Roman"/>
          <w:szCs w:val="24"/>
        </w:rPr>
        <w:t>. Sheffield, Centre for Welfare Reform.</w:t>
      </w:r>
    </w:p>
    <w:p w14:paraId="0B7C4581" w14:textId="3CFF8623" w:rsidR="00EC7416" w:rsidRPr="008B68A9" w:rsidRDefault="00EC7416" w:rsidP="00947BAF">
      <w:pPr>
        <w:spacing w:after="80" w:line="240" w:lineRule="auto"/>
        <w:ind w:left="357" w:hanging="357"/>
        <w:rPr>
          <w:rFonts w:eastAsia="Calibri" w:cs="Times New Roman"/>
          <w:szCs w:val="24"/>
        </w:rPr>
      </w:pPr>
      <w:r w:rsidRPr="008B68A9">
        <w:rPr>
          <w:rFonts w:eastAsia="Calibri" w:cs="Times New Roman"/>
          <w:szCs w:val="24"/>
        </w:rPr>
        <w:t xml:space="preserve">Duffy, S. (2012) </w:t>
      </w:r>
      <w:r w:rsidRPr="008B68A9">
        <w:rPr>
          <w:rFonts w:eastAsia="Calibri" w:cs="Times New Roman"/>
          <w:i/>
          <w:szCs w:val="24"/>
        </w:rPr>
        <w:t xml:space="preserve">An Apology, </w:t>
      </w:r>
      <w:r w:rsidRPr="008B68A9">
        <w:rPr>
          <w:rFonts w:eastAsia="Calibri" w:cs="Times New Roman"/>
          <w:szCs w:val="24"/>
        </w:rPr>
        <w:t>Sheffield, Centre for Welfare Reform.</w:t>
      </w:r>
    </w:p>
    <w:p w14:paraId="245AF36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(2014a) </w:t>
      </w:r>
      <w:r w:rsidRPr="008B68A9">
        <w:rPr>
          <w:rFonts w:eastAsia="Calibri" w:cs="Times New Roman"/>
          <w:i/>
          <w:szCs w:val="24"/>
        </w:rPr>
        <w:t>Counting the cuts: What the government does not want the public to know.</w:t>
      </w:r>
      <w:r w:rsidRPr="008B68A9">
        <w:rPr>
          <w:rFonts w:eastAsia="Calibri" w:cs="Times New Roman"/>
          <w:szCs w:val="24"/>
        </w:rPr>
        <w:t xml:space="preserve"> Sheffield, Centre for Welfare Reform.</w:t>
      </w:r>
    </w:p>
    <w:p w14:paraId="5038EEF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(2014b) </w:t>
      </w:r>
      <w:r w:rsidRPr="008B68A9">
        <w:rPr>
          <w:rFonts w:eastAsia="Calibri" w:cs="Times New Roman"/>
          <w:i/>
          <w:szCs w:val="24"/>
        </w:rPr>
        <w:t>Unlocking imagination: Rethinking commissioning</w:t>
      </w:r>
      <w:r w:rsidRPr="008B68A9">
        <w:rPr>
          <w:rFonts w:eastAsia="Calibri" w:cs="Times New Roman"/>
          <w:szCs w:val="24"/>
        </w:rPr>
        <w:t xml:space="preserve"> (2</w:t>
      </w:r>
      <w:r w:rsidRPr="008B68A9">
        <w:rPr>
          <w:rFonts w:eastAsia="Calibri" w:cs="Times New Roman"/>
          <w:szCs w:val="24"/>
          <w:vertAlign w:val="superscript"/>
        </w:rPr>
        <w:t>nd</w:t>
      </w:r>
      <w:r w:rsidRPr="008B68A9">
        <w:rPr>
          <w:rFonts w:eastAsia="Calibri" w:cs="Times New Roman"/>
          <w:szCs w:val="24"/>
        </w:rPr>
        <w:t xml:space="preserve"> ed.) Sheffield, The Centre for Welfare Reform in association with Choice Support.</w:t>
      </w:r>
    </w:p>
    <w:p w14:paraId="3334622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Duffy, S. (2014c) After personalisation. In Needham, C. &amp; Glasby, J. (eds.) (2014) </w:t>
      </w:r>
      <w:r w:rsidRPr="008B68A9">
        <w:rPr>
          <w:rFonts w:eastAsia="Calibri" w:cs="Times New Roman"/>
          <w:i/>
          <w:szCs w:val="24"/>
        </w:rPr>
        <w:t>Debates in personalisation</w:t>
      </w:r>
      <w:r w:rsidRPr="008B68A9">
        <w:rPr>
          <w:rFonts w:eastAsia="Calibri" w:cs="Times New Roman"/>
          <w:szCs w:val="24"/>
        </w:rPr>
        <w:t>.</w:t>
      </w:r>
      <w:r w:rsidRPr="008B68A9">
        <w:rPr>
          <w:rFonts w:eastAsia="Calibri" w:cs="Times New Roman"/>
          <w:i/>
          <w:szCs w:val="24"/>
        </w:rPr>
        <w:t xml:space="preserve"> </w:t>
      </w:r>
      <w:r w:rsidRPr="008B68A9">
        <w:rPr>
          <w:rFonts w:eastAsia="Calibri" w:cs="Times New Roman"/>
          <w:szCs w:val="24"/>
        </w:rPr>
        <w:t>Bristol, Policy Press.</w:t>
      </w:r>
    </w:p>
    <w:p w14:paraId="7BA7607D" w14:textId="77777777" w:rsidR="00947BAF" w:rsidRPr="008B68A9" w:rsidRDefault="00947BAF" w:rsidP="00947BAF">
      <w:pPr>
        <w:spacing w:after="80" w:line="240" w:lineRule="auto"/>
        <w:ind w:left="357" w:hanging="357"/>
        <w:rPr>
          <w:rFonts w:eastAsia="Calibri" w:cs="Times New Roman"/>
          <w:iCs/>
          <w:szCs w:val="24"/>
        </w:rPr>
      </w:pPr>
      <w:r w:rsidRPr="008B68A9">
        <w:rPr>
          <w:rFonts w:eastAsia="Calibri" w:cs="Times New Roman"/>
          <w:iCs/>
          <w:szCs w:val="24"/>
        </w:rPr>
        <w:t xml:space="preserve">Edwards, D. (1996) </w:t>
      </w:r>
      <w:r w:rsidRPr="008B68A9">
        <w:rPr>
          <w:rFonts w:eastAsia="Calibri" w:cs="Times New Roman"/>
          <w:i/>
          <w:iCs/>
          <w:szCs w:val="24"/>
        </w:rPr>
        <w:t>Discourse and cognition.</w:t>
      </w:r>
      <w:r w:rsidRPr="008B68A9">
        <w:rPr>
          <w:rFonts w:eastAsia="Calibri" w:cs="Times New Roman"/>
          <w:iCs/>
          <w:szCs w:val="24"/>
        </w:rPr>
        <w:t xml:space="preserve"> London, Sage.</w:t>
      </w:r>
    </w:p>
    <w:p w14:paraId="5F2D9D2F" w14:textId="77777777" w:rsidR="00947BAF" w:rsidRPr="008B68A9" w:rsidRDefault="00947BAF" w:rsidP="00947BAF">
      <w:pPr>
        <w:spacing w:after="80" w:line="240" w:lineRule="auto"/>
        <w:ind w:left="357" w:hanging="357"/>
        <w:rPr>
          <w:rFonts w:eastAsia="Calibri" w:cs="Times New Roman"/>
          <w:iCs/>
          <w:szCs w:val="24"/>
        </w:rPr>
      </w:pPr>
      <w:r w:rsidRPr="008B68A9">
        <w:rPr>
          <w:rFonts w:eastAsia="Calibri" w:cs="Times New Roman"/>
          <w:iCs/>
          <w:szCs w:val="24"/>
        </w:rPr>
        <w:t xml:space="preserve">Edwards, D., Burnard, P., Coyle, D., Fothergill, A. &amp; Hannigan, B. (2001) A stepwise multivariate analysis of factors that contribute to stress for mental health nurses working in the community. </w:t>
      </w:r>
      <w:r w:rsidRPr="008B68A9">
        <w:rPr>
          <w:rFonts w:eastAsia="Calibri" w:cs="Times New Roman"/>
          <w:i/>
          <w:iCs/>
          <w:szCs w:val="24"/>
        </w:rPr>
        <w:t>Journal of Advanced Nursing,</w:t>
      </w:r>
      <w:r w:rsidRPr="008B68A9">
        <w:rPr>
          <w:rFonts w:eastAsia="Calibri" w:cs="Times New Roman"/>
          <w:iCs/>
          <w:szCs w:val="24"/>
        </w:rPr>
        <w:t xml:space="preserve"> </w:t>
      </w:r>
      <w:r w:rsidRPr="008B68A9">
        <w:rPr>
          <w:rFonts w:eastAsia="Calibri" w:cs="Times New Roman"/>
          <w:b/>
          <w:iCs/>
          <w:szCs w:val="24"/>
        </w:rPr>
        <w:t>36</w:t>
      </w:r>
      <w:r w:rsidRPr="008B68A9">
        <w:rPr>
          <w:rFonts w:eastAsia="Calibri" w:cs="Times New Roman"/>
          <w:iCs/>
          <w:szCs w:val="24"/>
        </w:rPr>
        <w:t xml:space="preserve"> (6), 803-813.</w:t>
      </w:r>
    </w:p>
    <w:p w14:paraId="73F404FD" w14:textId="77777777" w:rsidR="00947BAF" w:rsidRPr="008B68A9" w:rsidRDefault="00947BAF" w:rsidP="00947BAF">
      <w:pPr>
        <w:spacing w:after="80" w:line="240" w:lineRule="auto"/>
        <w:ind w:left="357" w:hanging="357"/>
        <w:rPr>
          <w:rFonts w:eastAsia="Calibri" w:cs="Times New Roman"/>
          <w:iCs/>
          <w:szCs w:val="24"/>
        </w:rPr>
      </w:pPr>
      <w:r w:rsidRPr="008B68A9">
        <w:rPr>
          <w:rFonts w:eastAsia="Calibri" w:cs="Times New Roman"/>
          <w:iCs/>
          <w:szCs w:val="24"/>
        </w:rPr>
        <w:t xml:space="preserve">Edwards, D., Fothergill, A., Hannigan, B., Burnard, P. &amp; Coyle, D. (2002) Stress among community mental health nurses. </w:t>
      </w:r>
      <w:r w:rsidRPr="008B68A9">
        <w:rPr>
          <w:rFonts w:eastAsia="Calibri" w:cs="Times New Roman"/>
          <w:i/>
          <w:iCs/>
          <w:szCs w:val="24"/>
        </w:rPr>
        <w:t>Journal of Community Nursing,</w:t>
      </w:r>
      <w:r w:rsidRPr="008B68A9">
        <w:rPr>
          <w:rFonts w:eastAsia="Calibri" w:cs="Times New Roman"/>
          <w:iCs/>
          <w:szCs w:val="24"/>
        </w:rPr>
        <w:t xml:space="preserve"> </w:t>
      </w:r>
      <w:r w:rsidRPr="008B68A9">
        <w:rPr>
          <w:rFonts w:eastAsia="Calibri" w:cs="Times New Roman"/>
          <w:b/>
          <w:iCs/>
          <w:szCs w:val="24"/>
        </w:rPr>
        <w:t>16</w:t>
      </w:r>
      <w:r w:rsidRPr="008B68A9">
        <w:rPr>
          <w:rFonts w:eastAsia="Calibri" w:cs="Times New Roman"/>
          <w:iCs/>
          <w:szCs w:val="24"/>
        </w:rPr>
        <w:t xml:space="preserve"> (7), 20-27.</w:t>
      </w:r>
    </w:p>
    <w:p w14:paraId="737053D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Edwards, D. (2006). Narrative analysis. Chapter 15 in Jaworski, A. &amp; Coupland, N. (eds.) </w:t>
      </w:r>
      <w:r w:rsidRPr="008B68A9">
        <w:rPr>
          <w:rFonts w:eastAsia="Arial" w:cs="Arial"/>
          <w:i/>
          <w:szCs w:val="24"/>
        </w:rPr>
        <w:t>The discourse reader</w:t>
      </w:r>
      <w:r w:rsidRPr="008B68A9">
        <w:rPr>
          <w:rFonts w:eastAsia="Arial" w:cs="Arial"/>
          <w:szCs w:val="24"/>
        </w:rPr>
        <w:t>. (2nd ed.). London, Routledge.</w:t>
      </w:r>
    </w:p>
    <w:p w14:paraId="374D8213"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Essential Lifestyle Planning Gathering (2008) Helen Sanderson Associates Conference 10</w:t>
      </w:r>
      <w:r w:rsidRPr="008B68A9">
        <w:rPr>
          <w:rFonts w:eastAsia="Arial" w:cs="Arial"/>
          <w:szCs w:val="24"/>
          <w:vertAlign w:val="superscript"/>
        </w:rPr>
        <w:t>th</w:t>
      </w:r>
      <w:r w:rsidRPr="008B68A9">
        <w:rPr>
          <w:rFonts w:eastAsia="Arial" w:cs="Arial"/>
          <w:szCs w:val="24"/>
        </w:rPr>
        <w:t>-11</w:t>
      </w:r>
      <w:r w:rsidRPr="008B68A9">
        <w:rPr>
          <w:rFonts w:eastAsia="Arial" w:cs="Arial"/>
          <w:szCs w:val="24"/>
          <w:vertAlign w:val="superscript"/>
        </w:rPr>
        <w:t>th</w:t>
      </w:r>
      <w:r w:rsidRPr="008B68A9">
        <w:rPr>
          <w:rFonts w:eastAsia="Arial" w:cs="Arial"/>
          <w:szCs w:val="24"/>
        </w:rPr>
        <w:t xml:space="preserve"> November, Manchester.</w:t>
      </w:r>
    </w:p>
    <w:p w14:paraId="3383EF7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Eost-Telling, C. (2010) </w:t>
      </w:r>
      <w:r w:rsidRPr="008B68A9">
        <w:rPr>
          <w:rFonts w:eastAsia="Calibri" w:cs="Times New Roman"/>
          <w:i/>
          <w:szCs w:val="24"/>
        </w:rPr>
        <w:t>Report of Stockport self-directed pilot in mental health.</w:t>
      </w:r>
      <w:r w:rsidRPr="008B68A9">
        <w:rPr>
          <w:rFonts w:eastAsia="Calibri" w:cs="Times New Roman"/>
          <w:szCs w:val="24"/>
        </w:rPr>
        <w:t xml:space="preserve"> University of Chester. Available at: http://www.centreforwelfarereform.org/library/type/pdfs/evaluation-of-sds-pilot-in-stockport.html.</w:t>
      </w:r>
    </w:p>
    <w:p w14:paraId="6785820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Eriksson, S. (2014) </w:t>
      </w:r>
      <w:r w:rsidRPr="008B68A9">
        <w:rPr>
          <w:rFonts w:eastAsia="Calibri" w:cs="Times New Roman"/>
          <w:i/>
          <w:szCs w:val="24"/>
        </w:rPr>
        <w:t>Personal budgeting in municipal disability services: The first experiment in Finland.</w:t>
      </w:r>
      <w:r w:rsidRPr="008B68A9">
        <w:rPr>
          <w:rFonts w:eastAsia="Calibri" w:cs="Times New Roman"/>
          <w:szCs w:val="24"/>
        </w:rPr>
        <w:t xml:space="preserve"> Helsinki. The Finnish Association on Intellectual and Developmental Disabilities</w:t>
      </w:r>
    </w:p>
    <w:p w14:paraId="07DA981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Evans, J. (2003) </w:t>
      </w:r>
      <w:r w:rsidRPr="008B68A9">
        <w:rPr>
          <w:rFonts w:eastAsia="Calibri" w:cs="Times New Roman"/>
          <w:i/>
          <w:szCs w:val="24"/>
        </w:rPr>
        <w:t>The independent living movement in the UK.</w:t>
      </w:r>
      <w:r w:rsidRPr="008B68A9">
        <w:rPr>
          <w:rFonts w:eastAsia="Calibri" w:cs="Times New Roman"/>
          <w:szCs w:val="24"/>
        </w:rPr>
        <w:t xml:space="preserve"> Gladnet Collection, Cornell University ILR School.</w:t>
      </w:r>
    </w:p>
    <w:p w14:paraId="680A929C" w14:textId="77777777" w:rsidR="00947BAF" w:rsidRPr="008B68A9" w:rsidRDefault="00947BAF" w:rsidP="00947BAF">
      <w:pPr>
        <w:spacing w:after="80" w:line="240" w:lineRule="auto"/>
        <w:ind w:left="357" w:hanging="357"/>
        <w:rPr>
          <w:rFonts w:eastAsia="Calibri" w:cs="Times New Roman"/>
          <w:bCs/>
          <w:szCs w:val="24"/>
        </w:rPr>
      </w:pPr>
      <w:r w:rsidRPr="008B68A9">
        <w:rPr>
          <w:rFonts w:eastAsia="Calibri" w:cs="Times New Roman"/>
          <w:szCs w:val="24"/>
        </w:rPr>
        <w:lastRenderedPageBreak/>
        <w:t xml:space="preserve">Fernández, J-L., Kendall, J., Davey, V. &amp; Knapp, M. (2007) Direct payments in England: Factors linked to variations in local provision. </w:t>
      </w:r>
      <w:r w:rsidRPr="008B68A9">
        <w:rPr>
          <w:rFonts w:eastAsia="Calibri" w:cs="Times New Roman"/>
          <w:i/>
          <w:szCs w:val="24"/>
        </w:rPr>
        <w:t>Journal of Social Policy</w:t>
      </w:r>
      <w:r w:rsidRPr="008B68A9">
        <w:rPr>
          <w:rFonts w:eastAsia="Calibri" w:cs="Times New Roman"/>
          <w:szCs w:val="24"/>
        </w:rPr>
        <w:t xml:space="preserve">, </w:t>
      </w:r>
      <w:r w:rsidRPr="008B68A9">
        <w:rPr>
          <w:rFonts w:eastAsia="Calibri" w:cs="Times New Roman"/>
          <w:b/>
          <w:szCs w:val="24"/>
        </w:rPr>
        <w:t>36</w:t>
      </w:r>
      <w:r w:rsidRPr="008B68A9">
        <w:rPr>
          <w:rFonts w:eastAsia="Calibri" w:cs="Times New Roman"/>
          <w:szCs w:val="24"/>
        </w:rPr>
        <w:t xml:space="preserve"> (1), 97-121.</w:t>
      </w:r>
    </w:p>
    <w:p w14:paraId="78A7511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Fine, B. (2001) </w:t>
      </w:r>
      <w:r w:rsidRPr="008B68A9">
        <w:rPr>
          <w:rFonts w:eastAsia="Calibri" w:cs="Times New Roman"/>
          <w:i/>
          <w:szCs w:val="24"/>
        </w:rPr>
        <w:t>Social capital versus social theory: Political economy and social science at the turn of the millennium</w:t>
      </w:r>
      <w:r w:rsidRPr="008B68A9">
        <w:rPr>
          <w:rFonts w:eastAsia="Calibri" w:cs="Times New Roman"/>
          <w:szCs w:val="24"/>
        </w:rPr>
        <w:t>. London: Routledge.</w:t>
      </w:r>
    </w:p>
    <w:p w14:paraId="45DF118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Fisher, K., Gleeson, R., Edwards, R., Purcal, C., Sitek, T., Dinning, B., Laragy, C., D’Aegher, L., &amp; Thompson, D. (2010) </w:t>
      </w:r>
      <w:r w:rsidRPr="008B68A9">
        <w:rPr>
          <w:rFonts w:eastAsia="Calibri" w:cs="Times New Roman"/>
          <w:i/>
          <w:szCs w:val="24"/>
        </w:rPr>
        <w:t>Effectiveness of individual funding approaches for disability support.</w:t>
      </w:r>
      <w:r w:rsidRPr="008B68A9">
        <w:rPr>
          <w:rFonts w:eastAsia="Calibri" w:cs="Times New Roman"/>
          <w:szCs w:val="24"/>
        </w:rPr>
        <w:t xml:space="preserve"> Research Publications Unit, Research and Analysis Branch, Australian Government Department of Families, Housing, Community Services and Indigenous Affairs 07/2010.</w:t>
      </w:r>
    </w:p>
    <w:p w14:paraId="19B08C8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Fitzgerald, F. S. (1965). </w:t>
      </w:r>
      <w:r w:rsidRPr="008B68A9">
        <w:rPr>
          <w:rFonts w:eastAsia="Calibri" w:cs="Times New Roman"/>
          <w:i/>
          <w:szCs w:val="24"/>
        </w:rPr>
        <w:t>The crack-up</w:t>
      </w:r>
      <w:r w:rsidRPr="008B68A9">
        <w:rPr>
          <w:rFonts w:eastAsia="Calibri" w:cs="Times New Roman"/>
          <w:szCs w:val="24"/>
        </w:rPr>
        <w:t>. London, Penguin Books.</w:t>
      </w:r>
    </w:p>
    <w:p w14:paraId="250B4BF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Foster, J. L. H. (2007) </w:t>
      </w:r>
      <w:r w:rsidRPr="008B68A9">
        <w:rPr>
          <w:rFonts w:eastAsia="Calibri" w:cs="Times New Roman"/>
          <w:i/>
          <w:szCs w:val="24"/>
        </w:rPr>
        <w:t>Journeys through mental health clients’ experiences and understanding of mental distress.</w:t>
      </w:r>
      <w:r w:rsidRPr="008B68A9">
        <w:rPr>
          <w:rFonts w:eastAsia="Calibri" w:cs="Times New Roman"/>
          <w:szCs w:val="24"/>
        </w:rPr>
        <w:t xml:space="preserve"> London, Palgrave Macmillan.</w:t>
      </w:r>
    </w:p>
    <w:p w14:paraId="3D6E1C6C"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Frame, J. (1962) </w:t>
      </w:r>
      <w:r w:rsidRPr="008B68A9">
        <w:rPr>
          <w:rFonts w:eastAsia="Calibri" w:cs="Times New Roman"/>
          <w:i/>
          <w:szCs w:val="24"/>
        </w:rPr>
        <w:t>Faces in the water.</w:t>
      </w:r>
      <w:r w:rsidRPr="008B68A9">
        <w:rPr>
          <w:rFonts w:eastAsia="Calibri" w:cs="Times New Roman"/>
          <w:szCs w:val="24"/>
        </w:rPr>
        <w:t xml:space="preserve"> London, Virago edition (2009).</w:t>
      </w:r>
    </w:p>
    <w:p w14:paraId="44451EF8"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Frances, A. J. &amp; Widiger, T. (2011) Psychiatric diagnosis: Lessons from the DSM-IV past and cautions for the DSM-5 Future. </w:t>
      </w:r>
      <w:r w:rsidRPr="008B68A9">
        <w:rPr>
          <w:rFonts w:eastAsia="Calibri" w:cs="Times New Roman"/>
          <w:bCs/>
          <w:i/>
          <w:szCs w:val="24"/>
        </w:rPr>
        <w:t>Annual Review of Clinical Psychology</w:t>
      </w:r>
      <w:r w:rsidRPr="008B68A9">
        <w:rPr>
          <w:rFonts w:eastAsia="Calibri" w:cs="Times New Roman"/>
          <w:b/>
          <w:bCs/>
          <w:szCs w:val="24"/>
        </w:rPr>
        <w:t xml:space="preserve">, </w:t>
      </w:r>
      <w:r w:rsidRPr="008B68A9">
        <w:rPr>
          <w:rFonts w:eastAsia="Calibri" w:cs="Times New Roman"/>
          <w:b/>
          <w:szCs w:val="24"/>
        </w:rPr>
        <w:t>8</w:t>
      </w:r>
      <w:r w:rsidRPr="008B68A9">
        <w:rPr>
          <w:rFonts w:eastAsia="Calibri" w:cs="Times New Roman"/>
          <w:szCs w:val="24"/>
        </w:rPr>
        <w:t>, 109-130, 2012.</w:t>
      </w:r>
    </w:p>
    <w:p w14:paraId="2AC1F1BA"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Frank, A. W. (1993) The rhetoric of self-change: Health experience as narrative. </w:t>
      </w:r>
      <w:r w:rsidRPr="008B68A9">
        <w:rPr>
          <w:rFonts w:eastAsia="Calibri" w:cs="Times New Roman"/>
          <w:bCs/>
          <w:i/>
          <w:szCs w:val="24"/>
        </w:rPr>
        <w:t>Sociological Quarterly</w:t>
      </w:r>
      <w:r w:rsidRPr="008B68A9">
        <w:rPr>
          <w:rFonts w:eastAsia="Calibri" w:cs="Times New Roman"/>
          <w:b/>
          <w:bCs/>
          <w:szCs w:val="24"/>
        </w:rPr>
        <w:t xml:space="preserve">, </w:t>
      </w:r>
      <w:r w:rsidRPr="008B68A9">
        <w:rPr>
          <w:rFonts w:eastAsia="Calibri" w:cs="Times New Roman"/>
          <w:b/>
          <w:szCs w:val="24"/>
        </w:rPr>
        <w:t>34</w:t>
      </w:r>
      <w:r w:rsidRPr="008B68A9">
        <w:rPr>
          <w:rFonts w:eastAsia="Calibri" w:cs="Times New Roman"/>
          <w:szCs w:val="24"/>
        </w:rPr>
        <w:t>, (1), 39-52.</w:t>
      </w:r>
    </w:p>
    <w:p w14:paraId="6D633A0B"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Frank, A. W. (1995) </w:t>
      </w:r>
      <w:r w:rsidRPr="008B68A9">
        <w:rPr>
          <w:rFonts w:eastAsia="Calibri" w:cs="Times New Roman"/>
          <w:bCs/>
          <w:i/>
          <w:szCs w:val="24"/>
        </w:rPr>
        <w:t>The wounded story teller: Body, health and ethics.</w:t>
      </w:r>
      <w:r w:rsidRPr="008B68A9">
        <w:rPr>
          <w:rFonts w:eastAsia="Calibri" w:cs="Times New Roman"/>
          <w:szCs w:val="24"/>
        </w:rPr>
        <w:t xml:space="preserve"> Chicago, The University of Chicago Press.</w:t>
      </w:r>
    </w:p>
    <w:p w14:paraId="12B6B129"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Frank, A. W. (2012) </w:t>
      </w:r>
      <w:r w:rsidRPr="008B68A9">
        <w:rPr>
          <w:rFonts w:eastAsia="Calibri" w:cs="Times New Roman"/>
          <w:bCs/>
          <w:i/>
          <w:szCs w:val="24"/>
        </w:rPr>
        <w:t>Letting stories breathe</w:t>
      </w:r>
      <w:r w:rsidRPr="008B68A9">
        <w:rPr>
          <w:rFonts w:eastAsia="Calibri" w:cs="Times New Roman"/>
          <w:szCs w:val="24"/>
        </w:rPr>
        <w:t>. Chicago: The University of Chicago Press.</w:t>
      </w:r>
    </w:p>
    <w:p w14:paraId="05B71A6F"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Frid, I., Ohlen, J. &amp; Bergbom, I. (2000) On the use of narratives in nursing research. </w:t>
      </w:r>
      <w:r w:rsidRPr="008B68A9">
        <w:rPr>
          <w:rFonts w:eastAsia="Calibri" w:cs="Times New Roman"/>
          <w:bCs/>
          <w:i/>
          <w:szCs w:val="24"/>
        </w:rPr>
        <w:t>Journal of Advanced Nursing,</w:t>
      </w:r>
      <w:r w:rsidRPr="008B68A9">
        <w:rPr>
          <w:rFonts w:eastAsia="Calibri" w:cs="Times New Roman"/>
          <w:b/>
          <w:bCs/>
          <w:szCs w:val="24"/>
        </w:rPr>
        <w:t xml:space="preserve"> </w:t>
      </w:r>
      <w:r w:rsidRPr="008B68A9">
        <w:rPr>
          <w:rFonts w:eastAsia="Calibri" w:cs="Times New Roman"/>
          <w:b/>
          <w:szCs w:val="24"/>
        </w:rPr>
        <w:t>32</w:t>
      </w:r>
      <w:r w:rsidRPr="008B68A9">
        <w:rPr>
          <w:rFonts w:eastAsia="Calibri" w:cs="Times New Roman"/>
          <w:szCs w:val="24"/>
        </w:rPr>
        <w:t>, (3), 695-703.</w:t>
      </w:r>
    </w:p>
    <w:p w14:paraId="5C7DD210"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Frisher, M., Crome, I., Macleod, J., Millson, D. &amp; Croft, P. (2005) Substance abuse and psychiatric illness: Prospective observational study using the General Practice Research Database. </w:t>
      </w:r>
      <w:r w:rsidRPr="008B68A9">
        <w:rPr>
          <w:rFonts w:eastAsia="Arial" w:cs="Arial"/>
          <w:i/>
          <w:szCs w:val="24"/>
        </w:rPr>
        <w:t>Journal of Epidemiology and Community Health,</w:t>
      </w:r>
      <w:r w:rsidRPr="008B68A9">
        <w:rPr>
          <w:rFonts w:eastAsia="Arial" w:cs="Arial"/>
          <w:szCs w:val="24"/>
        </w:rPr>
        <w:t xml:space="preserve"> </w:t>
      </w:r>
      <w:r w:rsidRPr="008B68A9">
        <w:rPr>
          <w:rFonts w:eastAsia="Arial" w:cs="Arial"/>
          <w:b/>
          <w:szCs w:val="24"/>
        </w:rPr>
        <w:t>59</w:t>
      </w:r>
      <w:r w:rsidRPr="008B68A9">
        <w:rPr>
          <w:rFonts w:eastAsia="Arial" w:cs="Arial"/>
          <w:szCs w:val="24"/>
        </w:rPr>
        <w:t xml:space="preserve"> (10), 847-850.</w:t>
      </w:r>
    </w:p>
    <w:p w14:paraId="3F4CABD3" w14:textId="4341C2B4" w:rsidR="006D7E62" w:rsidRPr="008B68A9" w:rsidRDefault="006D7E62" w:rsidP="00947BAF">
      <w:pPr>
        <w:spacing w:after="80" w:line="240" w:lineRule="auto"/>
        <w:ind w:left="357" w:hanging="357"/>
        <w:rPr>
          <w:rFonts w:eastAsia="Arial" w:cs="Arial"/>
          <w:szCs w:val="24"/>
        </w:rPr>
      </w:pPr>
      <w:r w:rsidRPr="008B68A9">
        <w:rPr>
          <w:rFonts w:eastAsia="Calibri" w:cs="Times New Roman"/>
          <w:szCs w:val="24"/>
        </w:rPr>
        <w:t xml:space="preserve">Fulton, K. (2015) </w:t>
      </w:r>
      <w:r w:rsidRPr="008B68A9">
        <w:rPr>
          <w:rFonts w:eastAsia="Calibri" w:cs="Times New Roman"/>
          <w:i/>
          <w:szCs w:val="24"/>
        </w:rPr>
        <w:t>Reimaging brokerage a better approach to support brokerage.</w:t>
      </w:r>
      <w:r w:rsidRPr="008B68A9">
        <w:rPr>
          <w:rFonts w:eastAsia="Calibri" w:cs="Times New Roman"/>
          <w:szCs w:val="24"/>
        </w:rPr>
        <w:t xml:space="preserve"> Sheffield, The Centre for Welfare Reform.</w:t>
      </w:r>
    </w:p>
    <w:p w14:paraId="61F0A36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Future Vision Coalition (2008) </w:t>
      </w:r>
      <w:r w:rsidRPr="008B68A9">
        <w:rPr>
          <w:rFonts w:eastAsia="Arial" w:cs="Arial"/>
          <w:i/>
          <w:szCs w:val="24"/>
        </w:rPr>
        <w:t>A new vision for mental health:</w:t>
      </w:r>
      <w:r w:rsidRPr="008B68A9">
        <w:rPr>
          <w:rFonts w:eastAsia="Arial" w:cs="Arial"/>
          <w:szCs w:val="24"/>
        </w:rPr>
        <w:t xml:space="preserve"> </w:t>
      </w:r>
      <w:r w:rsidRPr="008B68A9">
        <w:rPr>
          <w:rFonts w:eastAsia="Arial" w:cs="Arial"/>
          <w:i/>
          <w:szCs w:val="24"/>
        </w:rPr>
        <w:t>Discussion paper</w:t>
      </w:r>
      <w:r w:rsidRPr="008B68A9">
        <w:rPr>
          <w:rFonts w:eastAsia="Arial" w:cs="Arial"/>
          <w:szCs w:val="24"/>
        </w:rPr>
        <w:t>. London, FVC.</w:t>
      </w:r>
    </w:p>
    <w:p w14:paraId="67BA70DA" w14:textId="77777777" w:rsidR="00947BAF" w:rsidRPr="008B68A9" w:rsidRDefault="00947BAF" w:rsidP="00947BAF">
      <w:pPr>
        <w:spacing w:after="80" w:line="240" w:lineRule="auto"/>
        <w:ind w:left="357" w:hanging="357"/>
        <w:rPr>
          <w:rFonts w:eastAsia="Times New Roman" w:cs="Times New Roman"/>
          <w:szCs w:val="24"/>
          <w:lang w:eastAsia="en-GB"/>
        </w:rPr>
      </w:pPr>
      <w:r w:rsidRPr="008B68A9">
        <w:rPr>
          <w:rFonts w:eastAsia="Arial" w:cs="Arial"/>
          <w:szCs w:val="24"/>
        </w:rPr>
        <w:t>Forder, J</w:t>
      </w:r>
      <w:r w:rsidRPr="008B68A9">
        <w:rPr>
          <w:rFonts w:eastAsia="Times New Roman" w:cs="Times New Roman"/>
          <w:szCs w:val="24"/>
          <w:shd w:val="clear" w:color="auto" w:fill="FFFFFF"/>
          <w:lang w:eastAsia="en-GB"/>
        </w:rPr>
        <w:t xml:space="preserve">., Jones, K., Glendinning, C., Caiels, J., Welsh, E., Baxter, K., Davidson, J., Windle, K., Irvine, A., King, D. &amp; Dolan, P. (2012) </w:t>
      </w:r>
      <w:r w:rsidRPr="008B68A9">
        <w:rPr>
          <w:rFonts w:eastAsia="Calibri" w:cs="Times New Roman"/>
          <w:i/>
          <w:color w:val="000000"/>
          <w:szCs w:val="24"/>
        </w:rPr>
        <w:t>Evaluation of the personal health budget pilot programme.</w:t>
      </w:r>
      <w:r w:rsidRPr="008B68A9">
        <w:rPr>
          <w:rFonts w:eastAsia="Calibri" w:cs="Times New Roman"/>
          <w:color w:val="000000"/>
          <w:szCs w:val="24"/>
        </w:rPr>
        <w:t xml:space="preserve"> DH, London, The Stationery Office. </w:t>
      </w:r>
    </w:p>
    <w:p w14:paraId="76883661"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Forder, J</w:t>
      </w:r>
      <w:r w:rsidRPr="008B68A9">
        <w:rPr>
          <w:rFonts w:eastAsia="Times New Roman" w:cs="Times New Roman"/>
          <w:szCs w:val="24"/>
          <w:shd w:val="clear" w:color="auto" w:fill="FFFFFF"/>
          <w:lang w:eastAsia="en-GB"/>
        </w:rPr>
        <w:t>., Jones, K., Glendinning, C., Caiels, J., Welsh, E., Baxter, K., Davidson, J., Windle, K., Irvine, A., King, D. &amp; Dolan, P</w:t>
      </w:r>
      <w:r w:rsidRPr="008B68A9">
        <w:rPr>
          <w:rFonts w:eastAsia="Calibri" w:cs="Times New Roman"/>
          <w:szCs w:val="24"/>
        </w:rPr>
        <w:t xml:space="preserve">. (2012) </w:t>
      </w:r>
      <w:r w:rsidRPr="008B68A9">
        <w:rPr>
          <w:rFonts w:eastAsia="Calibri" w:cs="Times New Roman"/>
          <w:i/>
          <w:szCs w:val="24"/>
        </w:rPr>
        <w:t>Evaluation of the personal health budget pilot programme.</w:t>
      </w:r>
      <w:r w:rsidRPr="008B68A9">
        <w:rPr>
          <w:rFonts w:eastAsia="Calibri" w:cs="Times New Roman"/>
          <w:szCs w:val="24"/>
        </w:rPr>
        <w:t xml:space="preserve"> </w:t>
      </w:r>
      <w:r w:rsidRPr="008B68A9">
        <w:rPr>
          <w:rFonts w:eastAsia="Calibri" w:cs="Times New Roman"/>
          <w:i/>
          <w:szCs w:val="24"/>
        </w:rPr>
        <w:t>PSSRU Discussion Paper 2840_2</w:t>
      </w:r>
      <w:r w:rsidRPr="008B68A9">
        <w:rPr>
          <w:rFonts w:eastAsia="Calibri" w:cs="Times New Roman"/>
          <w:szCs w:val="24"/>
        </w:rPr>
        <w:t>. London, DH.</w:t>
      </w:r>
    </w:p>
    <w:p w14:paraId="629B299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Foster, L., Brown, R., Phillips, B., Schore, J., &amp; Lepidus, B. (2003). Improving the quality of Medicaid personal assistance through consumer direction. </w:t>
      </w:r>
      <w:r w:rsidRPr="008B68A9">
        <w:rPr>
          <w:rFonts w:eastAsia="Arial" w:cs="Arial"/>
          <w:i/>
          <w:szCs w:val="24"/>
        </w:rPr>
        <w:t>Health</w:t>
      </w:r>
      <w:r w:rsidRPr="008B68A9">
        <w:rPr>
          <w:rFonts w:eastAsia="Arial" w:cs="Arial"/>
          <w:szCs w:val="24"/>
        </w:rPr>
        <w:t xml:space="preserve"> </w:t>
      </w:r>
      <w:r w:rsidRPr="008B68A9">
        <w:rPr>
          <w:rFonts w:eastAsia="Arial" w:cs="Arial"/>
          <w:i/>
          <w:szCs w:val="24"/>
        </w:rPr>
        <w:t>Affairs</w:t>
      </w:r>
      <w:r w:rsidRPr="008B68A9">
        <w:rPr>
          <w:rFonts w:eastAsia="Arial" w:cs="Arial"/>
          <w:szCs w:val="24"/>
        </w:rPr>
        <w:t xml:space="preserve">. Available from: </w:t>
      </w:r>
      <w:r w:rsidRPr="008B68A9">
        <w:rPr>
          <w:rFonts w:eastAsia="Arial" w:cs="Arial"/>
          <w:szCs w:val="24"/>
        </w:rPr>
        <w:lastRenderedPageBreak/>
        <w:t>http://content.healthaffairs.org/content/early/2003/03/26/hlthaff.w3.162.citation</w:t>
      </w:r>
    </w:p>
    <w:p w14:paraId="759847F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Foucault, M. (1967), </w:t>
      </w:r>
      <w:r w:rsidRPr="008B68A9">
        <w:rPr>
          <w:rFonts w:eastAsia="Arial" w:cs="Arial"/>
          <w:i/>
          <w:szCs w:val="24"/>
        </w:rPr>
        <w:t>Madness and civilisation.</w:t>
      </w:r>
      <w:r w:rsidRPr="008B68A9">
        <w:rPr>
          <w:rFonts w:eastAsia="Arial" w:cs="Arial"/>
          <w:szCs w:val="24"/>
        </w:rPr>
        <w:t xml:space="preserve"> London, Routledge (1989 edition).</w:t>
      </w:r>
    </w:p>
    <w:p w14:paraId="6E0DF06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Frye, N. (1957) </w:t>
      </w:r>
      <w:r w:rsidRPr="008B68A9">
        <w:rPr>
          <w:rFonts w:eastAsia="Calibri" w:cs="Times New Roman"/>
          <w:i/>
          <w:szCs w:val="24"/>
        </w:rPr>
        <w:t>Anatomy of criticism: Four essays.</w:t>
      </w:r>
      <w:r w:rsidRPr="008B68A9">
        <w:rPr>
          <w:rFonts w:eastAsia="Calibri" w:cs="Times New Roman"/>
          <w:szCs w:val="24"/>
        </w:rPr>
        <w:t xml:space="preserve"> Princeton: Princeton University Press.</w:t>
      </w:r>
    </w:p>
    <w:p w14:paraId="27CD5ED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Gadsby, W. E. (2013) </w:t>
      </w:r>
      <w:r w:rsidRPr="008B68A9">
        <w:rPr>
          <w:rFonts w:eastAsia="Calibri" w:cs="Times New Roman"/>
          <w:i/>
          <w:szCs w:val="24"/>
        </w:rPr>
        <w:t>Personal budgets: A review of the evidence</w:t>
      </w:r>
      <w:r w:rsidRPr="008B68A9">
        <w:rPr>
          <w:rFonts w:eastAsia="Calibri" w:cs="Times New Roman"/>
          <w:szCs w:val="24"/>
        </w:rPr>
        <w:t>. Centre for Health Services Studies, University of Kent.</w:t>
      </w:r>
    </w:p>
    <w:p w14:paraId="0CBC1E7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Gadsby, W E., Segar, J., Allen, P., Checkland, K., Coleman, A., McDermott, I. &amp; Peckham, S. (2013) </w:t>
      </w:r>
      <w:r w:rsidRPr="008B68A9">
        <w:rPr>
          <w:color w:val="000000"/>
          <w:szCs w:val="24"/>
        </w:rPr>
        <w:t xml:space="preserve">Personal budgets, choice and health: A review of international evidence from 11 OECD countries. </w:t>
      </w:r>
      <w:r w:rsidRPr="008B68A9">
        <w:rPr>
          <w:i/>
          <w:color w:val="000000"/>
          <w:szCs w:val="24"/>
        </w:rPr>
        <w:t>International</w:t>
      </w:r>
      <w:r w:rsidRPr="008B68A9">
        <w:rPr>
          <w:color w:val="000000"/>
          <w:szCs w:val="24"/>
        </w:rPr>
        <w:t xml:space="preserve"> </w:t>
      </w:r>
      <w:r w:rsidRPr="008B68A9">
        <w:rPr>
          <w:i/>
          <w:color w:val="000000"/>
          <w:szCs w:val="24"/>
        </w:rPr>
        <w:t>Journal of Public and Private Healthcare Management and Economics,</w:t>
      </w:r>
      <w:r w:rsidRPr="008B68A9">
        <w:rPr>
          <w:color w:val="000000"/>
          <w:szCs w:val="24"/>
        </w:rPr>
        <w:t xml:space="preserve"> </w:t>
      </w:r>
      <w:r w:rsidRPr="008B68A9">
        <w:rPr>
          <w:b/>
          <w:color w:val="000000"/>
          <w:szCs w:val="24"/>
        </w:rPr>
        <w:t xml:space="preserve">3 </w:t>
      </w:r>
      <w:r w:rsidRPr="008B68A9">
        <w:rPr>
          <w:color w:val="000000"/>
          <w:szCs w:val="24"/>
        </w:rPr>
        <w:t>(3-4), 15-28.</w:t>
      </w:r>
    </w:p>
    <w:p w14:paraId="27E9BC8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Gergen, K. (2003) Knowledge as socially constructed. In Gergen, N. M. &amp; Gergen, N. K. (eds) </w:t>
      </w:r>
      <w:r w:rsidRPr="008B68A9">
        <w:rPr>
          <w:rFonts w:eastAsia="Calibri" w:cs="Times New Roman"/>
          <w:i/>
          <w:szCs w:val="24"/>
        </w:rPr>
        <w:t>Social construction: A reader</w:t>
      </w:r>
      <w:r w:rsidRPr="008B68A9">
        <w:rPr>
          <w:rFonts w:eastAsia="Calibri" w:cs="Times New Roman"/>
          <w:szCs w:val="24"/>
        </w:rPr>
        <w:t>. London, Sage.</w:t>
      </w:r>
    </w:p>
    <w:p w14:paraId="4CF3810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Gergen, K. J. &amp; Gergen, M. M. (1986) Narrative form and the construction of psychological science. Chapter 2, pp.22-44 in Sarbin, T. (ed.) </w:t>
      </w:r>
      <w:r w:rsidRPr="008B68A9">
        <w:rPr>
          <w:rFonts w:eastAsia="Calibri" w:cs="Times New Roman"/>
          <w:i/>
          <w:szCs w:val="24"/>
        </w:rPr>
        <w:t>Narrative psychology: The storied nature of human conduct</w:t>
      </w:r>
      <w:r w:rsidRPr="008B68A9">
        <w:rPr>
          <w:rFonts w:eastAsia="Calibri" w:cs="Times New Roman"/>
          <w:szCs w:val="24"/>
        </w:rPr>
        <w:t xml:space="preserve">. Westport, Praeger. </w:t>
      </w:r>
    </w:p>
    <w:p w14:paraId="34AADE6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Gergen, K. J. &amp; Gergen, M. M. (1983) Narrative of the self. Chapter 12, pp. 254-273 in Sarbin, T. R. &amp; Scheibe, K. E. (eds), </w:t>
      </w:r>
      <w:r w:rsidRPr="008B68A9">
        <w:rPr>
          <w:rFonts w:eastAsia="Calibri" w:cs="Times New Roman"/>
          <w:i/>
          <w:szCs w:val="24"/>
        </w:rPr>
        <w:t>Studies in social identity</w:t>
      </w:r>
      <w:r w:rsidRPr="008B68A9">
        <w:rPr>
          <w:rFonts w:eastAsia="Calibri" w:cs="Times New Roman"/>
          <w:szCs w:val="24"/>
        </w:rPr>
        <w:t>. New York, Praeger.</w:t>
      </w:r>
    </w:p>
    <w:p w14:paraId="1A224FD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Gergen, K. (1985) The social constructivist movement in modern psychology. </w:t>
      </w:r>
      <w:r w:rsidRPr="008B68A9">
        <w:rPr>
          <w:rFonts w:eastAsia="Calibri" w:cs="Times New Roman"/>
          <w:i/>
          <w:szCs w:val="24"/>
        </w:rPr>
        <w:t>American Psychologist,</w:t>
      </w:r>
      <w:r w:rsidRPr="008B68A9">
        <w:rPr>
          <w:rFonts w:eastAsia="Calibri" w:cs="Times New Roman"/>
          <w:szCs w:val="24"/>
        </w:rPr>
        <w:t xml:space="preserve"> </w:t>
      </w:r>
      <w:r w:rsidRPr="008B68A9">
        <w:rPr>
          <w:rFonts w:eastAsia="Calibri" w:cs="Times New Roman"/>
          <w:b/>
          <w:szCs w:val="24"/>
        </w:rPr>
        <w:t>40</w:t>
      </w:r>
      <w:r w:rsidRPr="008B68A9">
        <w:rPr>
          <w:rFonts w:eastAsia="Calibri" w:cs="Times New Roman"/>
          <w:szCs w:val="24"/>
        </w:rPr>
        <w:t>, (3) 266-275.</w:t>
      </w:r>
    </w:p>
    <w:p w14:paraId="315C9BD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Gergen, K. J. (1989) Warranting voice and the elaboration of the self. In Shotter, J. &amp; Gergen, K. J. (eds) </w:t>
      </w:r>
      <w:r w:rsidRPr="008B68A9">
        <w:rPr>
          <w:rFonts w:eastAsia="Calibri" w:cs="Times New Roman"/>
          <w:i/>
          <w:szCs w:val="24"/>
        </w:rPr>
        <w:t>Texts of identity</w:t>
      </w:r>
      <w:r w:rsidRPr="008B68A9">
        <w:rPr>
          <w:rFonts w:eastAsia="Calibri" w:cs="Times New Roman"/>
          <w:szCs w:val="24"/>
        </w:rPr>
        <w:t>. London, Sage.</w:t>
      </w:r>
    </w:p>
    <w:p w14:paraId="48D3EA5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Giddens, A. (1991) </w:t>
      </w:r>
      <w:r w:rsidRPr="008B68A9">
        <w:rPr>
          <w:rFonts w:eastAsia="Calibri" w:cs="Times New Roman"/>
          <w:i/>
          <w:szCs w:val="24"/>
        </w:rPr>
        <w:t>Modernity and self-identity: Self and society in the Late Modern Age.</w:t>
      </w:r>
      <w:r w:rsidRPr="008B68A9">
        <w:rPr>
          <w:rFonts w:eastAsia="Calibri" w:cs="Times New Roman"/>
          <w:szCs w:val="24"/>
        </w:rPr>
        <w:t xml:space="preserve"> London, John Wiley and Sons.</w:t>
      </w:r>
    </w:p>
    <w:p w14:paraId="04D2C86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Giddens, A. (1998) </w:t>
      </w:r>
      <w:r w:rsidRPr="008B68A9">
        <w:rPr>
          <w:rFonts w:eastAsia="Calibri" w:cs="Times New Roman"/>
          <w:i/>
          <w:szCs w:val="24"/>
        </w:rPr>
        <w:t>The third way: The renewal of social democracy.</w:t>
      </w:r>
      <w:r w:rsidRPr="008B68A9">
        <w:rPr>
          <w:rFonts w:eastAsia="Calibri" w:cs="Times New Roman"/>
          <w:szCs w:val="24"/>
        </w:rPr>
        <w:t xml:space="preserve"> Cambridge, Polity Press.</w:t>
      </w:r>
    </w:p>
    <w:p w14:paraId="255EF05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Glasby, J. (2014) </w:t>
      </w:r>
      <w:r w:rsidRPr="008B68A9">
        <w:rPr>
          <w:color w:val="000000"/>
          <w:szCs w:val="24"/>
        </w:rPr>
        <w:t xml:space="preserve">The controversies of choice and control: Why some people might be hostile to English social care reforms. </w:t>
      </w:r>
      <w:r w:rsidRPr="008B68A9">
        <w:rPr>
          <w:i/>
          <w:color w:val="000000"/>
          <w:szCs w:val="24"/>
        </w:rPr>
        <w:t>British Journal of Social Work,</w:t>
      </w:r>
      <w:r w:rsidRPr="008B68A9">
        <w:rPr>
          <w:color w:val="000000"/>
          <w:szCs w:val="24"/>
        </w:rPr>
        <w:t xml:space="preserve"> </w:t>
      </w:r>
      <w:r w:rsidRPr="008B68A9">
        <w:rPr>
          <w:b/>
          <w:color w:val="000000"/>
          <w:szCs w:val="24"/>
        </w:rPr>
        <w:t>44</w:t>
      </w:r>
      <w:r w:rsidRPr="008B68A9">
        <w:rPr>
          <w:color w:val="000000"/>
          <w:szCs w:val="24"/>
        </w:rPr>
        <w:t xml:space="preserve"> (2), 252-266.</w:t>
      </w:r>
    </w:p>
    <w:p w14:paraId="4637C43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Glasby, J. &amp; Littlechild, R. (2009) </w:t>
      </w:r>
      <w:r w:rsidRPr="008B68A9">
        <w:rPr>
          <w:rFonts w:eastAsia="Calibri" w:cs="Times New Roman"/>
          <w:i/>
          <w:szCs w:val="24"/>
        </w:rPr>
        <w:t>Direct payments and personal budgets: Putting personalisation into practice</w:t>
      </w:r>
      <w:r w:rsidRPr="008B68A9">
        <w:rPr>
          <w:rFonts w:eastAsia="Calibri" w:cs="Times New Roman"/>
          <w:szCs w:val="24"/>
        </w:rPr>
        <w:t xml:space="preserve"> (2</w:t>
      </w:r>
      <w:r w:rsidRPr="008B68A9">
        <w:rPr>
          <w:rFonts w:eastAsia="Calibri" w:cs="Times New Roman"/>
          <w:szCs w:val="24"/>
          <w:vertAlign w:val="superscript"/>
        </w:rPr>
        <w:t>nd</w:t>
      </w:r>
      <w:r w:rsidRPr="008B68A9">
        <w:rPr>
          <w:rFonts w:eastAsia="Calibri" w:cs="Times New Roman"/>
          <w:szCs w:val="24"/>
        </w:rPr>
        <w:t xml:space="preserve"> ed.). Bristol, The Policy Press.</w:t>
      </w:r>
    </w:p>
    <w:p w14:paraId="646EBD0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Glasby, J., Dickinson, H., &amp; Miller, R. (2011) </w:t>
      </w:r>
      <w:r w:rsidRPr="008B68A9">
        <w:rPr>
          <w:rFonts w:eastAsia="Calibri" w:cs="Times New Roman"/>
          <w:i/>
          <w:szCs w:val="24"/>
        </w:rPr>
        <w:t>All in this together?</w:t>
      </w:r>
      <w:r w:rsidRPr="008B68A9">
        <w:rPr>
          <w:rFonts w:eastAsia="Calibri" w:cs="Times New Roman"/>
          <w:szCs w:val="24"/>
        </w:rPr>
        <w:t xml:space="preserve"> </w:t>
      </w:r>
      <w:r w:rsidRPr="008B68A9">
        <w:rPr>
          <w:rFonts w:eastAsia="Calibri" w:cs="Times New Roman"/>
          <w:i/>
          <w:szCs w:val="24"/>
        </w:rPr>
        <w:t>Making best use of health and social care resources in an era of austerity: Policy Paper 9.</w:t>
      </w:r>
      <w:r w:rsidRPr="008B68A9">
        <w:rPr>
          <w:rFonts w:eastAsia="Calibri" w:cs="Times New Roman"/>
          <w:szCs w:val="24"/>
        </w:rPr>
        <w:t xml:space="preserve"> Health Services Management Centre, Birmingham, Birmingham University.</w:t>
      </w:r>
    </w:p>
    <w:p w14:paraId="0755BF7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Glendinning, C., Challis, D., Fernández, J., Jacobs, S., Jones, K., Knapp, M., Manthorpe, J., Moran, N., Netten, A., Stevens, M. &amp; Wilberforce, M. (2008) </w:t>
      </w:r>
      <w:r w:rsidRPr="008B68A9">
        <w:rPr>
          <w:rFonts w:eastAsia="Calibri" w:cs="Times New Roman"/>
          <w:i/>
          <w:szCs w:val="24"/>
        </w:rPr>
        <w:t xml:space="preserve">Evaluation of the individual budgets pilot programme. </w:t>
      </w:r>
      <w:r w:rsidRPr="008B68A9">
        <w:rPr>
          <w:rFonts w:eastAsia="Calibri" w:cs="Times New Roman"/>
          <w:szCs w:val="24"/>
        </w:rPr>
        <w:t>London, Kings College &amp; University of York.</w:t>
      </w:r>
    </w:p>
    <w:p w14:paraId="7F9EBB2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Godin, P. (2003) The frontline workforce of community mental health care. In Hannigan, B. &amp; Coffey, M. (ed.) </w:t>
      </w:r>
      <w:r w:rsidRPr="008B68A9">
        <w:rPr>
          <w:rFonts w:eastAsia="Calibri" w:cs="Times New Roman"/>
          <w:i/>
          <w:szCs w:val="24"/>
        </w:rPr>
        <w:t>The handbook of community mental health nursing</w:t>
      </w:r>
      <w:r w:rsidRPr="008B68A9">
        <w:rPr>
          <w:rFonts w:eastAsia="Calibri" w:cs="Times New Roman"/>
          <w:szCs w:val="24"/>
        </w:rPr>
        <w:t>. London, Routledge.</w:t>
      </w:r>
    </w:p>
    <w:p w14:paraId="077EA43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Goldberg, D. (1982) </w:t>
      </w:r>
      <w:r w:rsidRPr="008B68A9">
        <w:rPr>
          <w:rFonts w:eastAsia="Calibri" w:cs="Times New Roman"/>
          <w:i/>
          <w:szCs w:val="24"/>
        </w:rPr>
        <w:t>General health questionnaire</w:t>
      </w:r>
      <w:r w:rsidRPr="008B68A9">
        <w:rPr>
          <w:rFonts w:eastAsia="Calibri" w:cs="Times New Roman"/>
          <w:szCs w:val="24"/>
        </w:rPr>
        <w:t>. Windsor, NFER Nelson.</w:t>
      </w:r>
    </w:p>
    <w:p w14:paraId="206F35F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Gomm, R. (2008) </w:t>
      </w:r>
      <w:r w:rsidRPr="008B68A9">
        <w:rPr>
          <w:rFonts w:eastAsia="Calibri" w:cs="Times New Roman"/>
          <w:i/>
          <w:szCs w:val="24"/>
        </w:rPr>
        <w:t>Social research methodology: A critical introduction</w:t>
      </w:r>
      <w:r w:rsidRPr="008B68A9">
        <w:rPr>
          <w:rFonts w:eastAsia="Calibri" w:cs="Times New Roman"/>
          <w:szCs w:val="24"/>
        </w:rPr>
        <w:t xml:space="preserve"> (2</w:t>
      </w:r>
      <w:r w:rsidRPr="008B68A9">
        <w:rPr>
          <w:rFonts w:eastAsia="Calibri" w:cs="Times New Roman"/>
          <w:szCs w:val="24"/>
          <w:vertAlign w:val="superscript"/>
        </w:rPr>
        <w:t>nd</w:t>
      </w:r>
      <w:r w:rsidRPr="008B68A9">
        <w:rPr>
          <w:rFonts w:eastAsia="Calibri" w:cs="Times New Roman"/>
          <w:szCs w:val="24"/>
        </w:rPr>
        <w:t xml:space="preserve"> ed.). London, Palgrave Macmillan.</w:t>
      </w:r>
    </w:p>
    <w:p w14:paraId="6576FA7B" w14:textId="79D56600"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Goodwin, N. &amp; Lawton-Smith, S. (2010) Integrating care for people with mental health: The care programme approach in England and its implications for long-term conditions management. </w:t>
      </w:r>
      <w:r w:rsidRPr="008B68A9">
        <w:rPr>
          <w:rFonts w:eastAsia="Calibri" w:cs="Times New Roman"/>
          <w:i/>
          <w:szCs w:val="24"/>
        </w:rPr>
        <w:t>International Journal of Integrated Care</w:t>
      </w:r>
      <w:r w:rsidRPr="008B68A9">
        <w:rPr>
          <w:rFonts w:eastAsia="Calibri" w:cs="Times New Roman"/>
          <w:szCs w:val="24"/>
        </w:rPr>
        <w:t xml:space="preserve">, </w:t>
      </w:r>
      <w:r w:rsidRPr="008B68A9">
        <w:rPr>
          <w:rFonts w:eastAsia="Calibri" w:cs="Times New Roman"/>
          <w:b/>
          <w:szCs w:val="24"/>
        </w:rPr>
        <w:t>10</w:t>
      </w:r>
      <w:r w:rsidRPr="008B68A9">
        <w:rPr>
          <w:rFonts w:eastAsia="Calibri" w:cs="Times New Roman"/>
          <w:szCs w:val="24"/>
        </w:rPr>
        <w:t>, 1-10, (online only</w:t>
      </w:r>
      <w:r w:rsidR="00215B70" w:rsidRPr="008B68A9">
        <w:rPr>
          <w:rFonts w:eastAsia="Calibri" w:cs="Times New Roman"/>
          <w:szCs w:val="24"/>
        </w:rPr>
        <w:t xml:space="preserve">) </w:t>
      </w:r>
      <w:r w:rsidRPr="008B68A9">
        <w:rPr>
          <w:rFonts w:eastAsia="Calibri" w:cs="Times New Roman"/>
          <w:szCs w:val="24"/>
        </w:rPr>
        <w:t>Accessed 20/11/14.]</w:t>
      </w:r>
    </w:p>
    <w:p w14:paraId="20743D2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Gordon, C., Leigh, J., Kay, D., Humphries, S., Tee, K-S., Winch. J, &amp; Thorne, W. (2012) </w:t>
      </w:r>
      <w:r w:rsidRPr="008B68A9">
        <w:rPr>
          <w:rFonts w:eastAsia="Calibri" w:cs="Times New Roman"/>
          <w:i/>
          <w:szCs w:val="24"/>
        </w:rPr>
        <w:t>Evaluation of the consumer-directed care initiative: Final report.</w:t>
      </w:r>
      <w:r w:rsidRPr="008B68A9">
        <w:rPr>
          <w:rFonts w:eastAsia="Calibri" w:cs="Times New Roman"/>
          <w:szCs w:val="24"/>
        </w:rPr>
        <w:t xml:space="preserve"> Canberra, KPMG.</w:t>
      </w:r>
    </w:p>
    <w:p w14:paraId="265A5C9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Granfield, R. &amp; Cloud, W. (2001) </w:t>
      </w:r>
      <w:r w:rsidRPr="008B68A9">
        <w:rPr>
          <w:rFonts w:eastAsia="Calibri" w:cs="Times New Roman"/>
          <w:bCs/>
          <w:szCs w:val="24"/>
        </w:rPr>
        <w:t xml:space="preserve">Social context and natural recovery: The role of social capital in the resolution of drug-associated problems. </w:t>
      </w:r>
      <w:r w:rsidRPr="008B68A9">
        <w:rPr>
          <w:rFonts w:eastAsia="Calibri" w:cs="Times New Roman"/>
          <w:bCs/>
          <w:i/>
          <w:szCs w:val="24"/>
        </w:rPr>
        <w:t>Substance Use and Misuse</w:t>
      </w:r>
      <w:r w:rsidRPr="008B68A9">
        <w:rPr>
          <w:rFonts w:eastAsia="Calibri" w:cs="Times New Roman"/>
          <w:bCs/>
          <w:szCs w:val="24"/>
        </w:rPr>
        <w:t>,</w:t>
      </w:r>
      <w:r w:rsidRPr="008B68A9">
        <w:rPr>
          <w:rFonts w:eastAsia="Calibri" w:cs="Times New Roman"/>
          <w:b/>
          <w:bCs/>
          <w:szCs w:val="24"/>
        </w:rPr>
        <w:t xml:space="preserve"> </w:t>
      </w:r>
      <w:r w:rsidRPr="008B68A9">
        <w:rPr>
          <w:rFonts w:eastAsia="Calibri" w:cs="Times New Roman"/>
          <w:b/>
          <w:szCs w:val="24"/>
        </w:rPr>
        <w:t>36</w:t>
      </w:r>
      <w:r w:rsidRPr="008B68A9">
        <w:rPr>
          <w:rFonts w:eastAsia="Calibri" w:cs="Times New Roman"/>
          <w:szCs w:val="24"/>
        </w:rPr>
        <w:t>, 1543-1570.</w:t>
      </w:r>
    </w:p>
    <w:p w14:paraId="739F679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Greenberg, J. (1964) </w:t>
      </w:r>
      <w:r w:rsidRPr="008B68A9">
        <w:rPr>
          <w:rFonts w:eastAsia="Calibri" w:cs="Times New Roman"/>
          <w:i/>
          <w:szCs w:val="24"/>
        </w:rPr>
        <w:t>I never promised you a rose garden.</w:t>
      </w:r>
      <w:r w:rsidRPr="008B68A9">
        <w:rPr>
          <w:rFonts w:eastAsia="Calibri" w:cs="Times New Roman"/>
          <w:szCs w:val="24"/>
        </w:rPr>
        <w:t xml:space="preserve"> (Reprint ed. 2009). London, St Martin’s Press. </w:t>
      </w:r>
    </w:p>
    <w:p w14:paraId="45552DE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Grove, B. (2008) </w:t>
      </w:r>
      <w:r w:rsidRPr="008B68A9">
        <w:rPr>
          <w:rFonts w:eastAsia="Calibri" w:cs="Times New Roman"/>
          <w:i/>
          <w:szCs w:val="24"/>
        </w:rPr>
        <w:t>Mental capital and wellbeing:</w:t>
      </w:r>
      <w:r w:rsidRPr="008B68A9">
        <w:rPr>
          <w:rFonts w:eastAsia="Calibri" w:cs="Times New Roman"/>
          <w:szCs w:val="24"/>
        </w:rPr>
        <w:t xml:space="preserve"> </w:t>
      </w:r>
      <w:r w:rsidRPr="008B68A9">
        <w:rPr>
          <w:rFonts w:eastAsia="Calibri" w:cs="Times New Roman"/>
          <w:i/>
          <w:szCs w:val="24"/>
        </w:rPr>
        <w:t>Making the most of ourselves in the 21</w:t>
      </w:r>
      <w:r w:rsidRPr="008B68A9">
        <w:rPr>
          <w:rFonts w:eastAsia="Calibri" w:cs="Times New Roman"/>
          <w:i/>
          <w:szCs w:val="24"/>
          <w:vertAlign w:val="superscript"/>
        </w:rPr>
        <w:t>st</w:t>
      </w:r>
      <w:r w:rsidRPr="008B68A9">
        <w:rPr>
          <w:rFonts w:eastAsia="Calibri" w:cs="Times New Roman"/>
          <w:i/>
          <w:szCs w:val="24"/>
        </w:rPr>
        <w:t xml:space="preserve"> century: State – Science Review</w:t>
      </w:r>
      <w:r w:rsidRPr="008B68A9">
        <w:rPr>
          <w:rFonts w:eastAsia="Calibri" w:cs="Times New Roman"/>
          <w:szCs w:val="24"/>
        </w:rPr>
        <w:t xml:space="preserve">: </w:t>
      </w:r>
      <w:r w:rsidRPr="008B68A9">
        <w:rPr>
          <w:rFonts w:eastAsia="Calibri" w:cs="Times New Roman"/>
          <w:i/>
          <w:szCs w:val="24"/>
        </w:rPr>
        <w:t>SR-B9 Factors influencing recovery from serious mental health and enhancing participation in family, social and working life.</w:t>
      </w:r>
      <w:r w:rsidRPr="008B68A9">
        <w:rPr>
          <w:rFonts w:eastAsia="Calibri" w:cs="Times New Roman"/>
          <w:szCs w:val="24"/>
        </w:rPr>
        <w:t xml:space="preserve"> Government Office for Science.</w:t>
      </w:r>
    </w:p>
    <w:p w14:paraId="6FCE8CB8"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 xml:space="preserve">Hamilton, S., Manthorpe, G., Szymczynska, P., Clewett, N., Larsen, J., Pinfold, V. &amp; Tew, J. (2015). Implementing personalisation in integrated mental health teams. </w:t>
      </w:r>
      <w:r w:rsidRPr="008B68A9">
        <w:rPr>
          <w:rFonts w:eastAsia="Calibri" w:cs="Times New Roman"/>
          <w:i/>
          <w:color w:val="000000"/>
          <w:szCs w:val="24"/>
        </w:rPr>
        <w:t>Journal of Integrated Care</w:t>
      </w:r>
      <w:r w:rsidRPr="008B68A9">
        <w:rPr>
          <w:rFonts w:eastAsia="Calibri" w:cs="Times New Roman"/>
          <w:color w:val="000000"/>
          <w:szCs w:val="24"/>
        </w:rPr>
        <w:t xml:space="preserve">, </w:t>
      </w:r>
      <w:r w:rsidRPr="008B68A9">
        <w:rPr>
          <w:rFonts w:eastAsia="Calibri" w:cs="Times New Roman"/>
          <w:b/>
          <w:color w:val="000000"/>
          <w:szCs w:val="24"/>
        </w:rPr>
        <w:t>29</w:t>
      </w:r>
      <w:r w:rsidRPr="008B68A9">
        <w:rPr>
          <w:rFonts w:eastAsia="Calibri" w:cs="Times New Roman"/>
          <w:color w:val="000000"/>
          <w:szCs w:val="24"/>
        </w:rPr>
        <w:t xml:space="preserve"> (5), 488-493.</w:t>
      </w:r>
    </w:p>
    <w:p w14:paraId="61F96993"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 xml:space="preserve">Hamilton, S., Szymczynska, P., Clewett, N., Manthorpe, J., Tew, T., Larsen, J., &amp; Pinfold, V. (2015b) The role of family carers in the use of personal budgets by people with mental health problems. </w:t>
      </w:r>
      <w:r w:rsidRPr="008B68A9">
        <w:rPr>
          <w:rFonts w:eastAsia="Calibri" w:cs="Times New Roman"/>
          <w:i/>
          <w:color w:val="000000"/>
          <w:szCs w:val="24"/>
        </w:rPr>
        <w:t xml:space="preserve">Health and Social Care in the Community. </w:t>
      </w:r>
      <w:r w:rsidRPr="008B68A9">
        <w:rPr>
          <w:rFonts w:eastAsia="Calibri" w:cs="Times New Roman"/>
          <w:color w:val="000000"/>
          <w:szCs w:val="24"/>
        </w:rPr>
        <w:t>(Early online view).</w:t>
      </w:r>
    </w:p>
    <w:p w14:paraId="38541A9F"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 xml:space="preserve">Hamilton, S., Tew, J., Szymczynska, P., Clewett, N., Manthorpe, J., Larsen, J., &amp; Pinfold, V. (2015c) Power, choice and control: How do personal budgets affect the experiences of people with mental health problems and their relationships with social workers and other practitioners? </w:t>
      </w:r>
      <w:r w:rsidRPr="008B68A9">
        <w:rPr>
          <w:rFonts w:eastAsia="Calibri" w:cs="Times New Roman"/>
          <w:i/>
          <w:color w:val="000000"/>
          <w:szCs w:val="24"/>
        </w:rPr>
        <w:t>British Journal of Social Work,</w:t>
      </w:r>
      <w:r w:rsidRPr="008B68A9">
        <w:rPr>
          <w:rFonts w:eastAsia="Calibri" w:cs="Times New Roman"/>
          <w:color w:val="000000"/>
          <w:szCs w:val="24"/>
        </w:rPr>
        <w:t xml:space="preserve"> doi: 10.1093/bjsw/bcv023. First published online: April 23, 2015.</w:t>
      </w:r>
    </w:p>
    <w:p w14:paraId="0D8E270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Hannigan, B., Edwards, D., Coyle, D., Fothergill, A. &amp; Burnard, P. (2000) Burnout in community mental health nurses: Findings from the All Wales Stress Study. </w:t>
      </w:r>
      <w:r w:rsidRPr="008B68A9">
        <w:rPr>
          <w:rFonts w:eastAsia="Calibri" w:cs="Times New Roman"/>
          <w:i/>
          <w:szCs w:val="24"/>
        </w:rPr>
        <w:t>Journal of Psychiatric and Mental Health Nursing</w:t>
      </w:r>
      <w:r w:rsidRPr="008B68A9">
        <w:rPr>
          <w:rFonts w:eastAsia="Calibri" w:cs="Times New Roman"/>
          <w:szCs w:val="24"/>
        </w:rPr>
        <w:t xml:space="preserve"> </w:t>
      </w:r>
      <w:r w:rsidRPr="008B68A9">
        <w:rPr>
          <w:rFonts w:eastAsia="Calibri" w:cs="Times New Roman"/>
          <w:b/>
          <w:szCs w:val="24"/>
        </w:rPr>
        <w:t>7</w:t>
      </w:r>
      <w:r w:rsidRPr="008B68A9">
        <w:rPr>
          <w:rFonts w:eastAsia="Calibri" w:cs="Times New Roman"/>
          <w:szCs w:val="24"/>
        </w:rPr>
        <w:t xml:space="preserve"> (2), 127-134.</w:t>
      </w:r>
    </w:p>
    <w:p w14:paraId="217BBBD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Hannigan, B. &amp; Allen, D. A. (2011) Giving a fig about roles: Policy, context and work in community mental health care. </w:t>
      </w:r>
      <w:r w:rsidRPr="008B68A9">
        <w:rPr>
          <w:rFonts w:eastAsia="Calibri" w:cs="Times New Roman"/>
          <w:i/>
          <w:szCs w:val="24"/>
        </w:rPr>
        <w:t>Journal of Psychiatric and Mental Health Nursing,</w:t>
      </w:r>
      <w:r w:rsidRPr="008B68A9">
        <w:rPr>
          <w:rFonts w:eastAsia="Calibri" w:cs="Times New Roman"/>
          <w:szCs w:val="24"/>
        </w:rPr>
        <w:t xml:space="preserve"> </w:t>
      </w:r>
      <w:r w:rsidRPr="008B68A9">
        <w:rPr>
          <w:rFonts w:eastAsia="Calibri" w:cs="Times New Roman"/>
          <w:b/>
          <w:szCs w:val="24"/>
        </w:rPr>
        <w:t>18</w:t>
      </w:r>
      <w:r w:rsidRPr="008B68A9">
        <w:rPr>
          <w:rFonts w:eastAsia="Calibri" w:cs="Times New Roman"/>
          <w:szCs w:val="24"/>
        </w:rPr>
        <w:t xml:space="preserve"> (1), 1-8.</w:t>
      </w:r>
    </w:p>
    <w:p w14:paraId="22E101F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Hajer, M. A. (1997) </w:t>
      </w:r>
      <w:r w:rsidRPr="008B68A9">
        <w:rPr>
          <w:rFonts w:eastAsia="Calibri" w:cs="Times New Roman"/>
          <w:i/>
          <w:szCs w:val="24"/>
        </w:rPr>
        <w:t>The politics of environmental discourse: Ecological modernization and the policy process.</w:t>
      </w:r>
      <w:r w:rsidRPr="008B68A9">
        <w:rPr>
          <w:rFonts w:eastAsia="Calibri" w:cs="Times New Roman"/>
          <w:szCs w:val="24"/>
        </w:rPr>
        <w:t xml:space="preserve"> Oxford, Oxford University Press.</w:t>
      </w:r>
    </w:p>
    <w:p w14:paraId="2D152DA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Harper, D. J. (1995) Discourse analysis and mental health.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4</w:t>
      </w:r>
      <w:r w:rsidRPr="008B68A9">
        <w:rPr>
          <w:rFonts w:eastAsia="Calibri" w:cs="Times New Roman"/>
          <w:szCs w:val="24"/>
        </w:rPr>
        <w:t xml:space="preserve"> (4), 347-358.</w:t>
      </w:r>
    </w:p>
    <w:p w14:paraId="20865AF5" w14:textId="77777777" w:rsidR="00947BAF" w:rsidRPr="008B68A9" w:rsidRDefault="00947BAF" w:rsidP="00947BAF">
      <w:pPr>
        <w:spacing w:after="80" w:line="240" w:lineRule="auto"/>
        <w:ind w:left="357" w:hanging="357"/>
        <w:rPr>
          <w:rFonts w:eastAsia="Calibri" w:cs="Times New Roman"/>
          <w:i/>
          <w:szCs w:val="24"/>
        </w:rPr>
      </w:pPr>
      <w:r w:rsidRPr="008B68A9">
        <w:rPr>
          <w:rFonts w:eastAsia="Calibri" w:cs="Times New Roman"/>
          <w:szCs w:val="24"/>
        </w:rPr>
        <w:t xml:space="preserve">Harré, R. (2008) </w:t>
      </w:r>
      <w:r w:rsidRPr="008B68A9">
        <w:rPr>
          <w:rFonts w:eastAsia="Calibri" w:cs="Times New Roman"/>
          <w:i/>
          <w:szCs w:val="24"/>
        </w:rPr>
        <w:t>Positioning theory:</w:t>
      </w:r>
      <w:r w:rsidRPr="008B68A9">
        <w:rPr>
          <w:rFonts w:eastAsia="Calibri" w:cs="Times New Roman"/>
          <w:szCs w:val="24"/>
        </w:rPr>
        <w:t xml:space="preserve"> </w:t>
      </w:r>
      <w:r w:rsidRPr="008B68A9">
        <w:rPr>
          <w:rFonts w:eastAsia="Calibri" w:cs="Times New Roman"/>
          <w:i/>
          <w:szCs w:val="24"/>
        </w:rPr>
        <w:t>Self-care, Dependent-care &amp; Nursing</w:t>
      </w:r>
      <w:r w:rsidRPr="008B68A9">
        <w:rPr>
          <w:rFonts w:eastAsia="Calibri" w:cs="Times New Roman"/>
          <w:szCs w:val="24"/>
        </w:rPr>
        <w:t xml:space="preserve">, </w:t>
      </w:r>
      <w:r w:rsidRPr="008B68A9">
        <w:rPr>
          <w:rFonts w:eastAsia="Calibri" w:cs="Times New Roman"/>
          <w:b/>
          <w:szCs w:val="24"/>
        </w:rPr>
        <w:t>16</w:t>
      </w:r>
      <w:r w:rsidRPr="008B68A9">
        <w:rPr>
          <w:rFonts w:eastAsia="Calibri" w:cs="Times New Roman"/>
          <w:szCs w:val="24"/>
        </w:rPr>
        <w:t>, (1), 28-32.</w:t>
      </w:r>
    </w:p>
    <w:p w14:paraId="5D5C2E5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Harré, R., &amp; Moghaddam, F. (Eds). (2003) </w:t>
      </w:r>
      <w:r w:rsidRPr="008B68A9">
        <w:rPr>
          <w:rFonts w:eastAsia="Calibri" w:cs="Times New Roman"/>
          <w:i/>
          <w:szCs w:val="24"/>
        </w:rPr>
        <w:t>The self and others: Positioning individuals and groups in personal, political and cultural contexts</w:t>
      </w:r>
      <w:r w:rsidRPr="008B68A9">
        <w:rPr>
          <w:rFonts w:eastAsia="Calibri" w:cs="Times New Roman"/>
          <w:szCs w:val="24"/>
        </w:rPr>
        <w:t>. USA: Praeger.</w:t>
      </w:r>
    </w:p>
    <w:p w14:paraId="34698D9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Harré, R. &amp; Van Langenhove, L. (1999). </w:t>
      </w:r>
      <w:r w:rsidRPr="008B68A9">
        <w:rPr>
          <w:rFonts w:eastAsia="Calibri" w:cs="Times New Roman"/>
          <w:i/>
          <w:szCs w:val="24"/>
        </w:rPr>
        <w:t>Positioning theory.</w:t>
      </w:r>
      <w:r w:rsidRPr="008B68A9">
        <w:rPr>
          <w:rFonts w:eastAsia="Calibri" w:cs="Times New Roman"/>
          <w:szCs w:val="24"/>
        </w:rPr>
        <w:t xml:space="preserve"> Oxford, Blackwell.</w:t>
      </w:r>
    </w:p>
    <w:p w14:paraId="50692A6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Harré, R., Moghaddam, F. M., Pilkerton Cairnie T., Rothbart, D. &amp; Sabat, S. R. (2009) Recent advances in positioning theory. </w:t>
      </w:r>
      <w:r w:rsidRPr="008B68A9">
        <w:rPr>
          <w:rFonts w:eastAsia="Calibri" w:cs="Times New Roman"/>
          <w:i/>
          <w:szCs w:val="24"/>
        </w:rPr>
        <w:t>Theory and Psychology,</w:t>
      </w:r>
      <w:r w:rsidRPr="008B68A9">
        <w:rPr>
          <w:rFonts w:eastAsia="Calibri" w:cs="Times New Roman"/>
          <w:szCs w:val="24"/>
        </w:rPr>
        <w:t xml:space="preserve"> </w:t>
      </w:r>
      <w:r w:rsidRPr="008B68A9">
        <w:rPr>
          <w:rFonts w:eastAsia="Calibri" w:cs="Times New Roman"/>
          <w:b/>
          <w:szCs w:val="24"/>
        </w:rPr>
        <w:t>19</w:t>
      </w:r>
      <w:r w:rsidRPr="008B68A9">
        <w:rPr>
          <w:rFonts w:eastAsia="Calibri" w:cs="Times New Roman"/>
          <w:szCs w:val="24"/>
        </w:rPr>
        <w:t xml:space="preserve"> (1), 5-31.</w:t>
      </w:r>
    </w:p>
    <w:p w14:paraId="6D8D724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Harvey, J. &amp; Skellhorn, M. (2010) </w:t>
      </w:r>
      <w:r w:rsidRPr="008B68A9">
        <w:rPr>
          <w:rFonts w:eastAsia="Calibri" w:cs="Times New Roman"/>
          <w:i/>
          <w:szCs w:val="24"/>
        </w:rPr>
        <w:t>Support planning.</w:t>
      </w:r>
      <w:r w:rsidRPr="008B68A9">
        <w:rPr>
          <w:rFonts w:eastAsia="Calibri" w:cs="Times New Roman"/>
          <w:szCs w:val="24"/>
        </w:rPr>
        <w:t xml:space="preserve"> Stockport, The Learning Community for Person Centred Practices.</w:t>
      </w:r>
    </w:p>
    <w:p w14:paraId="666545E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Hatton, C., Waters, J., Duffy, S., Senker, J., Crosby, N., Poll, C., Tyson, A., O’Brien, J., &amp; Towell, D. (2008). </w:t>
      </w:r>
      <w:r w:rsidRPr="008B68A9">
        <w:rPr>
          <w:rFonts w:eastAsia="Calibri" w:cs="Times New Roman"/>
          <w:i/>
          <w:szCs w:val="24"/>
        </w:rPr>
        <w:t>A report on In Control’s second phase: Evaluation and learning 2005-2007</w:t>
      </w:r>
      <w:r w:rsidRPr="008B68A9">
        <w:rPr>
          <w:rFonts w:eastAsia="Calibri" w:cs="Times New Roman"/>
          <w:szCs w:val="24"/>
        </w:rPr>
        <w:t>. London, In Control.</w:t>
      </w:r>
    </w:p>
    <w:p w14:paraId="5638DAA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Hatton, C. &amp; Waters, J. (2011) </w:t>
      </w:r>
      <w:r w:rsidRPr="008B68A9">
        <w:rPr>
          <w:rFonts w:eastAsia="Calibri" w:cs="Times New Roman"/>
          <w:i/>
          <w:szCs w:val="24"/>
        </w:rPr>
        <w:t xml:space="preserve">National personal budgets survey. </w:t>
      </w:r>
      <w:r w:rsidRPr="008B68A9">
        <w:rPr>
          <w:rFonts w:eastAsia="Calibri" w:cs="Times New Roman"/>
          <w:szCs w:val="24"/>
        </w:rPr>
        <w:t>London: Think Local, Act Personal; In Control, University of Lancaster.</w:t>
      </w:r>
    </w:p>
    <w:p w14:paraId="5E2A44E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Hatton, C. &amp; Waters, J. (2013) </w:t>
      </w:r>
      <w:r w:rsidRPr="008B68A9">
        <w:rPr>
          <w:rFonts w:eastAsia="Calibri" w:cs="Times New Roman"/>
          <w:i/>
          <w:szCs w:val="24"/>
        </w:rPr>
        <w:t>The Second POET survey of personal budget holders and carers</w:t>
      </w:r>
      <w:r w:rsidRPr="008B68A9">
        <w:rPr>
          <w:rFonts w:eastAsia="Calibri" w:cs="Times New Roman"/>
          <w:szCs w:val="24"/>
        </w:rPr>
        <w:t>. London, Think Local, Act Personal; In Control, University of Lancaster.</w:t>
      </w:r>
    </w:p>
    <w:p w14:paraId="16A1A61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Hay, M. &amp; Waters, J. (2009) </w:t>
      </w:r>
      <w:r w:rsidRPr="008B68A9">
        <w:rPr>
          <w:rFonts w:eastAsia="Calibri" w:cs="Times New Roman"/>
          <w:i/>
          <w:szCs w:val="24"/>
        </w:rPr>
        <w:t>Steering my own course.</w:t>
      </w:r>
      <w:r w:rsidRPr="008B68A9">
        <w:rPr>
          <w:rFonts w:eastAsia="Calibri" w:cs="Times New Roman"/>
          <w:szCs w:val="24"/>
        </w:rPr>
        <w:t xml:space="preserve"> Cambridge, Cambridgeshire County Council.</w:t>
      </w:r>
    </w:p>
    <w:p w14:paraId="526D69D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Healy, D. (2013) </w:t>
      </w:r>
      <w:r w:rsidRPr="008B68A9">
        <w:rPr>
          <w:rFonts w:eastAsia="Calibri" w:cs="Times New Roman"/>
          <w:i/>
          <w:szCs w:val="24"/>
        </w:rPr>
        <w:t>Pharmageddon.</w:t>
      </w:r>
      <w:r w:rsidRPr="008B68A9">
        <w:rPr>
          <w:rFonts w:eastAsia="Calibri" w:cs="Times New Roman"/>
          <w:szCs w:val="24"/>
        </w:rPr>
        <w:t xml:space="preserve"> Berkeley and Los Angeles, University of California Press.</w:t>
      </w:r>
    </w:p>
    <w:p w14:paraId="4A83354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Health and Social Care Information Centre (2015) </w:t>
      </w:r>
      <w:r w:rsidRPr="008B68A9">
        <w:rPr>
          <w:rFonts w:eastAsia="Calibri" w:cs="Times New Roman"/>
          <w:i/>
          <w:szCs w:val="24"/>
        </w:rPr>
        <w:t>Health survey for England 2014: Health, social care and lifestyles. Summary of key findings.</w:t>
      </w:r>
      <w:r w:rsidRPr="008B68A9">
        <w:rPr>
          <w:rFonts w:eastAsia="Calibri" w:cs="Times New Roman"/>
          <w:szCs w:val="24"/>
        </w:rPr>
        <w:t xml:space="preserve"> Government Statistical Office</w:t>
      </w:r>
      <w:r w:rsidRPr="008B68A9">
        <w:rPr>
          <w:rFonts w:eastAsia="Calibri" w:cs="Times New Roman"/>
          <w:i/>
          <w:szCs w:val="24"/>
        </w:rPr>
        <w:t xml:space="preserve">. </w:t>
      </w:r>
      <w:r w:rsidRPr="008B68A9">
        <w:rPr>
          <w:rFonts w:eastAsia="Calibri" w:cs="Times New Roman"/>
          <w:szCs w:val="24"/>
        </w:rPr>
        <w:t>Available at: http://www.hscic.gov.uk/catalogue/PUB19295/HSE2014-Sum-bklet.pdf</w:t>
      </w:r>
    </w:p>
    <w:p w14:paraId="269EBCA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Health and Social Care Act (2014). Available at: http://www.legislation.gov.uk/ukpga/2014/23/contents/enacted [Accessed 15/10/15].</w:t>
      </w:r>
    </w:p>
    <w:p w14:paraId="32B83BC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Heidegger, M. (1978) </w:t>
      </w:r>
      <w:r w:rsidRPr="008B68A9">
        <w:rPr>
          <w:rFonts w:eastAsia="Calibri" w:cs="Times New Roman"/>
          <w:i/>
          <w:szCs w:val="24"/>
        </w:rPr>
        <w:t>Being and time.</w:t>
      </w:r>
      <w:r w:rsidRPr="008B68A9">
        <w:rPr>
          <w:rFonts w:eastAsia="Calibri" w:cs="Times New Roman"/>
          <w:szCs w:val="24"/>
        </w:rPr>
        <w:t xml:space="preserve"> Oxford, Blackwell. </w:t>
      </w:r>
    </w:p>
    <w:p w14:paraId="60DAAE84" w14:textId="77777777" w:rsidR="00947BAF" w:rsidRPr="008B68A9" w:rsidRDefault="00947BAF" w:rsidP="00947BAF">
      <w:pPr>
        <w:spacing w:after="80" w:line="240" w:lineRule="auto"/>
        <w:ind w:left="357" w:hanging="357"/>
        <w:rPr>
          <w:rFonts w:eastAsia="Calibri" w:cs="Times New Roman"/>
          <w:szCs w:val="24"/>
        </w:rPr>
      </w:pPr>
      <w:r w:rsidRPr="008B68A9">
        <w:rPr>
          <w:szCs w:val="24"/>
        </w:rPr>
        <w:t>Hlebechuk (2009) Personal communication, June 2009.</w:t>
      </w:r>
    </w:p>
    <w:p w14:paraId="4065DAA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Heslop, P., Williams, V. &amp; Spandler, H. (2009) </w:t>
      </w:r>
      <w:r w:rsidRPr="008B68A9">
        <w:rPr>
          <w:rFonts w:eastAsia="Calibri" w:cs="Times New Roman"/>
          <w:i/>
          <w:szCs w:val="24"/>
        </w:rPr>
        <w:t>Personalisation in mental health: A review of the evidence.</w:t>
      </w:r>
      <w:r w:rsidRPr="008B68A9">
        <w:rPr>
          <w:rFonts w:eastAsia="Calibri" w:cs="Times New Roman"/>
          <w:szCs w:val="24"/>
        </w:rPr>
        <w:t xml:space="preserve"> London, Mind.</w:t>
      </w:r>
    </w:p>
    <w:p w14:paraId="1E81938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HM Government (2007) </w:t>
      </w:r>
      <w:r w:rsidRPr="008B68A9">
        <w:rPr>
          <w:rFonts w:eastAsia="Calibri" w:cs="Times New Roman"/>
          <w:i/>
          <w:szCs w:val="24"/>
        </w:rPr>
        <w:t>Putting people first: A shared vision and commitment to the transformation of adult social care. A</w:t>
      </w:r>
      <w:r w:rsidRPr="008B68A9">
        <w:rPr>
          <w:rFonts w:eastAsia="Calibri" w:cs="Times New Roman"/>
          <w:szCs w:val="24"/>
        </w:rPr>
        <w:t>vailable at: http://webarchive.nationalarchives.gov.uk/20130107105354/http:/www.dh.gov.uk/prod_consum_dh/groups/dh_digitalassets/@dh/@en/documents/digitalasset/dh_081119.pdf [Accessed 06/06/2008].</w:t>
      </w:r>
    </w:p>
    <w:p w14:paraId="6C04921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HM Government (2010) </w:t>
      </w:r>
      <w:r w:rsidRPr="008B68A9">
        <w:rPr>
          <w:rFonts w:eastAsia="Calibri" w:cs="Times New Roman"/>
          <w:i/>
          <w:szCs w:val="24"/>
        </w:rPr>
        <w:t>Building the National Care Service</w:t>
      </w:r>
      <w:r w:rsidRPr="008B68A9">
        <w:rPr>
          <w:rFonts w:eastAsia="Calibri" w:cs="Times New Roman"/>
          <w:szCs w:val="24"/>
        </w:rPr>
        <w:t xml:space="preserve"> (Cmnd 7854). London, TSO.</w:t>
      </w:r>
    </w:p>
    <w:p w14:paraId="0665F24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HM Government (2010a) </w:t>
      </w:r>
      <w:r w:rsidRPr="008B68A9">
        <w:rPr>
          <w:rFonts w:eastAsia="Calibri" w:cs="Times New Roman"/>
          <w:i/>
          <w:szCs w:val="24"/>
        </w:rPr>
        <w:t>The Coalition: Our programme for government.</w:t>
      </w:r>
      <w:r w:rsidRPr="008B68A9">
        <w:rPr>
          <w:rFonts w:eastAsia="Calibri" w:cs="Times New Roman"/>
          <w:szCs w:val="24"/>
        </w:rPr>
        <w:t xml:space="preserve"> London, TSO.</w:t>
      </w:r>
    </w:p>
    <w:p w14:paraId="100C209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HM Government. (2010b). </w:t>
      </w:r>
      <w:r w:rsidRPr="008B68A9">
        <w:rPr>
          <w:rFonts w:eastAsia="Calibri" w:cs="Times New Roman"/>
          <w:i/>
          <w:szCs w:val="24"/>
        </w:rPr>
        <w:t>Think local, act personal: Next steps for transforming adult social care</w:t>
      </w:r>
      <w:r w:rsidRPr="008B68A9">
        <w:rPr>
          <w:rFonts w:eastAsia="Calibri" w:cs="Times New Roman"/>
          <w:szCs w:val="24"/>
        </w:rPr>
        <w:t>. London, TSO.</w:t>
      </w:r>
    </w:p>
    <w:p w14:paraId="3C4B7E20"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 xml:space="preserve">HMSO (2007) </w:t>
      </w:r>
      <w:r w:rsidRPr="008B68A9">
        <w:rPr>
          <w:rFonts w:eastAsia="Arial" w:cs="Arial"/>
          <w:i/>
          <w:szCs w:val="24"/>
        </w:rPr>
        <w:t>The NHS Act.</w:t>
      </w:r>
      <w:r w:rsidRPr="008B68A9">
        <w:rPr>
          <w:rFonts w:eastAsia="Arial" w:cs="Arial"/>
          <w:szCs w:val="24"/>
        </w:rPr>
        <w:t xml:space="preserve"> </w:t>
      </w:r>
      <w:r w:rsidRPr="008B68A9">
        <w:rPr>
          <w:rFonts w:eastAsia="Calibri" w:cs="Times New Roman"/>
          <w:szCs w:val="24"/>
        </w:rPr>
        <w:t>London, TSO.</w:t>
      </w:r>
    </w:p>
    <w:p w14:paraId="373264B9" w14:textId="77777777" w:rsidR="00947BAF" w:rsidRPr="008B68A9" w:rsidRDefault="00947BAF" w:rsidP="00947BAF">
      <w:pPr>
        <w:tabs>
          <w:tab w:val="left" w:pos="1120"/>
          <w:tab w:val="left" w:pos="2180"/>
          <w:tab w:val="left" w:pos="3180"/>
          <w:tab w:val="left" w:pos="3880"/>
          <w:tab w:val="left" w:pos="5220"/>
          <w:tab w:val="left" w:pos="6000"/>
          <w:tab w:val="left" w:pos="7040"/>
          <w:tab w:val="left" w:pos="7860"/>
        </w:tabs>
        <w:spacing w:after="80" w:line="240" w:lineRule="auto"/>
        <w:ind w:left="357" w:hanging="357"/>
        <w:rPr>
          <w:rFonts w:eastAsia="Arial" w:cs="Arial"/>
          <w:szCs w:val="24"/>
          <w:u w:val="thick" w:color="0000FF"/>
        </w:rPr>
      </w:pPr>
      <w:r w:rsidRPr="008B68A9">
        <w:rPr>
          <w:rFonts w:eastAsia="Arial" w:cs="Arial"/>
          <w:szCs w:val="24"/>
        </w:rPr>
        <w:lastRenderedPageBreak/>
        <w:t xml:space="preserve">HMSO (1999). Health Act. Available from: </w:t>
      </w:r>
      <w:r w:rsidRPr="008B68A9">
        <w:rPr>
          <w:rFonts w:eastAsia="Arial" w:cs="Arial"/>
          <w:szCs w:val="24"/>
          <w:u w:color="0000FF"/>
        </w:rPr>
        <w:t>http://www.hmso.gov.uk/acts/acts1999/19990008.htm</w:t>
      </w:r>
      <w:r w:rsidRPr="008B68A9">
        <w:rPr>
          <w:rFonts w:eastAsia="Arial" w:cs="Arial"/>
          <w:szCs w:val="24"/>
        </w:rPr>
        <w:t xml:space="preserve"> [Accessed 23</w:t>
      </w:r>
      <w:r w:rsidRPr="008B68A9">
        <w:rPr>
          <w:rFonts w:eastAsia="Arial" w:cs="Arial"/>
          <w:szCs w:val="24"/>
          <w:vertAlign w:val="superscript"/>
        </w:rPr>
        <w:t>rd</w:t>
      </w:r>
      <w:r w:rsidRPr="008B68A9">
        <w:rPr>
          <w:rFonts w:eastAsia="Arial" w:cs="Arial"/>
          <w:szCs w:val="24"/>
        </w:rPr>
        <w:t xml:space="preserve"> August 2008].</w:t>
      </w:r>
    </w:p>
    <w:p w14:paraId="234ED18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HM Treasury (2010). </w:t>
      </w:r>
      <w:r w:rsidRPr="008B68A9">
        <w:rPr>
          <w:rFonts w:eastAsia="Calibri" w:cs="Times New Roman"/>
          <w:i/>
          <w:szCs w:val="24"/>
        </w:rPr>
        <w:t>Spending review</w:t>
      </w:r>
      <w:r w:rsidRPr="008B68A9">
        <w:rPr>
          <w:rFonts w:eastAsia="Calibri" w:cs="Times New Roman"/>
          <w:szCs w:val="24"/>
        </w:rPr>
        <w:t xml:space="preserve"> (Cmnd 7942). London, HMSO.</w:t>
      </w:r>
    </w:p>
    <w:p w14:paraId="21C98E26" w14:textId="77777777" w:rsidR="00947BAF" w:rsidRPr="008B68A9" w:rsidRDefault="00947BAF" w:rsidP="00947BAF">
      <w:pPr>
        <w:spacing w:after="80" w:line="240" w:lineRule="auto"/>
        <w:ind w:left="357" w:hanging="357"/>
        <w:rPr>
          <w:rFonts w:eastAsia="Calibri" w:cs="Times New Roman"/>
          <w:szCs w:val="24"/>
          <w:lang w:val="en"/>
        </w:rPr>
      </w:pPr>
      <w:r w:rsidRPr="008B68A9">
        <w:rPr>
          <w:rFonts w:eastAsia="Calibri" w:cs="Times New Roman"/>
          <w:szCs w:val="24"/>
          <w:lang w:val="en"/>
        </w:rPr>
        <w:t xml:space="preserve">Holloway, I. &amp; Freshwater, D. (2007) </w:t>
      </w:r>
      <w:r w:rsidRPr="008B68A9">
        <w:rPr>
          <w:rFonts w:eastAsia="Calibri" w:cs="Times New Roman"/>
          <w:i/>
          <w:szCs w:val="24"/>
          <w:lang w:val="en"/>
        </w:rPr>
        <w:t>Narrative research in nursing.</w:t>
      </w:r>
      <w:r w:rsidRPr="008B68A9">
        <w:rPr>
          <w:rFonts w:eastAsia="Calibri" w:cs="Times New Roman"/>
          <w:szCs w:val="24"/>
          <w:lang w:val="en"/>
        </w:rPr>
        <w:t xml:space="preserve"> Oxford, Blackwell Publishing.</w:t>
      </w:r>
    </w:p>
    <w:p w14:paraId="4C5F1AA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Hewitt-Taylor, J. (2008) How personal health budgets may affect community nursing teams. </w:t>
      </w:r>
      <w:r w:rsidRPr="008B68A9">
        <w:rPr>
          <w:rFonts w:eastAsia="Calibri" w:cs="Times New Roman"/>
          <w:i/>
          <w:szCs w:val="24"/>
        </w:rPr>
        <w:t>British Journal of Community Nursing</w:t>
      </w:r>
      <w:r w:rsidRPr="008B68A9">
        <w:rPr>
          <w:rFonts w:eastAsia="Calibri" w:cs="Times New Roman"/>
          <w:szCs w:val="24"/>
        </w:rPr>
        <w:t xml:space="preserve">, </w:t>
      </w:r>
      <w:r w:rsidRPr="008B68A9">
        <w:rPr>
          <w:rFonts w:eastAsia="Calibri" w:cs="Times New Roman"/>
          <w:b/>
          <w:szCs w:val="24"/>
        </w:rPr>
        <w:t>13</w:t>
      </w:r>
      <w:r w:rsidRPr="008B68A9">
        <w:rPr>
          <w:rFonts w:eastAsia="Calibri" w:cs="Times New Roman"/>
          <w:szCs w:val="24"/>
        </w:rPr>
        <w:t>, (8), 332-336.</w:t>
      </w:r>
    </w:p>
    <w:p w14:paraId="778F34A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Hui, A. &amp; Stickley, T. (2007) Service user perspectives on involvement: A discourse analysis. </w:t>
      </w:r>
      <w:r w:rsidRPr="008B68A9">
        <w:rPr>
          <w:rFonts w:eastAsia="Calibri" w:cs="Times New Roman"/>
          <w:i/>
          <w:szCs w:val="24"/>
        </w:rPr>
        <w:t>Journal of Advanced Nursing</w:t>
      </w:r>
      <w:r w:rsidRPr="008B68A9">
        <w:rPr>
          <w:rFonts w:eastAsia="Calibri" w:cs="Times New Roman"/>
          <w:szCs w:val="24"/>
        </w:rPr>
        <w:t xml:space="preserve">, </w:t>
      </w:r>
      <w:r w:rsidRPr="008B68A9">
        <w:rPr>
          <w:rFonts w:eastAsia="Calibri" w:cs="Times New Roman"/>
          <w:b/>
          <w:szCs w:val="24"/>
        </w:rPr>
        <w:t>59</w:t>
      </w:r>
      <w:r w:rsidRPr="008B68A9">
        <w:rPr>
          <w:rFonts w:eastAsia="Calibri" w:cs="Times New Roman"/>
          <w:szCs w:val="24"/>
        </w:rPr>
        <w:t xml:space="preserve"> (4), 216-226.</w:t>
      </w:r>
    </w:p>
    <w:p w14:paraId="4BE3509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In Control (2012) </w:t>
      </w:r>
      <w:r w:rsidRPr="008B68A9">
        <w:rPr>
          <w:rFonts w:eastAsia="Calibri" w:cs="Times New Roman"/>
          <w:i/>
          <w:szCs w:val="24"/>
        </w:rPr>
        <w:t>Seven steps to being in control</w:t>
      </w:r>
      <w:r w:rsidRPr="008B68A9">
        <w:rPr>
          <w:rFonts w:eastAsia="Calibri" w:cs="Times New Roman"/>
          <w:szCs w:val="24"/>
        </w:rPr>
        <w:t>. Available at: http://www.in-control.org.uk/support/support-for-individuals,-family-members-carers/seven-steps-to-being-in-control.aspx</w:t>
      </w:r>
    </w:p>
    <w:p w14:paraId="6A97A8F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In-Control (2016) Glossary. Available at http://www.in-control.org.uk/site-links/glossary.aspx [Accessed 09/03/16].</w:t>
      </w:r>
    </w:p>
    <w:p w14:paraId="5739EC16" w14:textId="77777777" w:rsidR="00947BAF" w:rsidRPr="008B68A9" w:rsidRDefault="00947BAF" w:rsidP="00947BAF">
      <w:pPr>
        <w:spacing w:after="80" w:line="240" w:lineRule="auto"/>
        <w:ind w:left="357" w:hanging="357"/>
        <w:rPr>
          <w:rFonts w:eastAsia="Calibri" w:cs="Times New Roman"/>
          <w:szCs w:val="24"/>
        </w:rPr>
      </w:pPr>
      <w:r w:rsidRPr="008B68A9">
        <w:rPr>
          <w:szCs w:val="24"/>
        </w:rPr>
        <w:t xml:space="preserve">Irvine, A., Davidson, J., Glendinning, C., Jones, K., Forder, J., Caiels, J., Welch, E., Windle, K. Dolan, P. &amp; King, D. (2011) </w:t>
      </w:r>
      <w:r w:rsidRPr="008B68A9">
        <w:rPr>
          <w:i/>
          <w:szCs w:val="24"/>
        </w:rPr>
        <w:t>Personal health Budgets: Early experiences of budget holders: Fourth interim report.</w:t>
      </w:r>
      <w:r w:rsidRPr="008B68A9">
        <w:rPr>
          <w:szCs w:val="24"/>
        </w:rPr>
        <w:t xml:space="preserve"> London, DH</w:t>
      </w:r>
    </w:p>
    <w:p w14:paraId="6422F87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Jones, K., Welch, E., Caiels, J., Windle, K., Forder, J., Davidson, J., Dolan, P., Glendinning, C., Irvine, A. &amp; King, D. (2010) </w:t>
      </w:r>
      <w:r w:rsidRPr="008B68A9">
        <w:rPr>
          <w:rFonts w:eastAsia="Calibri" w:cs="Times New Roman"/>
          <w:i/>
          <w:szCs w:val="24"/>
        </w:rPr>
        <w:t>Experiences of implementing personal health budgets: 2nd interim report. PSSRU Discussion Paper, 2747/2</w:t>
      </w:r>
      <w:r w:rsidRPr="008B68A9">
        <w:rPr>
          <w:rFonts w:eastAsia="Calibri" w:cs="Times New Roman"/>
          <w:szCs w:val="24"/>
        </w:rPr>
        <w:t>. Personal Social Services Research Unit, Canterbury, University of Kent.</w:t>
      </w:r>
    </w:p>
    <w:p w14:paraId="2CA292FF"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Josselson, R., Lieblich, A. &amp; McAdams, P. D. (2003). </w:t>
      </w:r>
      <w:r w:rsidRPr="008B68A9">
        <w:rPr>
          <w:rFonts w:eastAsia="Arial" w:cs="Arial"/>
          <w:i/>
          <w:szCs w:val="24"/>
        </w:rPr>
        <w:t xml:space="preserve">Up close and personal: The teaching and learning of narrative research. </w:t>
      </w:r>
      <w:r w:rsidRPr="008B68A9">
        <w:rPr>
          <w:rFonts w:eastAsia="Arial" w:cs="Arial"/>
          <w:szCs w:val="24"/>
        </w:rPr>
        <w:t>Washington DC, American Psychological Association.</w:t>
      </w:r>
    </w:p>
    <w:p w14:paraId="73EE0917"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Kandel, E. R. (1998) A new intellectual framework for psychiatry.</w:t>
      </w:r>
      <w:r w:rsidRPr="008B68A9">
        <w:rPr>
          <w:rFonts w:eastAsia="Arial" w:cs="Arial"/>
          <w:i/>
          <w:szCs w:val="24"/>
        </w:rPr>
        <w:t xml:space="preserve"> American</w:t>
      </w:r>
      <w:r w:rsidRPr="008B68A9">
        <w:rPr>
          <w:rFonts w:eastAsia="Arial" w:cs="Arial"/>
          <w:szCs w:val="24"/>
        </w:rPr>
        <w:t xml:space="preserve"> </w:t>
      </w:r>
      <w:r w:rsidRPr="008B68A9">
        <w:rPr>
          <w:rFonts w:eastAsia="Arial" w:cs="Arial"/>
          <w:i/>
          <w:szCs w:val="24"/>
        </w:rPr>
        <w:t xml:space="preserve">Journal of Psychiatry, </w:t>
      </w:r>
      <w:r w:rsidRPr="008B68A9">
        <w:rPr>
          <w:rFonts w:eastAsia="Arial" w:cs="Arial"/>
          <w:b/>
          <w:szCs w:val="24"/>
        </w:rPr>
        <w:t>155</w:t>
      </w:r>
      <w:r w:rsidRPr="008B68A9">
        <w:rPr>
          <w:rFonts w:eastAsia="Arial" w:cs="Arial"/>
          <w:szCs w:val="24"/>
        </w:rPr>
        <w:t xml:space="preserve"> (4), 457-469.</w:t>
      </w:r>
    </w:p>
    <w:p w14:paraId="0DDFAA00"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Kelly, T. &amp; Howie, L. (2007) Working with stories in nursing research: Procedures used in narrative analysis. </w:t>
      </w:r>
      <w:r w:rsidRPr="008B68A9">
        <w:rPr>
          <w:rFonts w:eastAsia="Arial" w:cs="Arial"/>
          <w:i/>
          <w:szCs w:val="24"/>
        </w:rPr>
        <w:t>International Journal of Mental Health Nursing</w:t>
      </w:r>
      <w:r w:rsidRPr="008B68A9">
        <w:rPr>
          <w:rFonts w:eastAsia="Arial" w:cs="Arial"/>
          <w:szCs w:val="24"/>
        </w:rPr>
        <w:t>, (16), 136-144.</w:t>
      </w:r>
    </w:p>
    <w:p w14:paraId="5889722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Kinderman, P. (2014a) </w:t>
      </w:r>
      <w:r w:rsidRPr="008B68A9">
        <w:rPr>
          <w:rFonts w:eastAsia="Arial" w:cs="Arial"/>
          <w:i/>
          <w:szCs w:val="24"/>
        </w:rPr>
        <w:t xml:space="preserve">The new laws of psychology. </w:t>
      </w:r>
      <w:r w:rsidRPr="008B68A9">
        <w:rPr>
          <w:rFonts w:eastAsia="Arial" w:cs="Arial"/>
          <w:szCs w:val="24"/>
        </w:rPr>
        <w:t>London, Robinson.</w:t>
      </w:r>
    </w:p>
    <w:p w14:paraId="2BEE20AF"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Kinderman, P. (2014b) </w:t>
      </w:r>
      <w:r w:rsidRPr="008B68A9">
        <w:rPr>
          <w:rFonts w:eastAsia="Arial" w:cs="Arial"/>
          <w:i/>
          <w:szCs w:val="24"/>
        </w:rPr>
        <w:t>Prescription for psychiatry: Why we need a whole new approach to mental health and wellbeing.</w:t>
      </w:r>
      <w:r w:rsidRPr="008B68A9">
        <w:rPr>
          <w:rFonts w:eastAsia="Arial" w:cs="Arial"/>
          <w:szCs w:val="24"/>
        </w:rPr>
        <w:t xml:space="preserve"> London, Palgrave Macmillan.</w:t>
      </w:r>
    </w:p>
    <w:p w14:paraId="6968A87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King, R. D., Raynes, N. V. &amp; Tizard, J. (1971) </w:t>
      </w:r>
      <w:r w:rsidRPr="008B68A9">
        <w:rPr>
          <w:rFonts w:eastAsia="Calibri" w:cs="Times New Roman"/>
          <w:i/>
          <w:szCs w:val="24"/>
        </w:rPr>
        <w:t>Patterns of residential care: Sociological studies in institutions for handicapped children</w:t>
      </w:r>
      <w:r w:rsidRPr="008B68A9">
        <w:rPr>
          <w:rFonts w:eastAsia="Calibri" w:cs="Times New Roman"/>
          <w:szCs w:val="24"/>
        </w:rPr>
        <w:t>. London, Routledge and Kegan Paul.</w:t>
      </w:r>
    </w:p>
    <w:p w14:paraId="6F140E0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Knapp, M., Lemmo, V. &amp; Romeo, R. (2012) Dementia care costs and outcomes: A systematic review. </w:t>
      </w:r>
      <w:r w:rsidRPr="008B68A9">
        <w:rPr>
          <w:rFonts w:eastAsia="Calibri" w:cs="Times New Roman"/>
          <w:i/>
          <w:szCs w:val="24"/>
        </w:rPr>
        <w:t>International Journal of Geriatric Psychiatry,</w:t>
      </w:r>
      <w:r w:rsidRPr="008B68A9">
        <w:rPr>
          <w:rFonts w:eastAsia="Calibri" w:cs="Times New Roman"/>
          <w:szCs w:val="24"/>
        </w:rPr>
        <w:t xml:space="preserve"> [online August 2012].</w:t>
      </w:r>
    </w:p>
    <w:p w14:paraId="6F6C491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Koch, T. (1983) Establishing rigour in qualitative research: The decision trail. </w:t>
      </w:r>
      <w:r w:rsidRPr="008B68A9">
        <w:rPr>
          <w:rFonts w:eastAsia="Calibri" w:cs="Times New Roman"/>
          <w:i/>
          <w:szCs w:val="24"/>
        </w:rPr>
        <w:t>Journal of Advanced Nursing</w:t>
      </w:r>
      <w:r w:rsidRPr="008B68A9">
        <w:rPr>
          <w:rFonts w:eastAsia="Calibri" w:cs="Times New Roman"/>
          <w:szCs w:val="24"/>
        </w:rPr>
        <w:t xml:space="preserve">, </w:t>
      </w:r>
      <w:r w:rsidRPr="008B68A9">
        <w:rPr>
          <w:rFonts w:eastAsia="Calibri" w:cs="Times New Roman"/>
          <w:b/>
          <w:szCs w:val="24"/>
        </w:rPr>
        <w:t>53</w:t>
      </w:r>
      <w:r w:rsidRPr="008B68A9">
        <w:rPr>
          <w:rFonts w:eastAsia="Calibri" w:cs="Times New Roman"/>
          <w:szCs w:val="24"/>
        </w:rPr>
        <w:t xml:space="preserve"> (1), 91-100.</w:t>
      </w:r>
    </w:p>
    <w:p w14:paraId="2E34F617" w14:textId="54B01C87" w:rsidR="00B82813" w:rsidRPr="008B68A9" w:rsidRDefault="00B82813" w:rsidP="00947BAF">
      <w:pPr>
        <w:spacing w:after="80" w:line="240" w:lineRule="auto"/>
        <w:ind w:left="357" w:hanging="357"/>
        <w:rPr>
          <w:rFonts w:eastAsia="Calibri" w:cs="Times New Roman"/>
          <w:szCs w:val="24"/>
        </w:rPr>
      </w:pPr>
      <w:r w:rsidRPr="008B68A9">
        <w:t>Korzybski, A. (1933) Science and Sanity: An introduction to non-Aristotelian systems and general semantics (fifth edition). New York, Institute of General Semantics</w:t>
      </w:r>
    </w:p>
    <w:p w14:paraId="283BCF2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Koyanagi, C., Alfano, E. &amp; Carty, L. (2008) </w:t>
      </w:r>
      <w:r w:rsidRPr="008B68A9">
        <w:rPr>
          <w:rFonts w:eastAsia="Calibri" w:cs="Times New Roman"/>
          <w:i/>
          <w:szCs w:val="24"/>
        </w:rPr>
        <w:t>In the driver’s seat: A guide to self-directed mental health care,</w:t>
      </w:r>
      <w:r w:rsidRPr="008B68A9">
        <w:rPr>
          <w:rFonts w:eastAsia="Calibri" w:cs="Times New Roman"/>
          <w:szCs w:val="24"/>
        </w:rPr>
        <w:t xml:space="preserve"> Bazelon Center for Mental Health Law &amp; UPENN, Collaboration on Consumer Integration, Florida.</w:t>
      </w:r>
    </w:p>
    <w:p w14:paraId="19867A5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Kremer, J. (2006) Consumers in charge of care: the Dutch personal budget and its impact on the market, professionals and the family. </w:t>
      </w:r>
      <w:r w:rsidRPr="008B68A9">
        <w:rPr>
          <w:rFonts w:eastAsia="Calibri" w:cs="Times New Roman"/>
          <w:i/>
          <w:color w:val="000000"/>
          <w:szCs w:val="24"/>
        </w:rPr>
        <w:t>European Societies</w:t>
      </w:r>
      <w:r w:rsidRPr="008B68A9">
        <w:rPr>
          <w:rFonts w:eastAsia="Calibri" w:cs="Times New Roman"/>
          <w:color w:val="000000"/>
          <w:szCs w:val="24"/>
        </w:rPr>
        <w:t>,</w:t>
      </w:r>
      <w:r w:rsidRPr="008B68A9">
        <w:rPr>
          <w:rFonts w:eastAsia="Calibri" w:cs="Times New Roman"/>
          <w:szCs w:val="24"/>
        </w:rPr>
        <w:t xml:space="preserve"> </w:t>
      </w:r>
      <w:r w:rsidRPr="008B68A9">
        <w:rPr>
          <w:rFonts w:eastAsia="Calibri" w:cs="Times New Roman"/>
          <w:b/>
          <w:szCs w:val="24"/>
        </w:rPr>
        <w:t>8</w:t>
      </w:r>
      <w:r w:rsidRPr="008B68A9">
        <w:rPr>
          <w:rFonts w:eastAsia="Calibri" w:cs="Times New Roman"/>
          <w:szCs w:val="24"/>
        </w:rPr>
        <w:t xml:space="preserve"> (3), 285-401</w:t>
      </w:r>
    </w:p>
    <w:p w14:paraId="570F078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Labov, W. &amp; Waletzky, J. (1967) Narrative analysis: Oral of personal experience. </w:t>
      </w:r>
      <w:r w:rsidRPr="008B68A9">
        <w:rPr>
          <w:rFonts w:eastAsia="Calibri" w:cs="Times New Roman"/>
          <w:i/>
          <w:szCs w:val="24"/>
        </w:rPr>
        <w:t>Journal of Narrative Analysis &amp; Life History,</w:t>
      </w:r>
      <w:r w:rsidRPr="008B68A9">
        <w:rPr>
          <w:rFonts w:eastAsia="Calibri" w:cs="Times New Roman"/>
          <w:szCs w:val="24"/>
        </w:rPr>
        <w:t xml:space="preserve"> </w:t>
      </w:r>
      <w:r w:rsidRPr="008B68A9">
        <w:rPr>
          <w:rFonts w:eastAsia="Calibri" w:cs="Times New Roman"/>
          <w:b/>
          <w:szCs w:val="24"/>
        </w:rPr>
        <w:t>7</w:t>
      </w:r>
      <w:r w:rsidRPr="008B68A9">
        <w:rPr>
          <w:rFonts w:eastAsia="Calibri" w:cs="Times New Roman"/>
          <w:szCs w:val="24"/>
        </w:rPr>
        <w:t xml:space="preserve"> (1), 3-38.</w:t>
      </w:r>
    </w:p>
    <w:p w14:paraId="76A1D12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Laing, R. D. (1986) </w:t>
      </w:r>
      <w:r w:rsidRPr="008B68A9">
        <w:rPr>
          <w:rFonts w:eastAsia="Calibri" w:cs="Times New Roman"/>
          <w:i/>
          <w:szCs w:val="24"/>
        </w:rPr>
        <w:t>Wisdom, madness and folly: The making of a psychiatrist.</w:t>
      </w:r>
      <w:r w:rsidRPr="008B68A9">
        <w:rPr>
          <w:rFonts w:eastAsia="Calibri" w:cs="Times New Roman"/>
          <w:szCs w:val="24"/>
        </w:rPr>
        <w:t xml:space="preserve"> London, Mcgraw-Hill</w:t>
      </w:r>
    </w:p>
    <w:p w14:paraId="50269B50" w14:textId="297BEB32" w:rsidR="00285FBD"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Lamb, N. (2012) </w:t>
      </w:r>
      <w:r w:rsidR="00285FBD" w:rsidRPr="008B68A9">
        <w:rPr>
          <w:rFonts w:eastAsia="Calibri" w:cs="Times New Roman"/>
          <w:i/>
          <w:szCs w:val="24"/>
        </w:rPr>
        <w:t>Thousands set to take control with personal health budgets care for care</w:t>
      </w:r>
      <w:r w:rsidR="00285FBD" w:rsidRPr="008B68A9">
        <w:rPr>
          <w:rFonts w:eastAsia="Calibri" w:cs="Times New Roman"/>
          <w:szCs w:val="24"/>
        </w:rPr>
        <w:t xml:space="preserve"> https://www.gov.uk/government/news/thousands-set-to-take-control-with-personal-health-budgets-cash-for-care.</w:t>
      </w:r>
    </w:p>
    <w:p w14:paraId="302B15E2" w14:textId="74213436"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Laragy, C., &amp; Ottmann, G. (2011) Towards a framework for implementing individual funding based on an Australian case study. </w:t>
      </w:r>
      <w:r w:rsidRPr="008B68A9">
        <w:rPr>
          <w:rFonts w:eastAsia="Calibri" w:cs="Times New Roman"/>
          <w:i/>
          <w:szCs w:val="24"/>
        </w:rPr>
        <w:t>Journal of Policy and Practice in</w:t>
      </w:r>
      <w:r w:rsidRPr="008B68A9">
        <w:rPr>
          <w:rFonts w:eastAsia="Calibri" w:cs="Times New Roman"/>
          <w:szCs w:val="24"/>
        </w:rPr>
        <w:t xml:space="preserve"> </w:t>
      </w:r>
      <w:r w:rsidRPr="008B68A9">
        <w:rPr>
          <w:rFonts w:eastAsia="Calibri" w:cs="Times New Roman"/>
          <w:i/>
          <w:szCs w:val="24"/>
        </w:rPr>
        <w:t>Intellectual Disabilities,</w:t>
      </w:r>
      <w:r w:rsidRPr="008B68A9">
        <w:rPr>
          <w:rFonts w:eastAsia="Calibri" w:cs="Times New Roman"/>
          <w:szCs w:val="24"/>
        </w:rPr>
        <w:t xml:space="preserve"> </w:t>
      </w:r>
      <w:r w:rsidRPr="008B68A9">
        <w:rPr>
          <w:rFonts w:eastAsia="Calibri" w:cs="Times New Roman"/>
          <w:b/>
          <w:szCs w:val="24"/>
        </w:rPr>
        <w:t>8</w:t>
      </w:r>
      <w:r w:rsidRPr="008B68A9">
        <w:rPr>
          <w:rFonts w:eastAsia="Calibri" w:cs="Times New Roman"/>
          <w:szCs w:val="24"/>
        </w:rPr>
        <w:t xml:space="preserve"> (1), 18-27.</w:t>
      </w:r>
    </w:p>
    <w:p w14:paraId="7FF3451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Larkin, M. &amp; Mitchell, W. (2016) Carers, choice and personalisation: What do we know? </w:t>
      </w:r>
      <w:r w:rsidRPr="008B68A9">
        <w:rPr>
          <w:rFonts w:eastAsia="Calibri" w:cs="Times New Roman"/>
          <w:i/>
          <w:szCs w:val="24"/>
        </w:rPr>
        <w:t>Social Policy and Society,</w:t>
      </w:r>
      <w:r w:rsidRPr="008B68A9">
        <w:rPr>
          <w:rFonts w:eastAsia="Calibri" w:cs="Times New Roman"/>
          <w:szCs w:val="24"/>
        </w:rPr>
        <w:t xml:space="preserve"> </w:t>
      </w:r>
      <w:r w:rsidRPr="008B68A9">
        <w:rPr>
          <w:rFonts w:eastAsia="Calibri" w:cs="Times New Roman"/>
          <w:b/>
          <w:szCs w:val="24"/>
        </w:rPr>
        <w:t>15</w:t>
      </w:r>
      <w:r w:rsidRPr="008B68A9">
        <w:rPr>
          <w:rFonts w:eastAsia="Calibri" w:cs="Times New Roman"/>
          <w:szCs w:val="24"/>
        </w:rPr>
        <w:t xml:space="preserve"> (2), 189-205.</w:t>
      </w:r>
    </w:p>
    <w:p w14:paraId="32AE297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Larsen, J., Ainsworth, E., Harrop, C., Patterson, S., Hamilton, S., Szymczynska, P., Tew, J., Manthorpe, J., &amp; Pinfold, V. (2013) Implementing personalisation for people with mental health problems: A comparative case study of four local authorities in England.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22</w:t>
      </w:r>
      <w:r w:rsidRPr="008B68A9">
        <w:rPr>
          <w:rFonts w:eastAsia="Calibri" w:cs="Times New Roman"/>
          <w:szCs w:val="24"/>
        </w:rPr>
        <w:t xml:space="preserve"> (2) 174-182.</w:t>
      </w:r>
    </w:p>
    <w:p w14:paraId="5E7AB22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Larsen, J., Tew, J., Hamilton, S., Manthorpe, J., Pinfold, V., Szymczynska, P., &amp; Clewett, N. (2015) Outcomes from personal budgets in mental health: Service users’ experiences in three English local authorities.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24</w:t>
      </w:r>
      <w:r w:rsidRPr="008B68A9">
        <w:rPr>
          <w:rFonts w:eastAsia="Calibri" w:cs="Times New Roman"/>
          <w:szCs w:val="24"/>
        </w:rPr>
        <w:t xml:space="preserve"> (4), 219-224.</w:t>
      </w:r>
    </w:p>
    <w:p w14:paraId="66681C62" w14:textId="77777777" w:rsidR="00826934" w:rsidRPr="008B68A9" w:rsidRDefault="00826934" w:rsidP="00826934">
      <w:pPr>
        <w:spacing w:after="80" w:line="240" w:lineRule="auto"/>
        <w:ind w:left="357" w:hanging="357"/>
        <w:rPr>
          <w:rFonts w:eastAsia="Calibri" w:cs="Times New Roman"/>
          <w:szCs w:val="24"/>
        </w:rPr>
      </w:pPr>
      <w:r w:rsidRPr="008B68A9">
        <w:rPr>
          <w:rFonts w:eastAsia="Calibri" w:cs="Times New Roman"/>
          <w:szCs w:val="24"/>
        </w:rPr>
        <w:t xml:space="preserve">Leach, L. (2014) </w:t>
      </w:r>
      <w:r w:rsidRPr="008B68A9">
        <w:rPr>
          <w:rFonts w:eastAsia="Calibri" w:cs="Times New Roman"/>
          <w:i/>
          <w:szCs w:val="24"/>
        </w:rPr>
        <w:t>Working on the inside</w:t>
      </w:r>
      <w:r w:rsidRPr="008B68A9">
        <w:rPr>
          <w:rFonts w:eastAsia="Calibri" w:cs="Times New Roman"/>
          <w:szCs w:val="24"/>
        </w:rPr>
        <w:t>. Sheffield The Centre for Welfare Reform in association with Bright Souls and Inclusion Press</w:t>
      </w:r>
    </w:p>
    <w:p w14:paraId="24111A7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Leadbeater, C. (2004) </w:t>
      </w:r>
      <w:r w:rsidRPr="008B68A9">
        <w:rPr>
          <w:rFonts w:eastAsia="Calibri" w:cs="Times New Roman"/>
          <w:i/>
          <w:szCs w:val="24"/>
        </w:rPr>
        <w:t>Personalisation through participation: A new script for public services</w:t>
      </w:r>
      <w:r w:rsidRPr="008B68A9">
        <w:rPr>
          <w:rFonts w:eastAsia="Calibri" w:cs="Times New Roman"/>
          <w:szCs w:val="24"/>
        </w:rPr>
        <w:t>. London, Demos.</w:t>
      </w:r>
    </w:p>
    <w:p w14:paraId="3F305B8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Leadbeater, C., Jamie, B. &amp; Gallagher, N. (2008) </w:t>
      </w:r>
      <w:r w:rsidRPr="008B68A9">
        <w:rPr>
          <w:rFonts w:eastAsia="Calibri" w:cs="Times New Roman"/>
          <w:i/>
          <w:szCs w:val="24"/>
        </w:rPr>
        <w:t>Making it personal.</w:t>
      </w:r>
      <w:r w:rsidRPr="008B68A9">
        <w:rPr>
          <w:rFonts w:eastAsia="Calibri" w:cs="Times New Roman"/>
          <w:szCs w:val="24"/>
        </w:rPr>
        <w:t xml:space="preserve"> London, Demos.</w:t>
      </w:r>
    </w:p>
    <w:p w14:paraId="3D35561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Leadbeater, C., &amp; Lownsbrough, H. (2005, unpublished). </w:t>
      </w:r>
      <w:r w:rsidRPr="008B68A9">
        <w:rPr>
          <w:rFonts w:eastAsia="Calibri" w:cs="Times New Roman"/>
          <w:i/>
          <w:szCs w:val="24"/>
        </w:rPr>
        <w:t>Personalisation and participation – The future of social care in Scotland</w:t>
      </w:r>
      <w:r w:rsidRPr="008B68A9">
        <w:rPr>
          <w:rFonts w:eastAsia="Calibri" w:cs="Times New Roman"/>
          <w:szCs w:val="24"/>
        </w:rPr>
        <w:t>. London, Demos.</w:t>
      </w:r>
    </w:p>
    <w:p w14:paraId="4235763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Leece, J. &amp; Leece. D. (2011) Personalisation: Perceptions of the role of social workers in a world of brokers and budgets. </w:t>
      </w:r>
      <w:r w:rsidRPr="008B68A9">
        <w:rPr>
          <w:rFonts w:eastAsia="Calibri" w:cs="Times New Roman"/>
          <w:i/>
          <w:szCs w:val="24"/>
        </w:rPr>
        <w:t>British Journal of Social Work</w:t>
      </w:r>
      <w:r w:rsidRPr="008B68A9">
        <w:rPr>
          <w:rFonts w:eastAsia="Calibri" w:cs="Times New Roman"/>
          <w:szCs w:val="24"/>
        </w:rPr>
        <w:t xml:space="preserve">, </w:t>
      </w:r>
      <w:r w:rsidRPr="008B68A9">
        <w:rPr>
          <w:rFonts w:eastAsia="Calibri" w:cs="Times New Roman"/>
          <w:b/>
          <w:szCs w:val="24"/>
        </w:rPr>
        <w:t>41</w:t>
      </w:r>
      <w:r w:rsidRPr="008B68A9">
        <w:rPr>
          <w:rFonts w:eastAsia="Calibri" w:cs="Times New Roman"/>
          <w:szCs w:val="24"/>
        </w:rPr>
        <w:t xml:space="preserve"> (2), 204-223.</w:t>
      </w:r>
    </w:p>
    <w:p w14:paraId="18051A7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 Grand, J. (2007) </w:t>
      </w:r>
      <w:r w:rsidRPr="008B68A9">
        <w:rPr>
          <w:rFonts w:eastAsia="Calibri" w:cs="Times New Roman"/>
          <w:i/>
          <w:szCs w:val="24"/>
        </w:rPr>
        <w:t>The other invisible hand: Delivering public services through choice and competition.</w:t>
      </w:r>
      <w:r w:rsidRPr="008B68A9">
        <w:rPr>
          <w:rFonts w:eastAsia="Calibri" w:cs="Times New Roman"/>
          <w:szCs w:val="24"/>
        </w:rPr>
        <w:t xml:space="preserve"> Princetown, NJ, Princetown University Press.</w:t>
      </w:r>
    </w:p>
    <w:p w14:paraId="16D4EBB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Lewinsohn, P. M. (1986) A behavioural approach to depression. In Coyne, J. C. (1986), </w:t>
      </w:r>
      <w:r w:rsidRPr="008B68A9">
        <w:rPr>
          <w:rFonts w:eastAsia="Calibri" w:cs="Times New Roman"/>
          <w:i/>
          <w:szCs w:val="24"/>
        </w:rPr>
        <w:t>Essential papers on depression.</w:t>
      </w:r>
      <w:r w:rsidRPr="008B68A9">
        <w:rPr>
          <w:rFonts w:eastAsia="Calibri" w:cs="Times New Roman"/>
          <w:szCs w:val="24"/>
        </w:rPr>
        <w:t xml:space="preserve"> New York, New York Press.</w:t>
      </w:r>
    </w:p>
    <w:p w14:paraId="0163DD4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Local Government Association (2014) </w:t>
      </w:r>
      <w:r w:rsidRPr="008B68A9">
        <w:rPr>
          <w:rFonts w:eastAsia="Calibri" w:cs="Times New Roman"/>
          <w:i/>
          <w:szCs w:val="24"/>
        </w:rPr>
        <w:t>Adult social care funding: 2014 state of the nation report.</w:t>
      </w:r>
      <w:r w:rsidRPr="008B68A9">
        <w:rPr>
          <w:rFonts w:eastAsia="Calibri" w:cs="Times New Roman"/>
          <w:szCs w:val="24"/>
        </w:rPr>
        <w:t xml:space="preserve"> London, Local Government Association and Association of Directors of Adult Social Services. </w:t>
      </w:r>
    </w:p>
    <w:p w14:paraId="6F2D4BD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Lin, N. (1999) Building a network theory of social capital, USA. </w:t>
      </w:r>
      <w:r w:rsidRPr="008B68A9">
        <w:rPr>
          <w:rFonts w:eastAsia="Calibri" w:cs="Times New Roman"/>
          <w:i/>
          <w:szCs w:val="24"/>
        </w:rPr>
        <w:t>Connections,</w:t>
      </w:r>
      <w:r w:rsidRPr="008B68A9">
        <w:rPr>
          <w:rFonts w:eastAsia="Calibri" w:cs="Times New Roman"/>
          <w:szCs w:val="24"/>
        </w:rPr>
        <w:t xml:space="preserve"> </w:t>
      </w:r>
      <w:r w:rsidRPr="008B68A9">
        <w:rPr>
          <w:rFonts w:eastAsia="Calibri" w:cs="Times New Roman"/>
          <w:b/>
          <w:szCs w:val="24"/>
        </w:rPr>
        <w:t>22</w:t>
      </w:r>
      <w:r w:rsidRPr="008B68A9">
        <w:rPr>
          <w:rFonts w:eastAsia="Calibri" w:cs="Times New Roman"/>
          <w:szCs w:val="24"/>
        </w:rPr>
        <w:t>, 28-51.</w:t>
      </w:r>
    </w:p>
    <w:p w14:paraId="37C3E09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Lin, N., Cook, K., &amp; Burt, R. S. (2001) </w:t>
      </w:r>
      <w:r w:rsidRPr="008B68A9">
        <w:rPr>
          <w:rFonts w:eastAsia="Calibri" w:cs="Times New Roman"/>
          <w:i/>
          <w:szCs w:val="24"/>
        </w:rPr>
        <w:t>Social capital theory and research</w:t>
      </w:r>
      <w:r w:rsidRPr="008B68A9">
        <w:rPr>
          <w:rFonts w:eastAsia="Calibri" w:cs="Times New Roman"/>
          <w:szCs w:val="24"/>
        </w:rPr>
        <w:t>. New York, Aldine De Gruyter.</w:t>
      </w:r>
    </w:p>
    <w:p w14:paraId="708B993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Livesley, M., Poll, C., Kennedy, J. &amp; Sanderson, H. (2008) </w:t>
      </w:r>
      <w:r w:rsidRPr="008B68A9">
        <w:rPr>
          <w:rFonts w:eastAsia="Calibri" w:cs="Times New Roman"/>
          <w:i/>
          <w:szCs w:val="24"/>
        </w:rPr>
        <w:t>Community connecting.</w:t>
      </w:r>
      <w:r w:rsidRPr="008B68A9">
        <w:rPr>
          <w:rFonts w:eastAsia="Calibri" w:cs="Times New Roman"/>
          <w:szCs w:val="24"/>
        </w:rPr>
        <w:t xml:space="preserve"> Stockport, Helen Sanderson Press.</w:t>
      </w:r>
    </w:p>
    <w:p w14:paraId="3681615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Lymbery, M. (2011)</w:t>
      </w:r>
      <w:r w:rsidRPr="008B68A9">
        <w:rPr>
          <w:rFonts w:eastAsia="Calibri" w:cs="Times New Roman"/>
          <w:color w:val="000000"/>
          <w:szCs w:val="24"/>
        </w:rPr>
        <w:t xml:space="preserve"> Social work and personalisation. </w:t>
      </w:r>
      <w:r w:rsidRPr="008B68A9">
        <w:rPr>
          <w:rFonts w:eastAsia="Calibri" w:cs="Times New Roman"/>
          <w:i/>
          <w:color w:val="000000"/>
          <w:szCs w:val="24"/>
        </w:rPr>
        <w:t>British Journal of Social Work,</w:t>
      </w:r>
      <w:r w:rsidRPr="008B68A9">
        <w:rPr>
          <w:rFonts w:eastAsia="Calibri" w:cs="Times New Roman"/>
          <w:color w:val="000000"/>
          <w:szCs w:val="24"/>
        </w:rPr>
        <w:t xml:space="preserve"> </w:t>
      </w:r>
      <w:r w:rsidRPr="008B68A9">
        <w:rPr>
          <w:rFonts w:eastAsia="Calibri" w:cs="Times New Roman"/>
          <w:b/>
          <w:color w:val="000000"/>
          <w:szCs w:val="24"/>
        </w:rPr>
        <w:t>42</w:t>
      </w:r>
      <w:r w:rsidRPr="008B68A9">
        <w:rPr>
          <w:rFonts w:eastAsia="Calibri" w:cs="Times New Roman"/>
          <w:color w:val="000000"/>
          <w:szCs w:val="24"/>
        </w:rPr>
        <w:t xml:space="preserve"> (4) 783-792.</w:t>
      </w:r>
    </w:p>
    <w:p w14:paraId="1C81283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Lymbery, M. (2012) </w:t>
      </w:r>
      <w:r w:rsidRPr="008B68A9">
        <w:rPr>
          <w:rFonts w:eastAsia="Calibri" w:cs="Times New Roman"/>
          <w:color w:val="000000"/>
          <w:szCs w:val="24"/>
        </w:rPr>
        <w:t xml:space="preserve">Social work and personalisation: Fracturing the bureau-professional compact? </w:t>
      </w:r>
      <w:r w:rsidRPr="008B68A9">
        <w:rPr>
          <w:rFonts w:eastAsia="Calibri" w:cs="Times New Roman"/>
          <w:i/>
          <w:color w:val="000000"/>
          <w:szCs w:val="24"/>
        </w:rPr>
        <w:t>British Journal of Social Work,</w:t>
      </w:r>
      <w:r w:rsidRPr="008B68A9">
        <w:rPr>
          <w:rFonts w:eastAsia="Calibri" w:cs="Times New Roman"/>
          <w:color w:val="000000"/>
          <w:szCs w:val="24"/>
        </w:rPr>
        <w:t xml:space="preserve"> </w:t>
      </w:r>
      <w:r w:rsidRPr="008B68A9">
        <w:rPr>
          <w:rFonts w:eastAsia="Calibri" w:cs="Times New Roman"/>
          <w:b/>
          <w:color w:val="000000"/>
          <w:szCs w:val="24"/>
        </w:rPr>
        <w:t>44</w:t>
      </w:r>
      <w:r w:rsidRPr="008B68A9">
        <w:rPr>
          <w:rFonts w:eastAsia="Calibri" w:cs="Times New Roman"/>
          <w:color w:val="000000"/>
          <w:szCs w:val="24"/>
        </w:rPr>
        <w:t xml:space="preserve"> (4), 795-811.</w:t>
      </w:r>
    </w:p>
    <w:p w14:paraId="21EFBFD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Manthorpe, J. &amp; Moriarty, J. (2011) Nothing ventured, nothing gained: New guidance on risk. </w:t>
      </w:r>
      <w:r w:rsidRPr="008B68A9">
        <w:rPr>
          <w:rFonts w:eastAsia="Calibri" w:cs="Times New Roman"/>
          <w:i/>
          <w:szCs w:val="24"/>
        </w:rPr>
        <w:t>Journal of Dementia Care</w:t>
      </w:r>
      <w:r w:rsidRPr="008B68A9">
        <w:rPr>
          <w:rFonts w:eastAsia="Calibri" w:cs="Times New Roman"/>
          <w:szCs w:val="24"/>
        </w:rPr>
        <w:t xml:space="preserve">, </w:t>
      </w:r>
      <w:r w:rsidRPr="008B68A9">
        <w:rPr>
          <w:rFonts w:eastAsia="Calibri" w:cs="Times New Roman"/>
          <w:b/>
          <w:szCs w:val="24"/>
        </w:rPr>
        <w:t xml:space="preserve">19 </w:t>
      </w:r>
      <w:r w:rsidRPr="008B68A9">
        <w:rPr>
          <w:rFonts w:eastAsia="Calibri" w:cs="Times New Roman"/>
          <w:szCs w:val="24"/>
        </w:rPr>
        <w:t>(1), 20-22.</w:t>
      </w:r>
    </w:p>
    <w:p w14:paraId="05A02F8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Manthorpe, J, &amp; Samsi, K. (2013) </w:t>
      </w:r>
      <w:r w:rsidRPr="008B68A9">
        <w:rPr>
          <w:color w:val="000000"/>
          <w:szCs w:val="24"/>
        </w:rPr>
        <w:t xml:space="preserve">Inherently risky?: Personal budgets for people with dementia and the risks of financial abuse: Findings from an interview-based study with adult safeguarding coordinators </w:t>
      </w:r>
      <w:r w:rsidRPr="008B68A9">
        <w:rPr>
          <w:rFonts w:eastAsia="Calibri" w:cs="Times New Roman"/>
          <w:i/>
          <w:color w:val="000000"/>
          <w:szCs w:val="24"/>
        </w:rPr>
        <w:t xml:space="preserve">British Journal of Social Work, </w:t>
      </w:r>
      <w:r w:rsidRPr="008B68A9">
        <w:rPr>
          <w:rFonts w:eastAsia="Calibri" w:cs="Times New Roman"/>
          <w:b/>
          <w:color w:val="000000"/>
          <w:szCs w:val="24"/>
        </w:rPr>
        <w:t>43</w:t>
      </w:r>
      <w:r w:rsidRPr="008B68A9">
        <w:rPr>
          <w:rFonts w:eastAsia="Calibri" w:cs="Times New Roman"/>
          <w:color w:val="000000"/>
          <w:szCs w:val="24"/>
        </w:rPr>
        <w:t xml:space="preserve"> (5), 889-903.</w:t>
      </w:r>
    </w:p>
    <w:p w14:paraId="6D4BB790" w14:textId="1813A6A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Mahoney, K. J., Fishman, N. W., Doty, P., &amp; Squillace, M. R. (2007). The future of Cash and Counseling: The framers’ view. </w:t>
      </w:r>
      <w:r w:rsidRPr="008B68A9">
        <w:rPr>
          <w:rFonts w:eastAsia="Calibri" w:cs="Times New Roman"/>
          <w:i/>
          <w:szCs w:val="24"/>
        </w:rPr>
        <w:t>Health Services Research</w:t>
      </w:r>
      <w:r w:rsidRPr="008B68A9">
        <w:rPr>
          <w:rFonts w:eastAsia="Calibri" w:cs="Times New Roman"/>
          <w:szCs w:val="24"/>
        </w:rPr>
        <w:t xml:space="preserve">, </w:t>
      </w:r>
      <w:r w:rsidRPr="008B68A9">
        <w:rPr>
          <w:rFonts w:eastAsia="Calibri" w:cs="Times New Roman"/>
          <w:b/>
          <w:szCs w:val="24"/>
        </w:rPr>
        <w:t>42</w:t>
      </w:r>
      <w:r w:rsidRPr="008B68A9">
        <w:rPr>
          <w:rFonts w:eastAsia="Calibri" w:cs="Times New Roman"/>
          <w:szCs w:val="24"/>
        </w:rPr>
        <w:t xml:space="preserve"> (1 pt 2), 550–566.</w:t>
      </w:r>
    </w:p>
    <w:p w14:paraId="0CCDFCA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Martin, S. &amp; Webb, A. (2009) Citizen-centred public services: Contestability without consumer-driven competition? </w:t>
      </w:r>
      <w:r w:rsidRPr="008B68A9">
        <w:rPr>
          <w:rFonts w:eastAsia="Calibri" w:cs="Times New Roman"/>
          <w:i/>
          <w:szCs w:val="24"/>
        </w:rPr>
        <w:t>Public Money and Management,</w:t>
      </w:r>
      <w:r w:rsidRPr="008B68A9">
        <w:rPr>
          <w:rFonts w:eastAsia="Calibri" w:cs="Times New Roman"/>
          <w:szCs w:val="24"/>
        </w:rPr>
        <w:t xml:space="preserve"> </w:t>
      </w:r>
      <w:r w:rsidRPr="008B68A9">
        <w:rPr>
          <w:rFonts w:eastAsia="Calibri" w:cs="Times New Roman"/>
          <w:b/>
          <w:szCs w:val="24"/>
        </w:rPr>
        <w:t>29</w:t>
      </w:r>
      <w:r w:rsidRPr="008B68A9">
        <w:rPr>
          <w:rFonts w:eastAsia="Calibri" w:cs="Times New Roman"/>
          <w:szCs w:val="24"/>
        </w:rPr>
        <w:t xml:space="preserve"> (2), 121-130.</w:t>
      </w:r>
    </w:p>
    <w:p w14:paraId="5561AD4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Mathews-King, A. (2014) Health Minister says patients should have right to buy luxury goods with personal health budgets. </w:t>
      </w:r>
      <w:r w:rsidRPr="008B68A9">
        <w:rPr>
          <w:rFonts w:eastAsia="Calibri" w:cs="Times New Roman"/>
          <w:i/>
          <w:szCs w:val="24"/>
        </w:rPr>
        <w:t>Pulse</w:t>
      </w:r>
      <w:r w:rsidRPr="008B68A9">
        <w:rPr>
          <w:rFonts w:eastAsia="Calibri" w:cs="Times New Roman"/>
          <w:szCs w:val="24"/>
        </w:rPr>
        <w:t xml:space="preserve"> available at: http://www.pulsetoday.co.uk/news/commissioning/commissioning-topics/long-term-conditions/health-minister-says-patients-should-have-right-to-buy-luxury-goods-with-personal-health-budgets/20007927.fullarticle</w:t>
      </w:r>
    </w:p>
    <w:p w14:paraId="1F41D2F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MAXQDA (2007) Max Qualitative Data Analysis, VERBi, GmbH, Germany.</w:t>
      </w:r>
    </w:p>
    <w:p w14:paraId="3B461FF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Mead, G. H. (1935). </w:t>
      </w:r>
      <w:r w:rsidRPr="008B68A9">
        <w:rPr>
          <w:rFonts w:eastAsia="Calibri" w:cs="Times New Roman"/>
          <w:i/>
          <w:szCs w:val="24"/>
        </w:rPr>
        <w:t>The philosophy of the present</w:t>
      </w:r>
      <w:r w:rsidRPr="008B68A9">
        <w:rPr>
          <w:rFonts w:eastAsia="Calibri" w:cs="Times New Roman"/>
          <w:szCs w:val="24"/>
        </w:rPr>
        <w:t>. 1st Chicago, Chicago University Press.</w:t>
      </w:r>
    </w:p>
    <w:p w14:paraId="0C4564A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Mental Health Network (2009) </w:t>
      </w:r>
      <w:r w:rsidRPr="008B68A9">
        <w:rPr>
          <w:rFonts w:eastAsia="Calibri" w:cs="Times New Roman"/>
          <w:i/>
          <w:szCs w:val="24"/>
        </w:rPr>
        <w:t>Shaping personal health budgets: A view from the top</w:t>
      </w:r>
      <w:r w:rsidRPr="008B68A9">
        <w:rPr>
          <w:rFonts w:eastAsia="Calibri" w:cs="Times New Roman"/>
          <w:szCs w:val="24"/>
        </w:rPr>
        <w:t>. NHS Confederation.</w:t>
      </w:r>
    </w:p>
    <w:p w14:paraId="5D343D2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Mencap (2016) Definition of learning disability accessed https://www.mencap.org.uk/definition </w:t>
      </w:r>
    </w:p>
    <w:p w14:paraId="381AE81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Mind (2009) Personalisation in mental health: A review of the evidence. London, MIND.</w:t>
      </w:r>
    </w:p>
    <w:p w14:paraId="07E91B38" w14:textId="0654A20D" w:rsidR="00215B70" w:rsidRPr="008B68A9" w:rsidRDefault="00215B70" w:rsidP="00215B70">
      <w:pPr>
        <w:spacing w:after="80" w:line="240" w:lineRule="auto"/>
        <w:ind w:left="357" w:hanging="357"/>
        <w:rPr>
          <w:rFonts w:eastAsia="Arial" w:cs="Arial"/>
          <w:szCs w:val="24"/>
        </w:rPr>
      </w:pPr>
      <w:r w:rsidRPr="008B68A9">
        <w:rPr>
          <w:rFonts w:eastAsia="Arial" w:cs="Arial"/>
          <w:szCs w:val="24"/>
        </w:rPr>
        <w:t>Mind (2016) Definition of advocate accessed http://www.mind.org.uk/information-support/guides-to-support-and-services/advocacy/</w:t>
      </w:r>
    </w:p>
    <w:p w14:paraId="7B47B6C3"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Miles, B., Huberman, A. M., Saldaῆa, J. (2014) </w:t>
      </w:r>
      <w:r w:rsidRPr="008B68A9">
        <w:rPr>
          <w:rFonts w:eastAsia="Arial" w:cs="Arial"/>
          <w:i/>
          <w:szCs w:val="24"/>
        </w:rPr>
        <w:t xml:space="preserve">Qualitative data analysis: A methods sourcebook </w:t>
      </w:r>
      <w:r w:rsidRPr="008B68A9">
        <w:rPr>
          <w:rFonts w:eastAsia="Arial" w:cs="Arial"/>
          <w:szCs w:val="24"/>
        </w:rPr>
        <w:t>(3</w:t>
      </w:r>
      <w:r w:rsidRPr="008B68A9">
        <w:rPr>
          <w:rFonts w:eastAsia="Arial" w:cs="Arial"/>
          <w:szCs w:val="24"/>
          <w:vertAlign w:val="superscript"/>
        </w:rPr>
        <w:t>rd</w:t>
      </w:r>
      <w:r w:rsidRPr="008B68A9">
        <w:rPr>
          <w:rFonts w:eastAsia="Arial" w:cs="Arial"/>
          <w:szCs w:val="24"/>
        </w:rPr>
        <w:t xml:space="preserve"> ed.). London, Sage.</w:t>
      </w:r>
    </w:p>
    <w:p w14:paraId="093B5E50"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Mishler, E. G. (1995) Models of narrative analysis: A typography. </w:t>
      </w:r>
      <w:r w:rsidRPr="008B68A9">
        <w:rPr>
          <w:rFonts w:eastAsia="Arial" w:cs="Arial"/>
          <w:i/>
          <w:szCs w:val="24"/>
        </w:rPr>
        <w:t>Journal of Narrative and Life History</w:t>
      </w:r>
      <w:r w:rsidRPr="008B68A9">
        <w:rPr>
          <w:rFonts w:eastAsia="Arial" w:cs="Arial"/>
          <w:szCs w:val="24"/>
        </w:rPr>
        <w:t xml:space="preserve">, </w:t>
      </w:r>
      <w:r w:rsidRPr="008B68A9">
        <w:rPr>
          <w:rFonts w:eastAsia="Arial" w:cs="Arial"/>
          <w:b/>
          <w:szCs w:val="24"/>
        </w:rPr>
        <w:t xml:space="preserve">5 </w:t>
      </w:r>
      <w:r w:rsidRPr="008B68A9">
        <w:rPr>
          <w:rFonts w:eastAsia="Arial" w:cs="Arial"/>
          <w:szCs w:val="24"/>
        </w:rPr>
        <w:t>(2), 87-123.</w:t>
      </w:r>
    </w:p>
    <w:p w14:paraId="459DE620"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lastRenderedPageBreak/>
        <w:t xml:space="preserve">Mishler, E. G. (1999) </w:t>
      </w:r>
      <w:r w:rsidRPr="008B68A9">
        <w:rPr>
          <w:rFonts w:eastAsia="Arial" w:cs="Arial"/>
          <w:i/>
          <w:szCs w:val="24"/>
        </w:rPr>
        <w:t>Craft artists’ narrative of identity</w:t>
      </w:r>
      <w:r w:rsidRPr="008B68A9">
        <w:rPr>
          <w:rFonts w:eastAsia="Arial" w:cs="Arial"/>
          <w:szCs w:val="24"/>
        </w:rPr>
        <w:t>. Cambridge: Harvard</w:t>
      </w:r>
      <w:r w:rsidRPr="008B68A9">
        <w:rPr>
          <w:rFonts w:eastAsia="Calibri" w:cs="Times New Roman"/>
          <w:szCs w:val="24"/>
        </w:rPr>
        <w:t xml:space="preserve"> </w:t>
      </w:r>
      <w:r w:rsidRPr="008B68A9">
        <w:rPr>
          <w:rFonts w:eastAsia="Arial" w:cs="Arial"/>
          <w:szCs w:val="24"/>
        </w:rPr>
        <w:t>University Press.</w:t>
      </w:r>
    </w:p>
    <w:p w14:paraId="559222E7" w14:textId="77777777" w:rsidR="00947BAF" w:rsidRPr="008B68A9" w:rsidRDefault="00947BAF" w:rsidP="00947BAF">
      <w:pPr>
        <w:widowControl w:val="0"/>
        <w:autoSpaceDE w:val="0"/>
        <w:autoSpaceDN w:val="0"/>
        <w:adjustRightInd w:val="0"/>
        <w:spacing w:after="80" w:line="240" w:lineRule="auto"/>
        <w:ind w:left="357" w:hanging="357"/>
        <w:rPr>
          <w:rFonts w:eastAsia="Calibri" w:cs="Times New Roman"/>
          <w:szCs w:val="24"/>
        </w:rPr>
      </w:pPr>
      <w:r w:rsidRPr="008B68A9">
        <w:rPr>
          <w:rFonts w:eastAsia="Calibri" w:cs="Times New Roman"/>
          <w:szCs w:val="24"/>
        </w:rPr>
        <w:t xml:space="preserve">Mishler, E. G. (2005) Patient stories: Narrative of resistance and the ethics of humane care: a la recherché du temps perdu. </w:t>
      </w:r>
      <w:r w:rsidRPr="008B68A9">
        <w:rPr>
          <w:rFonts w:eastAsia="Calibri" w:cs="Times New Roman"/>
          <w:bCs/>
          <w:i/>
          <w:szCs w:val="24"/>
        </w:rPr>
        <w:t>Health: An Interdisciplinary Journal for the Social Study of Health, Health and Medicine</w:t>
      </w:r>
      <w:r w:rsidRPr="008B68A9">
        <w:rPr>
          <w:rFonts w:eastAsia="Calibri" w:cs="Times New Roman"/>
          <w:szCs w:val="24"/>
        </w:rPr>
        <w:t xml:space="preserve">, </w:t>
      </w:r>
      <w:r w:rsidRPr="008B68A9">
        <w:rPr>
          <w:rFonts w:eastAsia="Calibri" w:cs="Times New Roman"/>
          <w:b/>
          <w:szCs w:val="24"/>
        </w:rPr>
        <w:t>9</w:t>
      </w:r>
      <w:r w:rsidRPr="008B68A9">
        <w:rPr>
          <w:rFonts w:eastAsia="Calibri" w:cs="Times New Roman"/>
          <w:szCs w:val="24"/>
        </w:rPr>
        <w:t xml:space="preserve"> (4), 431-51.</w:t>
      </w:r>
    </w:p>
    <w:p w14:paraId="6251EA7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Murray, M. (1999) The storied nature of health and health. In Murray, M. &amp; Chamberlain, K. (1999) (eds.) </w:t>
      </w:r>
      <w:r w:rsidRPr="008B68A9">
        <w:rPr>
          <w:rFonts w:eastAsia="Calibri" w:cs="Times New Roman"/>
          <w:i/>
          <w:iCs/>
          <w:szCs w:val="24"/>
        </w:rPr>
        <w:t>Qualitative health psychology theories and methods.</w:t>
      </w:r>
      <w:r w:rsidRPr="008B68A9">
        <w:rPr>
          <w:rFonts w:eastAsia="Calibri" w:cs="Times New Roman"/>
          <w:szCs w:val="24"/>
        </w:rPr>
        <w:t xml:space="preserve"> London, Sage. </w:t>
      </w:r>
    </w:p>
    <w:p w14:paraId="7B9D667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Murray, M. (2009) Narrative psychology. In J. Smith (ed.). </w:t>
      </w:r>
      <w:r w:rsidRPr="008B68A9">
        <w:rPr>
          <w:rFonts w:eastAsia="Calibri" w:cs="Times New Roman"/>
          <w:i/>
          <w:szCs w:val="24"/>
        </w:rPr>
        <w:t>Qualitative psychology: A practical guide to research methods</w:t>
      </w:r>
      <w:r w:rsidRPr="008B68A9">
        <w:rPr>
          <w:rFonts w:eastAsia="Calibri" w:cs="Times New Roman"/>
          <w:szCs w:val="24"/>
        </w:rPr>
        <w:t>. London, Sage.</w:t>
      </w:r>
    </w:p>
    <w:p w14:paraId="6070F81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Murray, P., Duffy, S., Glasby, J., &amp; Needham, C. (2010). </w:t>
      </w:r>
      <w:r w:rsidRPr="008B68A9">
        <w:rPr>
          <w:rFonts w:eastAsia="Calibri" w:cs="Times New Roman"/>
          <w:i/>
          <w:szCs w:val="24"/>
        </w:rPr>
        <w:t>A fair start: A personalised pathway for disabled children and their families: Policy paper.</w:t>
      </w:r>
      <w:r w:rsidRPr="008B68A9">
        <w:rPr>
          <w:rFonts w:eastAsia="Calibri" w:cs="Times New Roman"/>
          <w:szCs w:val="24"/>
        </w:rPr>
        <w:t xml:space="preserve"> Sheffield, The Centre for Welfare Reform and University of Birmingham.</w:t>
      </w:r>
    </w:p>
    <w:p w14:paraId="68EB476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Murray, P., &amp; Duffy, S. (2011) </w:t>
      </w:r>
      <w:r w:rsidRPr="008B68A9">
        <w:rPr>
          <w:rFonts w:eastAsia="Calibri" w:cs="Times New Roman"/>
          <w:i/>
          <w:szCs w:val="24"/>
        </w:rPr>
        <w:t>Real wealth</w:t>
      </w:r>
      <w:r w:rsidRPr="008B68A9">
        <w:rPr>
          <w:rFonts w:eastAsia="Calibri" w:cs="Times New Roman"/>
          <w:szCs w:val="24"/>
        </w:rPr>
        <w:t>. Available from: http://www.centreforwelfarereform.org/library/by-az/real-wealth1.html {Accessed 20/02/15].</w:t>
      </w:r>
    </w:p>
    <w:p w14:paraId="51B7845E" w14:textId="2CC02BCA" w:rsidR="00D1620E" w:rsidRPr="008B68A9" w:rsidRDefault="00D1620E" w:rsidP="00947BAF">
      <w:pPr>
        <w:spacing w:after="80" w:line="240" w:lineRule="auto"/>
        <w:ind w:left="357" w:hanging="357"/>
        <w:rPr>
          <w:rFonts w:eastAsia="Calibri" w:cs="Times New Roman"/>
          <w:szCs w:val="24"/>
        </w:rPr>
      </w:pPr>
      <w:r w:rsidRPr="008B68A9">
        <w:rPr>
          <w:rFonts w:eastAsia="Calibri" w:cs="Times New Roman"/>
          <w:szCs w:val="24"/>
        </w:rPr>
        <w:t xml:space="preserve">Nasar, S. (2012) </w:t>
      </w:r>
      <w:r w:rsidRPr="008B68A9">
        <w:rPr>
          <w:rFonts w:eastAsia="Calibri" w:cs="Times New Roman"/>
          <w:i/>
          <w:szCs w:val="24"/>
        </w:rPr>
        <w:t>A beautiful mind</w:t>
      </w:r>
      <w:r w:rsidRPr="008B68A9">
        <w:rPr>
          <w:rFonts w:eastAsia="Calibri" w:cs="Times New Roman"/>
          <w:szCs w:val="24"/>
        </w:rPr>
        <w:t xml:space="preserve"> London, Simon and Schuster.</w:t>
      </w:r>
    </w:p>
    <w:p w14:paraId="251E1BB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Audit Office (2013) </w:t>
      </w:r>
      <w:r w:rsidRPr="008B68A9">
        <w:rPr>
          <w:rFonts w:eastAsia="Calibri" w:cs="Times New Roman"/>
          <w:i/>
          <w:szCs w:val="24"/>
        </w:rPr>
        <w:t>Case study on integration: Measuring the costs and benefits of whole-place community budgets: Report by the Controller and Auditor General.</w:t>
      </w:r>
      <w:r w:rsidRPr="008B68A9">
        <w:rPr>
          <w:rFonts w:eastAsia="Calibri" w:cs="Times New Roman"/>
          <w:szCs w:val="24"/>
        </w:rPr>
        <w:t xml:space="preserve"> London, The Stationery Office.</w:t>
      </w:r>
    </w:p>
    <w:p w14:paraId="0F1A46A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Audit Office (2014) </w:t>
      </w:r>
      <w:r w:rsidRPr="008B68A9">
        <w:rPr>
          <w:rFonts w:eastAsia="Calibri" w:cs="Times New Roman"/>
          <w:i/>
          <w:szCs w:val="24"/>
        </w:rPr>
        <w:t>Adult social care in England: Overview</w:t>
      </w:r>
      <w:r w:rsidRPr="008B68A9">
        <w:rPr>
          <w:rFonts w:eastAsia="Calibri" w:cs="Times New Roman"/>
          <w:szCs w:val="24"/>
        </w:rPr>
        <w:t xml:space="preserve">. </w:t>
      </w:r>
      <w:r w:rsidRPr="008B68A9">
        <w:rPr>
          <w:rFonts w:eastAsia="Calibri" w:cs="Times New Roman"/>
          <w:i/>
          <w:szCs w:val="24"/>
        </w:rPr>
        <w:t xml:space="preserve">Report by the Controller and Auditor General. </w:t>
      </w:r>
      <w:r w:rsidRPr="008B68A9">
        <w:rPr>
          <w:rFonts w:eastAsia="Calibri" w:cs="Times New Roman"/>
          <w:szCs w:val="24"/>
        </w:rPr>
        <w:t>London, The Stationery Office.</w:t>
      </w:r>
    </w:p>
    <w:p w14:paraId="7E14275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Audit Office (2016) </w:t>
      </w:r>
      <w:r w:rsidRPr="008B68A9">
        <w:rPr>
          <w:rFonts w:eastAsia="Calibri" w:cs="Times New Roman"/>
          <w:i/>
          <w:szCs w:val="24"/>
        </w:rPr>
        <w:t>Personalised commissioning in adult social care.</w:t>
      </w:r>
      <w:r w:rsidRPr="008B68A9">
        <w:rPr>
          <w:rFonts w:eastAsia="Calibri" w:cs="Times New Roman"/>
          <w:szCs w:val="24"/>
        </w:rPr>
        <w:t xml:space="preserve"> </w:t>
      </w:r>
      <w:r w:rsidRPr="008B68A9">
        <w:rPr>
          <w:rFonts w:eastAsia="Calibri" w:cs="Times New Roman"/>
          <w:i/>
          <w:szCs w:val="24"/>
        </w:rPr>
        <w:t>Report by the Controller and Auditor General.</w:t>
      </w:r>
      <w:r w:rsidRPr="008B68A9">
        <w:rPr>
          <w:rFonts w:eastAsia="Calibri" w:cs="Times New Roman"/>
          <w:szCs w:val="24"/>
        </w:rPr>
        <w:t xml:space="preserve"> London, The Stationery Office.</w:t>
      </w:r>
    </w:p>
    <w:p w14:paraId="6637005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Health Service Confederation (2015) </w:t>
      </w:r>
      <w:r w:rsidRPr="008B68A9">
        <w:rPr>
          <w:rFonts w:eastAsia="Calibri" w:cs="Times New Roman"/>
          <w:i/>
          <w:szCs w:val="24"/>
        </w:rPr>
        <w:t>Personal budgets in mental health: Key points on implementation</w:t>
      </w:r>
      <w:r w:rsidRPr="008B68A9">
        <w:rPr>
          <w:rFonts w:eastAsia="Calibri" w:cs="Times New Roman"/>
          <w:szCs w:val="24"/>
        </w:rPr>
        <w:t xml:space="preserve">, </w:t>
      </w:r>
      <w:r w:rsidRPr="008B68A9">
        <w:rPr>
          <w:rFonts w:eastAsia="Calibri" w:cs="Times New Roman"/>
          <w:i/>
          <w:szCs w:val="24"/>
        </w:rPr>
        <w:t xml:space="preserve">Briefing, issue 284. </w:t>
      </w:r>
      <w:r w:rsidRPr="008B68A9">
        <w:rPr>
          <w:rFonts w:eastAsia="Calibri" w:cs="Times New Roman"/>
          <w:szCs w:val="24"/>
        </w:rPr>
        <w:t>London, National Health Service Confederation.</w:t>
      </w:r>
    </w:p>
    <w:p w14:paraId="6713DBB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Health Service England, (2015) </w:t>
      </w:r>
      <w:r w:rsidRPr="008B68A9">
        <w:rPr>
          <w:rFonts w:eastAsia="Calibri" w:cs="Times New Roman"/>
          <w:i/>
          <w:szCs w:val="24"/>
        </w:rPr>
        <w:t>The forward view into action: Planning for 2015/16.</w:t>
      </w:r>
      <w:r w:rsidRPr="008B68A9">
        <w:rPr>
          <w:rFonts w:eastAsia="Calibri" w:cs="Times New Roman"/>
          <w:szCs w:val="24"/>
        </w:rPr>
        <w:t xml:space="preserve"> NHS London.</w:t>
      </w:r>
    </w:p>
    <w:p w14:paraId="7FE0254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Assembly for Wales (2010) </w:t>
      </w:r>
      <w:r w:rsidRPr="008B68A9">
        <w:rPr>
          <w:rFonts w:eastAsia="Calibri" w:cs="Times New Roman"/>
          <w:i/>
          <w:szCs w:val="24"/>
        </w:rPr>
        <w:t>Mental health (Wales) measure</w:t>
      </w:r>
      <w:r w:rsidRPr="008B68A9">
        <w:rPr>
          <w:rFonts w:eastAsia="Calibri" w:cs="Times New Roman"/>
          <w:szCs w:val="24"/>
        </w:rPr>
        <w:t>. (NAWM 8).</w:t>
      </w:r>
    </w:p>
    <w:p w14:paraId="7F75066C" w14:textId="651DB62E" w:rsidR="002A6FCB" w:rsidRPr="008B68A9" w:rsidRDefault="002A6FCB" w:rsidP="00947BAF">
      <w:pPr>
        <w:spacing w:after="80" w:line="240" w:lineRule="auto"/>
        <w:ind w:left="357" w:hanging="357"/>
        <w:rPr>
          <w:rFonts w:eastAsia="Arial" w:cs="Arial"/>
          <w:szCs w:val="24"/>
        </w:rPr>
      </w:pPr>
      <w:r w:rsidRPr="008B68A9">
        <w:rPr>
          <w:rFonts w:eastAsia="Arial" w:cs="Arial"/>
          <w:szCs w:val="24"/>
        </w:rPr>
        <w:t>National Disability Insurance Scheme Act, (2013). (No.20 2013) Australia</w:t>
      </w:r>
    </w:p>
    <w:p w14:paraId="55044C3F"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National Institute for health and Care Excellence. (2011). </w:t>
      </w:r>
      <w:r w:rsidRPr="008B68A9">
        <w:rPr>
          <w:rFonts w:eastAsia="Arial" w:cs="Arial"/>
          <w:i/>
          <w:szCs w:val="24"/>
        </w:rPr>
        <w:t xml:space="preserve">Service user experience in adult mental health: Improving the experience of care for people using adult NHS mental health services. NICE clinical guideline 136, </w:t>
      </w:r>
      <w:r w:rsidRPr="008B68A9">
        <w:rPr>
          <w:rFonts w:eastAsia="Arial" w:cs="Arial"/>
          <w:szCs w:val="24"/>
        </w:rPr>
        <w:t>NHS Evidence.</w:t>
      </w:r>
    </w:p>
    <w:p w14:paraId="20EDF32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National Mental Health Association (2005) Consumer control and choice: An overview of  self-determination initiatives for persons with psychiatric disabilities. NMHA issue brief available from: http://www.mentalhealthamerica.net/sites/default/files/Consumer_Control_IssueBrief.pdf.</w:t>
      </w:r>
    </w:p>
    <w:p w14:paraId="639669C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Patient Safety Agency (2009) </w:t>
      </w:r>
      <w:r w:rsidRPr="008B68A9">
        <w:rPr>
          <w:rFonts w:eastAsia="Calibri" w:cs="Times New Roman"/>
          <w:i/>
          <w:szCs w:val="24"/>
        </w:rPr>
        <w:t>Defining research: NRES guidance to help you decide if your project requires review by a research ethics committee.</w:t>
      </w:r>
      <w:r w:rsidRPr="008B68A9">
        <w:rPr>
          <w:rFonts w:eastAsia="Calibri" w:cs="Times New Roman"/>
          <w:szCs w:val="24"/>
        </w:rPr>
        <w:t xml:space="preserve"> London, NPSA.</w:t>
      </w:r>
    </w:p>
    <w:p w14:paraId="1C64B0C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National Treatment Agency (2010) </w:t>
      </w:r>
      <w:r w:rsidRPr="008B68A9">
        <w:rPr>
          <w:rFonts w:eastAsia="Calibri" w:cs="Times New Roman"/>
          <w:i/>
          <w:szCs w:val="24"/>
        </w:rPr>
        <w:t>Commissioning for recovery: Drug treatment, reintegration and recovery in the community and prisons.</w:t>
      </w:r>
      <w:r w:rsidRPr="008B68A9">
        <w:rPr>
          <w:rFonts w:eastAsia="Calibri" w:cs="Times New Roman"/>
          <w:szCs w:val="24"/>
        </w:rPr>
        <w:t xml:space="preserve"> London, National Treatment Agency for Substance Misuse.</w:t>
      </w:r>
    </w:p>
    <w:p w14:paraId="5DDE0EE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National Treatment Agency for Substance Misuse (2011) </w:t>
      </w:r>
      <w:r w:rsidRPr="008B68A9">
        <w:rPr>
          <w:rFonts w:eastAsia="Calibri" w:cs="Times New Roman"/>
          <w:i/>
          <w:szCs w:val="24"/>
        </w:rPr>
        <w:t xml:space="preserve">Recovery orientated drug treatment: An interim report by Professor John Strang. </w:t>
      </w:r>
      <w:r w:rsidRPr="008B68A9">
        <w:rPr>
          <w:rFonts w:eastAsia="Calibri" w:cs="Times New Roman"/>
          <w:szCs w:val="24"/>
        </w:rPr>
        <w:t>London, National Treatment Agency for Substance Misuse.</w:t>
      </w:r>
    </w:p>
    <w:p w14:paraId="2AEE29C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Needham, C. (2008) Realising the potential of co-production: Negotiating improvements. </w:t>
      </w:r>
      <w:r w:rsidRPr="008B68A9">
        <w:rPr>
          <w:rFonts w:eastAsia="Calibri" w:cs="Times New Roman"/>
          <w:i/>
          <w:szCs w:val="24"/>
        </w:rPr>
        <w:t>Public Services Social Policy and Society,</w:t>
      </w:r>
      <w:r w:rsidRPr="008B68A9">
        <w:rPr>
          <w:rFonts w:eastAsia="Calibri" w:cs="Times New Roman"/>
          <w:szCs w:val="24"/>
        </w:rPr>
        <w:t xml:space="preserve"> </w:t>
      </w:r>
      <w:r w:rsidRPr="008B68A9">
        <w:rPr>
          <w:rFonts w:eastAsia="Calibri" w:cs="Times New Roman"/>
          <w:b/>
          <w:szCs w:val="24"/>
        </w:rPr>
        <w:t>7</w:t>
      </w:r>
      <w:r w:rsidRPr="008B68A9">
        <w:rPr>
          <w:rFonts w:eastAsia="Calibri" w:cs="Times New Roman"/>
          <w:szCs w:val="24"/>
        </w:rPr>
        <w:t>, 221-231.</w:t>
      </w:r>
    </w:p>
    <w:p w14:paraId="0DC689AC"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 xml:space="preserve">Needham, C. (2009a) </w:t>
      </w:r>
      <w:r w:rsidRPr="008B68A9">
        <w:rPr>
          <w:rFonts w:eastAsia="Calibri" w:cs="Times New Roman"/>
          <w:szCs w:val="24"/>
        </w:rPr>
        <w:t xml:space="preserve">Interpreting personalization in England's National Health Service: A textual analysis. </w:t>
      </w:r>
      <w:r w:rsidRPr="008B68A9">
        <w:rPr>
          <w:rFonts w:eastAsia="Calibri" w:cs="Times New Roman"/>
          <w:i/>
          <w:szCs w:val="24"/>
        </w:rPr>
        <w:t>Critical Policy Studies</w:t>
      </w:r>
      <w:r w:rsidRPr="008B68A9">
        <w:rPr>
          <w:rFonts w:eastAsia="Calibri" w:cs="Times New Roman"/>
          <w:szCs w:val="24"/>
        </w:rPr>
        <w:t xml:space="preserve">, </w:t>
      </w:r>
      <w:r w:rsidRPr="008B68A9">
        <w:rPr>
          <w:rFonts w:eastAsia="Calibri" w:cs="Times New Roman"/>
          <w:b/>
          <w:szCs w:val="24"/>
        </w:rPr>
        <w:t>3</w:t>
      </w:r>
      <w:r w:rsidRPr="008B68A9">
        <w:rPr>
          <w:rFonts w:eastAsia="Calibri" w:cs="Times New Roman"/>
          <w:szCs w:val="24"/>
        </w:rPr>
        <w:t xml:space="preserve"> (2), 204-220.</w:t>
      </w:r>
    </w:p>
    <w:p w14:paraId="149C4A0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Needham, C. (2009b) Editorial: Consumerism in public services. </w:t>
      </w:r>
      <w:r w:rsidRPr="008B68A9">
        <w:rPr>
          <w:rFonts w:eastAsia="Calibri" w:cs="Times New Roman"/>
          <w:i/>
          <w:szCs w:val="24"/>
        </w:rPr>
        <w:t>Public Money and Management,</w:t>
      </w:r>
      <w:r w:rsidRPr="008B68A9">
        <w:rPr>
          <w:rFonts w:eastAsia="Calibri" w:cs="Times New Roman"/>
          <w:szCs w:val="24"/>
        </w:rPr>
        <w:t xml:space="preserve"> </w:t>
      </w:r>
      <w:r w:rsidRPr="008B68A9">
        <w:rPr>
          <w:rFonts w:eastAsia="Calibri" w:cs="Times New Roman"/>
          <w:b/>
          <w:szCs w:val="24"/>
        </w:rPr>
        <w:t>29</w:t>
      </w:r>
      <w:r w:rsidRPr="008B68A9">
        <w:rPr>
          <w:rFonts w:eastAsia="Calibri" w:cs="Times New Roman"/>
          <w:szCs w:val="24"/>
        </w:rPr>
        <w:t xml:space="preserve"> (2), 79-81.</w:t>
      </w:r>
    </w:p>
    <w:p w14:paraId="4AD1A1E6"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Needham, C. &amp; Carr, S. (2012) </w:t>
      </w:r>
      <w:r w:rsidRPr="008B68A9">
        <w:rPr>
          <w:rFonts w:eastAsia="Arial" w:cs="Arial"/>
          <w:i/>
          <w:szCs w:val="24"/>
        </w:rPr>
        <w:t>Co-production: An emerging evidence base for adult social care transformation.</w:t>
      </w:r>
      <w:r w:rsidRPr="008B68A9">
        <w:rPr>
          <w:rFonts w:eastAsia="Arial" w:cs="Arial"/>
          <w:szCs w:val="24"/>
        </w:rPr>
        <w:t xml:space="preserve"> </w:t>
      </w:r>
      <w:r w:rsidRPr="008B68A9">
        <w:rPr>
          <w:rFonts w:eastAsia="Arial" w:cs="Arial"/>
          <w:i/>
          <w:szCs w:val="24"/>
        </w:rPr>
        <w:t>Research Briefing 31.</w:t>
      </w:r>
      <w:r w:rsidRPr="008B68A9">
        <w:rPr>
          <w:rFonts w:eastAsia="Arial" w:cs="Arial"/>
          <w:szCs w:val="24"/>
        </w:rPr>
        <w:t xml:space="preserve"> Social Care Institute for Excellence.</w:t>
      </w:r>
    </w:p>
    <w:p w14:paraId="673CD1D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Needham, C. (2010) </w:t>
      </w:r>
      <w:r w:rsidRPr="008B68A9">
        <w:rPr>
          <w:rFonts w:eastAsia="Calibri" w:cs="Times New Roman"/>
          <w:i/>
          <w:szCs w:val="24"/>
        </w:rPr>
        <w:t>Commissioning for personalization: From the fringes to the mainstream.</w:t>
      </w:r>
      <w:r w:rsidRPr="008B68A9">
        <w:rPr>
          <w:rFonts w:eastAsia="Calibri" w:cs="Times New Roman"/>
          <w:szCs w:val="24"/>
        </w:rPr>
        <w:t xml:space="preserve"> London, Queen Mary, University of London.</w:t>
      </w:r>
    </w:p>
    <w:p w14:paraId="234B046B"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Needham, C. (2011a) Personalization: From story-line to practice. </w:t>
      </w:r>
      <w:r w:rsidRPr="008B68A9">
        <w:rPr>
          <w:rFonts w:eastAsia="Arial" w:cs="Arial"/>
          <w:i/>
          <w:szCs w:val="24"/>
        </w:rPr>
        <w:t xml:space="preserve">Social Policy and Administration, </w:t>
      </w:r>
      <w:r w:rsidRPr="008B68A9">
        <w:rPr>
          <w:rFonts w:eastAsia="Arial" w:cs="Arial"/>
          <w:b/>
          <w:szCs w:val="24"/>
        </w:rPr>
        <w:t>45</w:t>
      </w:r>
      <w:r w:rsidRPr="008B68A9">
        <w:rPr>
          <w:rFonts w:eastAsia="Arial" w:cs="Arial"/>
          <w:szCs w:val="24"/>
        </w:rPr>
        <w:t xml:space="preserve"> (1), 54-68.</w:t>
      </w:r>
    </w:p>
    <w:p w14:paraId="0FF53226"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 xml:space="preserve">Needham, C. (2011b) </w:t>
      </w:r>
      <w:r w:rsidRPr="008B68A9">
        <w:rPr>
          <w:rFonts w:eastAsia="Calibri" w:cs="Times New Roman"/>
          <w:i/>
          <w:szCs w:val="24"/>
        </w:rPr>
        <w:t xml:space="preserve">Personalising public services: Understanding the personalisation narrative. </w:t>
      </w:r>
      <w:r w:rsidRPr="008B68A9">
        <w:rPr>
          <w:rFonts w:eastAsia="Calibri" w:cs="Times New Roman"/>
          <w:szCs w:val="24"/>
        </w:rPr>
        <w:t xml:space="preserve">Bristol, The Policy Press. </w:t>
      </w:r>
    </w:p>
    <w:p w14:paraId="4C9194E6" w14:textId="77777777" w:rsidR="00947BAF" w:rsidRPr="008B68A9" w:rsidRDefault="00947BAF" w:rsidP="00947BAF">
      <w:pPr>
        <w:spacing w:after="80" w:line="240" w:lineRule="auto"/>
        <w:ind w:left="357" w:hanging="357"/>
        <w:rPr>
          <w:rFonts w:eastAsia="Calibri" w:cs="Times New Roman"/>
          <w:b/>
          <w:szCs w:val="24"/>
        </w:rPr>
      </w:pPr>
      <w:r w:rsidRPr="008B68A9">
        <w:rPr>
          <w:rFonts w:eastAsia="Arial" w:cs="Arial"/>
          <w:szCs w:val="24"/>
        </w:rPr>
        <w:t xml:space="preserve">Needham, C. (2013a) </w:t>
      </w:r>
      <w:r w:rsidRPr="008B68A9">
        <w:rPr>
          <w:rFonts w:eastAsia="Calibri" w:cs="Times New Roman"/>
          <w:szCs w:val="24"/>
        </w:rPr>
        <w:t xml:space="preserve">Personalised commissioning, public spaces: The limits for the market in English social care services. </w:t>
      </w:r>
      <w:r w:rsidRPr="008B68A9">
        <w:rPr>
          <w:rFonts w:eastAsia="Calibri" w:cs="Times New Roman"/>
          <w:i/>
          <w:szCs w:val="24"/>
        </w:rPr>
        <w:t>BMC Health Services Research,</w:t>
      </w:r>
      <w:r w:rsidRPr="008B68A9">
        <w:rPr>
          <w:rFonts w:eastAsia="Calibri" w:cs="Times New Roman"/>
          <w:szCs w:val="24"/>
        </w:rPr>
        <w:t xml:space="preserve"> </w:t>
      </w:r>
      <w:r w:rsidRPr="008B68A9">
        <w:rPr>
          <w:rFonts w:eastAsia="Calibri" w:cs="Times New Roman"/>
          <w:b/>
          <w:szCs w:val="24"/>
        </w:rPr>
        <w:t>13</w:t>
      </w:r>
      <w:r w:rsidRPr="008B68A9">
        <w:rPr>
          <w:rFonts w:eastAsia="Calibri" w:cs="Times New Roman"/>
          <w:szCs w:val="24"/>
        </w:rPr>
        <w:t xml:space="preserve"> (Supplement 1), S5.</w:t>
      </w:r>
    </w:p>
    <w:p w14:paraId="080A2522" w14:textId="77777777" w:rsidR="00947BAF" w:rsidRPr="008B68A9" w:rsidRDefault="00947BAF" w:rsidP="00947BAF">
      <w:pPr>
        <w:spacing w:after="80" w:line="240" w:lineRule="auto"/>
        <w:ind w:left="357" w:hanging="357"/>
        <w:rPr>
          <w:rFonts w:eastAsia="Calibri" w:cs="Times New Roman"/>
          <w:szCs w:val="24"/>
        </w:rPr>
      </w:pPr>
      <w:r w:rsidRPr="008B68A9">
        <w:rPr>
          <w:rFonts w:eastAsia="Arial" w:cs="Arial"/>
          <w:szCs w:val="24"/>
        </w:rPr>
        <w:t xml:space="preserve">Needham, C. (2013b) </w:t>
      </w:r>
      <w:r w:rsidRPr="008B68A9">
        <w:rPr>
          <w:rFonts w:eastAsia="Calibri" w:cs="Times New Roman"/>
          <w:i/>
          <w:szCs w:val="24"/>
        </w:rPr>
        <w:t>The boundaries of budgets: Why should individuals make spending choices about their health and social care?</w:t>
      </w:r>
      <w:r w:rsidRPr="008B68A9">
        <w:rPr>
          <w:rFonts w:eastAsia="Calibri" w:cs="Times New Roman"/>
          <w:szCs w:val="24"/>
        </w:rPr>
        <w:t xml:space="preserve"> Centre for Health and the Public Interest. </w:t>
      </w:r>
    </w:p>
    <w:p w14:paraId="083F3A35"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Needham, C. &amp; Glasby, J. (2014) (eds.) </w:t>
      </w:r>
      <w:r w:rsidRPr="008B68A9">
        <w:rPr>
          <w:rFonts w:eastAsia="Arial" w:cs="Arial"/>
          <w:i/>
          <w:szCs w:val="24"/>
        </w:rPr>
        <w:t>Debates on personalisation</w:t>
      </w:r>
      <w:r w:rsidRPr="008B68A9">
        <w:rPr>
          <w:rFonts w:eastAsia="Arial" w:cs="Arial"/>
          <w:szCs w:val="24"/>
        </w:rPr>
        <w:t>. Bristol, Policy Press.</w:t>
      </w:r>
    </w:p>
    <w:p w14:paraId="7CA8C736"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Needham, C., (2015) The spaces of personalisation: Place and distance in caring labour. </w:t>
      </w:r>
      <w:r w:rsidRPr="008B68A9">
        <w:rPr>
          <w:rFonts w:eastAsia="Arial" w:cs="Arial"/>
          <w:i/>
          <w:szCs w:val="24"/>
        </w:rPr>
        <w:t>Social Policy and Society,</w:t>
      </w:r>
      <w:r w:rsidRPr="008B68A9">
        <w:rPr>
          <w:rFonts w:eastAsia="Arial" w:cs="Arial"/>
          <w:szCs w:val="24"/>
        </w:rPr>
        <w:t xml:space="preserve"> </w:t>
      </w:r>
      <w:r w:rsidRPr="008B68A9">
        <w:rPr>
          <w:rFonts w:eastAsia="Arial" w:cs="Arial"/>
          <w:b/>
          <w:szCs w:val="24"/>
        </w:rPr>
        <w:t>14</w:t>
      </w:r>
      <w:r w:rsidRPr="008B68A9">
        <w:rPr>
          <w:rFonts w:eastAsia="Arial" w:cs="Arial"/>
          <w:szCs w:val="24"/>
        </w:rPr>
        <w:t xml:space="preserve"> (3), 357-369.</w:t>
      </w:r>
    </w:p>
    <w:p w14:paraId="71EF5927"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Netten, A., Jones, K., Knapp, M., Fernandez, J. L., Challis, D., Glendinning, C., Jacobs, S., Manthorpe, J., Moran, N., Stevens, M. &amp; Wilberforce, M. (2012) </w:t>
      </w:r>
      <w:r w:rsidRPr="008B68A9">
        <w:rPr>
          <w:color w:val="000000"/>
          <w:szCs w:val="24"/>
        </w:rPr>
        <w:t xml:space="preserve">Personalisation through individual budgets: Does it work and for whom? </w:t>
      </w:r>
      <w:r w:rsidRPr="008B68A9">
        <w:rPr>
          <w:i/>
          <w:color w:val="000000"/>
          <w:szCs w:val="24"/>
        </w:rPr>
        <w:t>British Journal of Social Work,</w:t>
      </w:r>
      <w:r w:rsidRPr="008B68A9">
        <w:rPr>
          <w:color w:val="000000"/>
          <w:szCs w:val="24"/>
        </w:rPr>
        <w:t xml:space="preserve"> </w:t>
      </w:r>
      <w:r w:rsidRPr="008B68A9">
        <w:rPr>
          <w:b/>
          <w:color w:val="000000"/>
          <w:szCs w:val="24"/>
        </w:rPr>
        <w:t>42</w:t>
      </w:r>
      <w:r w:rsidRPr="008B68A9">
        <w:rPr>
          <w:color w:val="000000"/>
          <w:szCs w:val="24"/>
        </w:rPr>
        <w:t xml:space="preserve"> (8), 1556-1573.</w:t>
      </w:r>
    </w:p>
    <w:p w14:paraId="063C14CC"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Nirje, B. (1985). The basis and logic of the normalization principle. </w:t>
      </w:r>
      <w:r w:rsidRPr="008B68A9">
        <w:rPr>
          <w:rFonts w:eastAsia="Arial" w:cs="Arial"/>
          <w:i/>
          <w:szCs w:val="24"/>
        </w:rPr>
        <w:t>Journal of Intellectual and Developmental Disability</w:t>
      </w:r>
      <w:r w:rsidRPr="008B68A9">
        <w:rPr>
          <w:rFonts w:eastAsia="Arial" w:cs="Arial"/>
          <w:szCs w:val="24"/>
        </w:rPr>
        <w:t xml:space="preserve">, </w:t>
      </w:r>
      <w:r w:rsidRPr="008B68A9">
        <w:rPr>
          <w:rFonts w:eastAsia="Arial" w:cs="Arial"/>
          <w:b/>
          <w:szCs w:val="24"/>
        </w:rPr>
        <w:t xml:space="preserve">11 </w:t>
      </w:r>
      <w:r w:rsidRPr="008B68A9">
        <w:rPr>
          <w:rFonts w:eastAsia="Arial" w:cs="Arial"/>
          <w:szCs w:val="24"/>
        </w:rPr>
        <w:t xml:space="preserve">(2), 65-68. </w:t>
      </w:r>
    </w:p>
    <w:p w14:paraId="49F691A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Nursing and Midwifery Council (2015) </w:t>
      </w:r>
      <w:r w:rsidRPr="008B68A9">
        <w:rPr>
          <w:rFonts w:eastAsia="Arial" w:cs="Arial"/>
          <w:i/>
          <w:szCs w:val="24"/>
        </w:rPr>
        <w:t>The code: Standards of conduct, performance and ethics for nurses and midwives.</w:t>
      </w:r>
      <w:r w:rsidRPr="008B68A9">
        <w:rPr>
          <w:rFonts w:eastAsia="Arial" w:cs="Arial"/>
          <w:szCs w:val="24"/>
        </w:rPr>
        <w:t xml:space="preserve"> London, Nursing and Midwifery Council.</w:t>
      </w:r>
    </w:p>
    <w:p w14:paraId="133F8333" w14:textId="77777777" w:rsidR="00947BAF" w:rsidRPr="008B68A9" w:rsidRDefault="00947BAF" w:rsidP="00947BAF">
      <w:pPr>
        <w:spacing w:after="80" w:line="240" w:lineRule="auto"/>
        <w:ind w:left="357" w:hanging="357"/>
        <w:rPr>
          <w:rFonts w:eastAsia="Arial" w:cs="Arial"/>
          <w:szCs w:val="24"/>
        </w:rPr>
      </w:pPr>
      <w:r w:rsidRPr="008B68A9">
        <w:rPr>
          <w:rFonts w:eastAsia="Calibri" w:cs="Times New Roman"/>
          <w:color w:val="000000"/>
          <w:szCs w:val="24"/>
        </w:rPr>
        <w:t>O'Brien, D. Ford, L., &amp; Malloy, J. M.</w:t>
      </w:r>
      <w:r w:rsidRPr="008B68A9">
        <w:rPr>
          <w:rFonts w:eastAsia="Arial" w:cs="Arial"/>
          <w:szCs w:val="24"/>
        </w:rPr>
        <w:t xml:space="preserve"> (2005) Person centered funding: Using vouchers and personal budgets to support recovery and employment for people with psychiatric disabilities. </w:t>
      </w:r>
      <w:r w:rsidRPr="008B68A9">
        <w:rPr>
          <w:rFonts w:eastAsia="Arial" w:cs="Arial"/>
          <w:i/>
          <w:szCs w:val="24"/>
        </w:rPr>
        <w:t>Journal of Vocational Rehabilitation,</w:t>
      </w:r>
      <w:r w:rsidRPr="008B68A9">
        <w:rPr>
          <w:rFonts w:eastAsia="Arial" w:cs="Arial"/>
          <w:szCs w:val="24"/>
        </w:rPr>
        <w:t xml:space="preserve"> </w:t>
      </w:r>
      <w:r w:rsidRPr="008B68A9">
        <w:rPr>
          <w:rFonts w:eastAsia="Arial" w:cs="Arial"/>
          <w:b/>
          <w:szCs w:val="24"/>
        </w:rPr>
        <w:t>2</w:t>
      </w:r>
      <w:r w:rsidRPr="008B68A9">
        <w:rPr>
          <w:rFonts w:eastAsia="Arial" w:cs="Arial"/>
          <w:szCs w:val="24"/>
        </w:rPr>
        <w:t xml:space="preserve"> (32), 71-79.</w:t>
      </w:r>
    </w:p>
    <w:p w14:paraId="0698FDD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lastRenderedPageBreak/>
        <w:t xml:space="preserve">Office for the Deputy Prime Minister (2004) </w:t>
      </w:r>
      <w:r w:rsidRPr="008B68A9">
        <w:rPr>
          <w:rFonts w:eastAsia="Arial" w:cs="Arial"/>
          <w:i/>
          <w:szCs w:val="24"/>
        </w:rPr>
        <w:t>Mental health and social exclusion.</w:t>
      </w:r>
      <w:r w:rsidRPr="008B68A9">
        <w:rPr>
          <w:rFonts w:eastAsia="Arial" w:cs="Arial"/>
          <w:szCs w:val="24"/>
        </w:rPr>
        <w:t xml:space="preserve"> London, HMSO.</w:t>
      </w:r>
    </w:p>
    <w:p w14:paraId="364EF16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Oliver, M. (1996) </w:t>
      </w:r>
      <w:r w:rsidRPr="008B68A9">
        <w:rPr>
          <w:rFonts w:eastAsia="Calibri" w:cs="Times New Roman"/>
          <w:i/>
          <w:szCs w:val="24"/>
        </w:rPr>
        <w:t>Understanding disability from theory to practice.</w:t>
      </w:r>
      <w:r w:rsidRPr="008B68A9">
        <w:rPr>
          <w:rFonts w:eastAsia="Calibri" w:cs="Times New Roman"/>
          <w:szCs w:val="24"/>
        </w:rPr>
        <w:t xml:space="preserve"> London, Palgrave Macmillan.</w:t>
      </w:r>
    </w:p>
    <w:p w14:paraId="0D90D80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Ottmann, G. &amp; Laragy, C. (2011) Developing consumer-directed care for people with a disability: 10 lessons for user participation in health and community care policy and program development. </w:t>
      </w:r>
      <w:r w:rsidRPr="008B68A9">
        <w:rPr>
          <w:rFonts w:eastAsia="Calibri" w:cs="Times New Roman"/>
          <w:i/>
          <w:szCs w:val="24"/>
        </w:rPr>
        <w:t>Australian Health Review,</w:t>
      </w:r>
      <w:r w:rsidRPr="008B68A9">
        <w:rPr>
          <w:rFonts w:eastAsia="Calibri" w:cs="Times New Roman"/>
          <w:szCs w:val="24"/>
        </w:rPr>
        <w:t xml:space="preserve"> </w:t>
      </w:r>
      <w:r w:rsidRPr="008B68A9">
        <w:rPr>
          <w:rFonts w:eastAsia="Calibri" w:cs="Times New Roman"/>
          <w:b/>
          <w:szCs w:val="24"/>
        </w:rPr>
        <w:t>34,</w:t>
      </w:r>
      <w:r w:rsidRPr="008B68A9">
        <w:rPr>
          <w:rFonts w:eastAsia="Calibri" w:cs="Times New Roman"/>
          <w:szCs w:val="24"/>
        </w:rPr>
        <w:t xml:space="preserve"> 390-394.</w:t>
      </w:r>
    </w:p>
    <w:p w14:paraId="08BBB6C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Ottmann, G., Allen, J., &amp; Feldman, P. (2013) A systematic narrative review of consumer-directed care for older people: Implications for model development. </w:t>
      </w:r>
      <w:r w:rsidRPr="008B68A9">
        <w:rPr>
          <w:rFonts w:eastAsia="Calibri" w:cs="Times New Roman"/>
          <w:i/>
          <w:szCs w:val="24"/>
        </w:rPr>
        <w:t xml:space="preserve">Health and Social Care in the Community, </w:t>
      </w:r>
      <w:r w:rsidRPr="008B68A9">
        <w:rPr>
          <w:rFonts w:eastAsia="Calibri" w:cs="Times New Roman"/>
          <w:b/>
          <w:szCs w:val="24"/>
        </w:rPr>
        <w:t>21</w:t>
      </w:r>
      <w:r w:rsidRPr="008B68A9">
        <w:rPr>
          <w:rFonts w:eastAsia="Calibri" w:cs="Times New Roman"/>
          <w:szCs w:val="24"/>
        </w:rPr>
        <w:t xml:space="preserve"> (6), 563-581.</w:t>
      </w:r>
    </w:p>
    <w:p w14:paraId="245F6894" w14:textId="77777777" w:rsidR="00947BAF" w:rsidRPr="008B68A9" w:rsidRDefault="00947BAF" w:rsidP="00947BAF">
      <w:pPr>
        <w:spacing w:after="80" w:line="240" w:lineRule="auto"/>
        <w:ind w:left="357" w:hanging="357"/>
        <w:rPr>
          <w:rFonts w:eastAsia="Arial" w:cs="Arial"/>
          <w:szCs w:val="24"/>
        </w:rPr>
      </w:pPr>
      <w:r w:rsidRPr="008B68A9">
        <w:rPr>
          <w:rFonts w:cs="Arial"/>
          <w:color w:val="545454"/>
          <w:szCs w:val="24"/>
          <w:shd w:val="clear" w:color="auto" w:fill="FFFFFF"/>
        </w:rPr>
        <w:t xml:space="preserve">Overall, J. E, &amp; Gorham, D. R. (1962) The brief psychiatric rating scale. </w:t>
      </w:r>
      <w:r w:rsidRPr="008B68A9">
        <w:rPr>
          <w:rFonts w:cs="Arial"/>
          <w:i/>
          <w:color w:val="545454"/>
          <w:szCs w:val="24"/>
          <w:shd w:val="clear" w:color="auto" w:fill="FFFFFF"/>
        </w:rPr>
        <w:t>Psychological Reports</w:t>
      </w:r>
      <w:r w:rsidRPr="008B68A9">
        <w:rPr>
          <w:rFonts w:cs="Arial"/>
          <w:color w:val="545454"/>
          <w:szCs w:val="24"/>
          <w:shd w:val="clear" w:color="auto" w:fill="FFFFFF"/>
        </w:rPr>
        <w:t xml:space="preserve"> </w:t>
      </w:r>
      <w:r w:rsidRPr="008B68A9">
        <w:rPr>
          <w:rFonts w:cs="Arial"/>
          <w:b/>
          <w:color w:val="545454"/>
          <w:szCs w:val="24"/>
          <w:shd w:val="clear" w:color="auto" w:fill="FFFFFF"/>
        </w:rPr>
        <w:t>10</w:t>
      </w:r>
      <w:r w:rsidRPr="008B68A9">
        <w:rPr>
          <w:rFonts w:cs="Arial"/>
          <w:color w:val="545454"/>
          <w:szCs w:val="24"/>
          <w:shd w:val="clear" w:color="auto" w:fill="FFFFFF"/>
        </w:rPr>
        <w:t xml:space="preserve"> (2), pp. 799-812.</w:t>
      </w:r>
    </w:p>
    <w:p w14:paraId="7B3BB467"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Parsons, T. (1978) </w:t>
      </w:r>
      <w:r w:rsidRPr="008B68A9">
        <w:rPr>
          <w:rFonts w:eastAsia="Arial" w:cs="Arial"/>
          <w:i/>
          <w:szCs w:val="24"/>
        </w:rPr>
        <w:t>Action theory and the human condition.</w:t>
      </w:r>
      <w:r w:rsidRPr="008B68A9">
        <w:rPr>
          <w:rFonts w:eastAsia="Arial" w:cs="Arial"/>
          <w:szCs w:val="24"/>
        </w:rPr>
        <w:t xml:space="preserve"> New York: Free Press.</w:t>
      </w:r>
    </w:p>
    <w:p w14:paraId="3C84CDED"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Patterson, W. (2013) Narrative of events: Labovian narrative analysis and its limitations. In: Andrews, M., Squire, C., &amp; Tamboukou, M. (Ed.). </w:t>
      </w:r>
      <w:r w:rsidRPr="008B68A9">
        <w:rPr>
          <w:rFonts w:eastAsia="Arial" w:cs="Arial"/>
          <w:i/>
          <w:szCs w:val="24"/>
        </w:rPr>
        <w:t>Doing narrative research</w:t>
      </w:r>
      <w:r w:rsidRPr="008B68A9">
        <w:rPr>
          <w:rFonts w:eastAsia="Arial" w:cs="Arial"/>
          <w:szCs w:val="24"/>
        </w:rPr>
        <w:t xml:space="preserve">. London: Sage </w:t>
      </w:r>
      <w:r w:rsidRPr="008B68A9">
        <w:rPr>
          <w:rFonts w:eastAsia="Calibri" w:cs="Times New Roman"/>
          <w:szCs w:val="24"/>
        </w:rPr>
        <w:t>Publications</w:t>
      </w:r>
      <w:r w:rsidRPr="008B68A9">
        <w:rPr>
          <w:rFonts w:eastAsia="Arial" w:cs="Arial"/>
          <w:szCs w:val="24"/>
        </w:rPr>
        <w:t>.</w:t>
      </w:r>
    </w:p>
    <w:p w14:paraId="4DDCD65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Patton, M. Q. (2002). </w:t>
      </w:r>
      <w:r w:rsidRPr="008B68A9">
        <w:rPr>
          <w:rFonts w:eastAsia="Calibri" w:cs="Times New Roman"/>
          <w:i/>
          <w:szCs w:val="24"/>
        </w:rPr>
        <w:t>Qualitative research &amp; evaluation methods</w:t>
      </w:r>
      <w:r w:rsidRPr="008B68A9">
        <w:rPr>
          <w:rFonts w:eastAsia="Calibri" w:cs="Times New Roman"/>
          <w:szCs w:val="24"/>
        </w:rPr>
        <w:t xml:space="preserve"> (3rd ed.). (pp. 385-6). London, Sage Publications.</w:t>
      </w:r>
    </w:p>
    <w:p w14:paraId="2C1787E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Pearpoint, J., O'Brien, J. &amp; Forest, M. (1993) </w:t>
      </w:r>
      <w:r w:rsidRPr="008B68A9">
        <w:rPr>
          <w:rFonts w:eastAsia="Calibri" w:cs="Times New Roman"/>
          <w:i/>
          <w:szCs w:val="24"/>
        </w:rPr>
        <w:t>PATH: A workbook for planning positive possible futures and planning alternative tomorrows with hope for schools, organizations, businesses, and families.</w:t>
      </w:r>
      <w:r w:rsidRPr="008B68A9">
        <w:rPr>
          <w:rFonts w:eastAsia="Calibri" w:cs="Times New Roman"/>
          <w:szCs w:val="24"/>
        </w:rPr>
        <w:t xml:space="preserve"> (2nd ed.) Toronto, Inclusion Press.</w:t>
      </w:r>
    </w:p>
    <w:p w14:paraId="1DC5303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Pile, H. (2014a) All in the name of personalisation. In Beresford, P. (2014) </w:t>
      </w:r>
      <w:r w:rsidRPr="008B68A9">
        <w:rPr>
          <w:rFonts w:eastAsia="Calibri" w:cs="Times New Roman"/>
          <w:i/>
          <w:szCs w:val="24"/>
        </w:rPr>
        <w:t>Personalisation.</w:t>
      </w:r>
      <w:r w:rsidRPr="008B68A9">
        <w:rPr>
          <w:rFonts w:eastAsia="Calibri" w:cs="Times New Roman"/>
          <w:szCs w:val="24"/>
        </w:rPr>
        <w:t xml:space="preserve"> Bristol, Policy Press.</w:t>
      </w:r>
    </w:p>
    <w:p w14:paraId="30D66CA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Pile, H. (2014b) What about the workforce? </w:t>
      </w:r>
      <w:r w:rsidRPr="008B68A9">
        <w:rPr>
          <w:rFonts w:eastAsia="Calibri" w:cs="Times New Roman"/>
          <w:i/>
          <w:szCs w:val="24"/>
        </w:rPr>
        <w:t xml:space="preserve">In </w:t>
      </w:r>
      <w:r w:rsidRPr="008B68A9">
        <w:rPr>
          <w:rFonts w:eastAsia="Calibri" w:cs="Times New Roman"/>
          <w:szCs w:val="24"/>
        </w:rPr>
        <w:t xml:space="preserve">Needham, C. and Glasby, J. (Eds) </w:t>
      </w:r>
      <w:r w:rsidRPr="008B68A9">
        <w:rPr>
          <w:rFonts w:eastAsia="Calibri" w:cs="Times New Roman"/>
          <w:i/>
          <w:szCs w:val="24"/>
        </w:rPr>
        <w:t>Debates in personalisation.</w:t>
      </w:r>
      <w:r w:rsidRPr="008B68A9">
        <w:rPr>
          <w:rFonts w:eastAsia="Calibri" w:cs="Times New Roman"/>
          <w:szCs w:val="24"/>
        </w:rPr>
        <w:t xml:space="preserve"> Bristol, Policy Press.</w:t>
      </w:r>
    </w:p>
    <w:p w14:paraId="2D139DA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Pilgrim, D. &amp; Rogers, A. (2010) </w:t>
      </w:r>
      <w:r w:rsidRPr="008B68A9">
        <w:rPr>
          <w:rFonts w:eastAsia="Calibri" w:cs="Times New Roman"/>
          <w:i/>
          <w:szCs w:val="24"/>
        </w:rPr>
        <w:t>A sociology of mental health and health</w:t>
      </w:r>
      <w:r w:rsidRPr="008B68A9">
        <w:rPr>
          <w:rFonts w:eastAsia="Calibri" w:cs="Times New Roman"/>
          <w:szCs w:val="24"/>
        </w:rPr>
        <w:t xml:space="preserve"> (4</w:t>
      </w:r>
      <w:r w:rsidRPr="008B68A9">
        <w:rPr>
          <w:rFonts w:eastAsia="Calibri" w:cs="Times New Roman"/>
          <w:szCs w:val="24"/>
          <w:vertAlign w:val="superscript"/>
        </w:rPr>
        <w:t>th</w:t>
      </w:r>
      <w:r w:rsidRPr="008B68A9">
        <w:rPr>
          <w:rFonts w:eastAsia="Calibri" w:cs="Times New Roman"/>
          <w:szCs w:val="24"/>
        </w:rPr>
        <w:t xml:space="preserve"> ed.). London, Open University.</w:t>
      </w:r>
    </w:p>
    <w:p w14:paraId="649519F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Polkinghorne, D. E. (1998) </w:t>
      </w:r>
      <w:r w:rsidRPr="008B68A9">
        <w:rPr>
          <w:rFonts w:eastAsia="Calibri" w:cs="Times New Roman"/>
          <w:i/>
          <w:szCs w:val="24"/>
        </w:rPr>
        <w:t>Narrative knowing and the human sciences.</w:t>
      </w:r>
      <w:r w:rsidRPr="008B68A9">
        <w:rPr>
          <w:rFonts w:eastAsia="Calibri" w:cs="Times New Roman"/>
          <w:szCs w:val="24"/>
        </w:rPr>
        <w:t xml:space="preserve"> Albany, University of New York Press.</w:t>
      </w:r>
    </w:p>
    <w:p w14:paraId="4711047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Polkinghorne, D. E. (2007) Validity issues in narrative research. </w:t>
      </w:r>
      <w:r w:rsidRPr="008B68A9">
        <w:rPr>
          <w:rFonts w:eastAsia="Calibri" w:cs="Times New Roman"/>
          <w:i/>
          <w:szCs w:val="24"/>
        </w:rPr>
        <w:t>Qualitative Inquiry,</w:t>
      </w:r>
      <w:r w:rsidRPr="008B68A9">
        <w:rPr>
          <w:rFonts w:eastAsia="Calibri" w:cs="Times New Roman"/>
          <w:szCs w:val="24"/>
        </w:rPr>
        <w:t xml:space="preserve"> </w:t>
      </w:r>
      <w:r w:rsidRPr="008B68A9">
        <w:rPr>
          <w:rFonts w:eastAsia="Calibri" w:cs="Times New Roman"/>
          <w:b/>
          <w:szCs w:val="24"/>
        </w:rPr>
        <w:t>13</w:t>
      </w:r>
      <w:r w:rsidRPr="008B68A9">
        <w:rPr>
          <w:rFonts w:eastAsia="Calibri" w:cs="Times New Roman"/>
          <w:szCs w:val="24"/>
        </w:rPr>
        <w:t xml:space="preserve"> (4), 471-486.</w:t>
      </w:r>
    </w:p>
    <w:p w14:paraId="72E477B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Poll, C., Duffy, S., Hatton, C., Sanderson, H. &amp; Routledge, M. (2006). </w:t>
      </w:r>
      <w:r w:rsidRPr="008B68A9">
        <w:rPr>
          <w:rFonts w:eastAsia="Calibri" w:cs="Times New Roman"/>
          <w:i/>
          <w:szCs w:val="24"/>
        </w:rPr>
        <w:t xml:space="preserve">A report on In Control’s first phase 2003-2005. </w:t>
      </w:r>
      <w:r w:rsidRPr="008B68A9">
        <w:rPr>
          <w:rFonts w:eastAsia="Calibri" w:cs="Times New Roman"/>
          <w:szCs w:val="24"/>
        </w:rPr>
        <w:t>London, In Control.</w:t>
      </w:r>
    </w:p>
    <w:p w14:paraId="41D142FB" w14:textId="77777777" w:rsidR="00947BAF" w:rsidRPr="008B68A9" w:rsidRDefault="00947BAF" w:rsidP="00947BAF">
      <w:pPr>
        <w:spacing w:after="80" w:line="240" w:lineRule="auto"/>
        <w:ind w:left="357" w:hanging="357"/>
        <w:rPr>
          <w:rFonts w:eastAsia="Times New Roman" w:cs="Times New Roman"/>
          <w:szCs w:val="24"/>
          <w:lang w:eastAsia="en-GB"/>
        </w:rPr>
      </w:pPr>
      <w:r w:rsidRPr="008B68A9">
        <w:rPr>
          <w:rFonts w:eastAsia="Calibri" w:cs="Times New Roman"/>
          <w:szCs w:val="24"/>
        </w:rPr>
        <w:t xml:space="preserve">Power, A (2013) </w:t>
      </w:r>
      <w:r w:rsidRPr="008B68A9">
        <w:rPr>
          <w:rFonts w:eastAsia="Calibri" w:cs="Times New Roman"/>
          <w:color w:val="000000"/>
          <w:szCs w:val="24"/>
        </w:rPr>
        <w:t xml:space="preserve">Making space for belonging: Critical reflections on the implementation of personalised adult social care under the veil of meaningful inclusion. </w:t>
      </w:r>
      <w:r w:rsidRPr="008B68A9">
        <w:rPr>
          <w:rFonts w:eastAsia="Calibri" w:cs="Times New Roman"/>
          <w:i/>
          <w:color w:val="000000"/>
          <w:szCs w:val="24"/>
        </w:rPr>
        <w:t>Social Science &amp; Medicine,</w:t>
      </w:r>
      <w:r w:rsidRPr="008B68A9">
        <w:rPr>
          <w:rFonts w:eastAsia="Calibri" w:cs="Times New Roman"/>
          <w:color w:val="000000"/>
          <w:szCs w:val="24"/>
        </w:rPr>
        <w:t xml:space="preserve"> </w:t>
      </w:r>
      <w:r w:rsidRPr="008B68A9">
        <w:rPr>
          <w:rFonts w:eastAsia="Calibri" w:cs="Times New Roman"/>
          <w:b/>
          <w:color w:val="000000"/>
          <w:szCs w:val="24"/>
        </w:rPr>
        <w:t>88,</w:t>
      </w:r>
      <w:r w:rsidRPr="008B68A9">
        <w:rPr>
          <w:rFonts w:eastAsia="Calibri" w:cs="Times New Roman"/>
          <w:color w:val="000000"/>
          <w:szCs w:val="24"/>
        </w:rPr>
        <w:t xml:space="preserve"> </w:t>
      </w:r>
      <w:r w:rsidRPr="008B68A9">
        <w:rPr>
          <w:rFonts w:eastAsia="Times New Roman" w:cs="Times New Roman"/>
          <w:szCs w:val="24"/>
          <w:lang w:eastAsia="en-GB"/>
        </w:rPr>
        <w:t>68-75.</w:t>
      </w:r>
    </w:p>
    <w:p w14:paraId="1403642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Power, A. (2014) </w:t>
      </w:r>
      <w:r w:rsidRPr="008B68A9">
        <w:rPr>
          <w:rFonts w:eastAsia="Calibri" w:cs="Times New Roman"/>
          <w:color w:val="000000"/>
          <w:szCs w:val="24"/>
        </w:rPr>
        <w:t xml:space="preserve">Personalisation and austerity in the crosshairs: Government perspectives on the remaking of adult social care. </w:t>
      </w:r>
      <w:r w:rsidRPr="008B68A9">
        <w:rPr>
          <w:rFonts w:eastAsia="Calibri" w:cs="Times New Roman"/>
          <w:i/>
          <w:color w:val="000000"/>
          <w:szCs w:val="24"/>
        </w:rPr>
        <w:t>Journal of Social Policy,</w:t>
      </w:r>
      <w:r w:rsidRPr="008B68A9">
        <w:rPr>
          <w:rFonts w:eastAsia="Calibri" w:cs="Times New Roman"/>
          <w:color w:val="000000"/>
          <w:szCs w:val="24"/>
        </w:rPr>
        <w:t xml:space="preserve"> </w:t>
      </w:r>
      <w:r w:rsidRPr="008B68A9">
        <w:rPr>
          <w:rFonts w:eastAsia="Calibri" w:cs="Times New Roman"/>
          <w:b/>
          <w:color w:val="000000"/>
          <w:szCs w:val="24"/>
        </w:rPr>
        <w:t>43</w:t>
      </w:r>
      <w:r w:rsidRPr="008B68A9">
        <w:rPr>
          <w:rFonts w:eastAsia="Calibri" w:cs="Times New Roman"/>
          <w:color w:val="000000"/>
          <w:szCs w:val="24"/>
        </w:rPr>
        <w:t xml:space="preserve"> (4), 829-846.</w:t>
      </w:r>
    </w:p>
    <w:p w14:paraId="61255B18" w14:textId="77777777" w:rsidR="00947BAF" w:rsidRPr="008B68A9" w:rsidRDefault="00947BAF" w:rsidP="00947BAF">
      <w:pPr>
        <w:spacing w:after="80" w:line="240" w:lineRule="auto"/>
        <w:ind w:left="357" w:hanging="357"/>
        <w:rPr>
          <w:rFonts w:eastAsia="Calibri" w:cs="Times New Roman"/>
          <w:iCs/>
          <w:szCs w:val="24"/>
        </w:rPr>
      </w:pPr>
      <w:r w:rsidRPr="008B68A9">
        <w:rPr>
          <w:rFonts w:eastAsia="Calibri" w:cs="Times New Roman"/>
          <w:szCs w:val="24"/>
        </w:rPr>
        <w:t xml:space="preserve">President’s New Freedom Commission on Mental Health (2003) </w:t>
      </w:r>
      <w:r w:rsidRPr="008B68A9">
        <w:rPr>
          <w:rFonts w:eastAsia="Calibri" w:cs="Times New Roman"/>
          <w:i/>
          <w:iCs/>
          <w:szCs w:val="24"/>
        </w:rPr>
        <w:t xml:space="preserve">Achieving the promise: Transforming mental health care in America </w:t>
      </w:r>
      <w:r w:rsidRPr="008B68A9">
        <w:rPr>
          <w:rFonts w:eastAsia="Calibri" w:cs="Times New Roman"/>
          <w:szCs w:val="24"/>
        </w:rPr>
        <w:t>(Pub. No.</w:t>
      </w:r>
      <w:r w:rsidRPr="008B68A9">
        <w:rPr>
          <w:rFonts w:eastAsia="Calibri" w:cs="Times New Roman"/>
          <w:i/>
          <w:iCs/>
          <w:szCs w:val="24"/>
        </w:rPr>
        <w:t xml:space="preserve"> </w:t>
      </w:r>
      <w:r w:rsidRPr="008B68A9">
        <w:rPr>
          <w:rFonts w:eastAsia="Calibri" w:cs="Times New Roman"/>
          <w:szCs w:val="24"/>
        </w:rPr>
        <w:t>SMA-03–3832). Rockville, MD: U.S. DH and Human Service.</w:t>
      </w:r>
    </w:p>
    <w:p w14:paraId="7124936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Priestley, M., Riddell, S., Jolly, D., Pearson, C., Williams, V., Barnes, C. &amp; Mercer, G. (2010) Cultures of welfare at the front line: Implementing direct payments for disabled people in the UK, </w:t>
      </w:r>
      <w:r w:rsidRPr="008B68A9">
        <w:rPr>
          <w:rFonts w:eastAsia="Calibri" w:cs="Times New Roman"/>
          <w:i/>
          <w:szCs w:val="24"/>
        </w:rPr>
        <w:t>Policy and Politics</w:t>
      </w:r>
      <w:r w:rsidRPr="008B68A9">
        <w:rPr>
          <w:rFonts w:eastAsia="Calibri" w:cs="Times New Roman"/>
          <w:szCs w:val="24"/>
        </w:rPr>
        <w:t xml:space="preserve">, </w:t>
      </w:r>
      <w:r w:rsidRPr="008B68A9">
        <w:rPr>
          <w:rFonts w:eastAsia="Calibri" w:cs="Times New Roman"/>
          <w:b/>
          <w:szCs w:val="24"/>
        </w:rPr>
        <w:t>38</w:t>
      </w:r>
      <w:r w:rsidRPr="008B68A9">
        <w:rPr>
          <w:rFonts w:eastAsia="Calibri" w:cs="Times New Roman"/>
          <w:szCs w:val="24"/>
        </w:rPr>
        <w:t xml:space="preserve"> (2) p.307-324.</w:t>
      </w:r>
    </w:p>
    <w:p w14:paraId="23373DD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Propp, V. (1968) </w:t>
      </w:r>
      <w:r w:rsidRPr="008B68A9">
        <w:rPr>
          <w:rFonts w:eastAsia="Calibri" w:cs="Times New Roman"/>
          <w:i/>
          <w:szCs w:val="24"/>
        </w:rPr>
        <w:t>Morphology of the folktale</w:t>
      </w:r>
      <w:r w:rsidRPr="008B68A9">
        <w:rPr>
          <w:rFonts w:eastAsia="Calibri" w:cs="Times New Roman"/>
          <w:szCs w:val="24"/>
        </w:rPr>
        <w:t>. Austin, Texas, University of Texas Press.</w:t>
      </w:r>
    </w:p>
    <w:p w14:paraId="194C4B22"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Putnam, R. D. (1995). Bowling alone: America’s declining social capital. </w:t>
      </w:r>
      <w:r w:rsidRPr="008B68A9">
        <w:rPr>
          <w:rFonts w:eastAsia="Arial" w:cs="Arial"/>
          <w:i/>
          <w:szCs w:val="24"/>
        </w:rPr>
        <w:t>Journal of Democracy</w:t>
      </w:r>
      <w:r w:rsidRPr="008B68A9">
        <w:rPr>
          <w:rFonts w:eastAsia="Arial" w:cs="Arial"/>
          <w:szCs w:val="24"/>
        </w:rPr>
        <w:t xml:space="preserve">, </w:t>
      </w:r>
      <w:r w:rsidRPr="008B68A9">
        <w:rPr>
          <w:rFonts w:eastAsia="Arial" w:cs="Arial"/>
          <w:b/>
          <w:szCs w:val="24"/>
        </w:rPr>
        <w:t>6</w:t>
      </w:r>
      <w:r w:rsidRPr="008B68A9">
        <w:rPr>
          <w:rFonts w:eastAsia="Arial" w:cs="Arial"/>
          <w:szCs w:val="24"/>
        </w:rPr>
        <w:t>, 65-78.</w:t>
      </w:r>
    </w:p>
    <w:p w14:paraId="1EEB0BA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Putnam, R. D. (2000) </w:t>
      </w:r>
      <w:r w:rsidRPr="008B68A9">
        <w:rPr>
          <w:rFonts w:eastAsia="Calibri" w:cs="Times New Roman"/>
          <w:i/>
          <w:szCs w:val="24"/>
        </w:rPr>
        <w:t>Bowling alone: The collapse and revival of American community</w:t>
      </w:r>
      <w:r w:rsidRPr="008B68A9">
        <w:rPr>
          <w:rFonts w:eastAsia="Calibri" w:cs="Times New Roman"/>
          <w:szCs w:val="24"/>
        </w:rPr>
        <w:t>. New York, Simon and Schuster.</w:t>
      </w:r>
    </w:p>
    <w:p w14:paraId="3A2AD74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Quach, E. D., O'Connor, D. &amp; McGaffigan, E. (2010) </w:t>
      </w:r>
      <w:r w:rsidRPr="008B68A9">
        <w:rPr>
          <w:rFonts w:eastAsia="Calibri" w:cs="Times New Roman"/>
          <w:color w:val="000000"/>
          <w:szCs w:val="24"/>
        </w:rPr>
        <w:t xml:space="preserve">Supporting people with disabilities in managing individual budgets: The role of support brokers. </w:t>
      </w:r>
      <w:r w:rsidRPr="008B68A9">
        <w:rPr>
          <w:rFonts w:eastAsia="Calibri" w:cs="Times New Roman"/>
          <w:i/>
          <w:color w:val="000000"/>
          <w:szCs w:val="24"/>
        </w:rPr>
        <w:t xml:space="preserve">Professional Case Management </w:t>
      </w:r>
      <w:r w:rsidRPr="008B68A9">
        <w:rPr>
          <w:rFonts w:eastAsia="Calibri" w:cs="Times New Roman"/>
          <w:b/>
          <w:color w:val="000000"/>
          <w:szCs w:val="24"/>
        </w:rPr>
        <w:t>15</w:t>
      </w:r>
      <w:r w:rsidRPr="008B68A9">
        <w:rPr>
          <w:rFonts w:eastAsia="Calibri" w:cs="Times New Roman"/>
          <w:color w:val="000000"/>
          <w:szCs w:val="24"/>
        </w:rPr>
        <w:t xml:space="preserve"> (1), 29-37.</w:t>
      </w:r>
    </w:p>
    <w:p w14:paraId="18911E2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Radley, A. &amp; Billig, M. (1996) Accounts of health and health: Dilemmas and representations. </w:t>
      </w:r>
      <w:r w:rsidRPr="008B68A9">
        <w:rPr>
          <w:rFonts w:eastAsia="Calibri" w:cs="Times New Roman"/>
          <w:i/>
          <w:szCs w:val="24"/>
        </w:rPr>
        <w:t>Society of Health and Health</w:t>
      </w:r>
      <w:r w:rsidRPr="008B68A9">
        <w:rPr>
          <w:rFonts w:eastAsia="Calibri" w:cs="Times New Roman"/>
          <w:szCs w:val="24"/>
        </w:rPr>
        <w:t xml:space="preserve">, </w:t>
      </w:r>
      <w:r w:rsidRPr="008B68A9">
        <w:rPr>
          <w:rFonts w:eastAsia="Calibri" w:cs="Times New Roman"/>
          <w:b/>
          <w:szCs w:val="24"/>
        </w:rPr>
        <w:t>18</w:t>
      </w:r>
      <w:r w:rsidRPr="008B68A9">
        <w:rPr>
          <w:rFonts w:eastAsia="Calibri" w:cs="Times New Roman"/>
          <w:szCs w:val="24"/>
        </w:rPr>
        <w:t xml:space="preserve"> (2), 220-240. </w:t>
      </w:r>
    </w:p>
    <w:p w14:paraId="123D83F9"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Read, J. (2005) The bio-bio-bio model of madness. </w:t>
      </w:r>
      <w:r w:rsidRPr="008B68A9">
        <w:rPr>
          <w:rFonts w:eastAsia="Arial" w:cs="Arial"/>
          <w:i/>
          <w:szCs w:val="24"/>
        </w:rPr>
        <w:t>The Psychologist,</w:t>
      </w:r>
      <w:r w:rsidRPr="008B68A9">
        <w:rPr>
          <w:rFonts w:eastAsia="Arial" w:cs="Arial"/>
          <w:szCs w:val="24"/>
        </w:rPr>
        <w:t xml:space="preserve"> </w:t>
      </w:r>
      <w:r w:rsidRPr="008B68A9">
        <w:rPr>
          <w:rFonts w:eastAsia="Arial" w:cs="Arial"/>
          <w:b/>
          <w:szCs w:val="24"/>
        </w:rPr>
        <w:t xml:space="preserve">18 </w:t>
      </w:r>
      <w:r w:rsidRPr="008B68A9">
        <w:rPr>
          <w:rFonts w:eastAsia="Arial" w:cs="Arial"/>
          <w:szCs w:val="24"/>
        </w:rPr>
        <w:t>(10), 596-597.</w:t>
      </w:r>
    </w:p>
    <w:p w14:paraId="5CFCB2D5"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Repper, J. &amp; Perkins, R. (2003), </w:t>
      </w:r>
      <w:r w:rsidRPr="008B68A9">
        <w:rPr>
          <w:rFonts w:eastAsia="Arial" w:cs="Arial"/>
          <w:i/>
          <w:szCs w:val="24"/>
        </w:rPr>
        <w:t>Social inclusion and recovery: A model for mental health practice</w:t>
      </w:r>
      <w:r w:rsidRPr="008B68A9">
        <w:rPr>
          <w:rFonts w:eastAsia="Arial" w:cs="Arial"/>
          <w:szCs w:val="24"/>
        </w:rPr>
        <w:t xml:space="preserve">. London, Bailliere Tindall. </w:t>
      </w:r>
    </w:p>
    <w:p w14:paraId="65658B3D" w14:textId="77777777" w:rsidR="00947BAF" w:rsidRPr="008B68A9" w:rsidRDefault="00947BAF" w:rsidP="00947BAF">
      <w:pPr>
        <w:spacing w:after="80" w:line="240" w:lineRule="auto"/>
        <w:ind w:left="357" w:hanging="357"/>
        <w:rPr>
          <w:szCs w:val="24"/>
        </w:rPr>
      </w:pPr>
      <w:r w:rsidRPr="008B68A9">
        <w:rPr>
          <w:szCs w:val="24"/>
        </w:rPr>
        <w:t xml:space="preserve">Ricoeur, P. (1987) Life: A story in search of a narrator. In Valder, M. J. (ed.) </w:t>
      </w:r>
      <w:r w:rsidRPr="008B68A9">
        <w:rPr>
          <w:i/>
          <w:szCs w:val="24"/>
        </w:rPr>
        <w:t xml:space="preserve">A Ricoeur reader: Reflection and imagination. </w:t>
      </w:r>
      <w:r w:rsidRPr="008B68A9">
        <w:rPr>
          <w:szCs w:val="24"/>
        </w:rPr>
        <w:t>Toronto, Toronto University Press</w:t>
      </w:r>
    </w:p>
    <w:p w14:paraId="039B98A7"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Ricoeur, P. (1991) </w:t>
      </w:r>
      <w:r w:rsidRPr="008B68A9">
        <w:rPr>
          <w:rFonts w:eastAsia="Arial" w:cs="Arial"/>
          <w:i/>
          <w:szCs w:val="24"/>
        </w:rPr>
        <w:t>Narrative identity.</w:t>
      </w:r>
      <w:r w:rsidRPr="008B68A9">
        <w:rPr>
          <w:rFonts w:eastAsia="Arial" w:cs="Arial"/>
          <w:szCs w:val="24"/>
        </w:rPr>
        <w:t xml:space="preserve"> In</w:t>
      </w:r>
      <w:r w:rsidRPr="008B68A9">
        <w:rPr>
          <w:rFonts w:eastAsia="Arial" w:cs="Arial"/>
          <w:i/>
          <w:szCs w:val="24"/>
        </w:rPr>
        <w:t xml:space="preserve"> </w:t>
      </w:r>
      <w:r w:rsidRPr="008B68A9">
        <w:rPr>
          <w:rFonts w:eastAsia="Arial" w:cs="Arial"/>
          <w:szCs w:val="24"/>
        </w:rPr>
        <w:t xml:space="preserve">Wood, D. (ed.) </w:t>
      </w:r>
      <w:r w:rsidRPr="008B68A9">
        <w:rPr>
          <w:rFonts w:eastAsia="Arial" w:cs="Arial"/>
          <w:i/>
          <w:szCs w:val="24"/>
        </w:rPr>
        <w:t>On Paul Ricoeur.</w:t>
      </w:r>
      <w:r w:rsidRPr="008B68A9">
        <w:rPr>
          <w:rFonts w:eastAsia="Arial" w:cs="Arial"/>
          <w:szCs w:val="24"/>
        </w:rPr>
        <w:t xml:space="preserve"> London, Routledge.</w:t>
      </w:r>
    </w:p>
    <w:p w14:paraId="033BEAF4" w14:textId="77777777" w:rsidR="00947BAF" w:rsidRPr="008B68A9" w:rsidRDefault="00947BAF" w:rsidP="00947BAF">
      <w:pPr>
        <w:spacing w:after="80" w:line="240" w:lineRule="auto"/>
        <w:ind w:left="357" w:hanging="357"/>
        <w:rPr>
          <w:rFonts w:eastAsia="Arial" w:cs="Arial"/>
          <w:i/>
          <w:szCs w:val="24"/>
        </w:rPr>
      </w:pPr>
      <w:r w:rsidRPr="008B68A9">
        <w:rPr>
          <w:rFonts w:eastAsia="Arial" w:cs="Arial"/>
          <w:szCs w:val="24"/>
        </w:rPr>
        <w:t xml:space="preserve">Ridley, J. &amp; Jones, L. (2003) Direct what? The untapped potential of direct payments to mental health service users. </w:t>
      </w:r>
      <w:r w:rsidRPr="008B68A9">
        <w:rPr>
          <w:rFonts w:eastAsia="Arial" w:cs="Arial"/>
          <w:i/>
          <w:szCs w:val="24"/>
        </w:rPr>
        <w:t xml:space="preserve">Disability and Society, </w:t>
      </w:r>
      <w:r w:rsidRPr="008B68A9">
        <w:rPr>
          <w:rFonts w:eastAsia="Arial" w:cs="Arial"/>
          <w:b/>
          <w:i/>
          <w:szCs w:val="24"/>
        </w:rPr>
        <w:t xml:space="preserve">18 </w:t>
      </w:r>
      <w:r w:rsidRPr="008B68A9">
        <w:rPr>
          <w:rFonts w:eastAsia="Arial" w:cs="Arial"/>
          <w:szCs w:val="24"/>
        </w:rPr>
        <w:t>(95), 643-658.</w:t>
      </w:r>
    </w:p>
    <w:p w14:paraId="2CB15388"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Richie, J. &amp; Spencer, L. (1994) Qualitative data analysis for applied policy research. Pages 173-194 in Bryman, A. &amp; Burgess, A. (eds). </w:t>
      </w:r>
      <w:r w:rsidRPr="008B68A9">
        <w:rPr>
          <w:rFonts w:eastAsia="Arial" w:cs="Arial"/>
          <w:i/>
          <w:szCs w:val="24"/>
        </w:rPr>
        <w:t>Analysing qualitative data.</w:t>
      </w:r>
      <w:r w:rsidRPr="008B68A9">
        <w:rPr>
          <w:rFonts w:eastAsia="Arial" w:cs="Arial"/>
          <w:szCs w:val="24"/>
        </w:rPr>
        <w:t xml:space="preserve"> London, Routledge.</w:t>
      </w:r>
    </w:p>
    <w:p w14:paraId="29DE476D" w14:textId="2B349261" w:rsidR="00947BAF" w:rsidRPr="008B68A9" w:rsidRDefault="0064440D" w:rsidP="00947BAF">
      <w:pPr>
        <w:spacing w:after="80" w:line="240" w:lineRule="auto"/>
        <w:ind w:left="357" w:hanging="357"/>
        <w:rPr>
          <w:rFonts w:eastAsia="Arial" w:cs="Arial"/>
          <w:szCs w:val="24"/>
        </w:rPr>
      </w:pPr>
      <w:r w:rsidRPr="008B68A9">
        <w:rPr>
          <w:rFonts w:eastAsia="Arial" w:cs="Arial"/>
          <w:szCs w:val="24"/>
        </w:rPr>
        <w:t>Reissman</w:t>
      </w:r>
      <w:r w:rsidR="00947BAF" w:rsidRPr="008B68A9">
        <w:rPr>
          <w:rFonts w:eastAsia="Arial" w:cs="Arial"/>
          <w:szCs w:val="24"/>
        </w:rPr>
        <w:t xml:space="preserve">, C. K. (1993) </w:t>
      </w:r>
      <w:r w:rsidR="00947BAF" w:rsidRPr="008B68A9">
        <w:rPr>
          <w:rFonts w:eastAsia="Arial" w:cs="Arial"/>
          <w:i/>
          <w:szCs w:val="24"/>
        </w:rPr>
        <w:t>Narrative analysis: Qualitative research methods</w:t>
      </w:r>
      <w:r w:rsidR="00947BAF" w:rsidRPr="008B68A9">
        <w:rPr>
          <w:rFonts w:eastAsia="Arial" w:cs="Arial"/>
          <w:szCs w:val="24"/>
        </w:rPr>
        <w:t xml:space="preserve">: </w:t>
      </w:r>
      <w:r w:rsidR="00947BAF" w:rsidRPr="008B68A9">
        <w:rPr>
          <w:rFonts w:eastAsia="Arial" w:cs="Arial"/>
          <w:i/>
          <w:szCs w:val="24"/>
        </w:rPr>
        <w:t>Series 30.</w:t>
      </w:r>
      <w:r w:rsidR="00947BAF" w:rsidRPr="008B68A9">
        <w:rPr>
          <w:rFonts w:eastAsia="Arial" w:cs="Arial"/>
          <w:szCs w:val="24"/>
        </w:rPr>
        <w:t xml:space="preserve"> London, Sage.</w:t>
      </w:r>
    </w:p>
    <w:p w14:paraId="4F66E1DC" w14:textId="2D2A5C6F" w:rsidR="00947BAF" w:rsidRPr="008B68A9" w:rsidRDefault="0064440D" w:rsidP="00947BAF">
      <w:pPr>
        <w:spacing w:after="80" w:line="240" w:lineRule="auto"/>
        <w:ind w:left="357" w:hanging="357"/>
        <w:rPr>
          <w:rFonts w:eastAsia="Arial" w:cs="Arial"/>
          <w:szCs w:val="24"/>
        </w:rPr>
      </w:pPr>
      <w:r w:rsidRPr="008B68A9">
        <w:rPr>
          <w:rFonts w:eastAsia="Arial" w:cs="Arial"/>
          <w:szCs w:val="24"/>
        </w:rPr>
        <w:t>Reissman</w:t>
      </w:r>
      <w:r w:rsidR="00947BAF" w:rsidRPr="008B68A9">
        <w:rPr>
          <w:rFonts w:eastAsia="Arial" w:cs="Arial"/>
          <w:szCs w:val="24"/>
        </w:rPr>
        <w:t xml:space="preserve">. C. K. (2008) </w:t>
      </w:r>
      <w:r w:rsidR="00947BAF" w:rsidRPr="008B68A9">
        <w:rPr>
          <w:rFonts w:eastAsia="Arial" w:cs="Arial"/>
          <w:i/>
          <w:szCs w:val="24"/>
        </w:rPr>
        <w:t>Narrative methods for the human sciences.</w:t>
      </w:r>
      <w:r w:rsidR="00947BAF" w:rsidRPr="008B68A9">
        <w:rPr>
          <w:rFonts w:eastAsia="Arial" w:cs="Arial"/>
          <w:szCs w:val="24"/>
        </w:rPr>
        <w:t xml:space="preserve"> London, Sage.</w:t>
      </w:r>
    </w:p>
    <w:p w14:paraId="38F396C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Robert Wood-Johnston Foundation (2006) </w:t>
      </w:r>
      <w:r w:rsidRPr="008B68A9">
        <w:rPr>
          <w:rFonts w:eastAsia="Calibri" w:cs="Times New Roman"/>
          <w:i/>
          <w:szCs w:val="24"/>
        </w:rPr>
        <w:t>Choosing independence: An overview of the Cash &amp; Counseling model of self-directed personal assistance services</w:t>
      </w:r>
      <w:r w:rsidRPr="008B68A9">
        <w:rPr>
          <w:rFonts w:eastAsia="Calibri" w:cs="Times New Roman"/>
          <w:szCs w:val="24"/>
        </w:rPr>
        <w:t>. Robert Wood-Johnston Foundation.</w:t>
      </w:r>
    </w:p>
    <w:p w14:paraId="73EC32A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Robert Wood-Johnston Foundation (2013) Cash and Counseling. Available at: http://www.rwjf.org/en/library/research/2013/06/cash---counseling.html [Accessed 09/11/15].</w:t>
      </w:r>
    </w:p>
    <w:p w14:paraId="4760DD4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Robinson, I. (1990) Personal narratives, social careers and medical courses: Analysing life trajectories in autobiographies of people with multiple sclerosis. </w:t>
      </w:r>
      <w:r w:rsidRPr="008B68A9">
        <w:rPr>
          <w:rFonts w:eastAsia="Calibri" w:cs="Times New Roman"/>
          <w:i/>
          <w:szCs w:val="24"/>
        </w:rPr>
        <w:t>Social Science and Medicine</w:t>
      </w:r>
      <w:r w:rsidRPr="008B68A9">
        <w:rPr>
          <w:rFonts w:eastAsia="Calibri" w:cs="Times New Roman"/>
          <w:szCs w:val="24"/>
        </w:rPr>
        <w:t xml:space="preserve">, </w:t>
      </w:r>
      <w:r w:rsidRPr="008B68A9">
        <w:rPr>
          <w:rFonts w:eastAsia="Calibri" w:cs="Times New Roman"/>
          <w:b/>
          <w:szCs w:val="24"/>
        </w:rPr>
        <w:t>30</w:t>
      </w:r>
      <w:r w:rsidRPr="008B68A9">
        <w:rPr>
          <w:rFonts w:eastAsia="Calibri" w:cs="Times New Roman"/>
          <w:szCs w:val="24"/>
        </w:rPr>
        <w:t xml:space="preserve"> (11), 1173 -86.</w:t>
      </w:r>
    </w:p>
    <w:p w14:paraId="6A15E31A"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Robertson, J., Emerson, E., Hatton, C., Elliott, J., McIntosh, B. l., Swift, P., Krijnen-Kemp, E. Towers, C., Romeo, R., Knapp, M., Sanderson, H., Routledge, M., Oakes, P. &amp; Joyce, T. (2005) </w:t>
      </w:r>
      <w:r w:rsidRPr="008B68A9">
        <w:rPr>
          <w:rFonts w:eastAsia="Arial" w:cs="Arial"/>
          <w:i/>
          <w:szCs w:val="24"/>
        </w:rPr>
        <w:t>The impact of person centred planning</w:t>
      </w:r>
      <w:r w:rsidRPr="008B68A9">
        <w:rPr>
          <w:rFonts w:eastAsia="Arial" w:cs="Arial"/>
          <w:szCs w:val="24"/>
        </w:rPr>
        <w:t>. Lancaster University Institute for Health Research.</w:t>
      </w:r>
    </w:p>
    <w:p w14:paraId="64B65561" w14:textId="77777777" w:rsidR="00947BAF" w:rsidRPr="008B68A9" w:rsidRDefault="00947BAF" w:rsidP="00947BAF">
      <w:pPr>
        <w:spacing w:after="80" w:line="240" w:lineRule="auto"/>
        <w:ind w:left="357" w:hanging="357"/>
        <w:rPr>
          <w:rFonts w:eastAsia="Arial" w:cs="Arial"/>
          <w:szCs w:val="24"/>
        </w:rPr>
      </w:pPr>
      <w:r w:rsidRPr="008B68A9">
        <w:rPr>
          <w:rFonts w:eastAsia="Calibri" w:cs="Times New Roman"/>
          <w:szCs w:val="24"/>
        </w:rPr>
        <w:lastRenderedPageBreak/>
        <w:t xml:space="preserve">Ronson, J. (2012) </w:t>
      </w:r>
      <w:r w:rsidRPr="008B68A9">
        <w:rPr>
          <w:rFonts w:eastAsia="Calibri" w:cs="Times New Roman"/>
          <w:i/>
          <w:szCs w:val="24"/>
        </w:rPr>
        <w:t>The psychopath test.</w:t>
      </w:r>
      <w:r w:rsidRPr="008B68A9">
        <w:rPr>
          <w:rFonts w:eastAsia="Calibri" w:cs="Times New Roman"/>
          <w:szCs w:val="24"/>
        </w:rPr>
        <w:t xml:space="preserve"> London, Picador. </w:t>
      </w:r>
    </w:p>
    <w:p w14:paraId="41F64A8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Royal College of Nursing (2012). </w:t>
      </w:r>
      <w:r w:rsidRPr="008B68A9">
        <w:rPr>
          <w:rFonts w:eastAsia="Calibri" w:cs="Times New Roman"/>
          <w:i/>
          <w:szCs w:val="24"/>
        </w:rPr>
        <w:t>RCN comments on personal health budgets announcement.</w:t>
      </w:r>
      <w:r w:rsidRPr="008B68A9">
        <w:rPr>
          <w:rFonts w:eastAsia="Calibri" w:cs="Times New Roman"/>
          <w:szCs w:val="24"/>
        </w:rPr>
        <w:t xml:space="preserve"> Available from: https://www2.rcn.org.uk/newsevents/press_releases/uk/rcn_comments_on_personal_health_budgets_announcement</w:t>
      </w:r>
    </w:p>
    <w:p w14:paraId="2095B9D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Royal College of Psychiatrists and Care Services Improvement Partnership (2007) </w:t>
      </w:r>
      <w:r w:rsidRPr="008B68A9">
        <w:rPr>
          <w:rFonts w:eastAsia="Calibri" w:cs="Times New Roman"/>
          <w:i/>
          <w:szCs w:val="24"/>
        </w:rPr>
        <w:t>A common purpose: Recovery in future mental health services</w:t>
      </w:r>
      <w:r w:rsidRPr="008B68A9">
        <w:rPr>
          <w:rFonts w:eastAsia="Calibri" w:cs="Times New Roman"/>
          <w:szCs w:val="24"/>
        </w:rPr>
        <w:t>.</w:t>
      </w:r>
    </w:p>
    <w:p w14:paraId="2B06572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Royal College of General Practitioners (2012) </w:t>
      </w:r>
      <w:r w:rsidRPr="008B68A9">
        <w:rPr>
          <w:rFonts w:eastAsia="Calibri" w:cs="Times New Roman"/>
          <w:i/>
          <w:szCs w:val="24"/>
        </w:rPr>
        <w:t>Briefing to the Health and Social Care Bill</w:t>
      </w:r>
      <w:r w:rsidRPr="008B68A9">
        <w:rPr>
          <w:rFonts w:eastAsia="Calibri" w:cs="Times New Roman"/>
          <w:szCs w:val="24"/>
        </w:rPr>
        <w:t>. House of Lords Report Stage Briefing. Available from http://www.rcgp.org.uk/policy/rcgp-policy-areas/~/media/Files/Policy/A-Z-policy/12-02-06%20RCGP%20HoL%20Report%20Stage%20Briefing.ashx [Accessed 02/02/15].</w:t>
      </w:r>
    </w:p>
    <w:p w14:paraId="2D4B216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Royal College of Psychiatrists &amp; Association of Directors of Adult Social Services. (2013) </w:t>
      </w:r>
      <w:r w:rsidRPr="008B68A9">
        <w:rPr>
          <w:rFonts w:eastAsia="Calibri" w:cs="Times New Roman"/>
          <w:i/>
          <w:szCs w:val="24"/>
        </w:rPr>
        <w:t>The integration of personal budgets in social care and personal health budgets in the NHS</w:t>
      </w:r>
      <w:r w:rsidRPr="008B68A9">
        <w:rPr>
          <w:rFonts w:eastAsia="Calibri" w:cs="Times New Roman"/>
          <w:szCs w:val="24"/>
        </w:rPr>
        <w:t>. Joint position statement of the Royal College of Psychiatrists and the Association of Directors of Adult Social Services Provision.</w:t>
      </w:r>
    </w:p>
    <w:p w14:paraId="364E48C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Royal College of Physicians (2012) </w:t>
      </w:r>
      <w:r w:rsidRPr="008B68A9">
        <w:rPr>
          <w:rFonts w:eastAsia="Calibri" w:cs="Times New Roman"/>
          <w:i/>
          <w:szCs w:val="24"/>
        </w:rPr>
        <w:t>RCP Parliamentary briefing Health and Social Care Bill</w:t>
      </w:r>
      <w:r w:rsidRPr="008B68A9">
        <w:rPr>
          <w:rFonts w:eastAsia="Calibri" w:cs="Times New Roman"/>
          <w:szCs w:val="24"/>
        </w:rPr>
        <w:t xml:space="preserve"> </w:t>
      </w:r>
      <w:r w:rsidRPr="008B68A9">
        <w:rPr>
          <w:rFonts w:eastAsia="Calibri" w:cs="Times New Roman"/>
          <w:i/>
          <w:szCs w:val="24"/>
        </w:rPr>
        <w:t xml:space="preserve">Report stage in the House of Lords. </w:t>
      </w:r>
      <w:r w:rsidRPr="008B68A9">
        <w:rPr>
          <w:rFonts w:eastAsia="Calibri" w:cs="Times New Roman"/>
          <w:szCs w:val="24"/>
        </w:rPr>
        <w:t>Available from: https://www.rcplondon.ac.uk/sites/default/files/rcp-_parliamentary-briefing-lords-report-stage-health-social-care-bill-feb-2012.pdf</w:t>
      </w:r>
    </w:p>
    <w:p w14:paraId="744A257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Royal Psychological Society (2011) Response to the American Psychiatric Association: DSM-5 development. Available from http://apps.bps.org.uk/_publicationfiles/consultation-responses/DSM-5%202011%20-%20BPS%20response.pdf [Accessed 04/07/15].</w:t>
      </w:r>
    </w:p>
    <w:p w14:paraId="5B8C7B7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Rugg, V. (2014) Why co-production is vital in supporting people with learning disabilities and mental health needs. In Wood, C. &amp; Scott, R. (eds) </w:t>
      </w:r>
      <w:r w:rsidRPr="008B68A9">
        <w:rPr>
          <w:rFonts w:eastAsia="Calibri" w:cs="Times New Roman"/>
          <w:i/>
          <w:szCs w:val="24"/>
        </w:rPr>
        <w:t>How far we’ve travelled, and how far we have to go: The future of disability.</w:t>
      </w:r>
      <w:r w:rsidRPr="008B68A9">
        <w:rPr>
          <w:rFonts w:eastAsia="Calibri" w:cs="Times New Roman"/>
          <w:szCs w:val="24"/>
        </w:rPr>
        <w:t xml:space="preserve"> </w:t>
      </w:r>
    </w:p>
    <w:p w14:paraId="376A068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Ryan, J. &amp; Thomas, F. (1980). </w:t>
      </w:r>
      <w:r w:rsidRPr="008B68A9">
        <w:rPr>
          <w:rFonts w:eastAsia="Calibri" w:cs="Times New Roman"/>
          <w:i/>
          <w:szCs w:val="24"/>
        </w:rPr>
        <w:t>The politics of mental handicap.</w:t>
      </w:r>
      <w:r w:rsidRPr="008B68A9">
        <w:rPr>
          <w:rFonts w:eastAsia="Calibri" w:cs="Times New Roman"/>
          <w:szCs w:val="24"/>
        </w:rPr>
        <w:t xml:space="preserve"> London, Penguin.</w:t>
      </w:r>
    </w:p>
    <w:p w14:paraId="7988877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Sanderson, H., Kennedy, J., Ritchie, P., &amp; Goodwin, G. (1997) </w:t>
      </w:r>
      <w:r w:rsidRPr="008B68A9">
        <w:rPr>
          <w:rFonts w:eastAsia="Calibri" w:cs="Times New Roman"/>
          <w:i/>
          <w:iCs/>
          <w:szCs w:val="24"/>
        </w:rPr>
        <w:t>People, plans and possibilities: Exploring person-centred planning.</w:t>
      </w:r>
      <w:r w:rsidRPr="008B68A9">
        <w:rPr>
          <w:rFonts w:eastAsia="Calibri" w:cs="Times New Roman"/>
          <w:szCs w:val="24"/>
        </w:rPr>
        <w:t xml:space="preserve"> Edinburgh, SHS.</w:t>
      </w:r>
    </w:p>
    <w:p w14:paraId="05C28D3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Sanderson, H. (2000) </w:t>
      </w:r>
      <w:r w:rsidRPr="008B68A9">
        <w:rPr>
          <w:rFonts w:eastAsia="Calibri" w:cs="Times New Roman"/>
          <w:i/>
          <w:szCs w:val="24"/>
        </w:rPr>
        <w:t>Person centred planning: Key features and approaches.</w:t>
      </w:r>
      <w:r w:rsidRPr="008B68A9">
        <w:rPr>
          <w:rFonts w:eastAsia="Calibri" w:cs="Times New Roman"/>
          <w:szCs w:val="24"/>
        </w:rPr>
        <w:t xml:space="preserve"> Bristol, Joseph Rowntree Foundation.</w:t>
      </w:r>
    </w:p>
    <w:p w14:paraId="13B069D9"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Sanderson, H. (2003) Person centred planning. In B. Gates (ed.) </w:t>
      </w:r>
      <w:r w:rsidRPr="008B68A9">
        <w:rPr>
          <w:rFonts w:eastAsia="Arial" w:cs="Arial"/>
          <w:i/>
          <w:szCs w:val="24"/>
        </w:rPr>
        <w:t>Learning disabilities: Towards inclusion.</w:t>
      </w:r>
      <w:r w:rsidRPr="008B68A9">
        <w:rPr>
          <w:rFonts w:eastAsia="Arial" w:cs="Arial"/>
          <w:szCs w:val="24"/>
        </w:rPr>
        <w:t xml:space="preserve"> Edinburgh, Churchill Livingstone.</w:t>
      </w:r>
    </w:p>
    <w:p w14:paraId="71D96EC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Sanderson, H. &amp; Lewis, J. (2011) </w:t>
      </w:r>
      <w:r w:rsidRPr="008B68A9">
        <w:rPr>
          <w:rFonts w:eastAsia="Calibri" w:cs="Times New Roman"/>
          <w:i/>
          <w:szCs w:val="24"/>
        </w:rPr>
        <w:t>A practical guide to delivering personalisation: Person centred practice in Health and Social Care</w:t>
      </w:r>
      <w:r w:rsidRPr="008B68A9">
        <w:rPr>
          <w:rFonts w:eastAsia="Calibri" w:cs="Times New Roman"/>
          <w:szCs w:val="24"/>
        </w:rPr>
        <w:t>. London, Jessica Kingsley.</w:t>
      </w:r>
    </w:p>
    <w:p w14:paraId="3D7B333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Sadiraj, K., Oudijk, D., van Kempen, H. &amp; Stevens, J.</w:t>
      </w:r>
      <w:r w:rsidRPr="008B68A9">
        <w:rPr>
          <w:rFonts w:eastAsia="Calibri" w:cs="Times New Roman"/>
          <w:iCs/>
          <w:color w:val="000000"/>
          <w:szCs w:val="24"/>
        </w:rPr>
        <w:t xml:space="preserve"> (2011) The advance of the PGB: The development of the personal budget in national and international perspectiv</w:t>
      </w:r>
      <w:r w:rsidRPr="008B68A9">
        <w:rPr>
          <w:rFonts w:eastAsia="Calibri" w:cs="Times New Roman"/>
          <w:color w:val="000000"/>
          <w:szCs w:val="24"/>
        </w:rPr>
        <w:t xml:space="preserve">e. </w:t>
      </w:r>
      <w:r w:rsidRPr="008B68A9">
        <w:rPr>
          <w:rFonts w:eastAsia="Calibri" w:cs="Times New Roman"/>
          <w:i/>
          <w:color w:val="000000"/>
          <w:szCs w:val="24"/>
        </w:rPr>
        <w:t>Social and Cultural Planning</w:t>
      </w:r>
      <w:r w:rsidRPr="008B68A9">
        <w:rPr>
          <w:rFonts w:eastAsia="Calibri" w:cs="Times New Roman"/>
          <w:color w:val="000000"/>
          <w:szCs w:val="24"/>
        </w:rPr>
        <w:t>. Available at: http://www.euro.who.int/__data/assets/pdf_file/0007/169531/Eurohealth-Vol-18-No-2.pdf</w:t>
      </w:r>
    </w:p>
    <w:p w14:paraId="3A69838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Sarbin, T. R. (1986) </w:t>
      </w:r>
      <w:r w:rsidRPr="008B68A9">
        <w:rPr>
          <w:szCs w:val="24"/>
        </w:rPr>
        <w:t xml:space="preserve">The narrative in scientific theories. In Sarbin, T. R. (ed) (1986) </w:t>
      </w:r>
      <w:r w:rsidRPr="008B68A9">
        <w:rPr>
          <w:i/>
          <w:szCs w:val="24"/>
        </w:rPr>
        <w:t>Narrative psychology: The storied nature of human conduct.</w:t>
      </w:r>
      <w:r w:rsidRPr="008B68A9">
        <w:rPr>
          <w:szCs w:val="24"/>
        </w:rPr>
        <w:t xml:space="preserve"> Westport CT, Praeger.</w:t>
      </w:r>
    </w:p>
    <w:p w14:paraId="7CE6A54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Schirato, T., Danaher, G. &amp; Webb, J. (2012) </w:t>
      </w:r>
      <w:r w:rsidRPr="008B68A9">
        <w:rPr>
          <w:rFonts w:eastAsia="Calibri" w:cs="Times New Roman"/>
          <w:i/>
          <w:szCs w:val="24"/>
        </w:rPr>
        <w:t>Understanding Foucault: A critical introduction.</w:t>
      </w:r>
      <w:r w:rsidRPr="008B68A9">
        <w:rPr>
          <w:rFonts w:eastAsia="Calibri" w:cs="Times New Roman"/>
          <w:szCs w:val="24"/>
        </w:rPr>
        <w:t xml:space="preserve"> London, Sage.</w:t>
      </w:r>
    </w:p>
    <w:p w14:paraId="375EB41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Schön, D. (1983) </w:t>
      </w:r>
      <w:r w:rsidRPr="008B68A9">
        <w:rPr>
          <w:rFonts w:eastAsia="Calibri" w:cs="Times New Roman"/>
          <w:i/>
          <w:szCs w:val="24"/>
        </w:rPr>
        <w:t>Educating the reflective practitioner</w:t>
      </w:r>
      <w:r w:rsidRPr="008B68A9">
        <w:rPr>
          <w:rFonts w:eastAsia="Calibri" w:cs="Times New Roman"/>
          <w:szCs w:val="24"/>
        </w:rPr>
        <w:t>. San Francisco, Jossey Bass.</w:t>
      </w:r>
    </w:p>
    <w:p w14:paraId="472E909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Scottish Executive (2010) </w:t>
      </w:r>
      <w:r w:rsidRPr="008B68A9">
        <w:rPr>
          <w:rFonts w:eastAsia="Calibri" w:cs="Times New Roman"/>
          <w:i/>
          <w:szCs w:val="24"/>
        </w:rPr>
        <w:t>Self-directed support: A national strategy for Scotland.</w:t>
      </w:r>
      <w:r w:rsidRPr="008B68A9">
        <w:rPr>
          <w:rFonts w:eastAsia="Calibri" w:cs="Times New Roman"/>
          <w:szCs w:val="24"/>
        </w:rPr>
        <w:t xml:space="preserve"> Edinburgh, Scottish Government.</w:t>
      </w:r>
    </w:p>
    <w:p w14:paraId="606EF03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Scottish Executive (2012) </w:t>
      </w:r>
      <w:r w:rsidRPr="008B68A9">
        <w:rPr>
          <w:rFonts w:eastAsia="Calibri" w:cs="Times New Roman"/>
          <w:i/>
          <w:szCs w:val="24"/>
        </w:rPr>
        <w:t>Mental health strategy for Scotland 2012-2016.</w:t>
      </w:r>
      <w:r w:rsidRPr="008B68A9">
        <w:rPr>
          <w:rFonts w:eastAsia="Calibri" w:cs="Times New Roman"/>
          <w:szCs w:val="24"/>
        </w:rPr>
        <w:t xml:space="preserve"> Edinburgh, Scottish Government.</w:t>
      </w:r>
    </w:p>
    <w:p w14:paraId="1B0145C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Scourfield, P. (2007) Social care and the modern citizen: Client, consumer, service user, manager and entrepreneur. </w:t>
      </w:r>
      <w:r w:rsidRPr="008B68A9">
        <w:rPr>
          <w:rFonts w:eastAsia="Calibri" w:cs="Times New Roman"/>
          <w:i/>
          <w:szCs w:val="24"/>
        </w:rPr>
        <w:t>British Journal of Social Work,</w:t>
      </w:r>
      <w:r w:rsidRPr="008B68A9">
        <w:rPr>
          <w:rFonts w:eastAsia="Calibri" w:cs="Times New Roman"/>
          <w:szCs w:val="24"/>
        </w:rPr>
        <w:t xml:space="preserve"> </w:t>
      </w:r>
      <w:r w:rsidRPr="008B68A9">
        <w:rPr>
          <w:rFonts w:eastAsia="Calibri" w:cs="Times New Roman"/>
          <w:b/>
          <w:szCs w:val="24"/>
        </w:rPr>
        <w:t>37</w:t>
      </w:r>
      <w:r w:rsidRPr="008B68A9">
        <w:rPr>
          <w:rFonts w:eastAsia="Calibri" w:cs="Times New Roman"/>
          <w:szCs w:val="24"/>
        </w:rPr>
        <w:t xml:space="preserve"> (1), 107-122.</w:t>
      </w:r>
    </w:p>
    <w:p w14:paraId="1ADE525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Scourfield, P. (2010) Going for brokerage: A task of independent support or social work. </w:t>
      </w:r>
      <w:r w:rsidRPr="008B68A9">
        <w:rPr>
          <w:rFonts w:eastAsia="Calibri" w:cs="Times New Roman"/>
          <w:i/>
          <w:szCs w:val="24"/>
        </w:rPr>
        <w:t>British Journal of Social Work</w:t>
      </w:r>
      <w:r w:rsidRPr="008B68A9">
        <w:rPr>
          <w:rFonts w:eastAsia="Calibri" w:cs="Times New Roman"/>
          <w:szCs w:val="24"/>
        </w:rPr>
        <w:t xml:space="preserve">, </w:t>
      </w:r>
      <w:r w:rsidRPr="008B68A9">
        <w:rPr>
          <w:rFonts w:eastAsia="Calibri" w:cs="Times New Roman"/>
          <w:b/>
          <w:szCs w:val="24"/>
        </w:rPr>
        <w:t xml:space="preserve">40 </w:t>
      </w:r>
      <w:r w:rsidRPr="008B68A9">
        <w:rPr>
          <w:rFonts w:eastAsia="Calibri" w:cs="Times New Roman"/>
          <w:szCs w:val="24"/>
        </w:rPr>
        <w:t>(3), 858-877.</w:t>
      </w:r>
    </w:p>
    <w:p w14:paraId="5E0A6B5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Scull, A. (1993) </w:t>
      </w:r>
      <w:r w:rsidRPr="008B68A9">
        <w:rPr>
          <w:rFonts w:eastAsia="Calibri" w:cs="Times New Roman"/>
          <w:i/>
          <w:szCs w:val="24"/>
        </w:rPr>
        <w:t>The most solitary of afflictions: Madness and society in Britain 1700-1900</w:t>
      </w:r>
      <w:r w:rsidRPr="008B68A9">
        <w:rPr>
          <w:rFonts w:eastAsia="Calibri" w:cs="Times New Roman"/>
          <w:szCs w:val="24"/>
        </w:rPr>
        <w:t>. Yale University Press.</w:t>
      </w:r>
    </w:p>
    <w:p w14:paraId="50C3B86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Scull, A. (2015</w:t>
      </w:r>
      <w:r w:rsidRPr="008B68A9">
        <w:rPr>
          <w:rFonts w:eastAsia="Calibri" w:cs="Times New Roman"/>
          <w:i/>
          <w:szCs w:val="24"/>
        </w:rPr>
        <w:t>) Madness in civilisation.</w:t>
      </w:r>
      <w:r w:rsidRPr="008B68A9">
        <w:rPr>
          <w:rFonts w:eastAsia="Calibri" w:cs="Times New Roman"/>
          <w:szCs w:val="24"/>
        </w:rPr>
        <w:t xml:space="preserve"> London, Thames and Hudson Ltd.</w:t>
      </w:r>
    </w:p>
    <w:p w14:paraId="7F850C5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Self, W. (2009) </w:t>
      </w:r>
      <w:r w:rsidRPr="008B68A9">
        <w:rPr>
          <w:rFonts w:eastAsia="Calibri" w:cs="Times New Roman"/>
          <w:i/>
          <w:szCs w:val="24"/>
        </w:rPr>
        <w:t>Dr Mukti and other tales of woe.</w:t>
      </w:r>
      <w:r w:rsidRPr="008B68A9">
        <w:rPr>
          <w:rFonts w:eastAsia="Calibri" w:cs="Times New Roman"/>
          <w:szCs w:val="24"/>
        </w:rPr>
        <w:t xml:space="preserve"> London, Penguin.</w:t>
      </w:r>
    </w:p>
    <w:p w14:paraId="2E3690A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Series, L. (2014) Resource allocation systems: Complex and counterproductive? In Needham, C., &amp; Glasby, J. (eds) (2014) </w:t>
      </w:r>
      <w:r w:rsidRPr="008B68A9">
        <w:rPr>
          <w:rFonts w:eastAsia="Calibri" w:cs="Times New Roman"/>
          <w:i/>
          <w:szCs w:val="24"/>
        </w:rPr>
        <w:t>Debates in personalisation.</w:t>
      </w:r>
      <w:r w:rsidRPr="008B68A9">
        <w:rPr>
          <w:rFonts w:eastAsia="Calibri" w:cs="Times New Roman"/>
          <w:szCs w:val="24"/>
        </w:rPr>
        <w:t xml:space="preserve"> Bristol, Policy Press.</w:t>
      </w:r>
    </w:p>
    <w:p w14:paraId="14D979EA" w14:textId="2722239A" w:rsidR="007905C9" w:rsidRPr="008B68A9" w:rsidRDefault="007905C9" w:rsidP="00947BAF">
      <w:pPr>
        <w:spacing w:after="80" w:line="240" w:lineRule="auto"/>
        <w:ind w:left="357" w:hanging="357"/>
        <w:rPr>
          <w:rFonts w:eastAsia="Calibri" w:cs="Times New Roman"/>
          <w:szCs w:val="24"/>
        </w:rPr>
      </w:pPr>
      <w:r w:rsidRPr="008B68A9">
        <w:rPr>
          <w:rFonts w:eastAsia="Calibri" w:cs="Times New Roman"/>
          <w:szCs w:val="24"/>
        </w:rPr>
        <w:t xml:space="preserve">Shakespeare, T. (1998). Social constructionism as a political strategy in Velody, I &amp; Williams, R. (Eds) </w:t>
      </w:r>
      <w:r w:rsidRPr="008B68A9">
        <w:rPr>
          <w:rFonts w:eastAsia="Calibri" w:cs="Times New Roman"/>
          <w:i/>
          <w:szCs w:val="24"/>
        </w:rPr>
        <w:t xml:space="preserve">The of Politics of Constructionism. </w:t>
      </w:r>
      <w:r w:rsidRPr="008B68A9">
        <w:rPr>
          <w:rFonts w:eastAsia="Calibri" w:cs="Times New Roman"/>
          <w:szCs w:val="24"/>
        </w:rPr>
        <w:t>London. Sage.</w:t>
      </w:r>
    </w:p>
    <w:p w14:paraId="7E5797F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Shanks, C., Pfohl, B., Blum, N. &amp; Black, D. W. (2011). Can negative attitudes toward patients with borderline personality disorder be changed? The effect of attending a STEPPS workshop. </w:t>
      </w:r>
      <w:r w:rsidRPr="008B68A9">
        <w:rPr>
          <w:rFonts w:eastAsia="Calibri" w:cs="Times New Roman"/>
          <w:bCs/>
          <w:i/>
          <w:szCs w:val="24"/>
        </w:rPr>
        <w:t>Journal of Personality Disorders</w:t>
      </w:r>
      <w:r w:rsidRPr="008B68A9">
        <w:rPr>
          <w:rFonts w:eastAsia="Calibri" w:cs="Times New Roman"/>
          <w:bCs/>
          <w:szCs w:val="24"/>
        </w:rPr>
        <w:t>,</w:t>
      </w:r>
      <w:r w:rsidRPr="008B68A9">
        <w:rPr>
          <w:rFonts w:eastAsia="Calibri" w:cs="Times New Roman"/>
          <w:szCs w:val="24"/>
        </w:rPr>
        <w:t xml:space="preserve"> </w:t>
      </w:r>
      <w:r w:rsidRPr="008B68A9">
        <w:rPr>
          <w:rFonts w:eastAsia="Calibri" w:cs="Times New Roman"/>
          <w:b/>
          <w:szCs w:val="24"/>
        </w:rPr>
        <w:t>25</w:t>
      </w:r>
      <w:r w:rsidRPr="008B68A9">
        <w:rPr>
          <w:rFonts w:eastAsia="Calibri" w:cs="Times New Roman"/>
          <w:szCs w:val="24"/>
        </w:rPr>
        <w:t xml:space="preserve"> (6), 806-812.</w:t>
      </w:r>
    </w:p>
    <w:p w14:paraId="016D443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Shen, C., Smyer, M., Mahony, K. J., Simon-Rusinowitz, L, Shingle, J., Norstrand, M.S., Mahoney, E., Schauer, C., &amp; Del Vecchio, P. (2008) Consumer-directed care for beneficiaries with mental illness: Lessons from New Jersey’s Cash and Counseling Program, </w:t>
      </w:r>
      <w:r w:rsidRPr="008B68A9">
        <w:rPr>
          <w:rFonts w:eastAsia="Calibri" w:cs="Times New Roman"/>
          <w:i/>
          <w:szCs w:val="24"/>
        </w:rPr>
        <w:t>Psychiatric Services</w:t>
      </w:r>
      <w:r w:rsidRPr="008B68A9">
        <w:rPr>
          <w:rFonts w:eastAsia="Calibri" w:cs="Times New Roman"/>
          <w:szCs w:val="24"/>
        </w:rPr>
        <w:t xml:space="preserve">, </w:t>
      </w:r>
      <w:r w:rsidRPr="008B68A9">
        <w:rPr>
          <w:rFonts w:eastAsia="Calibri" w:cs="Times New Roman"/>
          <w:b/>
          <w:szCs w:val="24"/>
        </w:rPr>
        <w:t>59</w:t>
      </w:r>
      <w:r w:rsidRPr="008B68A9">
        <w:rPr>
          <w:rFonts w:eastAsia="Calibri" w:cs="Times New Roman"/>
          <w:szCs w:val="24"/>
        </w:rPr>
        <w:t xml:space="preserve"> (11), 1299-1306.</w:t>
      </w:r>
    </w:p>
    <w:p w14:paraId="57DE73B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Shepherd, G., Boardman., J. &amp; Slade, M. (2008) </w:t>
      </w:r>
      <w:r w:rsidRPr="008B68A9">
        <w:rPr>
          <w:rFonts w:eastAsia="Calibri" w:cs="Times New Roman"/>
          <w:i/>
          <w:szCs w:val="24"/>
        </w:rPr>
        <w:t>Making recovery a reality.</w:t>
      </w:r>
      <w:r w:rsidRPr="008B68A9">
        <w:rPr>
          <w:rFonts w:eastAsia="Calibri" w:cs="Times New Roman"/>
          <w:szCs w:val="24"/>
        </w:rPr>
        <w:t xml:space="preserve"> London, Sainsbury Centre for Mental Health. </w:t>
      </w:r>
    </w:p>
    <w:p w14:paraId="0C09A10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Shepherd, G., Boardman, J., &amp; Burns, M. (2010). </w:t>
      </w:r>
      <w:r w:rsidRPr="008B68A9">
        <w:rPr>
          <w:rFonts w:eastAsia="Calibri" w:cs="Times New Roman"/>
          <w:i/>
          <w:szCs w:val="24"/>
        </w:rPr>
        <w:t>Implementing recovery: A methodology for organisational change</w:t>
      </w:r>
      <w:r w:rsidRPr="008B68A9">
        <w:rPr>
          <w:rFonts w:eastAsia="Calibri" w:cs="Times New Roman"/>
          <w:szCs w:val="24"/>
        </w:rPr>
        <w:t>. London, Centre for Mental Health.</w:t>
      </w:r>
    </w:p>
    <w:p w14:paraId="68743AC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Simpson, A., Miller, C. &amp; Bowers, L. (2003a) The history of the care programme approach in England: Where did it go wrong?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bCs/>
          <w:szCs w:val="24"/>
        </w:rPr>
        <w:t xml:space="preserve">12 </w:t>
      </w:r>
      <w:r w:rsidRPr="008B68A9">
        <w:rPr>
          <w:rFonts w:eastAsia="Calibri" w:cs="Times New Roman"/>
          <w:szCs w:val="24"/>
        </w:rPr>
        <w:t>(5), 489-504.</w:t>
      </w:r>
    </w:p>
    <w:p w14:paraId="4E00A47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Simpson, A., Miller, C. &amp; Bowers, L. (2003b). Case management models and the care programme approach: How to make the CPA effective and credible. </w:t>
      </w:r>
      <w:r w:rsidRPr="008B68A9">
        <w:rPr>
          <w:rFonts w:eastAsia="Calibri" w:cs="Times New Roman"/>
          <w:i/>
          <w:szCs w:val="24"/>
        </w:rPr>
        <w:t>Journal of Psychiatric and Mental Health Nursing</w:t>
      </w:r>
      <w:r w:rsidRPr="008B68A9">
        <w:rPr>
          <w:rFonts w:eastAsia="Calibri" w:cs="Times New Roman"/>
          <w:szCs w:val="24"/>
        </w:rPr>
        <w:t xml:space="preserve">, </w:t>
      </w:r>
      <w:r w:rsidRPr="008B68A9">
        <w:rPr>
          <w:rFonts w:eastAsia="Calibri" w:cs="Times New Roman"/>
          <w:b/>
          <w:szCs w:val="24"/>
        </w:rPr>
        <w:t xml:space="preserve">10 </w:t>
      </w:r>
      <w:r w:rsidRPr="008B68A9">
        <w:rPr>
          <w:rFonts w:eastAsia="Calibri" w:cs="Times New Roman"/>
          <w:szCs w:val="24"/>
        </w:rPr>
        <w:t>(4), 472-483.</w:t>
      </w:r>
    </w:p>
    <w:p w14:paraId="09B2227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Simpson, A., Hannigan, B., Coffey, M., Jones, A., Barlow, S., Cohen, R., Všetečková, J., Faulkner, A. &amp; Haddad, M. (2015), Study protocol: Cross-national comparative </w:t>
      </w:r>
      <w:r w:rsidRPr="008B68A9">
        <w:rPr>
          <w:rFonts w:eastAsia="Calibri" w:cs="Times New Roman"/>
          <w:szCs w:val="24"/>
        </w:rPr>
        <w:lastRenderedPageBreak/>
        <w:t xml:space="preserve">case study of recovery-focused mental health care planning and coordination (COCAPP). </w:t>
      </w:r>
      <w:r w:rsidRPr="008B68A9">
        <w:rPr>
          <w:rFonts w:eastAsia="Calibri" w:cs="Times New Roman"/>
          <w:i/>
          <w:szCs w:val="24"/>
        </w:rPr>
        <w:t>BMC Psychiatry</w:t>
      </w:r>
      <w:r w:rsidRPr="008B68A9">
        <w:rPr>
          <w:rFonts w:eastAsia="Calibri" w:cs="Times New Roman"/>
          <w:szCs w:val="24"/>
        </w:rPr>
        <w:t xml:space="preserve"> </w:t>
      </w:r>
      <w:r w:rsidRPr="008B68A9">
        <w:rPr>
          <w:rFonts w:eastAsia="Calibri" w:cs="Times New Roman"/>
          <w:b/>
          <w:szCs w:val="24"/>
        </w:rPr>
        <w:t xml:space="preserve">15, </w:t>
      </w:r>
      <w:r w:rsidRPr="008B68A9">
        <w:rPr>
          <w:rFonts w:eastAsia="Calibri" w:cs="Times New Roman"/>
          <w:szCs w:val="24"/>
        </w:rPr>
        <w:t>145.</w:t>
      </w:r>
    </w:p>
    <w:p w14:paraId="11E1737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Silverman, D. (1998) The quality of qualitative health research: The open ended interview and its alternatives. </w:t>
      </w:r>
      <w:r w:rsidRPr="008B68A9">
        <w:rPr>
          <w:rFonts w:eastAsia="Calibri" w:cs="Times New Roman"/>
          <w:i/>
          <w:szCs w:val="24"/>
        </w:rPr>
        <w:t>Social Sciences in Health</w:t>
      </w:r>
      <w:r w:rsidRPr="008B68A9">
        <w:rPr>
          <w:rFonts w:eastAsia="Calibri" w:cs="Times New Roman"/>
          <w:szCs w:val="24"/>
        </w:rPr>
        <w:t xml:space="preserve">, </w:t>
      </w:r>
      <w:r w:rsidRPr="008B68A9">
        <w:rPr>
          <w:rFonts w:eastAsia="Calibri" w:cs="Times New Roman"/>
          <w:b/>
          <w:szCs w:val="24"/>
        </w:rPr>
        <w:t xml:space="preserve">4 </w:t>
      </w:r>
      <w:r w:rsidRPr="008B68A9">
        <w:rPr>
          <w:rFonts w:eastAsia="Calibri" w:cs="Times New Roman"/>
          <w:szCs w:val="24"/>
        </w:rPr>
        <w:t>(2), 104-118.</w:t>
      </w:r>
    </w:p>
    <w:p w14:paraId="11179192" w14:textId="77777777" w:rsidR="00947BAF" w:rsidRPr="008B68A9" w:rsidRDefault="00947BAF" w:rsidP="00947BAF">
      <w:pPr>
        <w:spacing w:after="80" w:line="240" w:lineRule="auto"/>
        <w:ind w:left="357" w:hanging="357"/>
        <w:rPr>
          <w:rFonts w:eastAsia="Calibri" w:cs="Arial"/>
          <w:szCs w:val="24"/>
        </w:rPr>
      </w:pPr>
      <w:r w:rsidRPr="008B68A9">
        <w:rPr>
          <w:rFonts w:eastAsia="Calibri" w:cs="Arial"/>
          <w:szCs w:val="24"/>
        </w:rPr>
        <w:t xml:space="preserve">Silverman, D (2013) </w:t>
      </w:r>
      <w:r w:rsidRPr="008B68A9">
        <w:rPr>
          <w:rFonts w:eastAsia="Calibri" w:cs="Arial"/>
          <w:i/>
          <w:szCs w:val="24"/>
        </w:rPr>
        <w:t>D</w:t>
      </w:r>
      <w:r w:rsidRPr="008B68A9">
        <w:rPr>
          <w:rFonts w:eastAsia="Calibri" w:cs="Arial"/>
          <w:i/>
          <w:iCs/>
          <w:szCs w:val="24"/>
        </w:rPr>
        <w:t>oing qualitative research: A practical handbook</w:t>
      </w:r>
      <w:r w:rsidRPr="008B68A9">
        <w:rPr>
          <w:rFonts w:eastAsia="Calibri" w:cs="Arial"/>
          <w:iCs/>
          <w:szCs w:val="24"/>
        </w:rPr>
        <w:t xml:space="preserve"> (4</w:t>
      </w:r>
      <w:r w:rsidRPr="008B68A9">
        <w:rPr>
          <w:rFonts w:eastAsia="Calibri" w:cs="Arial"/>
          <w:iCs/>
          <w:szCs w:val="24"/>
          <w:vertAlign w:val="superscript"/>
        </w:rPr>
        <w:t>th</w:t>
      </w:r>
      <w:r w:rsidRPr="008B68A9">
        <w:rPr>
          <w:rFonts w:eastAsia="Calibri" w:cs="Arial"/>
          <w:iCs/>
          <w:szCs w:val="24"/>
        </w:rPr>
        <w:t xml:space="preserve"> ed.). </w:t>
      </w:r>
      <w:r w:rsidRPr="008B68A9">
        <w:rPr>
          <w:rFonts w:eastAsia="Calibri" w:cs="Arial"/>
          <w:szCs w:val="24"/>
        </w:rPr>
        <w:t>London, Sage.</w:t>
      </w:r>
    </w:p>
    <w:p w14:paraId="503852B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Arial"/>
          <w:szCs w:val="24"/>
        </w:rPr>
        <w:t xml:space="preserve">Skills for Care (2009) </w:t>
      </w:r>
      <w:r w:rsidRPr="008B68A9">
        <w:rPr>
          <w:rFonts w:eastAsia="Calibri" w:cs="Arial"/>
          <w:i/>
          <w:szCs w:val="24"/>
        </w:rPr>
        <w:t>The independent broker role and requirements: A summary report.</w:t>
      </w:r>
      <w:r w:rsidRPr="008B68A9">
        <w:rPr>
          <w:rFonts w:eastAsia="Calibri" w:cs="Arial"/>
          <w:szCs w:val="24"/>
        </w:rPr>
        <w:t xml:space="preserve"> London National Development Team.</w:t>
      </w:r>
    </w:p>
    <w:p w14:paraId="1BCB58E2" w14:textId="77777777" w:rsidR="00947BAF" w:rsidRPr="008B68A9" w:rsidRDefault="00947BAF" w:rsidP="00947BAF">
      <w:pPr>
        <w:spacing w:after="80" w:line="240" w:lineRule="auto"/>
        <w:ind w:left="357" w:hanging="357"/>
        <w:rPr>
          <w:rFonts w:eastAsia="Calibri" w:cs="Arial"/>
          <w:szCs w:val="24"/>
        </w:rPr>
      </w:pPr>
      <w:r w:rsidRPr="008B68A9">
        <w:rPr>
          <w:rFonts w:eastAsia="Calibri" w:cs="Arial"/>
          <w:szCs w:val="24"/>
        </w:rPr>
        <w:t xml:space="preserve">Slade, M. (2009) </w:t>
      </w:r>
      <w:r w:rsidRPr="008B68A9">
        <w:rPr>
          <w:rFonts w:eastAsia="Calibri" w:cs="Arial"/>
          <w:i/>
          <w:szCs w:val="24"/>
        </w:rPr>
        <w:t>100 ways to support recovery.</w:t>
      </w:r>
      <w:r w:rsidRPr="008B68A9">
        <w:rPr>
          <w:rFonts w:eastAsia="Calibri" w:cs="Arial"/>
          <w:szCs w:val="24"/>
        </w:rPr>
        <w:t xml:space="preserve"> London, Rethink Publications.</w:t>
      </w:r>
    </w:p>
    <w:p w14:paraId="631D945D" w14:textId="77777777" w:rsidR="00947BAF" w:rsidRPr="008B68A9" w:rsidRDefault="00947BAF" w:rsidP="00947BAF">
      <w:pPr>
        <w:spacing w:after="80" w:line="240" w:lineRule="auto"/>
        <w:ind w:left="357" w:hanging="357"/>
        <w:rPr>
          <w:rFonts w:eastAsia="Calibri" w:cs="Arial"/>
          <w:szCs w:val="24"/>
        </w:rPr>
      </w:pPr>
      <w:r w:rsidRPr="008B68A9">
        <w:rPr>
          <w:rFonts w:eastAsia="Calibri" w:cs="Arial"/>
          <w:szCs w:val="24"/>
        </w:rPr>
        <w:t xml:space="preserve">Slasberg, C. (2010) </w:t>
      </w:r>
      <w:r w:rsidRPr="008B68A9">
        <w:rPr>
          <w:rFonts w:eastAsia="Calibri" w:cs="Times New Roman"/>
          <w:color w:val="000000"/>
          <w:szCs w:val="24"/>
        </w:rPr>
        <w:t xml:space="preserve">Can personalisation be a reality for older people? Working with older people. </w:t>
      </w:r>
      <w:r w:rsidRPr="008B68A9">
        <w:rPr>
          <w:rFonts w:eastAsia="Calibri" w:cs="Times New Roman"/>
          <w:i/>
          <w:color w:val="000000"/>
          <w:szCs w:val="24"/>
        </w:rPr>
        <w:t>Community Care Policy &amp; Practice,</w:t>
      </w:r>
      <w:r w:rsidRPr="008B68A9">
        <w:rPr>
          <w:rFonts w:eastAsia="Calibri" w:cs="Times New Roman"/>
          <w:color w:val="000000"/>
          <w:szCs w:val="24"/>
        </w:rPr>
        <w:t xml:space="preserve"> </w:t>
      </w:r>
      <w:r w:rsidRPr="008B68A9">
        <w:rPr>
          <w:rFonts w:eastAsia="Calibri" w:cs="Times New Roman"/>
          <w:b/>
          <w:color w:val="000000"/>
          <w:szCs w:val="24"/>
        </w:rPr>
        <w:t>14</w:t>
      </w:r>
      <w:r w:rsidRPr="008B68A9">
        <w:rPr>
          <w:rFonts w:eastAsia="Calibri" w:cs="Times New Roman"/>
          <w:color w:val="000000"/>
          <w:szCs w:val="24"/>
        </w:rPr>
        <w:t>(3), p. 15-22.</w:t>
      </w:r>
    </w:p>
    <w:p w14:paraId="00D1B1D2" w14:textId="77777777" w:rsidR="00947BAF" w:rsidRPr="008B68A9" w:rsidRDefault="00947BAF" w:rsidP="00947BAF">
      <w:pPr>
        <w:spacing w:after="80" w:line="240" w:lineRule="auto"/>
        <w:ind w:left="357" w:hanging="357"/>
        <w:rPr>
          <w:rFonts w:eastAsia="Calibri" w:cs="Arial"/>
          <w:szCs w:val="24"/>
        </w:rPr>
      </w:pPr>
      <w:r w:rsidRPr="008B68A9">
        <w:rPr>
          <w:rFonts w:eastAsia="Calibri" w:cs="Arial"/>
          <w:szCs w:val="24"/>
        </w:rPr>
        <w:t xml:space="preserve">Slasberg, C., Beresford, P. &amp; Schofield, P. (2012) How self-directed support is failing to delivery personal budgets and personalisation. </w:t>
      </w:r>
      <w:r w:rsidRPr="008B68A9">
        <w:rPr>
          <w:rFonts w:eastAsia="Calibri" w:cs="Arial"/>
          <w:i/>
          <w:szCs w:val="24"/>
        </w:rPr>
        <w:t>Research Policy and Planning,</w:t>
      </w:r>
      <w:r w:rsidRPr="008B68A9">
        <w:rPr>
          <w:rFonts w:eastAsia="Calibri" w:cs="Arial"/>
          <w:szCs w:val="24"/>
        </w:rPr>
        <w:t xml:space="preserve"> </w:t>
      </w:r>
      <w:r w:rsidRPr="008B68A9">
        <w:rPr>
          <w:rFonts w:eastAsia="Calibri" w:cs="Arial"/>
          <w:b/>
          <w:szCs w:val="24"/>
        </w:rPr>
        <w:t>29</w:t>
      </w:r>
      <w:r w:rsidRPr="008B68A9">
        <w:rPr>
          <w:rFonts w:eastAsia="Calibri" w:cs="Arial"/>
          <w:szCs w:val="24"/>
        </w:rPr>
        <w:t xml:space="preserve"> (3), 161-177.</w:t>
      </w:r>
    </w:p>
    <w:p w14:paraId="079F6656" w14:textId="77777777" w:rsidR="00947BAF" w:rsidRPr="008B68A9" w:rsidRDefault="00947BAF" w:rsidP="00947BAF">
      <w:pPr>
        <w:spacing w:after="80" w:line="240" w:lineRule="auto"/>
        <w:ind w:left="357" w:hanging="357"/>
        <w:rPr>
          <w:rFonts w:eastAsia="Calibri" w:cs="Arial"/>
          <w:szCs w:val="24"/>
        </w:rPr>
      </w:pPr>
      <w:r w:rsidRPr="008B68A9">
        <w:rPr>
          <w:rFonts w:eastAsia="Calibri" w:cs="Arial"/>
          <w:szCs w:val="24"/>
        </w:rPr>
        <w:t xml:space="preserve">Slasberg, C., Beresford, P. &amp; Schofield, P. (2013) </w:t>
      </w:r>
      <w:r w:rsidRPr="008B68A9">
        <w:rPr>
          <w:rFonts w:eastAsia="Calibri" w:cs="Times New Roman"/>
          <w:color w:val="000000"/>
          <w:szCs w:val="24"/>
        </w:rPr>
        <w:t>The increasing evidence of how self-directed support is failing to deliver personal budgets and personalisation.</w:t>
      </w:r>
      <w:r w:rsidRPr="008B68A9">
        <w:rPr>
          <w:rFonts w:eastAsia="Calibri" w:cs="Times New Roman"/>
          <w:i/>
          <w:color w:val="000000"/>
          <w:szCs w:val="24"/>
        </w:rPr>
        <w:t xml:space="preserve"> Research, Policy and Planning,</w:t>
      </w:r>
      <w:r w:rsidRPr="008B68A9">
        <w:rPr>
          <w:rFonts w:eastAsia="Calibri" w:cs="Times New Roman"/>
          <w:color w:val="000000"/>
          <w:szCs w:val="24"/>
        </w:rPr>
        <w:t xml:space="preserve"> </w:t>
      </w:r>
      <w:r w:rsidRPr="008B68A9">
        <w:rPr>
          <w:rFonts w:eastAsia="Calibri" w:cs="Times New Roman"/>
          <w:b/>
          <w:color w:val="000000"/>
          <w:szCs w:val="24"/>
        </w:rPr>
        <w:t>30</w:t>
      </w:r>
      <w:r w:rsidRPr="008B68A9">
        <w:rPr>
          <w:rFonts w:eastAsia="Calibri" w:cs="Times New Roman"/>
          <w:color w:val="000000"/>
          <w:szCs w:val="24"/>
        </w:rPr>
        <w:t xml:space="preserve"> (2), 91-105.</w:t>
      </w:r>
    </w:p>
    <w:p w14:paraId="0925A8B2"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Slasberg, C. (2014) Personal health budgets: A threat to the NHS? In Needham, C. &amp; Glasby, J. (eds.) (2014) </w:t>
      </w:r>
      <w:r w:rsidRPr="008B68A9">
        <w:rPr>
          <w:rFonts w:eastAsia="Arial" w:cs="Arial"/>
          <w:i/>
          <w:szCs w:val="24"/>
        </w:rPr>
        <w:t>Debates on personalisation.</w:t>
      </w:r>
      <w:r w:rsidRPr="008B68A9">
        <w:rPr>
          <w:rFonts w:eastAsia="Arial" w:cs="Arial"/>
          <w:szCs w:val="24"/>
        </w:rPr>
        <w:t xml:space="preserve"> Bristol, Policy Press.</w:t>
      </w:r>
    </w:p>
    <w:p w14:paraId="04C55D2B"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Slasberg, C., Beresford, P., &amp; Schofield, P. (2012) </w:t>
      </w:r>
      <w:r w:rsidRPr="008B68A9">
        <w:rPr>
          <w:color w:val="000000"/>
          <w:szCs w:val="24"/>
        </w:rPr>
        <w:t xml:space="preserve">Can personal budgets really deliver better outcome for all at no cost? Reviewing the evidence, costs and quality. </w:t>
      </w:r>
      <w:r w:rsidRPr="008B68A9">
        <w:rPr>
          <w:i/>
          <w:color w:val="000000"/>
          <w:szCs w:val="24"/>
        </w:rPr>
        <w:t>Disability and Society</w:t>
      </w:r>
      <w:r w:rsidRPr="008B68A9">
        <w:rPr>
          <w:color w:val="000000"/>
          <w:szCs w:val="24"/>
        </w:rPr>
        <w:t xml:space="preserve"> </w:t>
      </w:r>
      <w:r w:rsidRPr="008B68A9">
        <w:rPr>
          <w:b/>
          <w:color w:val="000000"/>
          <w:szCs w:val="24"/>
        </w:rPr>
        <w:t>27</w:t>
      </w:r>
      <w:r w:rsidRPr="008B68A9">
        <w:rPr>
          <w:color w:val="000000"/>
          <w:szCs w:val="24"/>
        </w:rPr>
        <w:t xml:space="preserve"> (7), 1029-1034.</w:t>
      </w:r>
    </w:p>
    <w:p w14:paraId="2293E1B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Slocock, C. (2015) Whose society? The final Big Society audit. London, The Civil Exchange.</w:t>
      </w:r>
    </w:p>
    <w:p w14:paraId="1E464C2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Small, N., Harrison, J., &amp; Newell, R. (2010) Carer burden in schizophrenia: Considerations for nursing practice. </w:t>
      </w:r>
      <w:r w:rsidRPr="008B68A9">
        <w:rPr>
          <w:rFonts w:eastAsia="Calibri" w:cs="Times New Roman"/>
          <w:i/>
          <w:szCs w:val="24"/>
        </w:rPr>
        <w:t>Mental Health Practice</w:t>
      </w:r>
      <w:r w:rsidRPr="008B68A9">
        <w:rPr>
          <w:rFonts w:eastAsia="Calibri" w:cs="Times New Roman"/>
          <w:szCs w:val="24"/>
        </w:rPr>
        <w:t xml:space="preserve">, </w:t>
      </w:r>
      <w:r w:rsidRPr="008B68A9">
        <w:rPr>
          <w:rFonts w:eastAsia="Calibri" w:cs="Times New Roman"/>
          <w:b/>
          <w:szCs w:val="24"/>
        </w:rPr>
        <w:t>14</w:t>
      </w:r>
      <w:r w:rsidRPr="008B68A9">
        <w:rPr>
          <w:rFonts w:eastAsia="Calibri" w:cs="Times New Roman"/>
          <w:szCs w:val="24"/>
        </w:rPr>
        <w:t xml:space="preserve"> (4), 22-25.</w:t>
      </w:r>
    </w:p>
    <w:p w14:paraId="09E47E9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Smith, J. &amp; Firth, J. (2011) Qualitative data analysis: The framework approach. </w:t>
      </w:r>
      <w:r w:rsidRPr="008B68A9">
        <w:rPr>
          <w:rFonts w:eastAsia="Calibri" w:cs="Times New Roman"/>
          <w:i/>
          <w:szCs w:val="24"/>
        </w:rPr>
        <w:t>Nurse Researcher</w:t>
      </w:r>
      <w:r w:rsidRPr="008B68A9">
        <w:rPr>
          <w:rFonts w:eastAsia="Calibri" w:cs="Times New Roman"/>
          <w:szCs w:val="24"/>
        </w:rPr>
        <w:t>, 18 (2), 52-62.</w:t>
      </w:r>
    </w:p>
    <w:p w14:paraId="1DD9908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Smull, M. &amp; Harrison, S. B. (1992) </w:t>
      </w:r>
      <w:r w:rsidRPr="008B68A9">
        <w:rPr>
          <w:rFonts w:eastAsia="Calibri" w:cs="Times New Roman"/>
          <w:i/>
          <w:szCs w:val="24"/>
        </w:rPr>
        <w:t>Supporting people with severe reputations in the community</w:t>
      </w:r>
      <w:r w:rsidRPr="008B68A9">
        <w:rPr>
          <w:rFonts w:eastAsia="Calibri" w:cs="Times New Roman"/>
          <w:szCs w:val="24"/>
        </w:rPr>
        <w:t>. Alexandria, V A: National Association of State Mental Retardation Programme Directors.</w:t>
      </w:r>
    </w:p>
    <w:p w14:paraId="3E8A848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Social Care Institute for Excellence (2009) </w:t>
      </w:r>
      <w:r w:rsidRPr="008B68A9">
        <w:rPr>
          <w:rFonts w:eastAsia="Calibri" w:cs="Times New Roman"/>
          <w:i/>
          <w:szCs w:val="24"/>
        </w:rPr>
        <w:t>At a glance 18: Personalisation briefing: Implications for community mental health services</w:t>
      </w:r>
      <w:r w:rsidRPr="008B68A9">
        <w:rPr>
          <w:rFonts w:eastAsia="Calibri" w:cs="Times New Roman"/>
          <w:szCs w:val="24"/>
        </w:rPr>
        <w:t>. London, Social Care Institute for Excellence.</w:t>
      </w:r>
    </w:p>
    <w:p w14:paraId="630B7D2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Social Care Institute for Excellence, (2010) </w:t>
      </w:r>
      <w:r w:rsidRPr="008B68A9">
        <w:rPr>
          <w:rFonts w:eastAsia="Calibri" w:cs="Times New Roman"/>
          <w:i/>
          <w:szCs w:val="24"/>
        </w:rPr>
        <w:t>At a glance 29: Personalisation briefing: Implications for social workers in adults' services</w:t>
      </w:r>
      <w:r w:rsidRPr="008B68A9">
        <w:rPr>
          <w:rFonts w:eastAsia="Calibri" w:cs="Times New Roman"/>
          <w:szCs w:val="24"/>
        </w:rPr>
        <w:t>, London, Social Care Institute for Excellence.</w:t>
      </w:r>
    </w:p>
    <w:p w14:paraId="4ACC5F29"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Solomon, A., (2002) </w:t>
      </w:r>
      <w:r w:rsidRPr="008B68A9">
        <w:rPr>
          <w:rFonts w:eastAsia="Arial" w:cs="Arial"/>
          <w:i/>
          <w:szCs w:val="24"/>
        </w:rPr>
        <w:t>The noonday demon: An anatomy of depression.</w:t>
      </w:r>
      <w:r w:rsidRPr="008B68A9">
        <w:rPr>
          <w:rFonts w:eastAsia="Arial" w:cs="Arial"/>
          <w:szCs w:val="24"/>
        </w:rPr>
        <w:t xml:space="preserve"> London, Vintage.</w:t>
      </w:r>
    </w:p>
    <w:p w14:paraId="1D6B919F"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Somers, M. R. (1994) The narrative constitution of identity: A relational and network approach. </w:t>
      </w:r>
      <w:r w:rsidRPr="008B68A9">
        <w:rPr>
          <w:rFonts w:eastAsia="Arial" w:cs="Arial"/>
          <w:i/>
          <w:szCs w:val="24"/>
        </w:rPr>
        <w:t>Theory and Society</w:t>
      </w:r>
      <w:r w:rsidRPr="008B68A9">
        <w:rPr>
          <w:rFonts w:eastAsia="Arial" w:cs="Arial"/>
          <w:szCs w:val="24"/>
        </w:rPr>
        <w:t xml:space="preserve">, </w:t>
      </w:r>
      <w:r w:rsidRPr="008B68A9">
        <w:rPr>
          <w:rFonts w:eastAsia="Arial" w:cs="Arial"/>
          <w:b/>
          <w:szCs w:val="24"/>
        </w:rPr>
        <w:t>23</w:t>
      </w:r>
      <w:r w:rsidRPr="008B68A9">
        <w:rPr>
          <w:rFonts w:eastAsia="Arial" w:cs="Arial"/>
          <w:szCs w:val="24"/>
        </w:rPr>
        <w:t xml:space="preserve">, 605-649. </w:t>
      </w:r>
    </w:p>
    <w:p w14:paraId="42BE3F8D"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Spandler, H. &amp; Vick, N., (2005) Enabling access to direct payments: An examination of care co-ordinators’ decision-making practices.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14</w:t>
      </w:r>
      <w:r w:rsidRPr="008B68A9">
        <w:rPr>
          <w:rFonts w:eastAsia="Calibri" w:cs="Times New Roman"/>
          <w:szCs w:val="24"/>
        </w:rPr>
        <w:t xml:space="preserve"> (2), 145-155.</w:t>
      </w:r>
    </w:p>
    <w:p w14:paraId="1798E64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Spandler, H. &amp; Vick, N. (2007) Opportunities for independent living using direct payment in mental health. </w:t>
      </w:r>
      <w:r w:rsidRPr="008B68A9">
        <w:rPr>
          <w:rFonts w:eastAsia="Calibri" w:cs="Times New Roman"/>
          <w:i/>
          <w:szCs w:val="24"/>
        </w:rPr>
        <w:t>Health and Social Care in the Community,</w:t>
      </w:r>
      <w:r w:rsidRPr="008B68A9">
        <w:rPr>
          <w:rFonts w:eastAsia="Calibri" w:cs="Times New Roman"/>
          <w:szCs w:val="24"/>
        </w:rPr>
        <w:t xml:space="preserve"> </w:t>
      </w:r>
      <w:r w:rsidRPr="008B68A9">
        <w:rPr>
          <w:rFonts w:eastAsia="Calibri" w:cs="Times New Roman"/>
          <w:b/>
          <w:szCs w:val="24"/>
        </w:rPr>
        <w:t>14</w:t>
      </w:r>
      <w:r w:rsidRPr="008B68A9">
        <w:rPr>
          <w:rFonts w:eastAsia="Calibri" w:cs="Times New Roman"/>
          <w:szCs w:val="24"/>
        </w:rPr>
        <w:t xml:space="preserve"> (2), 105-107.</w:t>
      </w:r>
    </w:p>
    <w:p w14:paraId="5FC80F4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Spandler, H. (2007) Individualised funding, social inclusion and the politics of mental health. </w:t>
      </w:r>
      <w:r w:rsidRPr="008B68A9">
        <w:rPr>
          <w:rFonts w:eastAsia="Calibri" w:cs="Times New Roman"/>
          <w:i/>
          <w:szCs w:val="24"/>
        </w:rPr>
        <w:t>Journal of Critical Psychology, Counselling and Psychotherap</w:t>
      </w:r>
      <w:r w:rsidRPr="008B68A9">
        <w:rPr>
          <w:rFonts w:eastAsia="Calibri" w:cs="Times New Roman"/>
          <w:szCs w:val="24"/>
        </w:rPr>
        <w:t xml:space="preserve">y, </w:t>
      </w:r>
      <w:r w:rsidRPr="008B68A9">
        <w:rPr>
          <w:rFonts w:eastAsia="Calibri" w:cs="Times New Roman"/>
          <w:b/>
          <w:szCs w:val="24"/>
        </w:rPr>
        <w:t>8</w:t>
      </w:r>
      <w:r w:rsidRPr="008B68A9">
        <w:rPr>
          <w:rFonts w:eastAsia="Calibri" w:cs="Times New Roman"/>
          <w:szCs w:val="24"/>
        </w:rPr>
        <w:t xml:space="preserve"> (1), 18-27.</w:t>
      </w:r>
    </w:p>
    <w:p w14:paraId="18FE376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Spaulding-Givens, J. C. &amp; Lacasse, J. R. (2015) Self-directed care: Participants’ service utilization and outcomes. </w:t>
      </w:r>
      <w:r w:rsidRPr="008B68A9">
        <w:rPr>
          <w:rFonts w:eastAsia="Calibri" w:cs="Times New Roman"/>
          <w:i/>
          <w:szCs w:val="24"/>
        </w:rPr>
        <w:t>Psychiatric Rehabilitation Journal</w:t>
      </w:r>
      <w:r w:rsidRPr="008B68A9">
        <w:rPr>
          <w:rFonts w:eastAsia="Calibri" w:cs="Times New Roman"/>
          <w:szCs w:val="24"/>
        </w:rPr>
        <w:t xml:space="preserve">, </w:t>
      </w:r>
      <w:r w:rsidRPr="008B68A9">
        <w:rPr>
          <w:rFonts w:eastAsia="Calibri" w:cs="Times New Roman"/>
          <w:b/>
          <w:szCs w:val="24"/>
        </w:rPr>
        <w:t>38</w:t>
      </w:r>
      <w:r w:rsidRPr="008B68A9">
        <w:rPr>
          <w:rFonts w:eastAsia="Calibri" w:cs="Times New Roman"/>
          <w:szCs w:val="24"/>
        </w:rPr>
        <w:t xml:space="preserve"> (1), 74-80,</w:t>
      </w:r>
    </w:p>
    <w:p w14:paraId="6BA0883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Speed. E. (2007) Discourses of consumption or consumed by discourse? A consideration of what "consumer" means to the service user. </w:t>
      </w:r>
      <w:r w:rsidRPr="008B68A9">
        <w:rPr>
          <w:rFonts w:eastAsia="Calibri" w:cs="Times New Roman"/>
          <w:i/>
          <w:szCs w:val="24"/>
        </w:rPr>
        <w:t>Journal of Mental Health</w:t>
      </w:r>
      <w:r w:rsidRPr="008B68A9">
        <w:rPr>
          <w:rFonts w:eastAsia="Calibri" w:cs="Times New Roman"/>
          <w:szCs w:val="24"/>
        </w:rPr>
        <w:t xml:space="preserve">, </w:t>
      </w:r>
      <w:r w:rsidRPr="008B68A9">
        <w:rPr>
          <w:rFonts w:eastAsia="Calibri" w:cs="Times New Roman"/>
          <w:b/>
          <w:szCs w:val="24"/>
        </w:rPr>
        <w:t>16</w:t>
      </w:r>
      <w:r w:rsidRPr="008B68A9">
        <w:rPr>
          <w:rFonts w:eastAsia="Calibri" w:cs="Times New Roman"/>
          <w:szCs w:val="24"/>
        </w:rPr>
        <w:t xml:space="preserve"> (3), 307-318.</w:t>
      </w:r>
    </w:p>
    <w:p w14:paraId="0896945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Speed, E. &amp; Gabe, J. (2013) The Health and Social Care Act for England 2012: The extension of ‘new professionalism’. </w:t>
      </w:r>
      <w:r w:rsidRPr="008B68A9">
        <w:rPr>
          <w:rFonts w:eastAsia="Calibri" w:cs="Times New Roman"/>
          <w:i/>
          <w:szCs w:val="24"/>
        </w:rPr>
        <w:t>Critical Social Policy</w:t>
      </w:r>
      <w:r w:rsidRPr="008B68A9">
        <w:rPr>
          <w:rFonts w:eastAsia="Calibri" w:cs="Times New Roman"/>
          <w:szCs w:val="24"/>
        </w:rPr>
        <w:t xml:space="preserve">, </w:t>
      </w:r>
      <w:r w:rsidRPr="008B68A9">
        <w:rPr>
          <w:rFonts w:eastAsia="Calibri" w:cs="Times New Roman"/>
          <w:b/>
          <w:szCs w:val="24"/>
        </w:rPr>
        <w:t>33</w:t>
      </w:r>
      <w:r w:rsidRPr="008B68A9">
        <w:rPr>
          <w:rFonts w:eastAsia="Calibri" w:cs="Times New Roman"/>
          <w:szCs w:val="24"/>
        </w:rPr>
        <w:t xml:space="preserve"> (3) 564-574. </w:t>
      </w:r>
    </w:p>
    <w:p w14:paraId="13C6099B"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 xml:space="preserve">Spicker, P., (2012) Personalisation falls short. </w:t>
      </w:r>
      <w:r w:rsidRPr="008B68A9">
        <w:rPr>
          <w:rFonts w:eastAsia="Calibri" w:cs="Times New Roman"/>
          <w:i/>
          <w:color w:val="000000"/>
          <w:szCs w:val="24"/>
        </w:rPr>
        <w:t>British Journal of Social Work,</w:t>
      </w:r>
      <w:r w:rsidRPr="008B68A9">
        <w:rPr>
          <w:rFonts w:eastAsia="Calibri" w:cs="Times New Roman"/>
          <w:color w:val="000000"/>
          <w:szCs w:val="24"/>
        </w:rPr>
        <w:t xml:space="preserve"> </w:t>
      </w:r>
      <w:r w:rsidRPr="008B68A9">
        <w:rPr>
          <w:rFonts w:eastAsia="Calibri" w:cs="Times New Roman"/>
          <w:b/>
          <w:color w:val="000000"/>
          <w:szCs w:val="24"/>
        </w:rPr>
        <w:t>40</w:t>
      </w:r>
      <w:r w:rsidRPr="008B68A9">
        <w:rPr>
          <w:rFonts w:eastAsia="Calibri" w:cs="Times New Roman"/>
          <w:color w:val="000000"/>
          <w:szCs w:val="24"/>
        </w:rPr>
        <w:t xml:space="preserve"> (2) 1259-1275.</w:t>
      </w:r>
    </w:p>
    <w:p w14:paraId="2F6B28AC" w14:textId="77777777" w:rsidR="00947BAF" w:rsidRPr="008B68A9" w:rsidRDefault="00947BAF" w:rsidP="00947BAF">
      <w:pPr>
        <w:spacing w:after="80" w:line="240" w:lineRule="auto"/>
        <w:ind w:left="357" w:hanging="357"/>
        <w:rPr>
          <w:rFonts w:eastAsia="Calibri" w:cs="Times New Roman"/>
          <w:color w:val="000000"/>
          <w:szCs w:val="24"/>
        </w:rPr>
      </w:pPr>
      <w:r w:rsidRPr="008B68A9">
        <w:rPr>
          <w:rFonts w:eastAsia="Calibri" w:cs="Times New Roman"/>
          <w:color w:val="000000"/>
          <w:szCs w:val="24"/>
        </w:rPr>
        <w:t xml:space="preserve">Stacey, G., Felton, A., Morgan, A., Stickley, T., Willis, M., Diamond, B., Houghton, P., Johnson, B. &amp; Dumenya, J. (2016) A critical narrative analysis of shared decision making in acute inpatient mental health care. </w:t>
      </w:r>
      <w:r w:rsidRPr="008B68A9">
        <w:rPr>
          <w:rFonts w:eastAsia="Calibri" w:cs="Times New Roman"/>
          <w:i/>
          <w:color w:val="000000"/>
          <w:szCs w:val="24"/>
        </w:rPr>
        <w:t>Journal of Interprofessional Care</w:t>
      </w:r>
      <w:r w:rsidRPr="008B68A9">
        <w:rPr>
          <w:rFonts w:eastAsia="Calibri" w:cs="Times New Roman"/>
          <w:color w:val="000000"/>
          <w:szCs w:val="24"/>
        </w:rPr>
        <w:t xml:space="preserve">, </w:t>
      </w:r>
      <w:r w:rsidRPr="008B68A9">
        <w:rPr>
          <w:rFonts w:eastAsia="Calibri" w:cs="Times New Roman"/>
          <w:b/>
          <w:color w:val="000000"/>
          <w:szCs w:val="24"/>
        </w:rPr>
        <w:t>30</w:t>
      </w:r>
      <w:r w:rsidRPr="008B68A9">
        <w:rPr>
          <w:rFonts w:eastAsia="Calibri" w:cs="Times New Roman"/>
          <w:color w:val="000000"/>
          <w:szCs w:val="24"/>
        </w:rPr>
        <w:t xml:space="preserve"> (1), 35-41.</w:t>
      </w:r>
    </w:p>
    <w:p w14:paraId="3D040C2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Stake, R. (2000) Case studies. Chapter 16 in Denzin, N. and Lincoln, Y. (eds.) </w:t>
      </w:r>
      <w:r w:rsidRPr="008B68A9">
        <w:rPr>
          <w:rFonts w:eastAsia="Calibri" w:cs="Times New Roman"/>
          <w:i/>
          <w:szCs w:val="24"/>
        </w:rPr>
        <w:t xml:space="preserve">The handbook of qualitative research. </w:t>
      </w:r>
      <w:r w:rsidRPr="008B68A9">
        <w:rPr>
          <w:rFonts w:eastAsia="Calibri" w:cs="Times New Roman"/>
          <w:szCs w:val="24"/>
        </w:rPr>
        <w:t>Thousand Oaks, California, Sage.</w:t>
      </w:r>
    </w:p>
    <w:p w14:paraId="5F52FA7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Standing, M. (2008) Clinical judgement and decision-making in nursing: nine modes of practice in a revised cognitive continuum. </w:t>
      </w:r>
      <w:r w:rsidRPr="008B68A9">
        <w:rPr>
          <w:rFonts w:eastAsia="Calibri" w:cs="Times New Roman"/>
          <w:i/>
          <w:szCs w:val="24"/>
        </w:rPr>
        <w:t>Journal of Advanced Nursing,</w:t>
      </w:r>
      <w:r w:rsidRPr="008B68A9">
        <w:rPr>
          <w:rFonts w:eastAsia="Calibri" w:cs="Times New Roman"/>
          <w:szCs w:val="24"/>
        </w:rPr>
        <w:t xml:space="preserve"> </w:t>
      </w:r>
      <w:r w:rsidRPr="008B68A9">
        <w:rPr>
          <w:rFonts w:eastAsia="Calibri" w:cs="Times New Roman"/>
          <w:b/>
          <w:szCs w:val="24"/>
        </w:rPr>
        <w:t>62</w:t>
      </w:r>
      <w:r w:rsidRPr="008B68A9">
        <w:rPr>
          <w:rFonts w:eastAsia="Calibri" w:cs="Times New Roman"/>
          <w:szCs w:val="24"/>
        </w:rPr>
        <w:t xml:space="preserve"> (1), 124-134.</w:t>
      </w:r>
    </w:p>
    <w:p w14:paraId="0D5EF62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Stevens, S. (2014), </w:t>
      </w:r>
      <w:r w:rsidRPr="008B68A9">
        <w:rPr>
          <w:rFonts w:eastAsia="Calibri" w:cs="Times New Roman"/>
          <w:i/>
          <w:szCs w:val="24"/>
        </w:rPr>
        <w:t>NHS England Chief offers local government leaders radical new health and social care integration option.</w:t>
      </w:r>
      <w:r w:rsidRPr="008B68A9">
        <w:rPr>
          <w:rFonts w:eastAsia="Calibri" w:cs="Times New Roman"/>
          <w:szCs w:val="24"/>
        </w:rPr>
        <w:t xml:space="preserve"> Press release, Integrated Personal Commissioning. Available from: https://www.england.nhs.uk/2014/07/ipc-prog/ [Accessed 15/06/15].</w:t>
      </w:r>
    </w:p>
    <w:p w14:paraId="0F1610F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Stickley, T. &amp; Felton, A. (2006) Promoting recovery through therapeutic risk taking. </w:t>
      </w:r>
      <w:r w:rsidRPr="008B68A9">
        <w:rPr>
          <w:rFonts w:eastAsia="Calibri" w:cs="Times New Roman"/>
          <w:i/>
          <w:szCs w:val="24"/>
        </w:rPr>
        <w:t>Mental Health Practice</w:t>
      </w:r>
      <w:r w:rsidRPr="008B68A9">
        <w:rPr>
          <w:rFonts w:eastAsia="Calibri" w:cs="Times New Roman"/>
          <w:szCs w:val="24"/>
        </w:rPr>
        <w:t xml:space="preserve">, </w:t>
      </w:r>
      <w:r w:rsidRPr="008B68A9">
        <w:rPr>
          <w:rFonts w:eastAsia="Calibri" w:cs="Times New Roman"/>
          <w:b/>
          <w:szCs w:val="24"/>
        </w:rPr>
        <w:t>9</w:t>
      </w:r>
      <w:r w:rsidRPr="008B68A9">
        <w:rPr>
          <w:rFonts w:eastAsia="Calibri" w:cs="Times New Roman"/>
          <w:szCs w:val="24"/>
        </w:rPr>
        <w:t xml:space="preserve"> (8), 26-30.</w:t>
      </w:r>
    </w:p>
    <w:p w14:paraId="5C964CB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Sullivan, A. (2006) </w:t>
      </w:r>
      <w:r w:rsidRPr="008B68A9">
        <w:rPr>
          <w:rFonts w:eastAsia="Calibri" w:cs="Times New Roman"/>
          <w:i/>
          <w:szCs w:val="24"/>
        </w:rPr>
        <w:t>Empowerment initiatives: Brokerage service quality and outcome</w:t>
      </w:r>
      <w:r w:rsidRPr="008B68A9">
        <w:rPr>
          <w:rFonts w:eastAsia="Calibri" w:cs="Times New Roman"/>
          <w:szCs w:val="24"/>
        </w:rPr>
        <w:t xml:space="preserve"> evaluation report. </w:t>
      </w:r>
      <w:r w:rsidRPr="008B68A9">
        <w:rPr>
          <w:rFonts w:eastAsia="Calibri" w:cs="TimesNewRomanPSMT"/>
          <w:szCs w:val="24"/>
        </w:rPr>
        <w:t>Oregon Technical Assistance Corporation.</w:t>
      </w:r>
    </w:p>
    <w:p w14:paraId="0D09F90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Swain, J. &amp; French, S. (2000) Towards an affirmation model of disability. </w:t>
      </w:r>
      <w:r w:rsidRPr="008B68A9">
        <w:rPr>
          <w:rFonts w:eastAsia="Calibri" w:cs="Times New Roman"/>
          <w:i/>
          <w:szCs w:val="24"/>
        </w:rPr>
        <w:t xml:space="preserve">Disability &amp; Society, </w:t>
      </w:r>
      <w:r w:rsidRPr="008B68A9">
        <w:rPr>
          <w:rFonts w:eastAsia="Calibri" w:cs="Times New Roman"/>
          <w:b/>
          <w:szCs w:val="24"/>
        </w:rPr>
        <w:t>15</w:t>
      </w:r>
      <w:r w:rsidRPr="008B68A9">
        <w:rPr>
          <w:rFonts w:eastAsia="Calibri" w:cs="Times New Roman"/>
          <w:szCs w:val="24"/>
        </w:rPr>
        <w:t xml:space="preserve"> (4), 569-582.</w:t>
      </w:r>
    </w:p>
    <w:p w14:paraId="52A32E4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Szasz, T. (2001) Mental health: Psychiatry’s phlogiston. </w:t>
      </w:r>
      <w:r w:rsidRPr="008B68A9">
        <w:rPr>
          <w:rFonts w:eastAsia="Calibri" w:cs="Times New Roman"/>
          <w:i/>
          <w:szCs w:val="24"/>
        </w:rPr>
        <w:t>Journal of Medical Ethics,</w:t>
      </w:r>
      <w:r w:rsidRPr="008B68A9">
        <w:rPr>
          <w:rFonts w:eastAsia="Calibri" w:cs="Times New Roman"/>
          <w:szCs w:val="24"/>
        </w:rPr>
        <w:t xml:space="preserve"> 27, 297-301.</w:t>
      </w:r>
    </w:p>
    <w:p w14:paraId="59331E2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Szasz, T. (2010) </w:t>
      </w:r>
      <w:r w:rsidRPr="008B68A9">
        <w:rPr>
          <w:rFonts w:eastAsia="Calibri" w:cs="Times New Roman"/>
          <w:i/>
          <w:szCs w:val="24"/>
        </w:rPr>
        <w:t>The myth of mental illness: Foundations of a theory of personal conduct.</w:t>
      </w:r>
      <w:r w:rsidRPr="008B68A9">
        <w:rPr>
          <w:rFonts w:eastAsia="Calibri" w:cs="Times New Roman"/>
          <w:szCs w:val="24"/>
        </w:rPr>
        <w:t xml:space="preserve"> (2</w:t>
      </w:r>
      <w:r w:rsidRPr="008B68A9">
        <w:rPr>
          <w:rFonts w:eastAsia="Calibri" w:cs="Times New Roman"/>
          <w:szCs w:val="24"/>
          <w:vertAlign w:val="superscript"/>
        </w:rPr>
        <w:t>nd</w:t>
      </w:r>
      <w:r w:rsidRPr="008B68A9">
        <w:rPr>
          <w:rFonts w:eastAsia="Calibri" w:cs="Times New Roman"/>
          <w:szCs w:val="24"/>
        </w:rPr>
        <w:t xml:space="preserve"> ed.). New York, Harper Perennial.</w:t>
      </w:r>
    </w:p>
    <w:p w14:paraId="1917A4A5"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Tait, L. &amp; Lester, H. (2005) Encouraging user involvement in mental health services. </w:t>
      </w:r>
      <w:r w:rsidRPr="008B68A9">
        <w:rPr>
          <w:rFonts w:eastAsia="Calibri" w:cs="Times New Roman"/>
          <w:i/>
          <w:szCs w:val="24"/>
        </w:rPr>
        <w:t>Advances in Psychiatric Treatment,</w:t>
      </w:r>
      <w:r w:rsidRPr="008B68A9">
        <w:rPr>
          <w:rFonts w:eastAsia="Calibri" w:cs="Times New Roman"/>
          <w:szCs w:val="24"/>
        </w:rPr>
        <w:t xml:space="preserve"> </w:t>
      </w:r>
      <w:r w:rsidRPr="008B68A9">
        <w:rPr>
          <w:rFonts w:eastAsia="Calibri" w:cs="Times New Roman"/>
          <w:b/>
          <w:szCs w:val="24"/>
        </w:rPr>
        <w:t>11</w:t>
      </w:r>
      <w:r w:rsidRPr="008B68A9">
        <w:rPr>
          <w:rFonts w:eastAsia="Calibri" w:cs="Times New Roman"/>
          <w:szCs w:val="24"/>
        </w:rPr>
        <w:t>, 168-175.</w:t>
      </w:r>
    </w:p>
    <w:p w14:paraId="3B13FA7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Taylor, S. (2001). Evaluating and applying discourse analytic research. Pages 311-330 in Wetherell, M., Taylor, S. &amp; Yates, Simeon J. (eds) </w:t>
      </w:r>
      <w:r w:rsidRPr="008B68A9">
        <w:rPr>
          <w:rFonts w:eastAsia="Calibri" w:cs="Times New Roman"/>
          <w:i/>
          <w:szCs w:val="24"/>
        </w:rPr>
        <w:t>Discourse as data: A guide for analysis</w:t>
      </w:r>
      <w:r w:rsidRPr="008B68A9">
        <w:rPr>
          <w:rFonts w:eastAsia="Calibri" w:cs="Times New Roman"/>
          <w:szCs w:val="24"/>
        </w:rPr>
        <w:t>. London, Sage and The Open University.</w:t>
      </w:r>
    </w:p>
    <w:p w14:paraId="087BE39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Taylor, N. S. D. (2008) </w:t>
      </w:r>
      <w:r w:rsidRPr="008B68A9">
        <w:rPr>
          <w:color w:val="000000"/>
          <w:szCs w:val="24"/>
        </w:rPr>
        <w:t xml:space="preserve">Obstacles and dilemmas in the delivery of direct payments to service users with poor mental health. </w:t>
      </w:r>
      <w:r w:rsidRPr="008B68A9">
        <w:rPr>
          <w:i/>
          <w:color w:val="000000"/>
          <w:szCs w:val="24"/>
        </w:rPr>
        <w:t xml:space="preserve">Practice, </w:t>
      </w:r>
      <w:r w:rsidRPr="008B68A9">
        <w:rPr>
          <w:b/>
          <w:color w:val="000000"/>
          <w:szCs w:val="24"/>
        </w:rPr>
        <w:t>20</w:t>
      </w:r>
      <w:r w:rsidRPr="008B68A9">
        <w:rPr>
          <w:color w:val="000000"/>
          <w:szCs w:val="24"/>
        </w:rPr>
        <w:t xml:space="preserve"> (1), 43-55.</w:t>
      </w:r>
    </w:p>
    <w:p w14:paraId="13D6310F" w14:textId="77777777" w:rsidR="00947BAF" w:rsidRPr="008B68A9" w:rsidRDefault="00947BAF" w:rsidP="00947BAF">
      <w:pPr>
        <w:spacing w:after="80" w:line="240" w:lineRule="auto"/>
        <w:ind w:left="357" w:hanging="357"/>
        <w:rPr>
          <w:rFonts w:eastAsia="Calibri" w:cs="Times New Roman"/>
          <w:szCs w:val="24"/>
        </w:rPr>
      </w:pPr>
      <w:r w:rsidRPr="008B68A9">
        <w:rPr>
          <w:color w:val="000000"/>
          <w:szCs w:val="24"/>
        </w:rPr>
        <w:t xml:space="preserve">Taylor, F. (2011) </w:t>
      </w:r>
      <w:r w:rsidRPr="008B68A9">
        <w:rPr>
          <w:i/>
          <w:color w:val="000000"/>
          <w:szCs w:val="24"/>
        </w:rPr>
        <w:t>Facing up to the challenge of personal health budgets.</w:t>
      </w:r>
      <w:r w:rsidRPr="008B68A9">
        <w:rPr>
          <w:color w:val="000000"/>
          <w:szCs w:val="24"/>
        </w:rPr>
        <w:t xml:space="preserve"> Mental Health Network NH Confederation.</w:t>
      </w:r>
    </w:p>
    <w:p w14:paraId="1B24B7D6" w14:textId="77777777" w:rsidR="00947BAF" w:rsidRPr="008B68A9" w:rsidRDefault="00947BAF" w:rsidP="00947BAF">
      <w:pPr>
        <w:spacing w:after="80" w:line="240" w:lineRule="auto"/>
        <w:ind w:left="357" w:hanging="357"/>
        <w:rPr>
          <w:rFonts w:eastAsia="Times New Roman" w:cs="Times New Roman"/>
          <w:szCs w:val="24"/>
          <w:lang w:eastAsia="en-GB"/>
        </w:rPr>
      </w:pPr>
      <w:r w:rsidRPr="008B68A9">
        <w:rPr>
          <w:rFonts w:eastAsia="Calibri" w:cs="Times New Roman"/>
          <w:szCs w:val="24"/>
        </w:rPr>
        <w:t xml:space="preserve">Tew, J., Larsen, J., Hamilton, S., Manthorpe, J., Clewett, N., Pinfold, V., Szymczynska, P. (2015) </w:t>
      </w:r>
      <w:r w:rsidRPr="008B68A9">
        <w:rPr>
          <w:rFonts w:eastAsia="Times New Roman" w:cs="Times New Roman"/>
          <w:color w:val="000000"/>
          <w:szCs w:val="24"/>
          <w:lang w:eastAsia="en-GB"/>
        </w:rPr>
        <w:t xml:space="preserve">'And the stuff that I'm able to achieve now is really amazing': The potential of personal budgets as a mechanism for supporting recovery in mental health. </w:t>
      </w:r>
      <w:r w:rsidRPr="008B68A9">
        <w:rPr>
          <w:rFonts w:eastAsia="Times New Roman" w:cs="Times New Roman"/>
          <w:i/>
          <w:color w:val="000000"/>
          <w:szCs w:val="24"/>
          <w:lang w:eastAsia="en-GB"/>
        </w:rPr>
        <w:t>British Journal of Social Work</w:t>
      </w:r>
      <w:r w:rsidRPr="008B68A9">
        <w:rPr>
          <w:rFonts w:eastAsia="Times New Roman" w:cs="Times New Roman"/>
          <w:color w:val="000000"/>
          <w:szCs w:val="24"/>
          <w:lang w:eastAsia="en-GB"/>
        </w:rPr>
        <w:t xml:space="preserve">, </w:t>
      </w:r>
      <w:r w:rsidRPr="008B68A9">
        <w:rPr>
          <w:rFonts w:eastAsia="Times New Roman" w:cs="Times New Roman"/>
          <w:b/>
          <w:color w:val="000000"/>
          <w:szCs w:val="24"/>
          <w:lang w:eastAsia="en-GB"/>
        </w:rPr>
        <w:t>45</w:t>
      </w:r>
      <w:r w:rsidRPr="008B68A9">
        <w:rPr>
          <w:rFonts w:eastAsia="Times New Roman" w:cs="Times New Roman"/>
          <w:color w:val="000000"/>
          <w:szCs w:val="24"/>
          <w:lang w:eastAsia="en-GB"/>
        </w:rPr>
        <w:t xml:space="preserve"> (1), supplement </w:t>
      </w:r>
      <w:r w:rsidRPr="008B68A9">
        <w:rPr>
          <w:rFonts w:eastAsia="Calibri" w:cs="Times New Roman"/>
          <w:color w:val="000000"/>
          <w:szCs w:val="24"/>
        </w:rPr>
        <w:t>i79-i97.</w:t>
      </w:r>
    </w:p>
    <w:p w14:paraId="6AAD46BC"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The Health Foundation (2010) </w:t>
      </w:r>
      <w:r w:rsidRPr="008B68A9">
        <w:rPr>
          <w:rFonts w:eastAsia="Calibri" w:cs="Times New Roman"/>
          <w:i/>
          <w:szCs w:val="24"/>
        </w:rPr>
        <w:t>Personal budgets research scan.</w:t>
      </w:r>
      <w:r w:rsidRPr="008B68A9">
        <w:rPr>
          <w:rFonts w:eastAsia="Calibri" w:cs="Times New Roman"/>
          <w:szCs w:val="24"/>
        </w:rPr>
        <w:t xml:space="preserve"> London, The Evidence Centre.</w:t>
      </w:r>
    </w:p>
    <w:p w14:paraId="147F8AC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The Sainsburys Centre for Mental Health (2003) </w:t>
      </w:r>
      <w:r w:rsidRPr="008B68A9">
        <w:rPr>
          <w:rFonts w:eastAsia="Calibri" w:cs="Times New Roman"/>
          <w:i/>
          <w:szCs w:val="24"/>
        </w:rPr>
        <w:t>The economic and social costs of mental illness: Policy paper 3</w:t>
      </w:r>
      <w:r w:rsidRPr="008B68A9">
        <w:rPr>
          <w:rFonts w:eastAsia="Calibri" w:cs="Times New Roman"/>
          <w:szCs w:val="24"/>
        </w:rPr>
        <w:t>. Available at: http://www.woodlandforlife.net/PDFs/costs_of_mental_illness_policy_paper_3%5B1%5D.pdf</w:t>
      </w:r>
    </w:p>
    <w:p w14:paraId="7BFB4D5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Think Local Act Personal (2014) </w:t>
      </w:r>
      <w:r w:rsidRPr="008B68A9">
        <w:rPr>
          <w:rFonts w:eastAsia="Calibri" w:cs="Times New Roman"/>
          <w:i/>
          <w:szCs w:val="24"/>
        </w:rPr>
        <w:t>Personalisation for all – no more silos or turf wars</w:t>
      </w:r>
      <w:r w:rsidRPr="008B68A9">
        <w:rPr>
          <w:rFonts w:eastAsia="Calibri" w:cs="Times New Roman"/>
          <w:szCs w:val="24"/>
        </w:rPr>
        <w:t>. Children’s Personalisation Network [blog]. Available at: http://www.thinklocalactpersonal.org.uk/Blog/article/?cid=9956 [Accessed 14/02/15].</w:t>
      </w:r>
    </w:p>
    <w:p w14:paraId="1045759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Tilly, J., Wiener, J. M. &amp; Cuellar, A. E. (2000). </w:t>
      </w:r>
      <w:r w:rsidRPr="008B68A9">
        <w:rPr>
          <w:rFonts w:eastAsia="Calibri" w:cs="Times New Roman"/>
          <w:i/>
          <w:szCs w:val="24"/>
        </w:rPr>
        <w:t>Consumer directed home and community services programs in five countries: Policy issues for older people and government</w:t>
      </w:r>
      <w:r w:rsidRPr="008B68A9">
        <w:rPr>
          <w:rFonts w:eastAsia="Calibri" w:cs="Times New Roman"/>
          <w:szCs w:val="24"/>
        </w:rPr>
        <w:t xml:space="preserve">. </w:t>
      </w:r>
      <w:r w:rsidRPr="008B68A9">
        <w:rPr>
          <w:rFonts w:eastAsia="Calibri" w:cs="Times New Roman"/>
          <w:i/>
          <w:szCs w:val="24"/>
        </w:rPr>
        <w:t>Commentary 575.</w:t>
      </w:r>
      <w:r w:rsidRPr="008B68A9">
        <w:rPr>
          <w:rFonts w:eastAsia="Calibri" w:cs="Times New Roman"/>
          <w:szCs w:val="24"/>
        </w:rPr>
        <w:t xml:space="preserve"> Washington, DC, The Urban Institute. Available at: http://www.urban.org/ publications/410330.html [Accessed 12/10/15].</w:t>
      </w:r>
    </w:p>
    <w:p w14:paraId="53BD25A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Tilly, J., &amp; J. Wiener. (2001). Consumer-directed home and community service in eight states: Policy issues for older people and government. </w:t>
      </w:r>
      <w:r w:rsidRPr="008B68A9">
        <w:rPr>
          <w:rFonts w:eastAsia="Calibri" w:cs="Times New Roman"/>
          <w:i/>
          <w:szCs w:val="24"/>
        </w:rPr>
        <w:t xml:space="preserve">Journal of Aging Social Policy, </w:t>
      </w:r>
      <w:r w:rsidRPr="008B68A9">
        <w:rPr>
          <w:rFonts w:eastAsia="Calibri" w:cs="Times New Roman"/>
          <w:b/>
          <w:szCs w:val="24"/>
        </w:rPr>
        <w:t>12</w:t>
      </w:r>
      <w:r w:rsidRPr="008B68A9">
        <w:rPr>
          <w:rFonts w:eastAsia="Calibri" w:cs="Times New Roman"/>
          <w:szCs w:val="24"/>
        </w:rPr>
        <w:t xml:space="preserve"> (4), 1–26.</w:t>
      </w:r>
    </w:p>
    <w:p w14:paraId="1A5A64EB"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Tyson, A., Brewis, R, Crosby, N., Hatton, C., Stansfield, J., Tomlinson, C., Wates, J. &amp; Wood, A. (2010). </w:t>
      </w:r>
      <w:r w:rsidRPr="008B68A9">
        <w:rPr>
          <w:rFonts w:eastAsia="Calibri" w:cs="Times New Roman"/>
          <w:i/>
          <w:szCs w:val="24"/>
        </w:rPr>
        <w:t xml:space="preserve">A report on In Control’s third phase: Evaluation and learning </w:t>
      </w:r>
      <w:r w:rsidRPr="008B68A9">
        <w:rPr>
          <w:rFonts w:eastAsia="Calibri" w:cs="Times New Roman"/>
          <w:szCs w:val="24"/>
        </w:rPr>
        <w:t xml:space="preserve">2008-2009. London, In Control. </w:t>
      </w:r>
    </w:p>
    <w:p w14:paraId="18DE3868"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Twycross, A. &amp; Shorten, A. (2014) Service evaluation, audit and research: What is the difference? </w:t>
      </w:r>
      <w:r w:rsidRPr="008B68A9">
        <w:rPr>
          <w:rFonts w:eastAsia="Calibri" w:cs="Times New Roman"/>
          <w:i/>
          <w:szCs w:val="24"/>
        </w:rPr>
        <w:t>Evidence Based Nursing,</w:t>
      </w:r>
      <w:r w:rsidRPr="008B68A9">
        <w:rPr>
          <w:rFonts w:eastAsia="Calibri" w:cs="Times New Roman"/>
          <w:szCs w:val="24"/>
        </w:rPr>
        <w:t xml:space="preserve"> </w:t>
      </w:r>
      <w:r w:rsidRPr="008B68A9">
        <w:rPr>
          <w:rFonts w:eastAsia="Calibri" w:cs="Times New Roman"/>
          <w:b/>
          <w:szCs w:val="24"/>
        </w:rPr>
        <w:t>17</w:t>
      </w:r>
      <w:r w:rsidRPr="008B68A9">
        <w:rPr>
          <w:rFonts w:eastAsia="Calibri" w:cs="Times New Roman"/>
          <w:szCs w:val="24"/>
        </w:rPr>
        <w:t xml:space="preserve"> (3), 65-66.</w:t>
      </w:r>
    </w:p>
    <w:p w14:paraId="2026A7A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Ungerson, C. (2007) </w:t>
      </w:r>
      <w:r w:rsidRPr="008B68A9">
        <w:rPr>
          <w:rFonts w:eastAsia="Calibri" w:cs="Times New Roman"/>
          <w:color w:val="000000"/>
          <w:szCs w:val="24"/>
        </w:rPr>
        <w:t xml:space="preserve">Social politics and the commodification of care. </w:t>
      </w:r>
      <w:r w:rsidRPr="008B68A9">
        <w:rPr>
          <w:rFonts w:eastAsia="Calibri" w:cs="Times New Roman"/>
          <w:i/>
          <w:color w:val="000000"/>
          <w:szCs w:val="24"/>
        </w:rPr>
        <w:t>Social Politics,</w:t>
      </w:r>
      <w:r w:rsidRPr="008B68A9">
        <w:rPr>
          <w:rFonts w:eastAsia="Calibri" w:cs="Times New Roman"/>
          <w:color w:val="000000"/>
          <w:szCs w:val="24"/>
        </w:rPr>
        <w:t xml:space="preserve"> Fall 2007, 362-381.</w:t>
      </w:r>
    </w:p>
    <w:p w14:paraId="05F987A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Unison (2011) </w:t>
      </w:r>
      <w:r w:rsidRPr="008B68A9">
        <w:rPr>
          <w:rFonts w:eastAsia="Calibri" w:cs="Times New Roman"/>
          <w:i/>
          <w:szCs w:val="24"/>
        </w:rPr>
        <w:t>Up close and personal: A toolkit for branches dealing with personalisation in social care.</w:t>
      </w:r>
      <w:r w:rsidRPr="008B68A9">
        <w:rPr>
          <w:rFonts w:eastAsia="Calibri" w:cs="Times New Roman"/>
          <w:szCs w:val="24"/>
        </w:rPr>
        <w:t xml:space="preserve"> London, Unison.</w:t>
      </w:r>
    </w:p>
    <w:p w14:paraId="50D60C6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Van Langenhove, L. &amp; Harré, R. (2010) Cultural stereotypes and positioning theory. Available at: https://www.researchgate.net/publication/281202318 [Accessed 04/01/16].</w:t>
      </w:r>
    </w:p>
    <w:p w14:paraId="3EA6932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Waters, J. &amp; Hatton, C. (2014) </w:t>
      </w:r>
      <w:r w:rsidRPr="008B68A9">
        <w:rPr>
          <w:rFonts w:eastAsia="Calibri" w:cs="Times New Roman"/>
          <w:i/>
          <w:szCs w:val="24"/>
        </w:rPr>
        <w:t>The third national Personal Budgets Survey: Experiences of personal budget holders across adult social care and health.</w:t>
      </w:r>
      <w:r w:rsidRPr="008B68A9">
        <w:rPr>
          <w:rFonts w:eastAsia="Calibri" w:cs="Times New Roman"/>
          <w:szCs w:val="24"/>
        </w:rPr>
        <w:t xml:space="preserve"> Lancaster, In Control, University of Lancaster.</w:t>
      </w:r>
    </w:p>
    <w:p w14:paraId="176705F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 xml:space="preserve">Webber M. P. (2008) </w:t>
      </w:r>
      <w:r w:rsidRPr="008B68A9">
        <w:rPr>
          <w:rFonts w:eastAsia="Calibri" w:cs="Times New Roman"/>
          <w:i/>
          <w:szCs w:val="24"/>
        </w:rPr>
        <w:t xml:space="preserve">Access to social capital and the course of depression: A prospective study. </w:t>
      </w:r>
      <w:r w:rsidRPr="008B68A9">
        <w:rPr>
          <w:rFonts w:eastAsia="Calibri" w:cs="Times New Roman"/>
          <w:szCs w:val="24"/>
        </w:rPr>
        <w:t>PhD thesis submitted for the degree of Doctor of Philosophy. Institute of Psychiatry, King’s College London, Health Service &amp; Population Research Department.</w:t>
      </w:r>
    </w:p>
    <w:p w14:paraId="665BEE27"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Webber, M. &amp; Huxley, P. J. (2007) Measuring access to social capital: The validity and reliability of the Resource Generator-UK, and its association with common mental disorder. </w:t>
      </w:r>
      <w:r w:rsidRPr="008B68A9">
        <w:rPr>
          <w:rFonts w:eastAsia="Calibri" w:cs="Times New Roman"/>
          <w:i/>
          <w:szCs w:val="24"/>
        </w:rPr>
        <w:t>Social Science and Medicine</w:t>
      </w:r>
      <w:r w:rsidRPr="008B68A9">
        <w:rPr>
          <w:rFonts w:eastAsia="Calibri" w:cs="Times New Roman"/>
          <w:szCs w:val="24"/>
        </w:rPr>
        <w:t xml:space="preserve">, </w:t>
      </w:r>
      <w:r w:rsidRPr="008B68A9">
        <w:rPr>
          <w:rFonts w:eastAsia="Calibri" w:cs="Times New Roman"/>
          <w:b/>
          <w:szCs w:val="24"/>
        </w:rPr>
        <w:t>65</w:t>
      </w:r>
      <w:r w:rsidRPr="008B68A9">
        <w:rPr>
          <w:rFonts w:eastAsia="Calibri" w:cs="Times New Roman"/>
          <w:szCs w:val="24"/>
        </w:rPr>
        <w:t>, (3), 481-492.</w:t>
      </w:r>
    </w:p>
    <w:p w14:paraId="6FCC34D1"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Webber, M. Huxley, P. Harris, T. (2011) Social capital and the course of depression: Six-month prospective cohort study. </w:t>
      </w:r>
      <w:r w:rsidRPr="008B68A9">
        <w:rPr>
          <w:rFonts w:eastAsia="Calibri" w:cs="Times New Roman"/>
          <w:i/>
          <w:szCs w:val="24"/>
        </w:rPr>
        <w:t>Journal of Affective Disorders</w:t>
      </w:r>
      <w:r w:rsidRPr="008B68A9">
        <w:rPr>
          <w:rFonts w:eastAsia="Calibri" w:cs="Times New Roman"/>
          <w:szCs w:val="24"/>
        </w:rPr>
        <w:t xml:space="preserve">, </w:t>
      </w:r>
      <w:r w:rsidRPr="008B68A9">
        <w:rPr>
          <w:rFonts w:eastAsia="Calibri" w:cs="Times New Roman"/>
          <w:b/>
          <w:szCs w:val="24"/>
        </w:rPr>
        <w:t>129</w:t>
      </w:r>
      <w:r w:rsidRPr="008B68A9">
        <w:rPr>
          <w:rFonts w:eastAsia="Calibri" w:cs="Times New Roman"/>
          <w:szCs w:val="24"/>
        </w:rPr>
        <w:t>, p.149-157.</w:t>
      </w:r>
    </w:p>
    <w:p w14:paraId="0813304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Webber, M., Treacy, S., Carr, S., Clark, M. &amp; Parker, G. (2014) </w:t>
      </w:r>
      <w:r w:rsidRPr="008B68A9">
        <w:rPr>
          <w:color w:val="000000"/>
          <w:szCs w:val="24"/>
        </w:rPr>
        <w:t xml:space="preserve">The effectiveness of personal budgets for people with mental health problems: A systematic review. </w:t>
      </w:r>
      <w:r w:rsidRPr="008B68A9">
        <w:rPr>
          <w:i/>
          <w:color w:val="000000"/>
          <w:szCs w:val="24"/>
        </w:rPr>
        <w:t>Journal of Mental Health,</w:t>
      </w:r>
      <w:r w:rsidRPr="008B68A9">
        <w:rPr>
          <w:color w:val="000000"/>
          <w:szCs w:val="24"/>
        </w:rPr>
        <w:t xml:space="preserve"> </w:t>
      </w:r>
      <w:r w:rsidRPr="008B68A9">
        <w:rPr>
          <w:b/>
          <w:color w:val="000000"/>
          <w:szCs w:val="24"/>
        </w:rPr>
        <w:t>23</w:t>
      </w:r>
      <w:r w:rsidRPr="008B68A9">
        <w:rPr>
          <w:color w:val="000000"/>
          <w:szCs w:val="24"/>
        </w:rPr>
        <w:t xml:space="preserve"> (3), 146-155.</w:t>
      </w:r>
    </w:p>
    <w:p w14:paraId="63302BD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Weiner, J. M. (2007) Commentary: Cash and Counselling in an international context. </w:t>
      </w:r>
      <w:r w:rsidRPr="008B68A9">
        <w:rPr>
          <w:rFonts w:eastAsia="Calibri" w:cs="Times New Roman"/>
          <w:i/>
          <w:szCs w:val="24"/>
        </w:rPr>
        <w:t>Health Services Research,</w:t>
      </w:r>
      <w:r w:rsidRPr="008B68A9">
        <w:rPr>
          <w:rFonts w:eastAsia="Calibri" w:cs="Times New Roman"/>
          <w:szCs w:val="24"/>
        </w:rPr>
        <w:t xml:space="preserve"> </w:t>
      </w:r>
      <w:r w:rsidRPr="008B68A9">
        <w:rPr>
          <w:rFonts w:eastAsia="Calibri" w:cs="Times New Roman"/>
          <w:b/>
          <w:szCs w:val="24"/>
        </w:rPr>
        <w:t>42</w:t>
      </w:r>
      <w:r w:rsidRPr="008B68A9">
        <w:rPr>
          <w:rFonts w:eastAsia="Calibri" w:cs="Times New Roman"/>
          <w:szCs w:val="24"/>
        </w:rPr>
        <w:t xml:space="preserve"> (1 pt 2), 567-576.</w:t>
      </w:r>
    </w:p>
    <w:p w14:paraId="4A0E062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Weiss, C. H. (1997). How can theory-based evaluation make greater headway? </w:t>
      </w:r>
      <w:r w:rsidRPr="008B68A9">
        <w:rPr>
          <w:rFonts w:eastAsia="Calibri" w:cs="Times New Roman"/>
          <w:i/>
          <w:szCs w:val="24"/>
        </w:rPr>
        <w:t>Evaluation Review</w:t>
      </w:r>
      <w:r w:rsidRPr="008B68A9">
        <w:rPr>
          <w:rFonts w:eastAsia="Calibri" w:cs="Times New Roman"/>
          <w:szCs w:val="24"/>
        </w:rPr>
        <w:t xml:space="preserve">, </w:t>
      </w:r>
      <w:r w:rsidRPr="008B68A9">
        <w:rPr>
          <w:rFonts w:eastAsia="Calibri" w:cs="Times New Roman"/>
          <w:b/>
          <w:szCs w:val="24"/>
        </w:rPr>
        <w:t xml:space="preserve">21 </w:t>
      </w:r>
      <w:r w:rsidRPr="008B68A9">
        <w:rPr>
          <w:rFonts w:eastAsia="Calibri" w:cs="Times New Roman"/>
          <w:szCs w:val="24"/>
        </w:rPr>
        <w:t>(4), 501-524.</w:t>
      </w:r>
    </w:p>
    <w:p w14:paraId="17100C5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Welsh Government (2010) </w:t>
      </w:r>
      <w:r w:rsidRPr="008B68A9">
        <w:rPr>
          <w:rFonts w:eastAsia="Calibri" w:cs="Times New Roman"/>
          <w:i/>
          <w:szCs w:val="24"/>
        </w:rPr>
        <w:t>Mental health measure Wales</w:t>
      </w:r>
      <w:r w:rsidRPr="008B68A9">
        <w:rPr>
          <w:rFonts w:eastAsia="Calibri" w:cs="Times New Roman"/>
          <w:szCs w:val="24"/>
        </w:rPr>
        <w:t>. Available at: http://www.legislation.gov.uk/mwa/2010/7/contents</w:t>
      </w:r>
    </w:p>
    <w:p w14:paraId="5DB5780F"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Welsh Government (2013) </w:t>
      </w:r>
      <w:r w:rsidRPr="008B68A9">
        <w:rPr>
          <w:rFonts w:eastAsia="Calibri" w:cs="Times New Roman"/>
          <w:i/>
          <w:szCs w:val="24"/>
        </w:rPr>
        <w:t>Co-producing services, co-creating health: 1000 lives: NHS Wales</w:t>
      </w:r>
      <w:r w:rsidRPr="008B68A9">
        <w:rPr>
          <w:rFonts w:eastAsia="Calibri" w:cs="Times New Roman"/>
          <w:szCs w:val="24"/>
        </w:rPr>
        <w:t>. Available from http://www.1000livesplus.wales.nhs.uk/sitesplus/documents/1011/T4I%20%288%29%20Co-production.pdf [Accessed 20/01/15].</w:t>
      </w:r>
    </w:p>
    <w:p w14:paraId="15CBC23A"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West, J. (2012) The grip of personalization in adult social care: Between managerial domination and fantasy. </w:t>
      </w:r>
      <w:r w:rsidRPr="008B68A9">
        <w:rPr>
          <w:rFonts w:eastAsia="Calibri" w:cs="Times New Roman"/>
          <w:i/>
          <w:szCs w:val="24"/>
        </w:rPr>
        <w:t>Critical Social Policy</w:t>
      </w:r>
      <w:r w:rsidRPr="008B68A9">
        <w:rPr>
          <w:rFonts w:eastAsia="Calibri" w:cs="Times New Roman"/>
          <w:szCs w:val="24"/>
        </w:rPr>
        <w:t xml:space="preserve">, </w:t>
      </w:r>
      <w:r w:rsidRPr="008B68A9">
        <w:rPr>
          <w:rFonts w:eastAsia="Calibri" w:cs="Times New Roman"/>
          <w:b/>
          <w:szCs w:val="24"/>
        </w:rPr>
        <w:t>33</w:t>
      </w:r>
      <w:r w:rsidRPr="008B68A9">
        <w:rPr>
          <w:rFonts w:eastAsia="Calibri" w:cs="Times New Roman"/>
          <w:szCs w:val="24"/>
        </w:rPr>
        <w:t xml:space="preserve"> (4), 638-657.</w:t>
      </w:r>
    </w:p>
    <w:p w14:paraId="44E6D854"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Wetherall, M. (2001) Debates in discourse research.  Pages 311-330 in Wetherell, M., Taylor, S. &amp; Yates, Simeon J. (eds.) </w:t>
      </w:r>
      <w:r w:rsidRPr="008B68A9">
        <w:rPr>
          <w:rFonts w:eastAsia="Calibri" w:cs="Times New Roman"/>
          <w:i/>
          <w:szCs w:val="24"/>
        </w:rPr>
        <w:t>Discourse as data: A guide for analysis</w:t>
      </w:r>
      <w:r w:rsidRPr="008B68A9">
        <w:rPr>
          <w:rFonts w:eastAsia="Calibri" w:cs="Times New Roman"/>
          <w:szCs w:val="24"/>
        </w:rPr>
        <w:t>. London: Sage and The Open University.</w:t>
      </w:r>
    </w:p>
    <w:p w14:paraId="6705DD4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White, W. &amp; Cloud, W. (2008) Recovery capital: A primer for addictions professionals. </w:t>
      </w:r>
      <w:r w:rsidRPr="008B68A9">
        <w:rPr>
          <w:rFonts w:eastAsia="Calibri" w:cs="Times New Roman"/>
          <w:i/>
          <w:iCs/>
          <w:szCs w:val="24"/>
        </w:rPr>
        <w:t>Counsellor</w:t>
      </w:r>
      <w:r w:rsidRPr="008B68A9">
        <w:rPr>
          <w:rFonts w:eastAsia="Calibri" w:cs="Times New Roman"/>
          <w:iCs/>
          <w:szCs w:val="24"/>
        </w:rPr>
        <w:t xml:space="preserve">, </w:t>
      </w:r>
      <w:r w:rsidRPr="008B68A9">
        <w:rPr>
          <w:rFonts w:eastAsia="Calibri" w:cs="Times New Roman"/>
          <w:b/>
          <w:szCs w:val="24"/>
        </w:rPr>
        <w:t>9</w:t>
      </w:r>
      <w:r w:rsidRPr="008B68A9">
        <w:rPr>
          <w:rFonts w:eastAsia="Calibri" w:cs="Times New Roman"/>
          <w:szCs w:val="24"/>
        </w:rPr>
        <w:t xml:space="preserve"> (5), 22-27.</w:t>
      </w:r>
    </w:p>
    <w:p w14:paraId="67064FDE"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White, C. (2011) </w:t>
      </w:r>
      <w:r w:rsidRPr="008B68A9">
        <w:rPr>
          <w:rFonts w:eastAsia="Calibri" w:cs="Times New Roman"/>
          <w:i/>
          <w:szCs w:val="24"/>
        </w:rPr>
        <w:t>The personal touch: The Dutch experience of personal health budgets.</w:t>
      </w:r>
      <w:r w:rsidRPr="008B68A9">
        <w:rPr>
          <w:rFonts w:eastAsia="Calibri" w:cs="Times New Roman"/>
          <w:szCs w:val="24"/>
        </w:rPr>
        <w:t xml:space="preserve"> The Health Foundation.</w:t>
      </w:r>
    </w:p>
    <w:p w14:paraId="7832F38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Wilberforce, M., Jacobs, S., Challis, D., Manthorpe, J., Stevens, M., Jasper, R., Fernandez, J-L., Glendinning, C., Jones, K., Knapp, M., Moran, N. &amp; Netten, A. (2014), Revisiting the causes of stress in social work: Sources of job demands, control and support in personalised adult social care. </w:t>
      </w:r>
      <w:r w:rsidRPr="008B68A9">
        <w:rPr>
          <w:rFonts w:eastAsia="Calibri" w:cs="Times New Roman"/>
          <w:i/>
          <w:iCs/>
          <w:color w:val="000000"/>
          <w:szCs w:val="24"/>
        </w:rPr>
        <w:t>British Journal of Social Work</w:t>
      </w:r>
      <w:r w:rsidRPr="008B68A9">
        <w:rPr>
          <w:rFonts w:eastAsia="Calibri" w:cs="Times New Roman"/>
          <w:color w:val="000000"/>
          <w:szCs w:val="24"/>
        </w:rPr>
        <w:t xml:space="preserve"> </w:t>
      </w:r>
      <w:r w:rsidRPr="008B68A9">
        <w:rPr>
          <w:rFonts w:eastAsia="Calibri" w:cs="Times New Roman"/>
          <w:b/>
          <w:color w:val="000000"/>
          <w:szCs w:val="24"/>
        </w:rPr>
        <w:t>44</w:t>
      </w:r>
      <w:r w:rsidRPr="008B68A9">
        <w:rPr>
          <w:rFonts w:eastAsia="Calibri" w:cs="Times New Roman"/>
          <w:color w:val="000000"/>
          <w:szCs w:val="24"/>
        </w:rPr>
        <w:t xml:space="preserve"> (4), 812-830.</w:t>
      </w:r>
    </w:p>
    <w:p w14:paraId="55B47F5E" w14:textId="77777777" w:rsidR="00947BAF" w:rsidRPr="008B68A9" w:rsidRDefault="00947BAF" w:rsidP="00947BAF">
      <w:pPr>
        <w:spacing w:after="80" w:line="240" w:lineRule="auto"/>
        <w:ind w:left="357" w:hanging="357"/>
        <w:rPr>
          <w:rFonts w:eastAsia="Calibri" w:cs="Times New Roman"/>
          <w:szCs w:val="24"/>
        </w:rPr>
      </w:pPr>
      <w:r w:rsidRPr="008B68A9">
        <w:rPr>
          <w:szCs w:val="24"/>
        </w:rPr>
        <w:t xml:space="preserve">Wiles, R., Cott, C. &amp; Gibson, B. E. (2008) Hope, expectations and recovery from illness: A narrative syntheses of qualitative research. </w:t>
      </w:r>
      <w:r w:rsidRPr="008B68A9">
        <w:rPr>
          <w:i/>
          <w:szCs w:val="24"/>
        </w:rPr>
        <w:t>Journal of Advanced Nursing,</w:t>
      </w:r>
      <w:r w:rsidRPr="008B68A9">
        <w:rPr>
          <w:szCs w:val="24"/>
        </w:rPr>
        <w:t xml:space="preserve"> </w:t>
      </w:r>
      <w:r w:rsidRPr="008B68A9">
        <w:rPr>
          <w:b/>
          <w:szCs w:val="24"/>
        </w:rPr>
        <w:t>64</w:t>
      </w:r>
      <w:r w:rsidRPr="008B68A9">
        <w:rPr>
          <w:szCs w:val="24"/>
        </w:rPr>
        <w:t xml:space="preserve"> (6), 564-573.</w:t>
      </w:r>
    </w:p>
    <w:p w14:paraId="08871B62"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Williams, V. (2008). </w:t>
      </w:r>
      <w:r w:rsidRPr="008B68A9">
        <w:rPr>
          <w:rFonts w:eastAsia="Calibri" w:cs="Times New Roman"/>
          <w:i/>
          <w:szCs w:val="24"/>
        </w:rPr>
        <w:t>Support brokerage</w:t>
      </w:r>
      <w:r w:rsidRPr="008B68A9">
        <w:rPr>
          <w:rFonts w:eastAsia="Calibri" w:cs="Times New Roman"/>
          <w:szCs w:val="24"/>
        </w:rPr>
        <w:t>. Dartington, Research in Practice for Adults.</w:t>
      </w:r>
    </w:p>
    <w:p w14:paraId="42323719"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lastRenderedPageBreak/>
        <w:t>Williams, S., &amp; Keady, J. (2008). Narrative research and analysis. In R. Watson, H. McKenna, S. Cowman, &amp; J. Keady (eds</w:t>
      </w:r>
      <w:r w:rsidRPr="008B68A9">
        <w:rPr>
          <w:rFonts w:eastAsia="Calibri" w:cs="Times New Roman"/>
          <w:i/>
          <w:szCs w:val="24"/>
        </w:rPr>
        <w:t>.), Researching nursing practice: Designs and methods</w:t>
      </w:r>
      <w:r w:rsidRPr="008B68A9">
        <w:rPr>
          <w:rFonts w:eastAsia="Calibri" w:cs="Times New Roman"/>
          <w:szCs w:val="24"/>
        </w:rPr>
        <w:t xml:space="preserve">. Edinburgh, Elsevier. </w:t>
      </w:r>
    </w:p>
    <w:p w14:paraId="1B789246"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Williams, B. &amp; Tyson, A. (2010) Self direction, place and community – re-discovering the emotional depths: A conversation with social workers in a London Borough. </w:t>
      </w:r>
      <w:r w:rsidRPr="008B68A9">
        <w:rPr>
          <w:rFonts w:eastAsia="Calibri" w:cs="Times New Roman"/>
          <w:i/>
          <w:szCs w:val="24"/>
        </w:rPr>
        <w:t>Journal of Social Work Practice</w:t>
      </w:r>
      <w:r w:rsidRPr="008B68A9">
        <w:rPr>
          <w:rFonts w:eastAsia="Calibri" w:cs="Times New Roman"/>
          <w:szCs w:val="24"/>
        </w:rPr>
        <w:t xml:space="preserve">, </w:t>
      </w:r>
      <w:r w:rsidRPr="008B68A9">
        <w:rPr>
          <w:rFonts w:eastAsia="Calibri" w:cs="Times New Roman"/>
          <w:b/>
          <w:szCs w:val="24"/>
        </w:rPr>
        <w:t xml:space="preserve">24 </w:t>
      </w:r>
      <w:r w:rsidRPr="008B68A9">
        <w:rPr>
          <w:rFonts w:eastAsia="Calibri" w:cs="Times New Roman"/>
          <w:szCs w:val="24"/>
        </w:rPr>
        <w:t>(3), 319-333.</w:t>
      </w:r>
    </w:p>
    <w:p w14:paraId="7B905940" w14:textId="77777777" w:rsidR="00947BAF" w:rsidRPr="008B68A9" w:rsidRDefault="00947BAF" w:rsidP="00947BAF">
      <w:pPr>
        <w:spacing w:after="80" w:line="240" w:lineRule="auto"/>
        <w:ind w:left="357" w:hanging="357"/>
        <w:rPr>
          <w:rFonts w:eastAsia="Arial" w:cs="Arial"/>
          <w:szCs w:val="24"/>
        </w:rPr>
      </w:pPr>
      <w:r w:rsidRPr="008B68A9">
        <w:rPr>
          <w:rFonts w:eastAsia="Arial" w:cs="Arial"/>
          <w:szCs w:val="24"/>
        </w:rPr>
        <w:t xml:space="preserve">Woodbridge, K., &amp; Fullford, B. (2005). </w:t>
      </w:r>
      <w:r w:rsidRPr="008B68A9">
        <w:rPr>
          <w:rFonts w:eastAsia="Arial" w:cs="Arial"/>
          <w:i/>
          <w:szCs w:val="24"/>
        </w:rPr>
        <w:t>Whose values? A workbook for values-based practice in mental health care</w:t>
      </w:r>
      <w:r w:rsidRPr="008B68A9">
        <w:rPr>
          <w:rFonts w:eastAsia="Arial" w:cs="Arial"/>
          <w:szCs w:val="24"/>
        </w:rPr>
        <w:t>. London, UK: SCMH.</w:t>
      </w:r>
    </w:p>
    <w:p w14:paraId="6BBCD39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Zamfir, J. (2013) Personalisation through personal budgets: Its effectiveness for older adults in social care services. Findings from an English-based literature review. </w:t>
      </w:r>
      <w:r w:rsidRPr="008B68A9">
        <w:rPr>
          <w:rFonts w:eastAsia="Calibri" w:cs="Times New Roman"/>
          <w:i/>
          <w:szCs w:val="24"/>
        </w:rPr>
        <w:t>Research, Policy and Planning,</w:t>
      </w:r>
      <w:r w:rsidRPr="008B68A9">
        <w:rPr>
          <w:rFonts w:eastAsia="Calibri" w:cs="Times New Roman"/>
          <w:szCs w:val="24"/>
        </w:rPr>
        <w:t xml:space="preserve"> </w:t>
      </w:r>
      <w:r w:rsidRPr="008B68A9">
        <w:rPr>
          <w:rFonts w:eastAsia="Calibri" w:cs="Times New Roman"/>
          <w:b/>
          <w:szCs w:val="24"/>
        </w:rPr>
        <w:t xml:space="preserve">30 </w:t>
      </w:r>
      <w:r w:rsidRPr="008B68A9">
        <w:rPr>
          <w:rFonts w:eastAsia="Calibri" w:cs="Times New Roman"/>
          <w:szCs w:val="24"/>
        </w:rPr>
        <w:t>(2), 77-89.</w:t>
      </w:r>
    </w:p>
    <w:p w14:paraId="460D9AD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Zeeman, L., &amp; Simons, L. (2011) An analysis of discourses shaping mental health practitioners. </w:t>
      </w:r>
      <w:r w:rsidRPr="008B68A9">
        <w:rPr>
          <w:rFonts w:eastAsia="Calibri" w:cs="Times New Roman"/>
          <w:i/>
          <w:szCs w:val="24"/>
        </w:rPr>
        <w:t>Journal of Psychiatric and Mental Health Nursing,</w:t>
      </w:r>
      <w:r w:rsidRPr="008B68A9">
        <w:rPr>
          <w:rFonts w:eastAsia="Calibri" w:cs="Times New Roman"/>
          <w:szCs w:val="24"/>
        </w:rPr>
        <w:t xml:space="preserve"> </w:t>
      </w:r>
      <w:r w:rsidRPr="008B68A9">
        <w:rPr>
          <w:rFonts w:eastAsia="Calibri" w:cs="Times New Roman"/>
          <w:b/>
          <w:szCs w:val="24"/>
        </w:rPr>
        <w:t>18</w:t>
      </w:r>
      <w:r w:rsidRPr="008B68A9">
        <w:rPr>
          <w:rFonts w:eastAsia="Calibri" w:cs="Times New Roman"/>
          <w:szCs w:val="24"/>
        </w:rPr>
        <w:t xml:space="preserve"> (8), 712-720.</w:t>
      </w:r>
    </w:p>
    <w:p w14:paraId="12F96433"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 xml:space="preserve">Zukas, H. (1975) </w:t>
      </w:r>
      <w:r w:rsidRPr="008B68A9">
        <w:rPr>
          <w:rFonts w:eastAsia="Calibri" w:cs="Times New Roman"/>
          <w:i/>
          <w:szCs w:val="24"/>
        </w:rPr>
        <w:t>Centre for independent living, Berkeley, California. Report of the State of the Art Conference</w:t>
      </w:r>
      <w:r w:rsidRPr="008B68A9">
        <w:rPr>
          <w:rFonts w:eastAsia="Calibri" w:cs="Times New Roman"/>
          <w:szCs w:val="24"/>
        </w:rPr>
        <w:t>. Berkeley, California, Center for Independent Living.</w:t>
      </w:r>
    </w:p>
    <w:p w14:paraId="0485C050" w14:textId="77777777" w:rsidR="00947BAF" w:rsidRPr="008B68A9" w:rsidRDefault="00947BAF" w:rsidP="00947BAF">
      <w:pPr>
        <w:spacing w:after="80" w:line="240" w:lineRule="auto"/>
        <w:ind w:left="357" w:hanging="357"/>
        <w:rPr>
          <w:rFonts w:eastAsia="Calibri" w:cs="Times New Roman"/>
          <w:szCs w:val="24"/>
        </w:rPr>
      </w:pPr>
      <w:r w:rsidRPr="008B68A9">
        <w:rPr>
          <w:rFonts w:eastAsia="Calibri" w:cs="Times New Roman"/>
          <w:szCs w:val="24"/>
        </w:rPr>
        <w:t>Zulick, A. (2009) Personal communication, US study tour, Empowerment Initiative, Portland Oregon, University of Chester.</w:t>
      </w:r>
    </w:p>
    <w:p w14:paraId="2668AEFD" w14:textId="77777777" w:rsidR="00947BAF" w:rsidRPr="008B68A9" w:rsidRDefault="00947BAF" w:rsidP="002F0FD7">
      <w:pPr>
        <w:pStyle w:val="5arangedleft"/>
      </w:pPr>
    </w:p>
    <w:p w14:paraId="0AACE8B9" w14:textId="77777777" w:rsidR="00947BAF" w:rsidRPr="008B68A9" w:rsidRDefault="00947BAF" w:rsidP="002F0FD7">
      <w:pPr>
        <w:pStyle w:val="5arangedleft"/>
        <w:sectPr w:rsidR="00947BAF" w:rsidRPr="008B68A9" w:rsidSect="00D03E0A">
          <w:pgSz w:w="11906" w:h="16838"/>
          <w:pgMar w:top="1440" w:right="1418" w:bottom="1440" w:left="2268" w:header="709" w:footer="709" w:gutter="0"/>
          <w:cols w:space="708"/>
          <w:docGrid w:linePitch="360"/>
        </w:sectPr>
      </w:pPr>
    </w:p>
    <w:p w14:paraId="63F301EC" w14:textId="608ED983" w:rsidR="008E4573" w:rsidRPr="008B68A9" w:rsidRDefault="008E4573" w:rsidP="008E4573">
      <w:pPr>
        <w:pStyle w:val="1L1header"/>
      </w:pPr>
      <w:bookmarkStart w:id="431" w:name="_Toc413607909"/>
      <w:bookmarkStart w:id="432" w:name="_Toc413827543"/>
      <w:bookmarkStart w:id="433" w:name="_Toc451185539"/>
      <w:bookmarkStart w:id="434" w:name="_Toc466800420"/>
      <w:r w:rsidRPr="008B68A9">
        <w:lastRenderedPageBreak/>
        <w:t>Appendices</w:t>
      </w:r>
      <w:bookmarkEnd w:id="431"/>
      <w:bookmarkEnd w:id="432"/>
      <w:bookmarkEnd w:id="433"/>
      <w:bookmarkEnd w:id="434"/>
    </w:p>
    <w:p w14:paraId="7C9DA91A" w14:textId="77777777" w:rsidR="008E4573" w:rsidRPr="008B68A9" w:rsidRDefault="008E4573" w:rsidP="008E4573">
      <w:pPr>
        <w:spacing w:line="360" w:lineRule="auto"/>
        <w:jc w:val="both"/>
        <w:rPr>
          <w:szCs w:val="24"/>
        </w:rPr>
      </w:pPr>
    </w:p>
    <w:p w14:paraId="476D39A4" w14:textId="77777777" w:rsidR="008E4573" w:rsidRPr="008B68A9" w:rsidRDefault="008E4573" w:rsidP="008E4573">
      <w:pPr>
        <w:spacing w:line="360" w:lineRule="auto"/>
        <w:jc w:val="both"/>
        <w:rPr>
          <w:szCs w:val="24"/>
        </w:rPr>
        <w:sectPr w:rsidR="008E4573" w:rsidRPr="008B68A9" w:rsidSect="00D03E0A">
          <w:pgSz w:w="11906" w:h="16838"/>
          <w:pgMar w:top="1440" w:right="1418" w:bottom="1440" w:left="2268" w:header="709" w:footer="709" w:gutter="0"/>
          <w:cols w:space="708"/>
          <w:docGrid w:linePitch="360"/>
        </w:sectPr>
      </w:pPr>
    </w:p>
    <w:p w14:paraId="44491155" w14:textId="77777777" w:rsidR="008E4573" w:rsidRPr="008B68A9" w:rsidRDefault="008E4573" w:rsidP="008E4573">
      <w:pPr>
        <w:pStyle w:val="2L2header"/>
      </w:pPr>
      <w:bookmarkStart w:id="435" w:name="_Toc451185540"/>
      <w:bookmarkStart w:id="436" w:name="_Toc466800421"/>
      <w:bookmarkStart w:id="437" w:name="_Toc413607911"/>
      <w:bookmarkStart w:id="438" w:name="_Toc413827545"/>
      <w:r w:rsidRPr="008B68A9">
        <w:lastRenderedPageBreak/>
        <w:t>Appendix 1: Literature review table</w:t>
      </w:r>
      <w:bookmarkEnd w:id="435"/>
      <w:bookmarkEnd w:id="436"/>
      <w:r w:rsidRPr="008B68A9">
        <w:t xml:space="preserve"> </w:t>
      </w:r>
    </w:p>
    <w:p w14:paraId="422AD208" w14:textId="77777777" w:rsidR="008E4573" w:rsidRPr="008B68A9" w:rsidRDefault="008E4573" w:rsidP="008E4573">
      <w:pPr>
        <w:spacing w:after="80" w:line="240" w:lineRule="auto"/>
        <w:rPr>
          <w:sz w:val="8"/>
          <w:szCs w:val="8"/>
        </w:rPr>
      </w:pPr>
    </w:p>
    <w:tbl>
      <w:tblPr>
        <w:tblStyle w:val="PlainTable22"/>
        <w:tblW w:w="14283" w:type="dxa"/>
        <w:tblLayout w:type="fixed"/>
        <w:tblLook w:val="0620" w:firstRow="1" w:lastRow="0" w:firstColumn="0" w:lastColumn="0" w:noHBand="1" w:noVBand="1"/>
      </w:tblPr>
      <w:tblGrid>
        <w:gridCol w:w="1922"/>
        <w:gridCol w:w="1479"/>
        <w:gridCol w:w="1526"/>
        <w:gridCol w:w="2127"/>
        <w:gridCol w:w="1701"/>
        <w:gridCol w:w="3445"/>
        <w:gridCol w:w="2083"/>
      </w:tblGrid>
      <w:tr w:rsidR="008E4573" w:rsidRPr="008B68A9" w14:paraId="40B81176" w14:textId="77777777" w:rsidTr="00045396">
        <w:trPr>
          <w:cnfStyle w:val="100000000000" w:firstRow="1" w:lastRow="0" w:firstColumn="0" w:lastColumn="0" w:oddVBand="0" w:evenVBand="0" w:oddHBand="0" w:evenHBand="0" w:firstRowFirstColumn="0" w:firstRowLastColumn="0" w:lastRowFirstColumn="0" w:lastRowLastColumn="0"/>
          <w:trHeight w:val="268"/>
          <w:tblHeader/>
        </w:trPr>
        <w:tc>
          <w:tcPr>
            <w:tcW w:w="14283" w:type="dxa"/>
            <w:gridSpan w:val="7"/>
            <w:shd w:val="clear" w:color="auto" w:fill="F2F2F2" w:themeFill="background1" w:themeFillShade="F2"/>
            <w:vAlign w:val="center"/>
          </w:tcPr>
          <w:p w14:paraId="7FC842D0" w14:textId="77777777" w:rsidR="008E4573" w:rsidRPr="008B68A9" w:rsidRDefault="008E4573" w:rsidP="00045396">
            <w:pPr>
              <w:spacing w:line="240" w:lineRule="auto"/>
              <w:jc w:val="center"/>
            </w:pPr>
            <w:r w:rsidRPr="008B68A9">
              <w:rPr>
                <w:sz w:val="20"/>
                <w:szCs w:val="20"/>
              </w:rPr>
              <w:t>Literature review table</w:t>
            </w:r>
          </w:p>
        </w:tc>
      </w:tr>
      <w:tr w:rsidR="008E4573" w:rsidRPr="008B68A9" w14:paraId="2551274B" w14:textId="77777777" w:rsidTr="00045396">
        <w:trPr>
          <w:cnfStyle w:val="100000000000" w:firstRow="1" w:lastRow="0" w:firstColumn="0" w:lastColumn="0" w:oddVBand="0" w:evenVBand="0" w:oddHBand="0" w:evenHBand="0" w:firstRowFirstColumn="0" w:firstRowLastColumn="0" w:lastRowFirstColumn="0" w:lastRowLastColumn="0"/>
          <w:trHeight w:val="322"/>
          <w:tblHeader/>
        </w:trPr>
        <w:tc>
          <w:tcPr>
            <w:tcW w:w="1922" w:type="dxa"/>
            <w:shd w:val="clear" w:color="auto" w:fill="F2F2F2" w:themeFill="background1" w:themeFillShade="F2"/>
            <w:vAlign w:val="center"/>
          </w:tcPr>
          <w:p w14:paraId="7082A4EB" w14:textId="77777777" w:rsidR="008E4573" w:rsidRPr="008B68A9" w:rsidRDefault="008E4573" w:rsidP="00045396">
            <w:pPr>
              <w:spacing w:line="240" w:lineRule="auto"/>
              <w:jc w:val="center"/>
              <w:rPr>
                <w:sz w:val="20"/>
              </w:rPr>
            </w:pPr>
            <w:r w:rsidRPr="008B68A9">
              <w:rPr>
                <w:sz w:val="20"/>
              </w:rPr>
              <w:t>Author</w:t>
            </w:r>
          </w:p>
        </w:tc>
        <w:tc>
          <w:tcPr>
            <w:tcW w:w="1479" w:type="dxa"/>
            <w:shd w:val="clear" w:color="auto" w:fill="F2F2F2" w:themeFill="background1" w:themeFillShade="F2"/>
            <w:vAlign w:val="center"/>
          </w:tcPr>
          <w:p w14:paraId="5EFDCF65" w14:textId="77777777" w:rsidR="008E4573" w:rsidRPr="008B68A9" w:rsidRDefault="008E4573" w:rsidP="00045396">
            <w:pPr>
              <w:spacing w:line="240" w:lineRule="auto"/>
              <w:jc w:val="center"/>
              <w:rPr>
                <w:sz w:val="20"/>
              </w:rPr>
            </w:pPr>
            <w:r w:rsidRPr="008B68A9">
              <w:rPr>
                <w:sz w:val="20"/>
              </w:rPr>
              <w:t>Sample type</w:t>
            </w:r>
          </w:p>
        </w:tc>
        <w:tc>
          <w:tcPr>
            <w:tcW w:w="1526" w:type="dxa"/>
            <w:shd w:val="clear" w:color="auto" w:fill="F2F2F2" w:themeFill="background1" w:themeFillShade="F2"/>
            <w:vAlign w:val="center"/>
          </w:tcPr>
          <w:p w14:paraId="4A0A31A1" w14:textId="77777777" w:rsidR="008E4573" w:rsidRPr="008B68A9" w:rsidRDefault="008E4573" w:rsidP="00045396">
            <w:pPr>
              <w:spacing w:line="240" w:lineRule="auto"/>
              <w:jc w:val="center"/>
              <w:rPr>
                <w:sz w:val="20"/>
              </w:rPr>
            </w:pPr>
            <w:r w:rsidRPr="008B68A9">
              <w:rPr>
                <w:sz w:val="20"/>
              </w:rPr>
              <w:t>Sample size</w:t>
            </w:r>
          </w:p>
        </w:tc>
        <w:tc>
          <w:tcPr>
            <w:tcW w:w="2127" w:type="dxa"/>
            <w:shd w:val="clear" w:color="auto" w:fill="F2F2F2" w:themeFill="background1" w:themeFillShade="F2"/>
            <w:vAlign w:val="center"/>
          </w:tcPr>
          <w:p w14:paraId="041EC276" w14:textId="77777777" w:rsidR="008E4573" w:rsidRPr="008B68A9" w:rsidRDefault="008E4573" w:rsidP="00045396">
            <w:pPr>
              <w:spacing w:line="240" w:lineRule="auto"/>
              <w:jc w:val="center"/>
              <w:rPr>
                <w:sz w:val="20"/>
              </w:rPr>
            </w:pPr>
            <w:r w:rsidRPr="008B68A9">
              <w:rPr>
                <w:sz w:val="20"/>
              </w:rPr>
              <w:t>Data collection</w:t>
            </w:r>
          </w:p>
        </w:tc>
        <w:tc>
          <w:tcPr>
            <w:tcW w:w="1701" w:type="dxa"/>
            <w:shd w:val="clear" w:color="auto" w:fill="F2F2F2" w:themeFill="background1" w:themeFillShade="F2"/>
            <w:vAlign w:val="center"/>
          </w:tcPr>
          <w:p w14:paraId="2B16DB98" w14:textId="77777777" w:rsidR="008E4573" w:rsidRPr="008B68A9" w:rsidRDefault="008E4573" w:rsidP="00045396">
            <w:pPr>
              <w:spacing w:line="240" w:lineRule="auto"/>
              <w:jc w:val="center"/>
              <w:rPr>
                <w:sz w:val="20"/>
              </w:rPr>
            </w:pPr>
            <w:r w:rsidRPr="008B68A9">
              <w:rPr>
                <w:sz w:val="20"/>
              </w:rPr>
              <w:t>Data analysis</w:t>
            </w:r>
          </w:p>
        </w:tc>
        <w:tc>
          <w:tcPr>
            <w:tcW w:w="3445" w:type="dxa"/>
            <w:shd w:val="clear" w:color="auto" w:fill="F2F2F2" w:themeFill="background1" w:themeFillShade="F2"/>
            <w:vAlign w:val="center"/>
          </w:tcPr>
          <w:p w14:paraId="26F32EF0" w14:textId="77777777" w:rsidR="008E4573" w:rsidRPr="008B68A9" w:rsidRDefault="008E4573" w:rsidP="00045396">
            <w:pPr>
              <w:spacing w:line="240" w:lineRule="auto"/>
              <w:jc w:val="center"/>
              <w:rPr>
                <w:sz w:val="20"/>
              </w:rPr>
            </w:pPr>
            <w:r w:rsidRPr="008B68A9">
              <w:rPr>
                <w:sz w:val="20"/>
              </w:rPr>
              <w:t>Study finding</w:t>
            </w:r>
          </w:p>
        </w:tc>
        <w:tc>
          <w:tcPr>
            <w:tcW w:w="2083" w:type="dxa"/>
            <w:shd w:val="clear" w:color="auto" w:fill="F2F2F2" w:themeFill="background1" w:themeFillShade="F2"/>
            <w:vAlign w:val="center"/>
          </w:tcPr>
          <w:p w14:paraId="5A5C630F" w14:textId="77777777" w:rsidR="008E4573" w:rsidRPr="008B68A9" w:rsidRDefault="008E4573" w:rsidP="00045396">
            <w:pPr>
              <w:spacing w:line="240" w:lineRule="auto"/>
              <w:jc w:val="center"/>
              <w:rPr>
                <w:sz w:val="20"/>
              </w:rPr>
            </w:pPr>
            <w:r w:rsidRPr="008B68A9">
              <w:rPr>
                <w:sz w:val="20"/>
              </w:rPr>
              <w:t>Rigour</w:t>
            </w:r>
          </w:p>
        </w:tc>
      </w:tr>
      <w:tr w:rsidR="008E4573" w:rsidRPr="008B68A9" w14:paraId="22E606E6" w14:textId="77777777" w:rsidTr="00045396">
        <w:tc>
          <w:tcPr>
            <w:tcW w:w="1922" w:type="dxa"/>
          </w:tcPr>
          <w:p w14:paraId="355D30DA" w14:textId="77777777" w:rsidR="008E4573" w:rsidRPr="008B68A9" w:rsidRDefault="008E4573" w:rsidP="00045396">
            <w:pPr>
              <w:spacing w:line="240" w:lineRule="auto"/>
              <w:rPr>
                <w:b/>
                <w:sz w:val="18"/>
                <w:szCs w:val="18"/>
              </w:rPr>
            </w:pPr>
          </w:p>
        </w:tc>
        <w:tc>
          <w:tcPr>
            <w:tcW w:w="1479" w:type="dxa"/>
          </w:tcPr>
          <w:p w14:paraId="5327F568" w14:textId="77777777" w:rsidR="008E4573" w:rsidRPr="008B68A9" w:rsidRDefault="008E4573" w:rsidP="00045396">
            <w:pPr>
              <w:spacing w:line="240" w:lineRule="auto"/>
              <w:rPr>
                <w:b/>
                <w:sz w:val="18"/>
                <w:szCs w:val="18"/>
              </w:rPr>
            </w:pPr>
          </w:p>
        </w:tc>
        <w:tc>
          <w:tcPr>
            <w:tcW w:w="1526" w:type="dxa"/>
          </w:tcPr>
          <w:p w14:paraId="3EFE8B4C" w14:textId="77777777" w:rsidR="008E4573" w:rsidRPr="008B68A9" w:rsidRDefault="008E4573" w:rsidP="00045396">
            <w:pPr>
              <w:spacing w:line="240" w:lineRule="auto"/>
              <w:rPr>
                <w:b/>
                <w:sz w:val="18"/>
                <w:szCs w:val="18"/>
              </w:rPr>
            </w:pPr>
          </w:p>
        </w:tc>
        <w:tc>
          <w:tcPr>
            <w:tcW w:w="2127" w:type="dxa"/>
          </w:tcPr>
          <w:p w14:paraId="4632A765" w14:textId="77777777" w:rsidR="008E4573" w:rsidRPr="008B68A9" w:rsidRDefault="008E4573" w:rsidP="00045396">
            <w:pPr>
              <w:spacing w:line="240" w:lineRule="auto"/>
              <w:rPr>
                <w:b/>
                <w:sz w:val="18"/>
                <w:szCs w:val="18"/>
              </w:rPr>
            </w:pPr>
          </w:p>
        </w:tc>
        <w:tc>
          <w:tcPr>
            <w:tcW w:w="1701" w:type="dxa"/>
          </w:tcPr>
          <w:p w14:paraId="204C9DCB" w14:textId="77777777" w:rsidR="008E4573" w:rsidRPr="008B68A9" w:rsidRDefault="008E4573" w:rsidP="00045396">
            <w:pPr>
              <w:spacing w:line="240" w:lineRule="auto"/>
              <w:rPr>
                <w:b/>
                <w:sz w:val="18"/>
                <w:szCs w:val="18"/>
              </w:rPr>
            </w:pPr>
          </w:p>
        </w:tc>
        <w:tc>
          <w:tcPr>
            <w:tcW w:w="3445" w:type="dxa"/>
          </w:tcPr>
          <w:p w14:paraId="364E2EE4" w14:textId="77777777" w:rsidR="008E4573" w:rsidRPr="008B68A9" w:rsidRDefault="008E4573" w:rsidP="00045396">
            <w:pPr>
              <w:spacing w:line="240" w:lineRule="auto"/>
              <w:rPr>
                <w:b/>
                <w:sz w:val="18"/>
                <w:szCs w:val="18"/>
              </w:rPr>
            </w:pPr>
          </w:p>
        </w:tc>
        <w:tc>
          <w:tcPr>
            <w:tcW w:w="2083" w:type="dxa"/>
          </w:tcPr>
          <w:p w14:paraId="7069B8DE" w14:textId="77777777" w:rsidR="008E4573" w:rsidRPr="008B68A9" w:rsidRDefault="008E4573" w:rsidP="00045396">
            <w:pPr>
              <w:spacing w:line="240" w:lineRule="auto"/>
              <w:rPr>
                <w:b/>
                <w:sz w:val="18"/>
                <w:szCs w:val="18"/>
              </w:rPr>
            </w:pPr>
          </w:p>
        </w:tc>
      </w:tr>
      <w:tr w:rsidR="008E4573" w:rsidRPr="008B68A9" w14:paraId="617D08B5" w14:textId="77777777" w:rsidTr="00045396">
        <w:tc>
          <w:tcPr>
            <w:tcW w:w="1922" w:type="dxa"/>
          </w:tcPr>
          <w:p w14:paraId="6DA36EE8" w14:textId="77777777" w:rsidR="008E4573" w:rsidRPr="008B68A9" w:rsidRDefault="008E4573" w:rsidP="00045396">
            <w:pPr>
              <w:spacing w:line="240" w:lineRule="auto"/>
              <w:rPr>
                <w:b/>
                <w:sz w:val="18"/>
                <w:szCs w:val="18"/>
              </w:rPr>
            </w:pPr>
            <w:r w:rsidRPr="008B68A9">
              <w:rPr>
                <w:b/>
                <w:sz w:val="18"/>
                <w:szCs w:val="18"/>
              </w:rPr>
              <w:t>Alakeson, 2010</w:t>
            </w:r>
          </w:p>
        </w:tc>
        <w:tc>
          <w:tcPr>
            <w:tcW w:w="1479" w:type="dxa"/>
          </w:tcPr>
          <w:p w14:paraId="31E2B3D1" w14:textId="77777777" w:rsidR="008E4573" w:rsidRPr="008B68A9" w:rsidRDefault="008E4573" w:rsidP="00045396">
            <w:pPr>
              <w:spacing w:line="240" w:lineRule="auto"/>
              <w:rPr>
                <w:sz w:val="18"/>
                <w:szCs w:val="18"/>
              </w:rPr>
            </w:pPr>
            <w:r w:rsidRPr="008B68A9">
              <w:rPr>
                <w:sz w:val="18"/>
                <w:szCs w:val="18"/>
              </w:rPr>
              <w:t>International commentary of literature of personalisation in mental health.</w:t>
            </w:r>
          </w:p>
        </w:tc>
        <w:tc>
          <w:tcPr>
            <w:tcW w:w="1526" w:type="dxa"/>
          </w:tcPr>
          <w:p w14:paraId="61192460"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1C9573B5" w14:textId="77777777" w:rsidR="008E4573" w:rsidRPr="008B68A9" w:rsidRDefault="008E4573" w:rsidP="00045396">
            <w:pPr>
              <w:spacing w:line="240" w:lineRule="auto"/>
              <w:rPr>
                <w:sz w:val="18"/>
                <w:szCs w:val="18"/>
              </w:rPr>
            </w:pPr>
            <w:r w:rsidRPr="008B68A9">
              <w:rPr>
                <w:sz w:val="18"/>
                <w:szCs w:val="18"/>
              </w:rPr>
              <w:t>No method given</w:t>
            </w:r>
          </w:p>
        </w:tc>
        <w:tc>
          <w:tcPr>
            <w:tcW w:w="1701" w:type="dxa"/>
          </w:tcPr>
          <w:p w14:paraId="2C84B1C2" w14:textId="77777777" w:rsidR="008E4573" w:rsidRPr="008B68A9" w:rsidRDefault="008E4573" w:rsidP="00045396">
            <w:pPr>
              <w:spacing w:line="240" w:lineRule="auto"/>
              <w:rPr>
                <w:sz w:val="18"/>
                <w:szCs w:val="18"/>
              </w:rPr>
            </w:pPr>
            <w:r w:rsidRPr="008B68A9">
              <w:rPr>
                <w:sz w:val="18"/>
                <w:szCs w:val="18"/>
              </w:rPr>
              <w:t>None</w:t>
            </w:r>
          </w:p>
        </w:tc>
        <w:tc>
          <w:tcPr>
            <w:tcW w:w="3445" w:type="dxa"/>
          </w:tcPr>
          <w:p w14:paraId="79A4327E" w14:textId="77777777" w:rsidR="008E4573" w:rsidRPr="008B68A9" w:rsidRDefault="008E4573" w:rsidP="00045396">
            <w:pPr>
              <w:spacing w:line="240" w:lineRule="auto"/>
              <w:rPr>
                <w:sz w:val="18"/>
                <w:szCs w:val="18"/>
              </w:rPr>
            </w:pPr>
            <w:r w:rsidRPr="008B68A9">
              <w:rPr>
                <w:sz w:val="18"/>
                <w:szCs w:val="18"/>
              </w:rPr>
              <w:t>Descriptive account of self-direction and personalisation.</w:t>
            </w:r>
          </w:p>
          <w:p w14:paraId="2B3215DE" w14:textId="77777777" w:rsidR="008E4573" w:rsidRPr="008B68A9" w:rsidRDefault="008E4573" w:rsidP="00045396">
            <w:pPr>
              <w:spacing w:line="240" w:lineRule="auto"/>
              <w:rPr>
                <w:sz w:val="18"/>
                <w:szCs w:val="18"/>
              </w:rPr>
            </w:pPr>
          </w:p>
          <w:p w14:paraId="3B7DB67F" w14:textId="77777777" w:rsidR="008E4573" w:rsidRPr="008B68A9" w:rsidRDefault="008E4573" w:rsidP="00045396">
            <w:pPr>
              <w:spacing w:line="240" w:lineRule="auto"/>
              <w:rPr>
                <w:sz w:val="18"/>
                <w:szCs w:val="18"/>
              </w:rPr>
            </w:pPr>
            <w:r w:rsidRPr="008B68A9">
              <w:rPr>
                <w:sz w:val="18"/>
                <w:szCs w:val="18"/>
              </w:rPr>
              <w:t xml:space="preserve">Role of beneficiaries as “good stewards of public monies” </w:t>
            </w:r>
          </w:p>
          <w:p w14:paraId="60CEFF99" w14:textId="77777777" w:rsidR="008E4573" w:rsidRPr="008B68A9" w:rsidRDefault="008E4573" w:rsidP="00045396">
            <w:pPr>
              <w:spacing w:line="240" w:lineRule="auto"/>
              <w:rPr>
                <w:sz w:val="18"/>
                <w:szCs w:val="18"/>
              </w:rPr>
            </w:pPr>
            <w:r w:rsidRPr="008B68A9">
              <w:rPr>
                <w:sz w:val="18"/>
                <w:szCs w:val="18"/>
              </w:rPr>
              <w:t>Cites Hassler 2002 ILF for 10-20% saving on traditional care but not with people with mental health</w:t>
            </w:r>
          </w:p>
        </w:tc>
        <w:tc>
          <w:tcPr>
            <w:tcW w:w="2083" w:type="dxa"/>
          </w:tcPr>
          <w:p w14:paraId="00308C25" w14:textId="77777777" w:rsidR="008E4573" w:rsidRPr="008B68A9" w:rsidRDefault="008E4573" w:rsidP="00045396">
            <w:pPr>
              <w:spacing w:line="240" w:lineRule="auto"/>
              <w:rPr>
                <w:sz w:val="18"/>
                <w:szCs w:val="18"/>
              </w:rPr>
            </w:pPr>
            <w:r w:rsidRPr="008B68A9">
              <w:rPr>
                <w:sz w:val="18"/>
                <w:szCs w:val="18"/>
              </w:rPr>
              <w:t>Included as Alakeson is established in self-direction and her focus is on mental health</w:t>
            </w:r>
          </w:p>
        </w:tc>
      </w:tr>
      <w:tr w:rsidR="008E4573" w:rsidRPr="008B68A9" w14:paraId="4C83F700" w14:textId="77777777" w:rsidTr="00045396">
        <w:tc>
          <w:tcPr>
            <w:tcW w:w="1922" w:type="dxa"/>
          </w:tcPr>
          <w:p w14:paraId="14C3FA79" w14:textId="77777777" w:rsidR="008E4573" w:rsidRPr="008B68A9" w:rsidRDefault="008E4573" w:rsidP="00045396">
            <w:pPr>
              <w:spacing w:line="240" w:lineRule="auto"/>
              <w:rPr>
                <w:b/>
                <w:sz w:val="18"/>
                <w:szCs w:val="18"/>
              </w:rPr>
            </w:pPr>
          </w:p>
        </w:tc>
        <w:tc>
          <w:tcPr>
            <w:tcW w:w="1479" w:type="dxa"/>
          </w:tcPr>
          <w:p w14:paraId="3D6CB957" w14:textId="77777777" w:rsidR="008E4573" w:rsidRPr="008B68A9" w:rsidRDefault="008E4573" w:rsidP="00045396">
            <w:pPr>
              <w:spacing w:line="240" w:lineRule="auto"/>
              <w:rPr>
                <w:sz w:val="18"/>
                <w:szCs w:val="18"/>
              </w:rPr>
            </w:pPr>
          </w:p>
        </w:tc>
        <w:tc>
          <w:tcPr>
            <w:tcW w:w="1526" w:type="dxa"/>
          </w:tcPr>
          <w:p w14:paraId="0F0F2017" w14:textId="77777777" w:rsidR="008E4573" w:rsidRPr="008B68A9" w:rsidRDefault="008E4573" w:rsidP="00045396">
            <w:pPr>
              <w:spacing w:line="240" w:lineRule="auto"/>
              <w:rPr>
                <w:sz w:val="18"/>
                <w:szCs w:val="18"/>
              </w:rPr>
            </w:pPr>
          </w:p>
        </w:tc>
        <w:tc>
          <w:tcPr>
            <w:tcW w:w="2127" w:type="dxa"/>
          </w:tcPr>
          <w:p w14:paraId="524ED1E5" w14:textId="77777777" w:rsidR="008E4573" w:rsidRPr="008B68A9" w:rsidRDefault="008E4573" w:rsidP="00045396">
            <w:pPr>
              <w:spacing w:line="240" w:lineRule="auto"/>
              <w:rPr>
                <w:sz w:val="18"/>
                <w:szCs w:val="18"/>
              </w:rPr>
            </w:pPr>
          </w:p>
        </w:tc>
        <w:tc>
          <w:tcPr>
            <w:tcW w:w="1701" w:type="dxa"/>
          </w:tcPr>
          <w:p w14:paraId="34D7193B" w14:textId="77777777" w:rsidR="008E4573" w:rsidRPr="008B68A9" w:rsidRDefault="008E4573" w:rsidP="00045396">
            <w:pPr>
              <w:spacing w:line="240" w:lineRule="auto"/>
              <w:rPr>
                <w:sz w:val="18"/>
                <w:szCs w:val="18"/>
              </w:rPr>
            </w:pPr>
          </w:p>
        </w:tc>
        <w:tc>
          <w:tcPr>
            <w:tcW w:w="3445" w:type="dxa"/>
          </w:tcPr>
          <w:p w14:paraId="3AEFBA82" w14:textId="77777777" w:rsidR="008E4573" w:rsidRPr="008B68A9" w:rsidRDefault="008E4573" w:rsidP="00045396">
            <w:pPr>
              <w:spacing w:line="240" w:lineRule="auto"/>
              <w:rPr>
                <w:sz w:val="18"/>
                <w:szCs w:val="18"/>
              </w:rPr>
            </w:pPr>
          </w:p>
        </w:tc>
        <w:tc>
          <w:tcPr>
            <w:tcW w:w="2083" w:type="dxa"/>
          </w:tcPr>
          <w:p w14:paraId="19D2F169" w14:textId="77777777" w:rsidR="008E4573" w:rsidRPr="008B68A9" w:rsidRDefault="008E4573" w:rsidP="00045396">
            <w:pPr>
              <w:spacing w:line="240" w:lineRule="auto"/>
              <w:rPr>
                <w:sz w:val="18"/>
                <w:szCs w:val="18"/>
              </w:rPr>
            </w:pPr>
          </w:p>
        </w:tc>
      </w:tr>
      <w:tr w:rsidR="008E4573" w:rsidRPr="008B68A9" w14:paraId="6DFC92E1" w14:textId="77777777" w:rsidTr="00045396">
        <w:tc>
          <w:tcPr>
            <w:tcW w:w="1922" w:type="dxa"/>
          </w:tcPr>
          <w:p w14:paraId="7DA79B21" w14:textId="77777777" w:rsidR="008E4573" w:rsidRPr="008B68A9" w:rsidRDefault="008E4573" w:rsidP="00045396">
            <w:pPr>
              <w:spacing w:line="240" w:lineRule="auto"/>
              <w:rPr>
                <w:b/>
                <w:sz w:val="18"/>
                <w:szCs w:val="18"/>
              </w:rPr>
            </w:pPr>
            <w:r w:rsidRPr="008B68A9">
              <w:rPr>
                <w:b/>
                <w:sz w:val="18"/>
                <w:szCs w:val="18"/>
              </w:rPr>
              <w:t>Arksey and Kemp 2008</w:t>
            </w:r>
          </w:p>
        </w:tc>
        <w:tc>
          <w:tcPr>
            <w:tcW w:w="1479" w:type="dxa"/>
          </w:tcPr>
          <w:p w14:paraId="21F742EB" w14:textId="77777777" w:rsidR="008E4573" w:rsidRPr="008B68A9" w:rsidRDefault="008E4573" w:rsidP="00045396">
            <w:pPr>
              <w:spacing w:line="240" w:lineRule="auto"/>
              <w:rPr>
                <w:sz w:val="18"/>
                <w:szCs w:val="18"/>
              </w:rPr>
            </w:pPr>
            <w:r w:rsidRPr="008B68A9">
              <w:rPr>
                <w:sz w:val="18"/>
                <w:szCs w:val="18"/>
              </w:rPr>
              <w:t>Narrative review of self-direction</w:t>
            </w:r>
          </w:p>
          <w:p w14:paraId="25CEE3A6" w14:textId="77777777" w:rsidR="008E4573" w:rsidRPr="008B68A9" w:rsidRDefault="008E4573" w:rsidP="00045396">
            <w:pPr>
              <w:spacing w:line="240" w:lineRule="auto"/>
              <w:rPr>
                <w:sz w:val="18"/>
                <w:szCs w:val="18"/>
              </w:rPr>
            </w:pPr>
            <w:r w:rsidRPr="008B68A9">
              <w:rPr>
                <w:sz w:val="18"/>
                <w:szCs w:val="18"/>
              </w:rPr>
              <w:t>Empirical evidence on experiences of and outcomes SDC</w:t>
            </w:r>
          </w:p>
        </w:tc>
        <w:tc>
          <w:tcPr>
            <w:tcW w:w="1526" w:type="dxa"/>
          </w:tcPr>
          <w:p w14:paraId="0D002C94" w14:textId="77777777" w:rsidR="008E4573" w:rsidRPr="008B68A9" w:rsidRDefault="008E4573" w:rsidP="00045396">
            <w:pPr>
              <w:spacing w:line="240" w:lineRule="auto"/>
              <w:rPr>
                <w:sz w:val="18"/>
                <w:szCs w:val="18"/>
              </w:rPr>
            </w:pPr>
            <w:r w:rsidRPr="008B68A9">
              <w:rPr>
                <w:sz w:val="18"/>
                <w:szCs w:val="18"/>
              </w:rPr>
              <w:t>780 triple screened to 148 papers. Independently read.</w:t>
            </w:r>
          </w:p>
        </w:tc>
        <w:tc>
          <w:tcPr>
            <w:tcW w:w="2127" w:type="dxa"/>
          </w:tcPr>
          <w:p w14:paraId="5ABAD200" w14:textId="77777777" w:rsidR="008E4573" w:rsidRPr="008B68A9" w:rsidRDefault="008E4573" w:rsidP="00045396">
            <w:pPr>
              <w:spacing w:line="240" w:lineRule="auto"/>
              <w:rPr>
                <w:sz w:val="18"/>
                <w:szCs w:val="18"/>
              </w:rPr>
            </w:pPr>
            <w:r w:rsidRPr="008B68A9">
              <w:rPr>
                <w:sz w:val="18"/>
                <w:szCs w:val="18"/>
              </w:rPr>
              <w:t>ASSIA; Social Policy and Practice; SIGLE OVID Web Gateway International Bibliography of the Social Sciences</w:t>
            </w:r>
          </w:p>
          <w:p w14:paraId="4C173898" w14:textId="77777777" w:rsidR="008E4573" w:rsidRPr="008B68A9" w:rsidRDefault="008E4573" w:rsidP="00045396">
            <w:pPr>
              <w:spacing w:line="240" w:lineRule="auto"/>
              <w:rPr>
                <w:sz w:val="18"/>
                <w:szCs w:val="18"/>
              </w:rPr>
            </w:pPr>
            <w:r w:rsidRPr="008B68A9">
              <w:rPr>
                <w:sz w:val="18"/>
                <w:szCs w:val="18"/>
              </w:rPr>
              <w:t>ISI Web of Knowledge Social Science Citation Index</w:t>
            </w:r>
          </w:p>
        </w:tc>
        <w:tc>
          <w:tcPr>
            <w:tcW w:w="1701" w:type="dxa"/>
          </w:tcPr>
          <w:p w14:paraId="31E2FCF5" w14:textId="77777777" w:rsidR="008E4573" w:rsidRPr="008B68A9" w:rsidRDefault="008E4573" w:rsidP="00045396">
            <w:pPr>
              <w:spacing w:line="240" w:lineRule="auto"/>
              <w:rPr>
                <w:sz w:val="18"/>
                <w:szCs w:val="18"/>
              </w:rPr>
            </w:pPr>
            <w:r w:rsidRPr="008B68A9">
              <w:rPr>
                <w:sz w:val="18"/>
                <w:szCs w:val="18"/>
              </w:rPr>
              <w:t xml:space="preserve">Croucher </w:t>
            </w:r>
            <w:r w:rsidRPr="008B68A9">
              <w:rPr>
                <w:i/>
                <w:sz w:val="18"/>
                <w:szCs w:val="18"/>
              </w:rPr>
              <w:t>et al.</w:t>
            </w:r>
            <w:r w:rsidRPr="008B68A9">
              <w:rPr>
                <w:sz w:val="18"/>
                <w:szCs w:val="18"/>
              </w:rPr>
              <w:t xml:space="preserve"> (2003) QA approach Clarity of the research; Appropriateness of design; sampling adequacy; robustness data collection; </w:t>
            </w:r>
          </w:p>
          <w:p w14:paraId="6C0EFF65" w14:textId="77777777" w:rsidR="008E4573" w:rsidRPr="008B68A9" w:rsidRDefault="008E4573" w:rsidP="00045396">
            <w:pPr>
              <w:spacing w:line="240" w:lineRule="auto"/>
              <w:rPr>
                <w:sz w:val="18"/>
                <w:szCs w:val="18"/>
              </w:rPr>
            </w:pPr>
            <w:r w:rsidRPr="008B68A9">
              <w:rPr>
                <w:sz w:val="18"/>
                <w:szCs w:val="18"/>
              </w:rPr>
              <w:t>rigour of analysis</w:t>
            </w:r>
          </w:p>
        </w:tc>
        <w:tc>
          <w:tcPr>
            <w:tcW w:w="3445" w:type="dxa"/>
          </w:tcPr>
          <w:p w14:paraId="1668AEF8" w14:textId="77777777" w:rsidR="008E4573" w:rsidRPr="008B68A9" w:rsidRDefault="008E4573" w:rsidP="00045396">
            <w:pPr>
              <w:spacing w:line="240" w:lineRule="auto"/>
              <w:rPr>
                <w:sz w:val="18"/>
                <w:szCs w:val="18"/>
              </w:rPr>
            </w:pPr>
            <w:r w:rsidRPr="008B68A9">
              <w:rPr>
                <w:sz w:val="18"/>
                <w:szCs w:val="18"/>
              </w:rPr>
              <w:t>Barrier of care managers interpreting criteria for capacity and consent, thereby acting as gatekeepers (to DPs early 2000s).</w:t>
            </w:r>
          </w:p>
          <w:p w14:paraId="490D1B83" w14:textId="77777777" w:rsidR="008E4573" w:rsidRPr="008B68A9" w:rsidRDefault="008E4573" w:rsidP="00045396">
            <w:pPr>
              <w:spacing w:line="240" w:lineRule="auto"/>
              <w:rPr>
                <w:sz w:val="18"/>
                <w:szCs w:val="18"/>
              </w:rPr>
            </w:pPr>
            <w:r w:rsidRPr="008B68A9">
              <w:rPr>
                <w:sz w:val="18"/>
                <w:szCs w:val="18"/>
              </w:rPr>
              <w:t>Five preconditions for choice:</w:t>
            </w:r>
          </w:p>
          <w:p w14:paraId="16E54C01" w14:textId="77777777" w:rsidR="008E4573" w:rsidRPr="008B68A9" w:rsidRDefault="008E4573" w:rsidP="00045396">
            <w:pPr>
              <w:spacing w:line="240" w:lineRule="auto"/>
              <w:rPr>
                <w:sz w:val="18"/>
                <w:szCs w:val="18"/>
              </w:rPr>
            </w:pPr>
            <w:r w:rsidRPr="008B68A9">
              <w:rPr>
                <w:sz w:val="18"/>
                <w:szCs w:val="18"/>
              </w:rPr>
              <w:t>Awareness – promotion</w:t>
            </w:r>
          </w:p>
          <w:p w14:paraId="75A18CEA" w14:textId="77777777" w:rsidR="008E4573" w:rsidRPr="008B68A9" w:rsidRDefault="008E4573" w:rsidP="00045396">
            <w:pPr>
              <w:spacing w:line="240" w:lineRule="auto"/>
              <w:rPr>
                <w:sz w:val="18"/>
                <w:szCs w:val="18"/>
              </w:rPr>
            </w:pPr>
            <w:r w:rsidRPr="008B68A9">
              <w:rPr>
                <w:sz w:val="18"/>
                <w:szCs w:val="18"/>
              </w:rPr>
              <w:t>Adequate support available – (indicating brokers)</w:t>
            </w:r>
          </w:p>
          <w:p w14:paraId="51A7E2F2" w14:textId="77777777" w:rsidR="008E4573" w:rsidRPr="008B68A9" w:rsidRDefault="008E4573" w:rsidP="00045396">
            <w:pPr>
              <w:spacing w:line="240" w:lineRule="auto"/>
              <w:rPr>
                <w:sz w:val="18"/>
                <w:szCs w:val="18"/>
              </w:rPr>
            </w:pPr>
            <w:r w:rsidRPr="008B68A9">
              <w:rPr>
                <w:sz w:val="18"/>
                <w:szCs w:val="18"/>
              </w:rPr>
              <w:t>Ethic of choice choosing in-house or care market</w:t>
            </w:r>
          </w:p>
          <w:p w14:paraId="30BA3428" w14:textId="77777777" w:rsidR="008E4573" w:rsidRPr="008B68A9" w:rsidRDefault="008E4573" w:rsidP="00045396">
            <w:pPr>
              <w:spacing w:line="240" w:lineRule="auto"/>
              <w:rPr>
                <w:sz w:val="18"/>
                <w:szCs w:val="18"/>
              </w:rPr>
            </w:pPr>
            <w:r w:rsidRPr="008B68A9">
              <w:rPr>
                <w:sz w:val="18"/>
                <w:szCs w:val="18"/>
              </w:rPr>
              <w:t>Payment adequacy to avoid top up</w:t>
            </w:r>
          </w:p>
          <w:p w14:paraId="726FBEFD" w14:textId="77777777" w:rsidR="008E4573" w:rsidRPr="008B68A9" w:rsidRDefault="008E4573" w:rsidP="00045396">
            <w:pPr>
              <w:spacing w:line="240" w:lineRule="auto"/>
              <w:rPr>
                <w:sz w:val="18"/>
                <w:szCs w:val="18"/>
              </w:rPr>
            </w:pPr>
            <w:r w:rsidRPr="008B68A9">
              <w:rPr>
                <w:sz w:val="18"/>
                <w:szCs w:val="18"/>
              </w:rPr>
              <w:t>Functional care market (also see adequacy)</w:t>
            </w:r>
          </w:p>
          <w:p w14:paraId="43FEF5A8" w14:textId="77777777" w:rsidR="008E4573" w:rsidRPr="008B68A9" w:rsidRDefault="008E4573" w:rsidP="00045396">
            <w:pPr>
              <w:spacing w:line="240" w:lineRule="auto"/>
              <w:rPr>
                <w:sz w:val="18"/>
                <w:szCs w:val="18"/>
              </w:rPr>
            </w:pPr>
          </w:p>
          <w:p w14:paraId="272310B7" w14:textId="77777777" w:rsidR="008E4573" w:rsidRPr="008B68A9" w:rsidRDefault="008E4573" w:rsidP="00045396">
            <w:pPr>
              <w:spacing w:line="240" w:lineRule="auto"/>
              <w:rPr>
                <w:sz w:val="18"/>
                <w:szCs w:val="18"/>
              </w:rPr>
            </w:pPr>
            <w:r w:rsidRPr="008B68A9">
              <w:rPr>
                <w:sz w:val="18"/>
                <w:szCs w:val="18"/>
              </w:rPr>
              <w:t>Notes that much data was generated alongside evaluations making comparison or separation of effect difficult to assess</w:t>
            </w:r>
          </w:p>
        </w:tc>
        <w:tc>
          <w:tcPr>
            <w:tcW w:w="2083" w:type="dxa"/>
          </w:tcPr>
          <w:p w14:paraId="0744F86D" w14:textId="77777777" w:rsidR="008E4573" w:rsidRPr="008B68A9" w:rsidRDefault="008E4573" w:rsidP="00045396">
            <w:pPr>
              <w:spacing w:line="240" w:lineRule="auto"/>
              <w:rPr>
                <w:sz w:val="18"/>
                <w:szCs w:val="18"/>
              </w:rPr>
            </w:pPr>
            <w:r w:rsidRPr="008B68A9">
              <w:rPr>
                <w:sz w:val="18"/>
                <w:szCs w:val="18"/>
              </w:rPr>
              <w:t>Strong. Clearly stated method and application.</w:t>
            </w:r>
          </w:p>
          <w:p w14:paraId="7BFB2D0F" w14:textId="77777777" w:rsidR="008E4573" w:rsidRPr="008B68A9" w:rsidRDefault="008E4573" w:rsidP="00045396">
            <w:pPr>
              <w:spacing w:line="240" w:lineRule="auto"/>
              <w:rPr>
                <w:sz w:val="18"/>
                <w:szCs w:val="18"/>
              </w:rPr>
            </w:pPr>
            <w:r w:rsidRPr="008B68A9">
              <w:rPr>
                <w:sz w:val="18"/>
                <w:szCs w:val="18"/>
              </w:rPr>
              <w:t>However not clearly structured.</w:t>
            </w:r>
          </w:p>
        </w:tc>
      </w:tr>
      <w:tr w:rsidR="008E4573" w:rsidRPr="008B68A9" w14:paraId="4305A905" w14:textId="77777777" w:rsidTr="00045396">
        <w:tc>
          <w:tcPr>
            <w:tcW w:w="1922" w:type="dxa"/>
          </w:tcPr>
          <w:p w14:paraId="0D9BBA73" w14:textId="77777777" w:rsidR="008E4573" w:rsidRPr="008B68A9" w:rsidRDefault="008E4573" w:rsidP="00045396">
            <w:pPr>
              <w:spacing w:line="240" w:lineRule="auto"/>
              <w:rPr>
                <w:b/>
                <w:sz w:val="18"/>
                <w:szCs w:val="18"/>
              </w:rPr>
            </w:pPr>
          </w:p>
        </w:tc>
        <w:tc>
          <w:tcPr>
            <w:tcW w:w="1479" w:type="dxa"/>
          </w:tcPr>
          <w:p w14:paraId="2A4C993B" w14:textId="77777777" w:rsidR="008E4573" w:rsidRPr="008B68A9" w:rsidRDefault="008E4573" w:rsidP="00045396">
            <w:pPr>
              <w:spacing w:line="240" w:lineRule="auto"/>
              <w:rPr>
                <w:sz w:val="18"/>
                <w:szCs w:val="18"/>
              </w:rPr>
            </w:pPr>
          </w:p>
        </w:tc>
        <w:tc>
          <w:tcPr>
            <w:tcW w:w="1526" w:type="dxa"/>
          </w:tcPr>
          <w:p w14:paraId="579F42E6" w14:textId="77777777" w:rsidR="008E4573" w:rsidRPr="008B68A9" w:rsidRDefault="008E4573" w:rsidP="00045396">
            <w:pPr>
              <w:spacing w:line="240" w:lineRule="auto"/>
              <w:rPr>
                <w:sz w:val="18"/>
                <w:szCs w:val="18"/>
              </w:rPr>
            </w:pPr>
          </w:p>
        </w:tc>
        <w:tc>
          <w:tcPr>
            <w:tcW w:w="2127" w:type="dxa"/>
          </w:tcPr>
          <w:p w14:paraId="13D662ED" w14:textId="77777777" w:rsidR="008E4573" w:rsidRPr="008B68A9" w:rsidRDefault="008E4573" w:rsidP="00045396">
            <w:pPr>
              <w:spacing w:line="240" w:lineRule="auto"/>
              <w:rPr>
                <w:sz w:val="18"/>
                <w:szCs w:val="18"/>
              </w:rPr>
            </w:pPr>
          </w:p>
        </w:tc>
        <w:tc>
          <w:tcPr>
            <w:tcW w:w="1701" w:type="dxa"/>
          </w:tcPr>
          <w:p w14:paraId="229DCAC2" w14:textId="77777777" w:rsidR="008E4573" w:rsidRPr="008B68A9" w:rsidRDefault="008E4573" w:rsidP="00045396">
            <w:pPr>
              <w:spacing w:line="240" w:lineRule="auto"/>
              <w:rPr>
                <w:sz w:val="18"/>
                <w:szCs w:val="18"/>
              </w:rPr>
            </w:pPr>
          </w:p>
        </w:tc>
        <w:tc>
          <w:tcPr>
            <w:tcW w:w="3445" w:type="dxa"/>
          </w:tcPr>
          <w:p w14:paraId="1A7831D8" w14:textId="77777777" w:rsidR="008E4573" w:rsidRPr="008B68A9" w:rsidRDefault="008E4573" w:rsidP="00045396">
            <w:pPr>
              <w:spacing w:line="240" w:lineRule="auto"/>
              <w:rPr>
                <w:sz w:val="18"/>
                <w:szCs w:val="18"/>
              </w:rPr>
            </w:pPr>
          </w:p>
        </w:tc>
        <w:tc>
          <w:tcPr>
            <w:tcW w:w="2083" w:type="dxa"/>
          </w:tcPr>
          <w:p w14:paraId="101CFC3F" w14:textId="77777777" w:rsidR="008E4573" w:rsidRPr="008B68A9" w:rsidRDefault="008E4573" w:rsidP="00045396">
            <w:pPr>
              <w:spacing w:line="240" w:lineRule="auto"/>
              <w:rPr>
                <w:sz w:val="18"/>
                <w:szCs w:val="18"/>
              </w:rPr>
            </w:pPr>
          </w:p>
        </w:tc>
      </w:tr>
      <w:tr w:rsidR="008E4573" w:rsidRPr="008B68A9" w14:paraId="4D808908" w14:textId="77777777" w:rsidTr="00045396">
        <w:tc>
          <w:tcPr>
            <w:tcW w:w="1922" w:type="dxa"/>
          </w:tcPr>
          <w:p w14:paraId="4B31FE21" w14:textId="77777777" w:rsidR="008E4573" w:rsidRPr="008B68A9" w:rsidRDefault="008E4573" w:rsidP="00045396">
            <w:pPr>
              <w:spacing w:line="240" w:lineRule="auto"/>
              <w:rPr>
                <w:b/>
                <w:sz w:val="18"/>
                <w:szCs w:val="18"/>
              </w:rPr>
            </w:pPr>
            <w:r w:rsidRPr="008B68A9">
              <w:rPr>
                <w:b/>
                <w:sz w:val="18"/>
                <w:szCs w:val="18"/>
              </w:rPr>
              <w:t xml:space="preserve">Carter </w:t>
            </w:r>
            <w:r w:rsidRPr="008B68A9">
              <w:rPr>
                <w:b/>
                <w:i/>
                <w:sz w:val="18"/>
                <w:szCs w:val="18"/>
              </w:rPr>
              <w:t>et al.</w:t>
            </w:r>
            <w:r w:rsidRPr="008B68A9">
              <w:rPr>
                <w:b/>
                <w:sz w:val="18"/>
                <w:szCs w:val="18"/>
              </w:rPr>
              <w:t xml:space="preserve"> 2012</w:t>
            </w:r>
          </w:p>
        </w:tc>
        <w:tc>
          <w:tcPr>
            <w:tcW w:w="1479" w:type="dxa"/>
          </w:tcPr>
          <w:p w14:paraId="57EF259B" w14:textId="77777777" w:rsidR="008E4573" w:rsidRPr="008B68A9" w:rsidRDefault="008E4573" w:rsidP="00045396">
            <w:pPr>
              <w:spacing w:line="240" w:lineRule="auto"/>
              <w:rPr>
                <w:sz w:val="18"/>
                <w:szCs w:val="18"/>
              </w:rPr>
            </w:pPr>
            <w:r w:rsidRPr="008B68A9">
              <w:rPr>
                <w:sz w:val="18"/>
                <w:szCs w:val="18"/>
              </w:rPr>
              <w:t>Evidence synthesis</w:t>
            </w:r>
          </w:p>
        </w:tc>
        <w:tc>
          <w:tcPr>
            <w:tcW w:w="1526" w:type="dxa"/>
          </w:tcPr>
          <w:p w14:paraId="0C82A18D" w14:textId="77777777" w:rsidR="008E4573" w:rsidRPr="008B68A9" w:rsidRDefault="008E4573" w:rsidP="00045396">
            <w:pPr>
              <w:spacing w:line="240" w:lineRule="auto"/>
              <w:rPr>
                <w:sz w:val="18"/>
                <w:szCs w:val="18"/>
              </w:rPr>
            </w:pPr>
            <w:r w:rsidRPr="008B68A9">
              <w:rPr>
                <w:sz w:val="18"/>
                <w:szCs w:val="18"/>
              </w:rPr>
              <w:t>23 articles and 2 reports</w:t>
            </w:r>
          </w:p>
        </w:tc>
        <w:tc>
          <w:tcPr>
            <w:tcW w:w="2127" w:type="dxa"/>
          </w:tcPr>
          <w:p w14:paraId="0A7C4377" w14:textId="77777777" w:rsidR="008E4573" w:rsidRPr="008B68A9" w:rsidRDefault="008E4573" w:rsidP="00045396">
            <w:pPr>
              <w:spacing w:line="240" w:lineRule="auto"/>
              <w:rPr>
                <w:sz w:val="18"/>
                <w:szCs w:val="18"/>
              </w:rPr>
            </w:pPr>
            <w:r w:rsidRPr="008B68A9">
              <w:rPr>
                <w:sz w:val="18"/>
                <w:szCs w:val="18"/>
              </w:rPr>
              <w:t>Systematic review</w:t>
            </w:r>
          </w:p>
        </w:tc>
        <w:tc>
          <w:tcPr>
            <w:tcW w:w="1701" w:type="dxa"/>
          </w:tcPr>
          <w:p w14:paraId="5C34EA45" w14:textId="77777777" w:rsidR="008E4573" w:rsidRPr="008B68A9" w:rsidRDefault="008E4573" w:rsidP="00045396">
            <w:pPr>
              <w:spacing w:line="240" w:lineRule="auto"/>
              <w:rPr>
                <w:sz w:val="18"/>
                <w:szCs w:val="18"/>
              </w:rPr>
            </w:pPr>
            <w:r w:rsidRPr="008B68A9">
              <w:rPr>
                <w:sz w:val="18"/>
                <w:szCs w:val="18"/>
              </w:rPr>
              <w:t>Rapid Evidence Assessment (REA)</w:t>
            </w:r>
          </w:p>
        </w:tc>
        <w:tc>
          <w:tcPr>
            <w:tcW w:w="3445" w:type="dxa"/>
          </w:tcPr>
          <w:p w14:paraId="750C4230" w14:textId="77777777" w:rsidR="008E4573" w:rsidRPr="008B68A9" w:rsidRDefault="008E4573" w:rsidP="00045396">
            <w:pPr>
              <w:spacing w:line="240" w:lineRule="auto"/>
              <w:rPr>
                <w:sz w:val="18"/>
                <w:szCs w:val="18"/>
              </w:rPr>
            </w:pPr>
            <w:r w:rsidRPr="008B68A9">
              <w:rPr>
                <w:sz w:val="18"/>
                <w:szCs w:val="18"/>
              </w:rPr>
              <w:t>Personal budgets evidence is sparse, suggest that Ireland should adopt.</w:t>
            </w:r>
          </w:p>
          <w:p w14:paraId="72542591" w14:textId="77777777" w:rsidR="008E4573" w:rsidRPr="008B68A9" w:rsidRDefault="008E4573" w:rsidP="00045396">
            <w:pPr>
              <w:spacing w:line="240" w:lineRule="auto"/>
              <w:rPr>
                <w:sz w:val="18"/>
                <w:szCs w:val="18"/>
              </w:rPr>
            </w:pPr>
            <w:r w:rsidRPr="008B68A9">
              <w:rPr>
                <w:sz w:val="18"/>
                <w:szCs w:val="18"/>
              </w:rPr>
              <w:lastRenderedPageBreak/>
              <w:t>Sees the transformative potential of IBs in relationships between users and providers and leading to greater inclusion.</w:t>
            </w:r>
          </w:p>
        </w:tc>
        <w:tc>
          <w:tcPr>
            <w:tcW w:w="2083" w:type="dxa"/>
          </w:tcPr>
          <w:p w14:paraId="21322EE1" w14:textId="77777777" w:rsidR="008E4573" w:rsidRPr="008B68A9" w:rsidRDefault="008E4573" w:rsidP="00045396">
            <w:pPr>
              <w:spacing w:line="240" w:lineRule="auto"/>
              <w:rPr>
                <w:sz w:val="18"/>
                <w:szCs w:val="18"/>
              </w:rPr>
            </w:pPr>
            <w:r w:rsidRPr="008B68A9">
              <w:rPr>
                <w:sz w:val="18"/>
                <w:szCs w:val="18"/>
              </w:rPr>
              <w:lastRenderedPageBreak/>
              <w:t xml:space="preserve">Not specific to mental health learning disabilities and physical impairments. Included </w:t>
            </w:r>
            <w:r w:rsidRPr="008B68A9">
              <w:rPr>
                <w:sz w:val="18"/>
                <w:szCs w:val="18"/>
              </w:rPr>
              <w:lastRenderedPageBreak/>
              <w:t>direct payments as well as IBs and PBs.</w:t>
            </w:r>
          </w:p>
          <w:p w14:paraId="1D3D2351" w14:textId="77777777" w:rsidR="008E4573" w:rsidRPr="008B68A9" w:rsidRDefault="008E4573" w:rsidP="00045396">
            <w:pPr>
              <w:spacing w:line="240" w:lineRule="auto"/>
              <w:rPr>
                <w:sz w:val="18"/>
                <w:szCs w:val="18"/>
              </w:rPr>
            </w:pPr>
            <w:r w:rsidRPr="008B68A9">
              <w:rPr>
                <w:sz w:val="18"/>
                <w:szCs w:val="18"/>
              </w:rPr>
              <w:t>Studies cited are reported, though not comprehensive, nor critique.</w:t>
            </w:r>
          </w:p>
        </w:tc>
      </w:tr>
      <w:tr w:rsidR="008E4573" w:rsidRPr="008B68A9" w14:paraId="2670A9C2" w14:textId="77777777" w:rsidTr="00045396">
        <w:tc>
          <w:tcPr>
            <w:tcW w:w="1922" w:type="dxa"/>
          </w:tcPr>
          <w:p w14:paraId="5715D0FF" w14:textId="77777777" w:rsidR="008E4573" w:rsidRPr="008B68A9" w:rsidRDefault="008E4573" w:rsidP="00045396">
            <w:pPr>
              <w:spacing w:line="240" w:lineRule="auto"/>
              <w:rPr>
                <w:b/>
                <w:sz w:val="18"/>
                <w:szCs w:val="18"/>
              </w:rPr>
            </w:pPr>
            <w:r w:rsidRPr="008B68A9">
              <w:rPr>
                <w:b/>
                <w:sz w:val="18"/>
                <w:szCs w:val="18"/>
              </w:rPr>
              <w:lastRenderedPageBreak/>
              <w:t xml:space="preserve">Crozier </w:t>
            </w:r>
            <w:r w:rsidRPr="008B68A9">
              <w:rPr>
                <w:b/>
                <w:i/>
                <w:sz w:val="18"/>
                <w:szCs w:val="18"/>
              </w:rPr>
              <w:t>et al.</w:t>
            </w:r>
            <w:r w:rsidRPr="008B68A9">
              <w:rPr>
                <w:b/>
                <w:sz w:val="18"/>
                <w:szCs w:val="18"/>
              </w:rPr>
              <w:t xml:space="preserve"> 2012</w:t>
            </w:r>
          </w:p>
        </w:tc>
        <w:tc>
          <w:tcPr>
            <w:tcW w:w="1479" w:type="dxa"/>
          </w:tcPr>
          <w:p w14:paraId="7AFF9F59" w14:textId="77777777" w:rsidR="008E4573" w:rsidRPr="008B68A9" w:rsidRDefault="008E4573" w:rsidP="00045396">
            <w:pPr>
              <w:spacing w:line="240" w:lineRule="auto"/>
              <w:rPr>
                <w:sz w:val="18"/>
                <w:szCs w:val="18"/>
              </w:rPr>
            </w:pPr>
            <w:r w:rsidRPr="008B68A9">
              <w:rPr>
                <w:sz w:val="18"/>
                <w:szCs w:val="18"/>
              </w:rPr>
              <w:t>Literature review</w:t>
            </w:r>
          </w:p>
        </w:tc>
        <w:tc>
          <w:tcPr>
            <w:tcW w:w="1526" w:type="dxa"/>
          </w:tcPr>
          <w:p w14:paraId="3B911BEF" w14:textId="77777777" w:rsidR="008E4573" w:rsidRPr="008B68A9" w:rsidRDefault="008E4573" w:rsidP="00045396">
            <w:pPr>
              <w:spacing w:line="240" w:lineRule="auto"/>
              <w:rPr>
                <w:sz w:val="18"/>
                <w:szCs w:val="18"/>
              </w:rPr>
            </w:pPr>
            <w:r w:rsidRPr="008B68A9">
              <w:rPr>
                <w:sz w:val="18"/>
                <w:szCs w:val="18"/>
              </w:rPr>
              <w:t>n=376</w:t>
            </w:r>
          </w:p>
          <w:p w14:paraId="48E96A61" w14:textId="77777777" w:rsidR="008E4573" w:rsidRPr="008B68A9" w:rsidRDefault="008E4573" w:rsidP="00045396">
            <w:pPr>
              <w:spacing w:line="240" w:lineRule="auto"/>
              <w:rPr>
                <w:sz w:val="18"/>
                <w:szCs w:val="18"/>
              </w:rPr>
            </w:pPr>
            <w:r w:rsidRPr="008B68A9">
              <w:rPr>
                <w:sz w:val="18"/>
                <w:szCs w:val="18"/>
              </w:rPr>
              <w:t>Abstracts n=340</w:t>
            </w:r>
          </w:p>
          <w:p w14:paraId="3DA2DAD0" w14:textId="77777777" w:rsidR="008E4573" w:rsidRPr="008B68A9" w:rsidRDefault="008E4573" w:rsidP="00045396">
            <w:pPr>
              <w:spacing w:line="240" w:lineRule="auto"/>
              <w:rPr>
                <w:sz w:val="18"/>
                <w:szCs w:val="18"/>
              </w:rPr>
            </w:pPr>
            <w:r w:rsidRPr="008B68A9">
              <w:rPr>
                <w:sz w:val="18"/>
                <w:szCs w:val="18"/>
              </w:rPr>
              <w:t>Articles for review n=130</w:t>
            </w:r>
          </w:p>
          <w:p w14:paraId="2BB133A8" w14:textId="77777777" w:rsidR="008E4573" w:rsidRPr="008B68A9" w:rsidRDefault="008E4573" w:rsidP="00045396">
            <w:pPr>
              <w:spacing w:line="240" w:lineRule="auto"/>
              <w:rPr>
                <w:sz w:val="18"/>
                <w:szCs w:val="18"/>
              </w:rPr>
            </w:pPr>
            <w:r w:rsidRPr="008B68A9">
              <w:rPr>
                <w:sz w:val="18"/>
                <w:szCs w:val="18"/>
              </w:rPr>
              <w:t>Articles reviewed n= 52</w:t>
            </w:r>
          </w:p>
        </w:tc>
        <w:tc>
          <w:tcPr>
            <w:tcW w:w="2127" w:type="dxa"/>
          </w:tcPr>
          <w:p w14:paraId="4817828E" w14:textId="77777777" w:rsidR="008E4573" w:rsidRPr="008B68A9" w:rsidRDefault="008E4573" w:rsidP="00045396">
            <w:pPr>
              <w:spacing w:line="240" w:lineRule="auto"/>
              <w:rPr>
                <w:sz w:val="18"/>
                <w:szCs w:val="18"/>
              </w:rPr>
            </w:pPr>
            <w:r w:rsidRPr="008B68A9">
              <w:rPr>
                <w:sz w:val="18"/>
                <w:szCs w:val="18"/>
              </w:rPr>
              <w:t xml:space="preserve">Two researchers </w:t>
            </w:r>
          </w:p>
        </w:tc>
        <w:tc>
          <w:tcPr>
            <w:tcW w:w="1701" w:type="dxa"/>
          </w:tcPr>
          <w:p w14:paraId="48F86936" w14:textId="77777777" w:rsidR="008E4573" w:rsidRPr="008B68A9" w:rsidRDefault="008E4573" w:rsidP="00045396">
            <w:pPr>
              <w:spacing w:line="240" w:lineRule="auto"/>
              <w:rPr>
                <w:sz w:val="18"/>
                <w:szCs w:val="18"/>
              </w:rPr>
            </w:pPr>
            <w:r w:rsidRPr="008B68A9">
              <w:rPr>
                <w:sz w:val="18"/>
                <w:szCs w:val="18"/>
              </w:rPr>
              <w:t>Independent reviewers x2 then data merged for final analysis.</w:t>
            </w:r>
          </w:p>
          <w:p w14:paraId="7CE91E78" w14:textId="77777777" w:rsidR="008E4573" w:rsidRPr="008B68A9" w:rsidRDefault="008E4573" w:rsidP="00045396">
            <w:pPr>
              <w:spacing w:line="240" w:lineRule="auto"/>
              <w:rPr>
                <w:sz w:val="18"/>
                <w:szCs w:val="18"/>
              </w:rPr>
            </w:pPr>
            <w:r w:rsidRPr="008B68A9">
              <w:rPr>
                <w:sz w:val="18"/>
                <w:szCs w:val="18"/>
              </w:rPr>
              <w:t>Not specific about process for inclusion.</w:t>
            </w:r>
          </w:p>
        </w:tc>
        <w:tc>
          <w:tcPr>
            <w:tcW w:w="3445" w:type="dxa"/>
          </w:tcPr>
          <w:p w14:paraId="1642EA57" w14:textId="77777777" w:rsidR="008E4573" w:rsidRPr="008B68A9" w:rsidRDefault="008E4573" w:rsidP="00045396">
            <w:pPr>
              <w:spacing w:line="240" w:lineRule="auto"/>
              <w:rPr>
                <w:sz w:val="18"/>
                <w:szCs w:val="18"/>
              </w:rPr>
            </w:pPr>
            <w:r w:rsidRPr="008B68A9">
              <w:rPr>
                <w:sz w:val="18"/>
                <w:szCs w:val="18"/>
              </w:rPr>
              <w:t>Discusses role preparation and competences for employing PAs</w:t>
            </w:r>
          </w:p>
        </w:tc>
        <w:tc>
          <w:tcPr>
            <w:tcW w:w="2083" w:type="dxa"/>
          </w:tcPr>
          <w:p w14:paraId="2024D21E" w14:textId="77777777" w:rsidR="008E4573" w:rsidRPr="008B68A9" w:rsidRDefault="008E4573" w:rsidP="00045396">
            <w:pPr>
              <w:spacing w:line="240" w:lineRule="auto"/>
              <w:rPr>
                <w:sz w:val="18"/>
                <w:szCs w:val="18"/>
              </w:rPr>
            </w:pPr>
            <w:r w:rsidRPr="008B68A9">
              <w:rPr>
                <w:sz w:val="18"/>
                <w:szCs w:val="18"/>
              </w:rPr>
              <w:t>Mostly learning disability focus.</w:t>
            </w:r>
          </w:p>
          <w:p w14:paraId="3F9D7974" w14:textId="77777777" w:rsidR="008E4573" w:rsidRPr="008B68A9" w:rsidRDefault="008E4573" w:rsidP="00045396">
            <w:pPr>
              <w:spacing w:line="240" w:lineRule="auto"/>
              <w:rPr>
                <w:sz w:val="18"/>
                <w:szCs w:val="18"/>
              </w:rPr>
            </w:pPr>
            <w:r w:rsidRPr="008B68A9">
              <w:rPr>
                <w:sz w:val="18"/>
                <w:szCs w:val="18"/>
              </w:rPr>
              <w:t>Uses research logic to contextualise problem.</w:t>
            </w:r>
          </w:p>
          <w:p w14:paraId="17492598" w14:textId="77777777" w:rsidR="008E4573" w:rsidRPr="008B68A9" w:rsidRDefault="008E4573" w:rsidP="00045396">
            <w:pPr>
              <w:spacing w:line="240" w:lineRule="auto"/>
              <w:rPr>
                <w:sz w:val="18"/>
                <w:szCs w:val="18"/>
              </w:rPr>
            </w:pPr>
            <w:r w:rsidRPr="008B68A9">
              <w:rPr>
                <w:sz w:val="18"/>
                <w:szCs w:val="18"/>
              </w:rPr>
              <w:t>Strong indication of method.</w:t>
            </w:r>
          </w:p>
          <w:p w14:paraId="6C33F283" w14:textId="77777777" w:rsidR="008E4573" w:rsidRPr="008B68A9" w:rsidRDefault="008E4573" w:rsidP="00045396">
            <w:pPr>
              <w:spacing w:line="240" w:lineRule="auto"/>
              <w:rPr>
                <w:sz w:val="18"/>
                <w:szCs w:val="18"/>
              </w:rPr>
            </w:pPr>
            <w:r w:rsidRPr="008B68A9">
              <w:rPr>
                <w:sz w:val="18"/>
                <w:szCs w:val="18"/>
              </w:rPr>
              <w:t>However only three search terms used:</w:t>
            </w:r>
          </w:p>
          <w:p w14:paraId="1FEB7192" w14:textId="77777777" w:rsidR="008E4573" w:rsidRPr="008B68A9" w:rsidRDefault="008E4573" w:rsidP="00045396">
            <w:pPr>
              <w:spacing w:line="240" w:lineRule="auto"/>
              <w:rPr>
                <w:sz w:val="18"/>
                <w:szCs w:val="18"/>
              </w:rPr>
            </w:pPr>
            <w:r w:rsidRPr="008B68A9">
              <w:rPr>
                <w:sz w:val="18"/>
                <w:szCs w:val="18"/>
              </w:rPr>
              <w:t>client-led care, self-directed care and consumer-directed care</w:t>
            </w:r>
          </w:p>
        </w:tc>
      </w:tr>
      <w:tr w:rsidR="008E4573" w:rsidRPr="008B68A9" w14:paraId="7926F826" w14:textId="77777777" w:rsidTr="00045396">
        <w:tc>
          <w:tcPr>
            <w:tcW w:w="1922" w:type="dxa"/>
          </w:tcPr>
          <w:p w14:paraId="4B2D4866" w14:textId="77777777" w:rsidR="008E4573" w:rsidRPr="008B68A9" w:rsidRDefault="008E4573" w:rsidP="00045396">
            <w:pPr>
              <w:spacing w:line="240" w:lineRule="auto"/>
              <w:rPr>
                <w:b/>
                <w:sz w:val="18"/>
                <w:szCs w:val="18"/>
              </w:rPr>
            </w:pPr>
            <w:r w:rsidRPr="008B68A9">
              <w:rPr>
                <w:b/>
                <w:sz w:val="18"/>
                <w:szCs w:val="18"/>
              </w:rPr>
              <w:t>Gadsby 2013</w:t>
            </w:r>
          </w:p>
        </w:tc>
        <w:tc>
          <w:tcPr>
            <w:tcW w:w="1479" w:type="dxa"/>
          </w:tcPr>
          <w:p w14:paraId="233F517D" w14:textId="77777777" w:rsidR="008E4573" w:rsidRPr="008B68A9" w:rsidRDefault="008E4573" w:rsidP="00045396">
            <w:pPr>
              <w:spacing w:line="240" w:lineRule="auto"/>
              <w:rPr>
                <w:sz w:val="18"/>
                <w:szCs w:val="18"/>
              </w:rPr>
            </w:pPr>
            <w:r w:rsidRPr="008B68A9">
              <w:rPr>
                <w:sz w:val="18"/>
                <w:szCs w:val="18"/>
              </w:rPr>
              <w:t>Literature review</w:t>
            </w:r>
          </w:p>
        </w:tc>
        <w:tc>
          <w:tcPr>
            <w:tcW w:w="1526" w:type="dxa"/>
          </w:tcPr>
          <w:p w14:paraId="4F25F97B" w14:textId="77777777" w:rsidR="008E4573" w:rsidRPr="008B68A9" w:rsidRDefault="008E4573" w:rsidP="00045396">
            <w:pPr>
              <w:spacing w:line="240" w:lineRule="auto"/>
              <w:rPr>
                <w:sz w:val="18"/>
                <w:szCs w:val="18"/>
              </w:rPr>
            </w:pPr>
            <w:r w:rsidRPr="008B68A9">
              <w:rPr>
                <w:sz w:val="18"/>
                <w:szCs w:val="18"/>
              </w:rPr>
              <w:t>280 papers including evaluation reports, (n=9), accounts of empirical research, (n=29), comparative studies, (n=14)</w:t>
            </w:r>
          </w:p>
        </w:tc>
        <w:tc>
          <w:tcPr>
            <w:tcW w:w="2127" w:type="dxa"/>
          </w:tcPr>
          <w:p w14:paraId="7EE0D20D" w14:textId="77777777" w:rsidR="008E4573" w:rsidRPr="008B68A9" w:rsidRDefault="008E4573" w:rsidP="00045396">
            <w:pPr>
              <w:spacing w:line="240" w:lineRule="auto"/>
              <w:rPr>
                <w:sz w:val="18"/>
                <w:szCs w:val="18"/>
              </w:rPr>
            </w:pPr>
            <w:r w:rsidRPr="008B68A9">
              <w:rPr>
                <w:sz w:val="18"/>
                <w:szCs w:val="18"/>
              </w:rPr>
              <w:t>Web of Knowledge, MEDLINE, the Cochrane Library, Google Scholar, the WHO library, and Health Management Information Consortium</w:t>
            </w:r>
          </w:p>
          <w:p w14:paraId="11E72BEB" w14:textId="77777777" w:rsidR="008E4573" w:rsidRPr="008B68A9" w:rsidRDefault="008E4573" w:rsidP="00045396">
            <w:pPr>
              <w:spacing w:line="240" w:lineRule="auto"/>
              <w:rPr>
                <w:sz w:val="18"/>
                <w:szCs w:val="18"/>
              </w:rPr>
            </w:pPr>
            <w:r w:rsidRPr="008B68A9">
              <w:rPr>
                <w:sz w:val="18"/>
                <w:szCs w:val="18"/>
              </w:rPr>
              <w:t>2008-2012</w:t>
            </w:r>
          </w:p>
          <w:p w14:paraId="6C8C9F20" w14:textId="77777777" w:rsidR="008E4573" w:rsidRPr="008B68A9" w:rsidRDefault="008E4573" w:rsidP="00045396">
            <w:pPr>
              <w:spacing w:line="240" w:lineRule="auto"/>
              <w:rPr>
                <w:sz w:val="18"/>
                <w:szCs w:val="18"/>
              </w:rPr>
            </w:pPr>
            <w:r w:rsidRPr="008B68A9">
              <w:rPr>
                <w:sz w:val="18"/>
                <w:szCs w:val="18"/>
              </w:rPr>
              <w:t>Terms:</w:t>
            </w:r>
          </w:p>
          <w:p w14:paraId="69C176C6" w14:textId="77777777" w:rsidR="008E4573" w:rsidRPr="008B68A9" w:rsidRDefault="008E4573" w:rsidP="00045396">
            <w:pPr>
              <w:spacing w:line="240" w:lineRule="auto"/>
              <w:rPr>
                <w:sz w:val="18"/>
                <w:szCs w:val="18"/>
              </w:rPr>
            </w:pPr>
            <w:r w:rsidRPr="008B68A9">
              <w:rPr>
                <w:sz w:val="18"/>
                <w:szCs w:val="18"/>
              </w:rPr>
              <w:t>personal health budgets, personal budgets, individual budgets, individualised budgets, individualised funding, cash for care, direct payment, consumer-directed care and cash and counselling</w:t>
            </w:r>
          </w:p>
        </w:tc>
        <w:tc>
          <w:tcPr>
            <w:tcW w:w="1701" w:type="dxa"/>
          </w:tcPr>
          <w:p w14:paraId="3DF6765A" w14:textId="77777777" w:rsidR="008E4573" w:rsidRPr="008B68A9" w:rsidRDefault="008E4573" w:rsidP="00045396">
            <w:pPr>
              <w:spacing w:line="240" w:lineRule="auto"/>
              <w:rPr>
                <w:sz w:val="18"/>
                <w:szCs w:val="18"/>
              </w:rPr>
            </w:pPr>
            <w:r w:rsidRPr="008B68A9">
              <w:rPr>
                <w:sz w:val="18"/>
                <w:szCs w:val="18"/>
              </w:rPr>
              <w:t xml:space="preserve">Assessed against 5 criteria from Arksey and Kemp (Croucher </w:t>
            </w:r>
            <w:r w:rsidRPr="008B68A9">
              <w:rPr>
                <w:i/>
                <w:sz w:val="18"/>
                <w:szCs w:val="18"/>
              </w:rPr>
              <w:t>et al.</w:t>
            </w:r>
            <w:r w:rsidRPr="008B68A9">
              <w:rPr>
                <w:sz w:val="18"/>
                <w:szCs w:val="18"/>
              </w:rPr>
              <w:t>).</w:t>
            </w:r>
          </w:p>
          <w:p w14:paraId="33272E2B" w14:textId="77777777" w:rsidR="008E4573" w:rsidRPr="008B68A9" w:rsidRDefault="008E4573" w:rsidP="00045396">
            <w:pPr>
              <w:spacing w:line="240" w:lineRule="auto"/>
              <w:rPr>
                <w:sz w:val="18"/>
                <w:szCs w:val="18"/>
              </w:rPr>
            </w:pPr>
            <w:r w:rsidRPr="008B68A9">
              <w:rPr>
                <w:sz w:val="18"/>
                <w:szCs w:val="18"/>
              </w:rPr>
              <w:t xml:space="preserve">Clarity of the research; Appropriateness of design; sampling adequacy; robustness data collection; </w:t>
            </w:r>
          </w:p>
          <w:p w14:paraId="0122E870" w14:textId="77777777" w:rsidR="008E4573" w:rsidRPr="008B68A9" w:rsidRDefault="008E4573" w:rsidP="00045396">
            <w:pPr>
              <w:spacing w:line="240" w:lineRule="auto"/>
              <w:rPr>
                <w:sz w:val="18"/>
                <w:szCs w:val="18"/>
              </w:rPr>
            </w:pPr>
            <w:r w:rsidRPr="008B68A9">
              <w:rPr>
                <w:sz w:val="18"/>
                <w:szCs w:val="18"/>
              </w:rPr>
              <w:t>rigour of analysis;</w:t>
            </w:r>
          </w:p>
          <w:p w14:paraId="333BC8BC" w14:textId="77777777" w:rsidR="008E4573" w:rsidRPr="008B68A9" w:rsidRDefault="008E4573" w:rsidP="00045396">
            <w:pPr>
              <w:spacing w:line="240" w:lineRule="auto"/>
              <w:rPr>
                <w:sz w:val="18"/>
                <w:szCs w:val="18"/>
              </w:rPr>
            </w:pPr>
            <w:r w:rsidRPr="008B68A9">
              <w:rPr>
                <w:sz w:val="18"/>
                <w:szCs w:val="18"/>
              </w:rPr>
              <w:t>Also</w:t>
            </w:r>
          </w:p>
          <w:p w14:paraId="1790A90B" w14:textId="77777777" w:rsidR="008E4573" w:rsidRPr="008B68A9" w:rsidRDefault="008E4573" w:rsidP="00045396">
            <w:pPr>
              <w:spacing w:line="240" w:lineRule="auto"/>
              <w:rPr>
                <w:sz w:val="18"/>
                <w:szCs w:val="18"/>
              </w:rPr>
            </w:pPr>
            <w:r w:rsidRPr="008B68A9">
              <w:rPr>
                <w:sz w:val="18"/>
                <w:szCs w:val="18"/>
              </w:rPr>
              <w:t xml:space="preserve">quality appraisal; client group / eligibility criteria; </w:t>
            </w:r>
            <w:r w:rsidRPr="008B68A9">
              <w:rPr>
                <w:sz w:val="18"/>
                <w:szCs w:val="18"/>
              </w:rPr>
              <w:lastRenderedPageBreak/>
              <w:t xml:space="preserve">allowed budget uses; </w:t>
            </w:r>
          </w:p>
          <w:p w14:paraId="23B1DAAF" w14:textId="77777777" w:rsidR="008E4573" w:rsidRPr="008B68A9" w:rsidRDefault="008E4573" w:rsidP="00045396">
            <w:pPr>
              <w:spacing w:line="240" w:lineRule="auto"/>
              <w:rPr>
                <w:sz w:val="18"/>
                <w:szCs w:val="18"/>
              </w:rPr>
            </w:pPr>
            <w:r w:rsidRPr="008B68A9">
              <w:rPr>
                <w:sz w:val="18"/>
                <w:szCs w:val="18"/>
              </w:rPr>
              <w:t>key features: health outcomes; cost-effectiveness outcome; associated articles (from Arksey and Kemp 2008)</w:t>
            </w:r>
          </w:p>
        </w:tc>
        <w:tc>
          <w:tcPr>
            <w:tcW w:w="3445" w:type="dxa"/>
          </w:tcPr>
          <w:p w14:paraId="791F38EF" w14:textId="77777777" w:rsidR="008E4573" w:rsidRPr="008B68A9" w:rsidRDefault="008E4573" w:rsidP="00045396">
            <w:pPr>
              <w:spacing w:line="240" w:lineRule="auto"/>
              <w:rPr>
                <w:sz w:val="18"/>
                <w:szCs w:val="18"/>
              </w:rPr>
            </w:pPr>
            <w:r w:rsidRPr="008B68A9">
              <w:rPr>
                <w:sz w:val="18"/>
                <w:szCs w:val="18"/>
              </w:rPr>
              <w:lastRenderedPageBreak/>
              <w:t>Most studies lack rigour in terms of empirical method or criteria,</w:t>
            </w:r>
          </w:p>
          <w:p w14:paraId="3DD82AB6" w14:textId="77777777" w:rsidR="008E4573" w:rsidRPr="008B68A9" w:rsidRDefault="008E4573" w:rsidP="00045396">
            <w:pPr>
              <w:spacing w:line="240" w:lineRule="auto"/>
              <w:rPr>
                <w:sz w:val="18"/>
                <w:szCs w:val="18"/>
              </w:rPr>
            </w:pPr>
            <w:r w:rsidRPr="008B68A9">
              <w:rPr>
                <w:sz w:val="18"/>
                <w:szCs w:val="18"/>
              </w:rPr>
              <w:t xml:space="preserve">Supports findings of Forder </w:t>
            </w:r>
            <w:r w:rsidRPr="008B68A9">
              <w:rPr>
                <w:i/>
                <w:sz w:val="18"/>
                <w:szCs w:val="18"/>
              </w:rPr>
              <w:t>et al.</w:t>
            </w:r>
            <w:r w:rsidRPr="008B68A9">
              <w:rPr>
                <w:sz w:val="18"/>
                <w:szCs w:val="18"/>
              </w:rPr>
              <w:t xml:space="preserve">, Glendinning, Shen </w:t>
            </w:r>
            <w:r w:rsidRPr="008B68A9">
              <w:rPr>
                <w:i/>
                <w:sz w:val="18"/>
                <w:szCs w:val="18"/>
              </w:rPr>
              <w:t>et al.</w:t>
            </w:r>
            <w:r w:rsidRPr="008B68A9">
              <w:rPr>
                <w:sz w:val="18"/>
                <w:szCs w:val="18"/>
              </w:rPr>
              <w:t xml:space="preserve"> that no direct discernible evidence of improved health outcomes nor deleterious effect of IBs/CC.</w:t>
            </w:r>
          </w:p>
          <w:p w14:paraId="28EB7058" w14:textId="77777777" w:rsidR="008E4573" w:rsidRPr="008B68A9" w:rsidRDefault="008E4573" w:rsidP="00045396">
            <w:pPr>
              <w:spacing w:line="240" w:lineRule="auto"/>
              <w:rPr>
                <w:sz w:val="18"/>
                <w:szCs w:val="18"/>
              </w:rPr>
            </w:pPr>
            <w:r w:rsidRPr="008B68A9">
              <w:rPr>
                <w:sz w:val="18"/>
                <w:szCs w:val="18"/>
              </w:rPr>
              <w:t>Notes that cost containment and dissatisfaction with current provision are central aims.</w:t>
            </w:r>
          </w:p>
          <w:p w14:paraId="6B41ACD8" w14:textId="77777777" w:rsidR="008E4573" w:rsidRPr="008B68A9" w:rsidRDefault="008E4573" w:rsidP="00045396">
            <w:pPr>
              <w:spacing w:line="240" w:lineRule="auto"/>
              <w:rPr>
                <w:sz w:val="18"/>
                <w:szCs w:val="18"/>
              </w:rPr>
            </w:pPr>
          </w:p>
          <w:p w14:paraId="5190C23E" w14:textId="77777777" w:rsidR="008E4573" w:rsidRPr="008B68A9" w:rsidRDefault="008E4573" w:rsidP="00045396">
            <w:pPr>
              <w:spacing w:line="240" w:lineRule="auto"/>
              <w:rPr>
                <w:sz w:val="18"/>
                <w:szCs w:val="18"/>
              </w:rPr>
            </w:pPr>
            <w:r w:rsidRPr="008B68A9">
              <w:rPr>
                <w:sz w:val="18"/>
                <w:szCs w:val="18"/>
              </w:rPr>
              <w:t>Although notes schemes also aim to increase consumer choice, autonomy and satisfaction. Suggests that proxy sources of evidence of patient activation and control of health have positive health correlation.</w:t>
            </w:r>
          </w:p>
          <w:p w14:paraId="3978B464" w14:textId="77777777" w:rsidR="008E4573" w:rsidRPr="008B68A9" w:rsidRDefault="008E4573" w:rsidP="00045396">
            <w:pPr>
              <w:spacing w:line="240" w:lineRule="auto"/>
              <w:rPr>
                <w:sz w:val="18"/>
                <w:szCs w:val="18"/>
              </w:rPr>
            </w:pPr>
          </w:p>
          <w:p w14:paraId="66AD416F" w14:textId="77777777" w:rsidR="008E4573" w:rsidRPr="008B68A9" w:rsidRDefault="008E4573" w:rsidP="00045396">
            <w:pPr>
              <w:spacing w:line="240" w:lineRule="auto"/>
              <w:rPr>
                <w:sz w:val="18"/>
                <w:szCs w:val="18"/>
              </w:rPr>
            </w:pPr>
            <w:r w:rsidRPr="008B68A9">
              <w:rPr>
                <w:sz w:val="18"/>
                <w:szCs w:val="18"/>
              </w:rPr>
              <w:lastRenderedPageBreak/>
              <w:t>In all but one of the 11 countries budget follows individual care plan, Austria being the exception.</w:t>
            </w:r>
          </w:p>
          <w:p w14:paraId="1FB428C0" w14:textId="77777777" w:rsidR="008E4573" w:rsidRPr="008B68A9" w:rsidRDefault="008E4573" w:rsidP="00045396">
            <w:pPr>
              <w:spacing w:line="240" w:lineRule="auto"/>
              <w:rPr>
                <w:sz w:val="18"/>
                <w:szCs w:val="18"/>
              </w:rPr>
            </w:pPr>
          </w:p>
          <w:p w14:paraId="5D8C1707" w14:textId="77777777" w:rsidR="008E4573" w:rsidRPr="008B68A9" w:rsidRDefault="008E4573" w:rsidP="00045396">
            <w:pPr>
              <w:spacing w:line="240" w:lineRule="auto"/>
              <w:rPr>
                <w:sz w:val="18"/>
                <w:szCs w:val="18"/>
              </w:rPr>
            </w:pPr>
            <w:r w:rsidRPr="008B68A9">
              <w:rPr>
                <w:sz w:val="18"/>
                <w:szCs w:val="18"/>
              </w:rPr>
              <w:t>Social care expenditure items were often additional – point that no surprise participants reported positively.</w:t>
            </w:r>
          </w:p>
          <w:p w14:paraId="625C5A1B" w14:textId="77777777" w:rsidR="008E4573" w:rsidRPr="008B68A9" w:rsidRDefault="008E4573" w:rsidP="00045396">
            <w:pPr>
              <w:spacing w:line="240" w:lineRule="auto"/>
              <w:rPr>
                <w:sz w:val="18"/>
                <w:szCs w:val="18"/>
              </w:rPr>
            </w:pPr>
          </w:p>
          <w:p w14:paraId="0BF9B399" w14:textId="77777777" w:rsidR="008E4573" w:rsidRPr="008B68A9" w:rsidRDefault="008E4573" w:rsidP="00045396">
            <w:pPr>
              <w:spacing w:line="240" w:lineRule="auto"/>
              <w:rPr>
                <w:sz w:val="18"/>
                <w:szCs w:val="18"/>
              </w:rPr>
            </w:pPr>
            <w:r w:rsidRPr="008B68A9">
              <w:rPr>
                <w:sz w:val="18"/>
                <w:szCs w:val="18"/>
              </w:rPr>
              <w:t>No short term health improvement but long term social care benefit.</w:t>
            </w:r>
          </w:p>
          <w:p w14:paraId="056BBCBE" w14:textId="77777777" w:rsidR="008E4573" w:rsidRPr="008B68A9" w:rsidRDefault="008E4573" w:rsidP="00045396">
            <w:pPr>
              <w:spacing w:line="240" w:lineRule="auto"/>
              <w:rPr>
                <w:sz w:val="18"/>
                <w:szCs w:val="18"/>
              </w:rPr>
            </w:pPr>
          </w:p>
          <w:p w14:paraId="1134756E" w14:textId="77777777" w:rsidR="008E4573" w:rsidRPr="008B68A9" w:rsidRDefault="008E4573" w:rsidP="00045396">
            <w:pPr>
              <w:spacing w:line="240" w:lineRule="auto"/>
              <w:rPr>
                <w:sz w:val="18"/>
                <w:szCs w:val="18"/>
              </w:rPr>
            </w:pPr>
            <w:r w:rsidRPr="008B68A9">
              <w:rPr>
                <w:sz w:val="18"/>
                <w:szCs w:val="18"/>
              </w:rPr>
              <w:t>Tacit support for marketisation and driving up of standards competitive tendering for PBs.</w:t>
            </w:r>
          </w:p>
          <w:p w14:paraId="2489BD7A" w14:textId="77777777" w:rsidR="008E4573" w:rsidRPr="008B68A9" w:rsidRDefault="008E4573" w:rsidP="00045396">
            <w:pPr>
              <w:spacing w:line="240" w:lineRule="auto"/>
              <w:rPr>
                <w:sz w:val="18"/>
                <w:szCs w:val="18"/>
              </w:rPr>
            </w:pPr>
          </w:p>
          <w:p w14:paraId="5336B3DB" w14:textId="77777777" w:rsidR="008E4573" w:rsidRPr="008B68A9" w:rsidRDefault="008E4573" w:rsidP="00045396">
            <w:pPr>
              <w:spacing w:line="240" w:lineRule="auto"/>
              <w:rPr>
                <w:sz w:val="18"/>
                <w:szCs w:val="18"/>
              </w:rPr>
            </w:pPr>
            <w:r w:rsidRPr="008B68A9">
              <w:rPr>
                <w:sz w:val="18"/>
                <w:szCs w:val="18"/>
              </w:rPr>
              <w:t>Financial and reputational risk taking a part of decision.</w:t>
            </w:r>
          </w:p>
        </w:tc>
        <w:tc>
          <w:tcPr>
            <w:tcW w:w="2083" w:type="dxa"/>
          </w:tcPr>
          <w:p w14:paraId="749EBDC9" w14:textId="77777777" w:rsidR="008E4573" w:rsidRPr="008B68A9" w:rsidRDefault="008E4573" w:rsidP="00045396">
            <w:pPr>
              <w:spacing w:line="240" w:lineRule="auto"/>
              <w:rPr>
                <w:sz w:val="18"/>
                <w:szCs w:val="18"/>
              </w:rPr>
            </w:pPr>
            <w:r w:rsidRPr="008B68A9">
              <w:rPr>
                <w:sz w:val="18"/>
                <w:szCs w:val="18"/>
              </w:rPr>
              <w:lastRenderedPageBreak/>
              <w:t>Thorough, uses framework of Arksey and Kemp, though appropriate.</w:t>
            </w:r>
          </w:p>
          <w:p w14:paraId="08E3B113" w14:textId="77777777" w:rsidR="008E4573" w:rsidRPr="008B68A9" w:rsidRDefault="008E4573" w:rsidP="00045396">
            <w:pPr>
              <w:spacing w:line="240" w:lineRule="auto"/>
              <w:rPr>
                <w:sz w:val="18"/>
                <w:szCs w:val="18"/>
              </w:rPr>
            </w:pPr>
            <w:r w:rsidRPr="008B68A9">
              <w:rPr>
                <w:sz w:val="18"/>
                <w:szCs w:val="18"/>
              </w:rPr>
              <w:t>Very strong presentation of international schemes and their development and features.</w:t>
            </w:r>
          </w:p>
          <w:p w14:paraId="220CCC7E" w14:textId="77777777" w:rsidR="008E4573" w:rsidRPr="008B68A9" w:rsidRDefault="008E4573" w:rsidP="00045396">
            <w:pPr>
              <w:spacing w:line="240" w:lineRule="auto"/>
              <w:rPr>
                <w:sz w:val="18"/>
                <w:szCs w:val="18"/>
              </w:rPr>
            </w:pPr>
          </w:p>
          <w:p w14:paraId="600DC627" w14:textId="77777777" w:rsidR="008E4573" w:rsidRPr="008B68A9" w:rsidRDefault="008E4573" w:rsidP="00045396">
            <w:pPr>
              <w:spacing w:line="240" w:lineRule="auto"/>
              <w:rPr>
                <w:sz w:val="18"/>
                <w:szCs w:val="18"/>
              </w:rPr>
            </w:pPr>
            <w:r w:rsidRPr="008B68A9">
              <w:rPr>
                <w:sz w:val="18"/>
                <w:szCs w:val="18"/>
              </w:rPr>
              <w:t>Highlights that inadequate spend patterns and source make difficult comparison between autonomy and improved health.</w:t>
            </w:r>
          </w:p>
          <w:p w14:paraId="0B77B1D8" w14:textId="77777777" w:rsidR="008E4573" w:rsidRPr="008B68A9" w:rsidRDefault="008E4573" w:rsidP="00045396">
            <w:pPr>
              <w:spacing w:line="240" w:lineRule="auto"/>
              <w:rPr>
                <w:sz w:val="18"/>
                <w:szCs w:val="18"/>
              </w:rPr>
            </w:pPr>
          </w:p>
          <w:p w14:paraId="09EE5F9F" w14:textId="77777777" w:rsidR="008E4573" w:rsidRPr="008B68A9" w:rsidRDefault="008E4573" w:rsidP="00045396">
            <w:pPr>
              <w:spacing w:line="240" w:lineRule="auto"/>
              <w:rPr>
                <w:sz w:val="18"/>
                <w:szCs w:val="18"/>
              </w:rPr>
            </w:pPr>
            <w:r w:rsidRPr="008B68A9">
              <w:rPr>
                <w:sz w:val="18"/>
                <w:szCs w:val="18"/>
              </w:rPr>
              <w:lastRenderedPageBreak/>
              <w:t>Though differences of adequacy, creative approaches and prohibition were well argued.</w:t>
            </w:r>
          </w:p>
          <w:p w14:paraId="18D71A6D" w14:textId="77777777" w:rsidR="008E4573" w:rsidRPr="008B68A9" w:rsidRDefault="008E4573" w:rsidP="00045396">
            <w:pPr>
              <w:spacing w:line="240" w:lineRule="auto"/>
              <w:rPr>
                <w:sz w:val="18"/>
                <w:szCs w:val="18"/>
              </w:rPr>
            </w:pPr>
            <w:r w:rsidRPr="008B68A9">
              <w:rPr>
                <w:sz w:val="18"/>
                <w:szCs w:val="18"/>
              </w:rPr>
              <w:t>Cost effectiveness cited Leadbeater – v. doubtful study</w:t>
            </w:r>
          </w:p>
          <w:p w14:paraId="0F1D7BE7" w14:textId="77777777" w:rsidR="008E4573" w:rsidRPr="008B68A9" w:rsidRDefault="008E4573" w:rsidP="00045396">
            <w:pPr>
              <w:spacing w:line="240" w:lineRule="auto"/>
              <w:rPr>
                <w:sz w:val="18"/>
                <w:szCs w:val="18"/>
              </w:rPr>
            </w:pPr>
            <w:r w:rsidRPr="008B68A9">
              <w:rPr>
                <w:sz w:val="18"/>
                <w:szCs w:val="18"/>
              </w:rPr>
              <w:t>Cites OPPAGA Florida analysis, (see Costlow below).</w:t>
            </w:r>
          </w:p>
        </w:tc>
      </w:tr>
      <w:tr w:rsidR="008E4573" w:rsidRPr="008B68A9" w14:paraId="4F804ED3" w14:textId="77777777" w:rsidTr="00045396">
        <w:tc>
          <w:tcPr>
            <w:tcW w:w="1922" w:type="dxa"/>
          </w:tcPr>
          <w:p w14:paraId="670AC296" w14:textId="77777777" w:rsidR="008E4573" w:rsidRPr="008B68A9" w:rsidRDefault="008E4573" w:rsidP="00045396">
            <w:pPr>
              <w:spacing w:line="240" w:lineRule="auto"/>
              <w:rPr>
                <w:b/>
                <w:sz w:val="18"/>
                <w:szCs w:val="18"/>
              </w:rPr>
            </w:pPr>
            <w:r w:rsidRPr="008B68A9">
              <w:rPr>
                <w:b/>
                <w:sz w:val="18"/>
                <w:szCs w:val="18"/>
              </w:rPr>
              <w:lastRenderedPageBreak/>
              <w:t>Health Foundation 2010</w:t>
            </w:r>
          </w:p>
        </w:tc>
        <w:tc>
          <w:tcPr>
            <w:tcW w:w="1479" w:type="dxa"/>
          </w:tcPr>
          <w:p w14:paraId="22D7ED34" w14:textId="77777777" w:rsidR="008E4573" w:rsidRPr="008B68A9" w:rsidRDefault="008E4573" w:rsidP="00045396">
            <w:pPr>
              <w:spacing w:line="240" w:lineRule="auto"/>
              <w:rPr>
                <w:sz w:val="18"/>
                <w:szCs w:val="18"/>
              </w:rPr>
            </w:pPr>
            <w:r w:rsidRPr="008B68A9">
              <w:rPr>
                <w:sz w:val="18"/>
                <w:szCs w:val="18"/>
              </w:rPr>
              <w:t>Research scan</w:t>
            </w:r>
          </w:p>
        </w:tc>
        <w:tc>
          <w:tcPr>
            <w:tcW w:w="1526" w:type="dxa"/>
          </w:tcPr>
          <w:p w14:paraId="50B3AF45" w14:textId="77777777" w:rsidR="008E4573" w:rsidRPr="008B68A9" w:rsidRDefault="008E4573" w:rsidP="00045396">
            <w:pPr>
              <w:spacing w:line="240" w:lineRule="auto"/>
              <w:rPr>
                <w:sz w:val="18"/>
                <w:szCs w:val="18"/>
              </w:rPr>
            </w:pPr>
            <w:r w:rsidRPr="008B68A9">
              <w:rPr>
                <w:sz w:val="18"/>
                <w:szCs w:val="18"/>
              </w:rPr>
              <w:t>60 articles reviewed</w:t>
            </w:r>
          </w:p>
          <w:p w14:paraId="1857B991" w14:textId="77777777" w:rsidR="008E4573" w:rsidRPr="008B68A9" w:rsidRDefault="008E4573" w:rsidP="00045396">
            <w:pPr>
              <w:spacing w:line="240" w:lineRule="auto"/>
              <w:rPr>
                <w:sz w:val="18"/>
                <w:szCs w:val="18"/>
              </w:rPr>
            </w:pPr>
          </w:p>
        </w:tc>
        <w:tc>
          <w:tcPr>
            <w:tcW w:w="2127" w:type="dxa"/>
          </w:tcPr>
          <w:p w14:paraId="7876BECC" w14:textId="77777777" w:rsidR="008E4573" w:rsidRPr="008B68A9" w:rsidRDefault="008E4573" w:rsidP="00045396">
            <w:pPr>
              <w:spacing w:line="240" w:lineRule="auto"/>
              <w:rPr>
                <w:sz w:val="18"/>
                <w:szCs w:val="18"/>
              </w:rPr>
            </w:pPr>
            <w:r w:rsidRPr="008B68A9">
              <w:rPr>
                <w:sz w:val="18"/>
                <w:szCs w:val="18"/>
              </w:rPr>
              <w:t>Databases: MEDLINE, Ovid, Embase, the Cochrane Library and Controlled Trials Register, Psych Lit, Google Scholar, the WHO library and the Health Management Information Consortium</w:t>
            </w:r>
          </w:p>
        </w:tc>
        <w:tc>
          <w:tcPr>
            <w:tcW w:w="1701" w:type="dxa"/>
          </w:tcPr>
          <w:p w14:paraId="7E82911D" w14:textId="77777777" w:rsidR="008E4573" w:rsidRPr="008B68A9" w:rsidRDefault="008E4573" w:rsidP="00045396">
            <w:pPr>
              <w:spacing w:line="240" w:lineRule="auto"/>
              <w:rPr>
                <w:sz w:val="18"/>
                <w:szCs w:val="18"/>
              </w:rPr>
            </w:pPr>
            <w:r w:rsidRPr="008B68A9">
              <w:rPr>
                <w:sz w:val="18"/>
                <w:szCs w:val="18"/>
              </w:rPr>
              <w:t>Terms:</w:t>
            </w:r>
          </w:p>
          <w:p w14:paraId="72061339" w14:textId="77777777" w:rsidR="008E4573" w:rsidRPr="008B68A9" w:rsidRDefault="008E4573" w:rsidP="00045396">
            <w:pPr>
              <w:spacing w:line="240" w:lineRule="auto"/>
              <w:rPr>
                <w:sz w:val="18"/>
                <w:szCs w:val="18"/>
              </w:rPr>
            </w:pPr>
            <w:r w:rsidRPr="008B68A9">
              <w:rPr>
                <w:sz w:val="18"/>
                <w:szCs w:val="18"/>
              </w:rPr>
              <w:t>‘</w:t>
            </w:r>
            <w:r w:rsidRPr="008B68A9">
              <w:rPr>
                <w:rFonts w:cs="Minion Pro"/>
                <w:color w:val="000000"/>
                <w:sz w:val="18"/>
                <w:szCs w:val="18"/>
              </w:rPr>
              <w:t>personal health budgets, individual budgets, individualised budgets, cash for care and patient held budgets.</w:t>
            </w:r>
          </w:p>
        </w:tc>
        <w:tc>
          <w:tcPr>
            <w:tcW w:w="3445" w:type="dxa"/>
          </w:tcPr>
          <w:p w14:paraId="6E1C5E20" w14:textId="77777777" w:rsidR="008E4573" w:rsidRPr="008B68A9" w:rsidRDefault="008E4573" w:rsidP="00045396">
            <w:pPr>
              <w:spacing w:line="240" w:lineRule="auto"/>
              <w:rPr>
                <w:sz w:val="18"/>
                <w:szCs w:val="18"/>
              </w:rPr>
            </w:pPr>
            <w:r w:rsidRPr="008B68A9">
              <w:rPr>
                <w:sz w:val="18"/>
                <w:szCs w:val="18"/>
              </w:rPr>
              <w:t>‘Paucity of empirical research’</w:t>
            </w:r>
          </w:p>
          <w:p w14:paraId="5153EB88" w14:textId="77777777" w:rsidR="008E4573" w:rsidRPr="008B68A9" w:rsidRDefault="008E4573" w:rsidP="00045396">
            <w:pPr>
              <w:spacing w:line="240" w:lineRule="auto"/>
              <w:rPr>
                <w:sz w:val="18"/>
                <w:szCs w:val="18"/>
              </w:rPr>
            </w:pPr>
            <w:r w:rsidRPr="008B68A9">
              <w:rPr>
                <w:sz w:val="18"/>
                <w:szCs w:val="18"/>
              </w:rPr>
              <w:t>No evidence for improved health outcomes.</w:t>
            </w:r>
          </w:p>
          <w:p w14:paraId="1B7FAEA1" w14:textId="77777777" w:rsidR="008E4573" w:rsidRPr="008B68A9" w:rsidRDefault="008E4573" w:rsidP="00045396">
            <w:pPr>
              <w:spacing w:line="240" w:lineRule="auto"/>
              <w:rPr>
                <w:sz w:val="18"/>
                <w:szCs w:val="18"/>
              </w:rPr>
            </w:pPr>
            <w:r w:rsidRPr="008B68A9">
              <w:rPr>
                <w:sz w:val="18"/>
                <w:szCs w:val="18"/>
              </w:rPr>
              <w:t>Inconclusive evidence for cost reduction.</w:t>
            </w:r>
          </w:p>
          <w:p w14:paraId="0C5B1163" w14:textId="77777777" w:rsidR="008E4573" w:rsidRPr="008B68A9" w:rsidRDefault="008E4573" w:rsidP="00045396">
            <w:pPr>
              <w:spacing w:line="240" w:lineRule="auto"/>
              <w:rPr>
                <w:sz w:val="18"/>
                <w:szCs w:val="18"/>
              </w:rPr>
            </w:pPr>
            <w:r w:rsidRPr="008B68A9">
              <w:rPr>
                <w:sz w:val="18"/>
                <w:szCs w:val="18"/>
              </w:rPr>
              <w:t>Some evidence for perception of increased control and satisfaction.</w:t>
            </w:r>
          </w:p>
          <w:p w14:paraId="1CB6AD9A" w14:textId="77777777" w:rsidR="008E4573" w:rsidRPr="008B68A9" w:rsidRDefault="008E4573" w:rsidP="00045396">
            <w:pPr>
              <w:spacing w:line="240" w:lineRule="auto"/>
              <w:rPr>
                <w:sz w:val="18"/>
                <w:szCs w:val="18"/>
              </w:rPr>
            </w:pPr>
            <w:r w:rsidRPr="008B68A9">
              <w:rPr>
                <w:sz w:val="18"/>
                <w:szCs w:val="18"/>
              </w:rPr>
              <w:t>Most schemes aim for cost control.</w:t>
            </w:r>
          </w:p>
          <w:p w14:paraId="272EADFC" w14:textId="77777777" w:rsidR="008E4573" w:rsidRPr="008B68A9" w:rsidRDefault="008E4573" w:rsidP="00045396">
            <w:pPr>
              <w:spacing w:line="240" w:lineRule="auto"/>
              <w:rPr>
                <w:color w:val="000000"/>
                <w:sz w:val="18"/>
                <w:szCs w:val="18"/>
              </w:rPr>
            </w:pPr>
          </w:p>
        </w:tc>
        <w:tc>
          <w:tcPr>
            <w:tcW w:w="2083" w:type="dxa"/>
          </w:tcPr>
          <w:p w14:paraId="44D56980" w14:textId="77777777" w:rsidR="008E4573" w:rsidRPr="008B68A9" w:rsidRDefault="008E4573" w:rsidP="00045396">
            <w:pPr>
              <w:spacing w:line="240" w:lineRule="auto"/>
              <w:rPr>
                <w:sz w:val="18"/>
                <w:szCs w:val="18"/>
              </w:rPr>
            </w:pPr>
            <w:r w:rsidRPr="008B68A9">
              <w:rPr>
                <w:sz w:val="18"/>
                <w:szCs w:val="18"/>
              </w:rPr>
              <w:t>Claim to have identified 10,000+ papers, looked for highest quality, reviewed 60 – structured template stated, but process not given.</w:t>
            </w:r>
          </w:p>
          <w:p w14:paraId="4A3D1BE1" w14:textId="77777777" w:rsidR="008E4573" w:rsidRPr="008B68A9" w:rsidRDefault="008E4573" w:rsidP="00045396">
            <w:pPr>
              <w:spacing w:line="240" w:lineRule="auto"/>
              <w:rPr>
                <w:sz w:val="18"/>
                <w:szCs w:val="18"/>
              </w:rPr>
            </w:pPr>
            <w:r w:rsidRPr="008B68A9">
              <w:rPr>
                <w:sz w:val="18"/>
                <w:szCs w:val="18"/>
              </w:rPr>
              <w:t>The scan looked for evidence for patient centred care from personal health budgets.</w:t>
            </w:r>
          </w:p>
          <w:p w14:paraId="2563726A" w14:textId="77777777" w:rsidR="008E4573" w:rsidRPr="008B68A9" w:rsidRDefault="008E4573" w:rsidP="00045396">
            <w:pPr>
              <w:spacing w:line="240" w:lineRule="auto"/>
              <w:rPr>
                <w:sz w:val="18"/>
                <w:szCs w:val="18"/>
              </w:rPr>
            </w:pPr>
            <w:r w:rsidRPr="008B68A9">
              <w:rPr>
                <w:sz w:val="18"/>
                <w:szCs w:val="18"/>
              </w:rPr>
              <w:t>Useful references, but weak analysis and poorly written.</w:t>
            </w:r>
          </w:p>
          <w:p w14:paraId="732900A8" w14:textId="77777777" w:rsidR="008E4573" w:rsidRPr="008B68A9" w:rsidRDefault="008E4573" w:rsidP="00045396">
            <w:pPr>
              <w:spacing w:line="240" w:lineRule="auto"/>
              <w:rPr>
                <w:sz w:val="18"/>
                <w:szCs w:val="18"/>
              </w:rPr>
            </w:pPr>
            <w:r w:rsidRPr="008B68A9">
              <w:rPr>
                <w:sz w:val="18"/>
                <w:szCs w:val="18"/>
              </w:rPr>
              <w:t>PHBs, but included much on PBs and IBs in social care.</w:t>
            </w:r>
          </w:p>
          <w:p w14:paraId="070B170F" w14:textId="77777777" w:rsidR="008E4573" w:rsidRPr="008B68A9" w:rsidRDefault="008E4573" w:rsidP="00045396">
            <w:pPr>
              <w:spacing w:line="240" w:lineRule="auto"/>
              <w:rPr>
                <w:sz w:val="18"/>
                <w:szCs w:val="18"/>
              </w:rPr>
            </w:pPr>
            <w:r w:rsidRPr="008B68A9">
              <w:rPr>
                <w:sz w:val="18"/>
                <w:szCs w:val="18"/>
              </w:rPr>
              <w:lastRenderedPageBreak/>
              <w:t>Might suggest why people with MH respond as health and social care blur.</w:t>
            </w:r>
          </w:p>
        </w:tc>
      </w:tr>
      <w:tr w:rsidR="008E4573" w:rsidRPr="008B68A9" w14:paraId="751CAD7C" w14:textId="77777777" w:rsidTr="00045396">
        <w:tc>
          <w:tcPr>
            <w:tcW w:w="1922" w:type="dxa"/>
          </w:tcPr>
          <w:p w14:paraId="085CCD39" w14:textId="77777777" w:rsidR="008E4573" w:rsidRPr="008B68A9" w:rsidRDefault="008E4573" w:rsidP="00045396">
            <w:pPr>
              <w:spacing w:line="240" w:lineRule="auto"/>
              <w:rPr>
                <w:b/>
                <w:sz w:val="18"/>
                <w:szCs w:val="18"/>
              </w:rPr>
            </w:pPr>
            <w:r w:rsidRPr="008B68A9">
              <w:rPr>
                <w:b/>
                <w:sz w:val="18"/>
                <w:szCs w:val="18"/>
              </w:rPr>
              <w:lastRenderedPageBreak/>
              <w:t xml:space="preserve">Ottmann </w:t>
            </w:r>
            <w:r w:rsidRPr="008B68A9">
              <w:rPr>
                <w:b/>
                <w:i/>
                <w:sz w:val="18"/>
                <w:szCs w:val="18"/>
              </w:rPr>
              <w:t>et al.</w:t>
            </w:r>
            <w:r w:rsidRPr="008B68A9">
              <w:rPr>
                <w:b/>
                <w:sz w:val="18"/>
                <w:szCs w:val="18"/>
              </w:rPr>
              <w:t xml:space="preserve"> 2009a</w:t>
            </w:r>
          </w:p>
        </w:tc>
        <w:tc>
          <w:tcPr>
            <w:tcW w:w="1479" w:type="dxa"/>
          </w:tcPr>
          <w:p w14:paraId="6B39ABA4" w14:textId="77777777" w:rsidR="008E4573" w:rsidRPr="008B68A9" w:rsidRDefault="008E4573" w:rsidP="00045396">
            <w:pPr>
              <w:spacing w:line="240" w:lineRule="auto"/>
              <w:rPr>
                <w:sz w:val="18"/>
                <w:szCs w:val="18"/>
              </w:rPr>
            </w:pPr>
            <w:r w:rsidRPr="008B68A9">
              <w:rPr>
                <w:sz w:val="18"/>
                <w:szCs w:val="18"/>
              </w:rPr>
              <w:t>Literature review for older people with complex needs in community services.</w:t>
            </w:r>
          </w:p>
        </w:tc>
        <w:tc>
          <w:tcPr>
            <w:tcW w:w="1526" w:type="dxa"/>
          </w:tcPr>
          <w:p w14:paraId="1E7AABAA" w14:textId="77777777" w:rsidR="008E4573" w:rsidRPr="008B68A9" w:rsidRDefault="008E4573" w:rsidP="00045396">
            <w:pPr>
              <w:spacing w:line="240" w:lineRule="auto"/>
              <w:rPr>
                <w:sz w:val="18"/>
                <w:szCs w:val="18"/>
              </w:rPr>
            </w:pPr>
            <w:r w:rsidRPr="008B68A9">
              <w:rPr>
                <w:sz w:val="18"/>
                <w:szCs w:val="18"/>
              </w:rPr>
              <w:t>Any qualitative research studies. Systematic reviews. Randomised control trials and quasi‐experimental trials.</w:t>
            </w:r>
          </w:p>
          <w:p w14:paraId="6318609D" w14:textId="77777777" w:rsidR="008E4573" w:rsidRPr="008B68A9" w:rsidRDefault="008E4573" w:rsidP="00045396">
            <w:pPr>
              <w:spacing w:line="240" w:lineRule="auto"/>
              <w:rPr>
                <w:sz w:val="18"/>
                <w:szCs w:val="18"/>
              </w:rPr>
            </w:pPr>
            <w:r w:rsidRPr="008B68A9">
              <w:rPr>
                <w:sz w:val="18"/>
                <w:szCs w:val="18"/>
              </w:rPr>
              <w:t>Any other quantitative pertinent studies. Research‐based literature, commentaries. Relevant public documents such as policy papers and guidelines.</w:t>
            </w:r>
          </w:p>
        </w:tc>
        <w:tc>
          <w:tcPr>
            <w:tcW w:w="2127" w:type="dxa"/>
          </w:tcPr>
          <w:p w14:paraId="393F484B" w14:textId="77777777" w:rsidR="008E4573" w:rsidRPr="008B68A9" w:rsidRDefault="008E4573" w:rsidP="00045396">
            <w:pPr>
              <w:spacing w:line="240" w:lineRule="auto"/>
              <w:rPr>
                <w:sz w:val="18"/>
                <w:szCs w:val="18"/>
              </w:rPr>
            </w:pPr>
            <w:r w:rsidRPr="008B68A9">
              <w:rPr>
                <w:sz w:val="18"/>
                <w:szCs w:val="18"/>
              </w:rPr>
              <w:t xml:space="preserve">228 – </w:t>
            </w:r>
          </w:p>
          <w:p w14:paraId="4BC5363E" w14:textId="77777777" w:rsidR="008E4573" w:rsidRPr="008B68A9" w:rsidRDefault="008E4573" w:rsidP="00045396">
            <w:pPr>
              <w:spacing w:line="240" w:lineRule="auto"/>
              <w:rPr>
                <w:sz w:val="18"/>
                <w:szCs w:val="18"/>
              </w:rPr>
            </w:pPr>
            <w:r w:rsidRPr="008B68A9">
              <w:rPr>
                <w:sz w:val="18"/>
                <w:szCs w:val="18"/>
              </w:rPr>
              <w:t>12 categories</w:t>
            </w:r>
          </w:p>
          <w:p w14:paraId="67BECFEC" w14:textId="77777777" w:rsidR="008E4573" w:rsidRPr="008B68A9" w:rsidRDefault="008E4573" w:rsidP="00045396">
            <w:pPr>
              <w:spacing w:line="240" w:lineRule="auto"/>
              <w:rPr>
                <w:sz w:val="18"/>
                <w:szCs w:val="18"/>
              </w:rPr>
            </w:pPr>
            <w:r w:rsidRPr="008B68A9">
              <w:rPr>
                <w:sz w:val="18"/>
                <w:szCs w:val="18"/>
              </w:rPr>
              <w:t>41 papers viewed</w:t>
            </w:r>
          </w:p>
        </w:tc>
        <w:tc>
          <w:tcPr>
            <w:tcW w:w="1701" w:type="dxa"/>
          </w:tcPr>
          <w:p w14:paraId="1E3B840D" w14:textId="77777777" w:rsidR="008E4573" w:rsidRPr="008B68A9" w:rsidRDefault="008E4573" w:rsidP="00045396">
            <w:pPr>
              <w:spacing w:line="240" w:lineRule="auto"/>
              <w:rPr>
                <w:sz w:val="18"/>
                <w:szCs w:val="18"/>
              </w:rPr>
            </w:pPr>
          </w:p>
        </w:tc>
        <w:tc>
          <w:tcPr>
            <w:tcW w:w="3445" w:type="dxa"/>
          </w:tcPr>
          <w:p w14:paraId="6C45AF1A" w14:textId="77777777" w:rsidR="008E4573" w:rsidRPr="008B68A9" w:rsidRDefault="008E4573" w:rsidP="00045396">
            <w:pPr>
              <w:spacing w:line="240" w:lineRule="auto"/>
              <w:rPr>
                <w:sz w:val="18"/>
                <w:szCs w:val="18"/>
              </w:rPr>
            </w:pPr>
          </w:p>
        </w:tc>
        <w:tc>
          <w:tcPr>
            <w:tcW w:w="2083" w:type="dxa"/>
          </w:tcPr>
          <w:p w14:paraId="485B641E" w14:textId="77777777" w:rsidR="008E4573" w:rsidRPr="008B68A9" w:rsidRDefault="008E4573" w:rsidP="00045396">
            <w:pPr>
              <w:spacing w:line="240" w:lineRule="auto"/>
              <w:rPr>
                <w:sz w:val="18"/>
                <w:szCs w:val="18"/>
              </w:rPr>
            </w:pPr>
            <w:r w:rsidRPr="008B68A9">
              <w:rPr>
                <w:sz w:val="18"/>
                <w:szCs w:val="18"/>
              </w:rPr>
              <w:t>Scope of review and search strategy stated</w:t>
            </w:r>
          </w:p>
        </w:tc>
      </w:tr>
      <w:tr w:rsidR="008E4573" w:rsidRPr="008B68A9" w14:paraId="2B28D944" w14:textId="77777777" w:rsidTr="00045396">
        <w:tc>
          <w:tcPr>
            <w:tcW w:w="1922" w:type="dxa"/>
          </w:tcPr>
          <w:p w14:paraId="68385F09" w14:textId="77777777" w:rsidR="008E4573" w:rsidRPr="008B68A9" w:rsidRDefault="008E4573" w:rsidP="00045396">
            <w:pPr>
              <w:spacing w:line="240" w:lineRule="auto"/>
              <w:rPr>
                <w:b/>
                <w:sz w:val="18"/>
                <w:szCs w:val="18"/>
              </w:rPr>
            </w:pPr>
            <w:r w:rsidRPr="008B68A9">
              <w:rPr>
                <w:b/>
                <w:sz w:val="18"/>
                <w:szCs w:val="18"/>
              </w:rPr>
              <w:t xml:space="preserve">Webber </w:t>
            </w:r>
            <w:r w:rsidRPr="008B68A9">
              <w:rPr>
                <w:b/>
                <w:i/>
                <w:sz w:val="18"/>
                <w:szCs w:val="18"/>
              </w:rPr>
              <w:t>et al.</w:t>
            </w:r>
            <w:r w:rsidRPr="008B68A9">
              <w:rPr>
                <w:b/>
                <w:sz w:val="18"/>
                <w:szCs w:val="18"/>
              </w:rPr>
              <w:t xml:space="preserve"> 2014</w:t>
            </w:r>
          </w:p>
        </w:tc>
        <w:tc>
          <w:tcPr>
            <w:tcW w:w="1479" w:type="dxa"/>
          </w:tcPr>
          <w:p w14:paraId="55A2D92D" w14:textId="77777777" w:rsidR="008E4573" w:rsidRPr="008B68A9" w:rsidRDefault="008E4573" w:rsidP="00045396">
            <w:pPr>
              <w:spacing w:line="240" w:lineRule="auto"/>
              <w:rPr>
                <w:sz w:val="18"/>
                <w:szCs w:val="18"/>
              </w:rPr>
            </w:pPr>
            <w:r w:rsidRPr="008B68A9">
              <w:rPr>
                <w:sz w:val="18"/>
                <w:szCs w:val="18"/>
              </w:rPr>
              <w:t>Systematic review</w:t>
            </w:r>
          </w:p>
        </w:tc>
        <w:tc>
          <w:tcPr>
            <w:tcW w:w="1526" w:type="dxa"/>
          </w:tcPr>
          <w:p w14:paraId="63726551" w14:textId="77777777" w:rsidR="008E4573" w:rsidRPr="008B68A9" w:rsidRDefault="008E4573" w:rsidP="00045396">
            <w:pPr>
              <w:spacing w:line="240" w:lineRule="auto"/>
              <w:rPr>
                <w:sz w:val="18"/>
                <w:szCs w:val="18"/>
              </w:rPr>
            </w:pPr>
            <w:r w:rsidRPr="008B68A9">
              <w:rPr>
                <w:sz w:val="18"/>
                <w:szCs w:val="18"/>
              </w:rPr>
              <w:t xml:space="preserve">17,193 At screen 1 title/abstract (n=16,960) 233 potential studies, screen 2 = 218 excluded due to no original data, no MH, no results, not IBs, no service user experience. Final </w:t>
            </w:r>
            <w:r w:rsidRPr="008B68A9">
              <w:rPr>
                <w:sz w:val="18"/>
                <w:szCs w:val="18"/>
              </w:rPr>
              <w:lastRenderedPageBreak/>
              <w:t>result n=15 papers.</w:t>
            </w:r>
          </w:p>
        </w:tc>
        <w:tc>
          <w:tcPr>
            <w:tcW w:w="2127" w:type="dxa"/>
          </w:tcPr>
          <w:p w14:paraId="36A5C9B0" w14:textId="77777777" w:rsidR="008E4573" w:rsidRPr="008B68A9" w:rsidRDefault="008E4573" w:rsidP="00045396">
            <w:pPr>
              <w:spacing w:line="240" w:lineRule="auto"/>
              <w:rPr>
                <w:sz w:val="18"/>
                <w:szCs w:val="18"/>
              </w:rPr>
            </w:pPr>
            <w:r w:rsidRPr="008B68A9">
              <w:rPr>
                <w:sz w:val="18"/>
                <w:szCs w:val="18"/>
              </w:rPr>
              <w:lastRenderedPageBreak/>
              <w:t>“Twenty-eight databases were searched; citation tracking and web searching was used to identify potentially relevant studies; selected social care journals and industry publications were hand-searched to April 2013.” (p.147)</w:t>
            </w:r>
          </w:p>
        </w:tc>
        <w:tc>
          <w:tcPr>
            <w:tcW w:w="1701" w:type="dxa"/>
          </w:tcPr>
          <w:p w14:paraId="1137490B" w14:textId="77777777" w:rsidR="008E4573" w:rsidRPr="008B68A9" w:rsidRDefault="008E4573" w:rsidP="00045396">
            <w:pPr>
              <w:spacing w:line="240" w:lineRule="auto"/>
              <w:rPr>
                <w:sz w:val="18"/>
                <w:szCs w:val="18"/>
              </w:rPr>
            </w:pPr>
            <w:r w:rsidRPr="008B68A9">
              <w:rPr>
                <w:sz w:val="18"/>
                <w:szCs w:val="18"/>
              </w:rPr>
              <w:t>Evidence for Policy and Practice Information, EPPI and Co-ordinating Centre and Social Care Institute for Excellence method</w:t>
            </w:r>
          </w:p>
        </w:tc>
        <w:tc>
          <w:tcPr>
            <w:tcW w:w="3445" w:type="dxa"/>
          </w:tcPr>
          <w:p w14:paraId="10F9F840" w14:textId="77777777" w:rsidR="008E4573" w:rsidRPr="008B68A9" w:rsidRDefault="008E4573" w:rsidP="00045396">
            <w:pPr>
              <w:spacing w:line="240" w:lineRule="auto"/>
              <w:rPr>
                <w:sz w:val="18"/>
                <w:szCs w:val="18"/>
              </w:rPr>
            </w:pPr>
            <w:r w:rsidRPr="008B68A9">
              <w:rPr>
                <w:sz w:val="18"/>
                <w:szCs w:val="18"/>
              </w:rPr>
              <w:t>Budgets increased user satisfaction, choice and sense of autonomy, though most studies MH either a part of a heterogeneous sample and or suffered from methodological weaknesses.</w:t>
            </w:r>
          </w:p>
        </w:tc>
        <w:tc>
          <w:tcPr>
            <w:tcW w:w="2083" w:type="dxa"/>
          </w:tcPr>
          <w:p w14:paraId="60B56D24" w14:textId="77777777" w:rsidR="008E4573" w:rsidRPr="008B68A9" w:rsidRDefault="008E4573" w:rsidP="00045396">
            <w:pPr>
              <w:spacing w:line="240" w:lineRule="auto"/>
              <w:rPr>
                <w:sz w:val="18"/>
                <w:szCs w:val="18"/>
              </w:rPr>
            </w:pPr>
            <w:r w:rsidRPr="008B68A9">
              <w:rPr>
                <w:sz w:val="18"/>
                <w:szCs w:val="18"/>
              </w:rPr>
              <w:t>Mental health specific. Used recognised methods, though adapted for sample inclusion criteria. 6 studies suggest their findings moderate trustworthiness.</w:t>
            </w:r>
          </w:p>
        </w:tc>
      </w:tr>
      <w:tr w:rsidR="008E4573" w:rsidRPr="008B68A9" w14:paraId="230839A5" w14:textId="77777777" w:rsidTr="00045396">
        <w:tc>
          <w:tcPr>
            <w:tcW w:w="1922" w:type="dxa"/>
          </w:tcPr>
          <w:p w14:paraId="5923E1B7" w14:textId="77777777" w:rsidR="008E4573" w:rsidRPr="008B68A9" w:rsidRDefault="008E4573" w:rsidP="00045396">
            <w:pPr>
              <w:spacing w:line="240" w:lineRule="auto"/>
              <w:rPr>
                <w:b/>
                <w:sz w:val="18"/>
                <w:szCs w:val="18"/>
              </w:rPr>
            </w:pPr>
            <w:r w:rsidRPr="008B68A9">
              <w:rPr>
                <w:b/>
                <w:sz w:val="18"/>
                <w:szCs w:val="18"/>
              </w:rPr>
              <w:t>Weiner 2007</w:t>
            </w:r>
          </w:p>
        </w:tc>
        <w:tc>
          <w:tcPr>
            <w:tcW w:w="1479" w:type="dxa"/>
          </w:tcPr>
          <w:p w14:paraId="5097056B" w14:textId="77777777" w:rsidR="008E4573" w:rsidRPr="008B68A9" w:rsidRDefault="008E4573" w:rsidP="00045396">
            <w:pPr>
              <w:spacing w:line="240" w:lineRule="auto"/>
              <w:rPr>
                <w:sz w:val="18"/>
                <w:szCs w:val="18"/>
              </w:rPr>
            </w:pPr>
            <w:r w:rsidRPr="008B68A9">
              <w:rPr>
                <w:sz w:val="18"/>
                <w:szCs w:val="18"/>
              </w:rPr>
              <w:t>Narrative commentary of self-direction international context</w:t>
            </w:r>
          </w:p>
          <w:p w14:paraId="4CB7AED7" w14:textId="77777777" w:rsidR="008E4573" w:rsidRPr="008B68A9" w:rsidRDefault="008E4573" w:rsidP="00045396">
            <w:pPr>
              <w:spacing w:line="240" w:lineRule="auto"/>
              <w:rPr>
                <w:sz w:val="18"/>
                <w:szCs w:val="18"/>
              </w:rPr>
            </w:pPr>
          </w:p>
        </w:tc>
        <w:tc>
          <w:tcPr>
            <w:tcW w:w="1526" w:type="dxa"/>
          </w:tcPr>
          <w:p w14:paraId="3DBB4732"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54A721E1"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2ACB90FA"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5E85914C" w14:textId="77777777" w:rsidR="008E4573" w:rsidRPr="008B68A9" w:rsidRDefault="008E4573" w:rsidP="00045396">
            <w:pPr>
              <w:spacing w:line="240" w:lineRule="auto"/>
              <w:rPr>
                <w:sz w:val="18"/>
                <w:szCs w:val="18"/>
              </w:rPr>
            </w:pPr>
            <w:r w:rsidRPr="008B68A9">
              <w:rPr>
                <w:sz w:val="18"/>
                <w:szCs w:val="18"/>
              </w:rPr>
              <w:t>Overview with no method or search for identification of relevant papers.</w:t>
            </w:r>
          </w:p>
          <w:p w14:paraId="4523FF94" w14:textId="77777777" w:rsidR="008E4573" w:rsidRPr="008B68A9" w:rsidRDefault="008E4573" w:rsidP="00045396">
            <w:pPr>
              <w:spacing w:line="240" w:lineRule="auto"/>
              <w:rPr>
                <w:sz w:val="18"/>
                <w:szCs w:val="18"/>
              </w:rPr>
            </w:pPr>
          </w:p>
          <w:p w14:paraId="1110AAFC" w14:textId="77777777" w:rsidR="008E4573" w:rsidRPr="008B68A9" w:rsidRDefault="008E4573" w:rsidP="00045396">
            <w:pPr>
              <w:spacing w:line="240" w:lineRule="auto"/>
              <w:rPr>
                <w:sz w:val="18"/>
                <w:szCs w:val="18"/>
              </w:rPr>
            </w:pPr>
            <w:r w:rsidRPr="008B68A9">
              <w:rPr>
                <w:sz w:val="18"/>
                <w:szCs w:val="18"/>
              </w:rPr>
              <w:t>Focus on workers’ rights being diminished through individual employment contracts.</w:t>
            </w:r>
          </w:p>
        </w:tc>
        <w:tc>
          <w:tcPr>
            <w:tcW w:w="2083" w:type="dxa"/>
          </w:tcPr>
          <w:p w14:paraId="477C2D55" w14:textId="77777777" w:rsidR="008E4573" w:rsidRPr="008B68A9" w:rsidRDefault="008E4573" w:rsidP="00045396">
            <w:pPr>
              <w:spacing w:line="240" w:lineRule="auto"/>
              <w:rPr>
                <w:sz w:val="18"/>
                <w:szCs w:val="18"/>
              </w:rPr>
            </w:pPr>
            <w:r w:rsidRPr="008B68A9">
              <w:rPr>
                <w:sz w:val="18"/>
                <w:szCs w:val="18"/>
              </w:rPr>
              <w:t>Representative of general principles of personalisation in Europe and US.</w:t>
            </w:r>
          </w:p>
          <w:p w14:paraId="01E40108" w14:textId="77777777" w:rsidR="008E4573" w:rsidRPr="008B68A9" w:rsidRDefault="008E4573" w:rsidP="00045396">
            <w:pPr>
              <w:spacing w:line="240" w:lineRule="auto"/>
              <w:rPr>
                <w:sz w:val="18"/>
                <w:szCs w:val="18"/>
              </w:rPr>
            </w:pPr>
            <w:r w:rsidRPr="008B68A9">
              <w:rPr>
                <w:sz w:val="18"/>
                <w:szCs w:val="18"/>
              </w:rPr>
              <w:t xml:space="preserve">(Links with Independent Living Institute papers Tilly </w:t>
            </w:r>
            <w:r w:rsidRPr="008B68A9">
              <w:rPr>
                <w:i/>
                <w:sz w:val="18"/>
                <w:szCs w:val="18"/>
              </w:rPr>
              <w:t>et al.</w:t>
            </w:r>
            <w:r w:rsidRPr="008B68A9">
              <w:rPr>
                <w:sz w:val="18"/>
                <w:szCs w:val="18"/>
              </w:rPr>
              <w:t xml:space="preserve"> 2000).</w:t>
            </w:r>
          </w:p>
        </w:tc>
      </w:tr>
      <w:tr w:rsidR="008E4573" w:rsidRPr="008B68A9" w14:paraId="0926B9FB" w14:textId="77777777" w:rsidTr="00045396">
        <w:tc>
          <w:tcPr>
            <w:tcW w:w="1922" w:type="dxa"/>
          </w:tcPr>
          <w:p w14:paraId="0D982917" w14:textId="77777777" w:rsidR="008E4573" w:rsidRPr="008B68A9" w:rsidRDefault="008E4573" w:rsidP="00045396">
            <w:pPr>
              <w:spacing w:line="240" w:lineRule="auto"/>
              <w:rPr>
                <w:b/>
                <w:sz w:val="18"/>
                <w:szCs w:val="18"/>
              </w:rPr>
            </w:pPr>
            <w:r w:rsidRPr="008B68A9">
              <w:rPr>
                <w:b/>
                <w:sz w:val="18"/>
                <w:szCs w:val="18"/>
              </w:rPr>
              <w:t>Zamfir 2013</w:t>
            </w:r>
          </w:p>
        </w:tc>
        <w:tc>
          <w:tcPr>
            <w:tcW w:w="1479" w:type="dxa"/>
          </w:tcPr>
          <w:p w14:paraId="216D200A" w14:textId="77777777" w:rsidR="008E4573" w:rsidRPr="008B68A9" w:rsidRDefault="008E4573" w:rsidP="00045396">
            <w:pPr>
              <w:spacing w:line="240" w:lineRule="auto"/>
              <w:rPr>
                <w:sz w:val="18"/>
                <w:szCs w:val="18"/>
              </w:rPr>
            </w:pPr>
            <w:r w:rsidRPr="008B68A9">
              <w:rPr>
                <w:sz w:val="18"/>
                <w:szCs w:val="18"/>
              </w:rPr>
              <w:t>Older adults in social care</w:t>
            </w:r>
          </w:p>
          <w:p w14:paraId="7272DA73" w14:textId="77777777" w:rsidR="008E4573" w:rsidRPr="008B68A9" w:rsidRDefault="008E4573" w:rsidP="00045396">
            <w:pPr>
              <w:spacing w:line="240" w:lineRule="auto"/>
              <w:rPr>
                <w:sz w:val="18"/>
                <w:szCs w:val="18"/>
              </w:rPr>
            </w:pPr>
          </w:p>
        </w:tc>
        <w:tc>
          <w:tcPr>
            <w:tcW w:w="1526" w:type="dxa"/>
          </w:tcPr>
          <w:p w14:paraId="3B335E2C" w14:textId="77777777" w:rsidR="008E4573" w:rsidRPr="008B68A9" w:rsidRDefault="008E4573" w:rsidP="00045396">
            <w:pPr>
              <w:spacing w:line="240" w:lineRule="auto"/>
              <w:rPr>
                <w:sz w:val="18"/>
                <w:szCs w:val="18"/>
              </w:rPr>
            </w:pPr>
            <w:r w:rsidRPr="008B68A9">
              <w:rPr>
                <w:sz w:val="18"/>
                <w:szCs w:val="18"/>
              </w:rPr>
              <w:t>68 documents that met the inclusion criteria (1995-2012).</w:t>
            </w:r>
          </w:p>
        </w:tc>
        <w:tc>
          <w:tcPr>
            <w:tcW w:w="2127" w:type="dxa"/>
          </w:tcPr>
          <w:p w14:paraId="3CB08325" w14:textId="77777777" w:rsidR="008E4573" w:rsidRPr="008B68A9" w:rsidRDefault="008E4573" w:rsidP="00045396">
            <w:pPr>
              <w:spacing w:line="240" w:lineRule="auto"/>
              <w:rPr>
                <w:sz w:val="18"/>
                <w:szCs w:val="18"/>
              </w:rPr>
            </w:pPr>
            <w:r w:rsidRPr="008B68A9">
              <w:rPr>
                <w:sz w:val="18"/>
                <w:szCs w:val="18"/>
              </w:rPr>
              <w:t>Literature review</w:t>
            </w:r>
          </w:p>
          <w:p w14:paraId="5AA3EF04" w14:textId="77777777" w:rsidR="008E4573" w:rsidRPr="008B68A9" w:rsidRDefault="008E4573" w:rsidP="00045396">
            <w:pPr>
              <w:spacing w:line="240" w:lineRule="auto"/>
              <w:rPr>
                <w:sz w:val="18"/>
                <w:szCs w:val="18"/>
              </w:rPr>
            </w:pPr>
            <w:r w:rsidRPr="008B68A9">
              <w:rPr>
                <w:sz w:val="18"/>
                <w:szCs w:val="18"/>
              </w:rPr>
              <w:t>Does not say how literature was selected, method sketchy.</w:t>
            </w:r>
          </w:p>
        </w:tc>
        <w:tc>
          <w:tcPr>
            <w:tcW w:w="1701" w:type="dxa"/>
          </w:tcPr>
          <w:p w14:paraId="5E155EB8" w14:textId="77777777" w:rsidR="008E4573" w:rsidRPr="008B68A9" w:rsidRDefault="008E4573" w:rsidP="00045396">
            <w:pPr>
              <w:spacing w:line="240" w:lineRule="auto"/>
              <w:rPr>
                <w:sz w:val="18"/>
                <w:szCs w:val="18"/>
              </w:rPr>
            </w:pPr>
            <w:r w:rsidRPr="008B68A9">
              <w:rPr>
                <w:sz w:val="18"/>
                <w:szCs w:val="18"/>
              </w:rPr>
              <w:t>Not given</w:t>
            </w:r>
          </w:p>
        </w:tc>
        <w:tc>
          <w:tcPr>
            <w:tcW w:w="3445" w:type="dxa"/>
          </w:tcPr>
          <w:p w14:paraId="74DF92C1" w14:textId="77777777" w:rsidR="008E4573" w:rsidRPr="008B68A9" w:rsidRDefault="008E4573" w:rsidP="00045396">
            <w:pPr>
              <w:spacing w:line="240" w:lineRule="auto"/>
              <w:rPr>
                <w:sz w:val="18"/>
                <w:szCs w:val="18"/>
              </w:rPr>
            </w:pPr>
            <w:r w:rsidRPr="008B68A9">
              <w:rPr>
                <w:sz w:val="18"/>
                <w:szCs w:val="18"/>
              </w:rPr>
              <w:t>Suggests older adults do not take up PBs and do not experience increased wellbeing from PB – though might be a broker challenge.</w:t>
            </w:r>
          </w:p>
        </w:tc>
        <w:tc>
          <w:tcPr>
            <w:tcW w:w="2083" w:type="dxa"/>
          </w:tcPr>
          <w:p w14:paraId="400DF51E" w14:textId="77777777" w:rsidR="008E4573" w:rsidRPr="008B68A9" w:rsidRDefault="008E4573" w:rsidP="00045396">
            <w:pPr>
              <w:spacing w:line="240" w:lineRule="auto"/>
              <w:rPr>
                <w:sz w:val="18"/>
                <w:szCs w:val="18"/>
              </w:rPr>
            </w:pPr>
            <w:r w:rsidRPr="008B68A9">
              <w:rPr>
                <w:sz w:val="18"/>
                <w:szCs w:val="18"/>
              </w:rPr>
              <w:t>English based local authorities.</w:t>
            </w:r>
          </w:p>
          <w:p w14:paraId="7281553D" w14:textId="77777777" w:rsidR="008E4573" w:rsidRPr="008B68A9" w:rsidRDefault="008E4573" w:rsidP="00045396">
            <w:pPr>
              <w:spacing w:line="240" w:lineRule="auto"/>
              <w:rPr>
                <w:sz w:val="18"/>
                <w:szCs w:val="18"/>
              </w:rPr>
            </w:pPr>
            <w:r w:rsidRPr="008B68A9">
              <w:rPr>
                <w:sz w:val="18"/>
                <w:szCs w:val="18"/>
              </w:rPr>
              <w:t>Weak argument.</w:t>
            </w:r>
          </w:p>
          <w:p w14:paraId="66B00117" w14:textId="77777777" w:rsidR="008E4573" w:rsidRPr="008B68A9" w:rsidRDefault="008E4573" w:rsidP="00045396">
            <w:pPr>
              <w:spacing w:line="240" w:lineRule="auto"/>
              <w:rPr>
                <w:sz w:val="18"/>
                <w:szCs w:val="18"/>
              </w:rPr>
            </w:pPr>
            <w:r w:rsidRPr="008B68A9">
              <w:rPr>
                <w:sz w:val="18"/>
                <w:szCs w:val="18"/>
              </w:rPr>
              <w:t>They were then sorted into empirical studies (local and national), literature reviews and government policy and guidance documents</w:t>
            </w:r>
          </w:p>
        </w:tc>
      </w:tr>
      <w:tr w:rsidR="008E4573" w:rsidRPr="008B68A9" w14:paraId="4403F6A4" w14:textId="77777777" w:rsidTr="00045396">
        <w:tc>
          <w:tcPr>
            <w:tcW w:w="14283" w:type="dxa"/>
            <w:gridSpan w:val="7"/>
            <w:shd w:val="clear" w:color="auto" w:fill="000000" w:themeFill="text1"/>
          </w:tcPr>
          <w:p w14:paraId="2DB997DE" w14:textId="77777777" w:rsidR="008E4573" w:rsidRPr="008B68A9" w:rsidRDefault="008E4573" w:rsidP="00045396">
            <w:pPr>
              <w:spacing w:line="240" w:lineRule="auto"/>
              <w:jc w:val="center"/>
              <w:rPr>
                <w:b/>
                <w:sz w:val="18"/>
                <w:szCs w:val="18"/>
              </w:rPr>
            </w:pPr>
            <w:r w:rsidRPr="008B68A9">
              <w:rPr>
                <w:b/>
                <w:sz w:val="18"/>
                <w:szCs w:val="18"/>
              </w:rPr>
              <w:t>UK individual budget studies</w:t>
            </w:r>
          </w:p>
        </w:tc>
      </w:tr>
      <w:tr w:rsidR="008E4573" w:rsidRPr="008B68A9" w14:paraId="532CFAD6" w14:textId="77777777" w:rsidTr="00045396">
        <w:tc>
          <w:tcPr>
            <w:tcW w:w="1922" w:type="dxa"/>
          </w:tcPr>
          <w:p w14:paraId="6719C6FF" w14:textId="5AD50CB8" w:rsidR="008E4573" w:rsidRPr="008B68A9" w:rsidRDefault="008E4573" w:rsidP="00045396">
            <w:pPr>
              <w:spacing w:line="240" w:lineRule="auto"/>
              <w:rPr>
                <w:b/>
                <w:sz w:val="18"/>
                <w:szCs w:val="18"/>
              </w:rPr>
            </w:pPr>
            <w:r w:rsidRPr="008B68A9">
              <w:rPr>
                <w:b/>
                <w:sz w:val="18"/>
                <w:szCs w:val="18"/>
              </w:rPr>
              <w:t xml:space="preserve">Brookes </w:t>
            </w:r>
            <w:r w:rsidRPr="008B68A9">
              <w:rPr>
                <w:b/>
                <w:i/>
                <w:sz w:val="18"/>
                <w:szCs w:val="18"/>
              </w:rPr>
              <w:t>et al.</w:t>
            </w:r>
            <w:r w:rsidR="003B6BDA" w:rsidRPr="008B68A9">
              <w:rPr>
                <w:b/>
                <w:sz w:val="18"/>
                <w:szCs w:val="18"/>
              </w:rPr>
              <w:t xml:space="preserve"> 2013</w:t>
            </w:r>
          </w:p>
        </w:tc>
        <w:tc>
          <w:tcPr>
            <w:tcW w:w="1479" w:type="dxa"/>
          </w:tcPr>
          <w:p w14:paraId="62F4012C" w14:textId="77777777" w:rsidR="008E4573" w:rsidRPr="008B68A9" w:rsidRDefault="008E4573" w:rsidP="00045396">
            <w:pPr>
              <w:spacing w:line="240" w:lineRule="auto"/>
              <w:rPr>
                <w:sz w:val="18"/>
                <w:szCs w:val="18"/>
              </w:rPr>
            </w:pPr>
            <w:r w:rsidRPr="008B68A9">
              <w:rPr>
                <w:sz w:val="18"/>
                <w:szCs w:val="18"/>
              </w:rPr>
              <w:t xml:space="preserve">Scoping study personalisation </w:t>
            </w:r>
          </w:p>
        </w:tc>
        <w:tc>
          <w:tcPr>
            <w:tcW w:w="1526" w:type="dxa"/>
          </w:tcPr>
          <w:p w14:paraId="45DDDB56" w14:textId="77777777" w:rsidR="008E4573" w:rsidRPr="008B68A9" w:rsidRDefault="008E4573" w:rsidP="00045396">
            <w:pPr>
              <w:spacing w:line="240" w:lineRule="auto"/>
              <w:rPr>
                <w:sz w:val="18"/>
                <w:szCs w:val="18"/>
              </w:rPr>
            </w:pPr>
            <w:r w:rsidRPr="008B68A9">
              <w:rPr>
                <w:sz w:val="18"/>
                <w:szCs w:val="18"/>
              </w:rPr>
              <w:t>Service users n-23 (MH n=6).</w:t>
            </w:r>
          </w:p>
          <w:p w14:paraId="6B3450B9" w14:textId="77777777" w:rsidR="008E4573" w:rsidRPr="008B68A9" w:rsidRDefault="008E4573" w:rsidP="00045396">
            <w:pPr>
              <w:spacing w:line="240" w:lineRule="auto"/>
              <w:rPr>
                <w:sz w:val="18"/>
                <w:szCs w:val="18"/>
              </w:rPr>
            </w:pPr>
            <w:r w:rsidRPr="008B68A9">
              <w:rPr>
                <w:sz w:val="18"/>
                <w:szCs w:val="18"/>
              </w:rPr>
              <w:t>In three LAs.</w:t>
            </w:r>
          </w:p>
        </w:tc>
        <w:tc>
          <w:tcPr>
            <w:tcW w:w="2127" w:type="dxa"/>
          </w:tcPr>
          <w:p w14:paraId="5109CB48" w14:textId="77777777" w:rsidR="008E4573" w:rsidRPr="008B68A9" w:rsidRDefault="008E4573" w:rsidP="00045396">
            <w:pPr>
              <w:spacing w:line="240" w:lineRule="auto"/>
              <w:rPr>
                <w:sz w:val="18"/>
                <w:szCs w:val="18"/>
              </w:rPr>
            </w:pPr>
            <w:r w:rsidRPr="008B68A9">
              <w:rPr>
                <w:sz w:val="18"/>
                <w:szCs w:val="18"/>
              </w:rPr>
              <w:t>Stepwise scoping study. Telephone interviews, face to face interviews and focus groups.</w:t>
            </w:r>
          </w:p>
        </w:tc>
        <w:tc>
          <w:tcPr>
            <w:tcW w:w="1701" w:type="dxa"/>
          </w:tcPr>
          <w:p w14:paraId="7FC86F94" w14:textId="77777777" w:rsidR="008E4573" w:rsidRPr="008B68A9" w:rsidRDefault="008E4573" w:rsidP="00045396">
            <w:pPr>
              <w:spacing w:line="240" w:lineRule="auto"/>
              <w:rPr>
                <w:sz w:val="18"/>
                <w:szCs w:val="18"/>
              </w:rPr>
            </w:pPr>
            <w:r w:rsidRPr="008B68A9">
              <w:rPr>
                <w:sz w:val="18"/>
                <w:szCs w:val="18"/>
              </w:rPr>
              <w:t>Descriptive statistical analysis and general inductive approach, stakeholder checks and team discussion.</w:t>
            </w:r>
          </w:p>
        </w:tc>
        <w:tc>
          <w:tcPr>
            <w:tcW w:w="3445" w:type="dxa"/>
          </w:tcPr>
          <w:p w14:paraId="476D8C95" w14:textId="77777777" w:rsidR="008E4573" w:rsidRPr="008B68A9" w:rsidRDefault="008E4573" w:rsidP="00045396">
            <w:pPr>
              <w:spacing w:line="240" w:lineRule="auto"/>
              <w:rPr>
                <w:sz w:val="18"/>
                <w:szCs w:val="18"/>
              </w:rPr>
            </w:pPr>
            <w:r w:rsidRPr="008B68A9">
              <w:rPr>
                <w:sz w:val="18"/>
                <w:szCs w:val="18"/>
              </w:rPr>
              <w:t>One authority use a one-off £300 grant to 150 with mental health problems through a social enterprise if they had been in service five years. * similar to Florida – social spot commissioning.</w:t>
            </w:r>
          </w:p>
          <w:p w14:paraId="50B707DF" w14:textId="77777777" w:rsidR="008E4573" w:rsidRPr="008B68A9" w:rsidRDefault="008E4573" w:rsidP="00045396">
            <w:pPr>
              <w:spacing w:line="240" w:lineRule="auto"/>
              <w:rPr>
                <w:sz w:val="18"/>
                <w:szCs w:val="18"/>
              </w:rPr>
            </w:pPr>
          </w:p>
          <w:p w14:paraId="18B5C464" w14:textId="77777777" w:rsidR="008E4573" w:rsidRPr="008B68A9" w:rsidRDefault="008E4573" w:rsidP="00045396">
            <w:pPr>
              <w:spacing w:line="240" w:lineRule="auto"/>
              <w:rPr>
                <w:sz w:val="18"/>
                <w:szCs w:val="18"/>
              </w:rPr>
            </w:pPr>
            <w:r w:rsidRPr="008B68A9">
              <w:rPr>
                <w:sz w:val="18"/>
                <w:szCs w:val="18"/>
              </w:rPr>
              <w:t>“So called innovations were day centre-led, There was a difference in the perceived progress with personalisation as a way of working and the introduction of PBs, which is one key element in the move to personalise services…</w:t>
            </w:r>
          </w:p>
          <w:p w14:paraId="103BE3A8" w14:textId="77777777" w:rsidR="008E4573" w:rsidRPr="008B68A9" w:rsidRDefault="008E4573" w:rsidP="00045396">
            <w:pPr>
              <w:spacing w:line="240" w:lineRule="auto"/>
              <w:rPr>
                <w:sz w:val="18"/>
                <w:szCs w:val="18"/>
              </w:rPr>
            </w:pPr>
            <w:r w:rsidRPr="008B68A9">
              <w:rPr>
                <w:sz w:val="18"/>
                <w:szCs w:val="18"/>
              </w:rPr>
              <w:t xml:space="preserve">The number of PBs alone also does not indicate whether this led to increased choice and control and improved the </w:t>
            </w:r>
            <w:r w:rsidRPr="008B68A9">
              <w:rPr>
                <w:sz w:val="18"/>
                <w:szCs w:val="18"/>
              </w:rPr>
              <w:lastRenderedPageBreak/>
              <w:t>quality of life for service users and their carers.” (p.99)</w:t>
            </w:r>
          </w:p>
        </w:tc>
        <w:tc>
          <w:tcPr>
            <w:tcW w:w="2083" w:type="dxa"/>
          </w:tcPr>
          <w:p w14:paraId="649967C4" w14:textId="77777777" w:rsidR="008E4573" w:rsidRPr="008B68A9" w:rsidRDefault="008E4573" w:rsidP="00045396">
            <w:pPr>
              <w:spacing w:line="240" w:lineRule="auto"/>
              <w:rPr>
                <w:sz w:val="18"/>
                <w:szCs w:val="18"/>
              </w:rPr>
            </w:pPr>
            <w:r w:rsidRPr="008B68A9">
              <w:rPr>
                <w:sz w:val="18"/>
                <w:szCs w:val="18"/>
              </w:rPr>
              <w:lastRenderedPageBreak/>
              <w:t>Strong structure and rationale for sample selection on basis of LA having made good progress in personalisation.</w:t>
            </w:r>
          </w:p>
          <w:p w14:paraId="6C2EABD5" w14:textId="77777777" w:rsidR="008E4573" w:rsidRPr="008B68A9" w:rsidRDefault="008E4573" w:rsidP="00045396">
            <w:pPr>
              <w:spacing w:line="240" w:lineRule="auto"/>
              <w:rPr>
                <w:sz w:val="18"/>
                <w:szCs w:val="18"/>
              </w:rPr>
            </w:pPr>
          </w:p>
          <w:p w14:paraId="5582FE38" w14:textId="34B5220A" w:rsidR="008E4573" w:rsidRPr="008B68A9" w:rsidRDefault="008E4573" w:rsidP="00045396">
            <w:pPr>
              <w:spacing w:line="240" w:lineRule="auto"/>
              <w:rPr>
                <w:sz w:val="18"/>
                <w:szCs w:val="18"/>
              </w:rPr>
            </w:pPr>
            <w:r w:rsidRPr="008B68A9">
              <w:rPr>
                <w:sz w:val="18"/>
                <w:szCs w:val="18"/>
              </w:rPr>
              <w:t xml:space="preserve">However services were not </w:t>
            </w:r>
            <w:r w:rsidR="00371B44" w:rsidRPr="008B68A9">
              <w:rPr>
                <w:sz w:val="18"/>
                <w:szCs w:val="18"/>
              </w:rPr>
              <w:t>co-production</w:t>
            </w:r>
            <w:r w:rsidRPr="008B68A9">
              <w:rPr>
                <w:sz w:val="18"/>
                <w:szCs w:val="18"/>
              </w:rPr>
              <w:t xml:space="preserve"> and service-led in the main and a mismatch between personalisation and personal budgets. </w:t>
            </w:r>
          </w:p>
          <w:p w14:paraId="1D5F7D4B" w14:textId="77777777" w:rsidR="008E4573" w:rsidRPr="008B68A9" w:rsidRDefault="008E4573" w:rsidP="00045396">
            <w:pPr>
              <w:spacing w:line="240" w:lineRule="auto"/>
              <w:rPr>
                <w:sz w:val="18"/>
                <w:szCs w:val="18"/>
              </w:rPr>
            </w:pPr>
          </w:p>
          <w:p w14:paraId="73565CA4" w14:textId="77777777" w:rsidR="008E4573" w:rsidRPr="008B68A9" w:rsidRDefault="008E4573" w:rsidP="00045396">
            <w:pPr>
              <w:spacing w:line="240" w:lineRule="auto"/>
              <w:rPr>
                <w:sz w:val="18"/>
                <w:szCs w:val="18"/>
              </w:rPr>
            </w:pPr>
            <w:r w:rsidRPr="008B68A9">
              <w:rPr>
                <w:sz w:val="18"/>
                <w:szCs w:val="18"/>
              </w:rPr>
              <w:lastRenderedPageBreak/>
              <w:t>Reminiscent of Smull, meaningless rituals.</w:t>
            </w:r>
          </w:p>
        </w:tc>
      </w:tr>
      <w:tr w:rsidR="008E4573" w:rsidRPr="008B68A9" w14:paraId="5D83FD1A" w14:textId="77777777" w:rsidTr="00045396">
        <w:tc>
          <w:tcPr>
            <w:tcW w:w="1922" w:type="dxa"/>
          </w:tcPr>
          <w:p w14:paraId="7F9FB5EF" w14:textId="77777777" w:rsidR="008E4573" w:rsidRPr="008B68A9" w:rsidRDefault="008E4573" w:rsidP="00045396">
            <w:pPr>
              <w:spacing w:line="240" w:lineRule="auto"/>
              <w:rPr>
                <w:b/>
                <w:sz w:val="18"/>
                <w:szCs w:val="18"/>
              </w:rPr>
            </w:pPr>
            <w:r w:rsidRPr="008B68A9">
              <w:rPr>
                <w:b/>
                <w:sz w:val="18"/>
                <w:szCs w:val="18"/>
              </w:rPr>
              <w:lastRenderedPageBreak/>
              <w:t>Daly and Woolham 2010</w:t>
            </w:r>
          </w:p>
        </w:tc>
        <w:tc>
          <w:tcPr>
            <w:tcW w:w="1479" w:type="dxa"/>
          </w:tcPr>
          <w:p w14:paraId="2D139BFE" w14:textId="77777777" w:rsidR="008E4573" w:rsidRPr="008B68A9" w:rsidRDefault="008E4573" w:rsidP="00045396">
            <w:pPr>
              <w:spacing w:line="240" w:lineRule="auto"/>
              <w:rPr>
                <w:sz w:val="18"/>
                <w:szCs w:val="18"/>
              </w:rPr>
            </w:pPr>
            <w:r w:rsidRPr="008B68A9">
              <w:rPr>
                <w:sz w:val="18"/>
                <w:szCs w:val="18"/>
              </w:rPr>
              <w:t>Study of individual budgets in social care local authority</w:t>
            </w:r>
          </w:p>
        </w:tc>
        <w:tc>
          <w:tcPr>
            <w:tcW w:w="1526" w:type="dxa"/>
          </w:tcPr>
          <w:p w14:paraId="64543703" w14:textId="77777777" w:rsidR="008E4573" w:rsidRPr="008B68A9" w:rsidRDefault="008E4573" w:rsidP="00045396">
            <w:pPr>
              <w:spacing w:line="240" w:lineRule="auto"/>
              <w:rPr>
                <w:sz w:val="18"/>
                <w:szCs w:val="18"/>
              </w:rPr>
            </w:pPr>
            <w:r w:rsidRPr="008B68A9">
              <w:rPr>
                <w:sz w:val="18"/>
                <w:szCs w:val="18"/>
              </w:rPr>
              <w:t>Traditional n=378 (51% response) Budget holders n=180 (59%)</w:t>
            </w:r>
          </w:p>
          <w:p w14:paraId="0DCF62D5" w14:textId="77777777" w:rsidR="008E4573" w:rsidRPr="008B68A9" w:rsidRDefault="008E4573" w:rsidP="00045396">
            <w:pPr>
              <w:spacing w:line="240" w:lineRule="auto"/>
              <w:rPr>
                <w:sz w:val="18"/>
                <w:szCs w:val="18"/>
              </w:rPr>
            </w:pPr>
            <w:r w:rsidRPr="008B68A9">
              <w:rPr>
                <w:sz w:val="18"/>
                <w:szCs w:val="18"/>
              </w:rPr>
              <w:t xml:space="preserve">Older adults </w:t>
            </w:r>
          </w:p>
          <w:p w14:paraId="680F38B4" w14:textId="77777777" w:rsidR="008E4573" w:rsidRPr="008B68A9" w:rsidRDefault="008E4573" w:rsidP="00045396">
            <w:pPr>
              <w:spacing w:line="240" w:lineRule="auto"/>
              <w:rPr>
                <w:sz w:val="18"/>
                <w:szCs w:val="18"/>
              </w:rPr>
            </w:pPr>
            <w:r w:rsidRPr="008B68A9">
              <w:rPr>
                <w:sz w:val="18"/>
                <w:szCs w:val="18"/>
              </w:rPr>
              <w:t>TD n=102 (28%)</w:t>
            </w:r>
          </w:p>
          <w:p w14:paraId="2AFF3B7E" w14:textId="77777777" w:rsidR="008E4573" w:rsidRPr="008B68A9" w:rsidRDefault="008E4573" w:rsidP="00045396">
            <w:pPr>
              <w:spacing w:line="240" w:lineRule="auto"/>
              <w:rPr>
                <w:sz w:val="18"/>
                <w:szCs w:val="18"/>
              </w:rPr>
            </w:pPr>
            <w:r w:rsidRPr="008B68A9">
              <w:rPr>
                <w:sz w:val="18"/>
                <w:szCs w:val="18"/>
              </w:rPr>
              <w:t>BH n=54 (30%)</w:t>
            </w:r>
          </w:p>
          <w:p w14:paraId="1C9A0C0B" w14:textId="77777777" w:rsidR="008E4573" w:rsidRPr="008B68A9" w:rsidRDefault="008E4573" w:rsidP="00045396">
            <w:pPr>
              <w:spacing w:line="240" w:lineRule="auto"/>
              <w:rPr>
                <w:sz w:val="18"/>
                <w:szCs w:val="18"/>
              </w:rPr>
            </w:pPr>
            <w:r w:rsidRPr="008B68A9">
              <w:rPr>
                <w:sz w:val="18"/>
                <w:szCs w:val="18"/>
              </w:rPr>
              <w:t>MH TD n= 32 (6%)</w:t>
            </w:r>
          </w:p>
          <w:p w14:paraId="5CCCCF78" w14:textId="77777777" w:rsidR="008E4573" w:rsidRPr="008B68A9" w:rsidRDefault="008E4573" w:rsidP="00045396">
            <w:pPr>
              <w:spacing w:line="240" w:lineRule="auto"/>
              <w:rPr>
                <w:sz w:val="18"/>
                <w:szCs w:val="18"/>
              </w:rPr>
            </w:pPr>
            <w:r w:rsidRPr="008B68A9">
              <w:rPr>
                <w:sz w:val="18"/>
                <w:szCs w:val="18"/>
              </w:rPr>
              <w:t xml:space="preserve">MH BH n=5 (3%) </w:t>
            </w:r>
          </w:p>
          <w:p w14:paraId="384027C1" w14:textId="77777777" w:rsidR="008E4573" w:rsidRPr="008B68A9" w:rsidRDefault="008E4573" w:rsidP="00045396">
            <w:pPr>
              <w:spacing w:line="240" w:lineRule="auto"/>
              <w:rPr>
                <w:sz w:val="18"/>
                <w:szCs w:val="18"/>
              </w:rPr>
            </w:pPr>
            <w:r w:rsidRPr="008B68A9">
              <w:rPr>
                <w:sz w:val="18"/>
                <w:szCs w:val="18"/>
              </w:rPr>
              <w:t>LD TD n=129 (35%)</w:t>
            </w:r>
          </w:p>
          <w:p w14:paraId="1041E5F1" w14:textId="77777777" w:rsidR="008E4573" w:rsidRPr="008B68A9" w:rsidRDefault="008E4573" w:rsidP="00045396">
            <w:pPr>
              <w:spacing w:line="240" w:lineRule="auto"/>
              <w:rPr>
                <w:sz w:val="18"/>
                <w:szCs w:val="18"/>
              </w:rPr>
            </w:pPr>
            <w:r w:rsidRPr="008B68A9">
              <w:rPr>
                <w:sz w:val="18"/>
                <w:szCs w:val="18"/>
              </w:rPr>
              <w:t>LD BH n=59 (34%)</w:t>
            </w:r>
          </w:p>
          <w:p w14:paraId="4B1F0553" w14:textId="77777777" w:rsidR="008E4573" w:rsidRPr="008B68A9" w:rsidRDefault="008E4573" w:rsidP="00045396">
            <w:pPr>
              <w:spacing w:line="240" w:lineRule="auto"/>
              <w:rPr>
                <w:sz w:val="18"/>
                <w:szCs w:val="18"/>
              </w:rPr>
            </w:pPr>
            <w:r w:rsidRPr="008B68A9">
              <w:rPr>
                <w:sz w:val="18"/>
                <w:szCs w:val="18"/>
              </w:rPr>
              <w:t>PD TD n=117 (32%)</w:t>
            </w:r>
          </w:p>
          <w:p w14:paraId="001C1287" w14:textId="77777777" w:rsidR="008E4573" w:rsidRPr="008B68A9" w:rsidRDefault="008E4573" w:rsidP="00045396">
            <w:pPr>
              <w:spacing w:line="240" w:lineRule="auto"/>
              <w:rPr>
                <w:sz w:val="18"/>
                <w:szCs w:val="18"/>
              </w:rPr>
            </w:pPr>
            <w:r w:rsidRPr="008B68A9">
              <w:rPr>
                <w:sz w:val="18"/>
                <w:szCs w:val="18"/>
              </w:rPr>
              <w:t>PD BH n=62 (34%)</w:t>
            </w:r>
          </w:p>
        </w:tc>
        <w:tc>
          <w:tcPr>
            <w:tcW w:w="2127" w:type="dxa"/>
          </w:tcPr>
          <w:p w14:paraId="4FFF828F" w14:textId="77777777" w:rsidR="008E4573" w:rsidRPr="008B68A9" w:rsidRDefault="008E4573" w:rsidP="00045396">
            <w:pPr>
              <w:spacing w:line="240" w:lineRule="auto"/>
              <w:rPr>
                <w:sz w:val="18"/>
                <w:szCs w:val="18"/>
              </w:rPr>
            </w:pPr>
            <w:r w:rsidRPr="008B68A9">
              <w:rPr>
                <w:sz w:val="18"/>
                <w:szCs w:val="18"/>
              </w:rPr>
              <w:t>Postal questionnaires to PB users and TD service users.</w:t>
            </w:r>
          </w:p>
        </w:tc>
        <w:tc>
          <w:tcPr>
            <w:tcW w:w="1701" w:type="dxa"/>
          </w:tcPr>
          <w:p w14:paraId="184086AA" w14:textId="77777777" w:rsidR="008E4573" w:rsidRPr="008B68A9" w:rsidRDefault="008E4573" w:rsidP="00045396">
            <w:pPr>
              <w:spacing w:line="240" w:lineRule="auto"/>
              <w:rPr>
                <w:sz w:val="18"/>
                <w:szCs w:val="18"/>
              </w:rPr>
            </w:pPr>
            <w:r w:rsidRPr="008B68A9">
              <w:rPr>
                <w:sz w:val="18"/>
                <w:szCs w:val="18"/>
              </w:rPr>
              <w:t>Descriptive account of questionnaire based on In Control 7 Principles (O’Brien 2007).</w:t>
            </w:r>
          </w:p>
        </w:tc>
        <w:tc>
          <w:tcPr>
            <w:tcW w:w="3445" w:type="dxa"/>
          </w:tcPr>
          <w:p w14:paraId="7E7ADA08" w14:textId="77777777" w:rsidR="008E4573" w:rsidRPr="008B68A9" w:rsidRDefault="008E4573" w:rsidP="00045396">
            <w:pPr>
              <w:spacing w:line="240" w:lineRule="auto"/>
              <w:rPr>
                <w:sz w:val="18"/>
                <w:szCs w:val="18"/>
              </w:rPr>
            </w:pPr>
            <w:r w:rsidRPr="008B68A9">
              <w:rPr>
                <w:sz w:val="18"/>
                <w:szCs w:val="18"/>
              </w:rPr>
              <w:t xml:space="preserve">Most groups perceived their satisfaction higher with PBs, little variation between TD and BH groups on a number of issues. </w:t>
            </w:r>
          </w:p>
          <w:p w14:paraId="4A0B608A" w14:textId="77777777" w:rsidR="008E4573" w:rsidRPr="008B68A9" w:rsidRDefault="008E4573" w:rsidP="00045396">
            <w:pPr>
              <w:spacing w:line="240" w:lineRule="auto"/>
              <w:rPr>
                <w:sz w:val="18"/>
                <w:szCs w:val="18"/>
              </w:rPr>
            </w:pPr>
          </w:p>
          <w:p w14:paraId="31835CE2" w14:textId="77777777" w:rsidR="008E4573" w:rsidRPr="008B68A9" w:rsidRDefault="008E4573" w:rsidP="00045396">
            <w:pPr>
              <w:spacing w:line="240" w:lineRule="auto"/>
              <w:rPr>
                <w:sz w:val="18"/>
                <w:szCs w:val="18"/>
              </w:rPr>
            </w:pPr>
            <w:r w:rsidRPr="008B68A9">
              <w:rPr>
                <w:sz w:val="18"/>
                <w:szCs w:val="18"/>
              </w:rPr>
              <w:t xml:space="preserve">Older age adults reported lower satisfaction. </w:t>
            </w:r>
          </w:p>
          <w:p w14:paraId="178F2046" w14:textId="77777777" w:rsidR="008E4573" w:rsidRPr="008B68A9" w:rsidRDefault="008E4573" w:rsidP="00045396">
            <w:pPr>
              <w:spacing w:line="240" w:lineRule="auto"/>
              <w:rPr>
                <w:sz w:val="18"/>
                <w:szCs w:val="18"/>
              </w:rPr>
            </w:pPr>
          </w:p>
          <w:p w14:paraId="68D5CC8F" w14:textId="77777777" w:rsidR="008E4573" w:rsidRPr="008B68A9" w:rsidRDefault="008E4573" w:rsidP="00045396">
            <w:pPr>
              <w:spacing w:line="240" w:lineRule="auto"/>
              <w:rPr>
                <w:sz w:val="18"/>
                <w:szCs w:val="18"/>
              </w:rPr>
            </w:pPr>
            <w:r w:rsidRPr="008B68A9">
              <w:rPr>
                <w:sz w:val="18"/>
                <w:szCs w:val="18"/>
              </w:rPr>
              <w:t>They suggest that through IBs some civil rights may rise, PD, but older people who are less likely to use PBs may be left with a denuded public offer after the market has “cherry picked”.</w:t>
            </w:r>
          </w:p>
        </w:tc>
        <w:tc>
          <w:tcPr>
            <w:tcW w:w="2083" w:type="dxa"/>
          </w:tcPr>
          <w:p w14:paraId="6D156D74" w14:textId="77777777" w:rsidR="008E4573" w:rsidRPr="008B68A9" w:rsidRDefault="008E4573" w:rsidP="00045396">
            <w:pPr>
              <w:spacing w:line="240" w:lineRule="auto"/>
              <w:rPr>
                <w:sz w:val="18"/>
                <w:szCs w:val="18"/>
              </w:rPr>
            </w:pPr>
            <w:r w:rsidRPr="008B68A9">
              <w:rPr>
                <w:sz w:val="18"/>
                <w:szCs w:val="18"/>
              </w:rPr>
              <w:t>Mental health a very small proportion of the sample (37 in total across both groups) Used In Control support planning tenets as guide.</w:t>
            </w:r>
          </w:p>
          <w:p w14:paraId="6A14DD5F" w14:textId="77777777" w:rsidR="008E4573" w:rsidRPr="008B68A9" w:rsidRDefault="008E4573" w:rsidP="00045396">
            <w:pPr>
              <w:spacing w:line="240" w:lineRule="auto"/>
              <w:rPr>
                <w:sz w:val="18"/>
                <w:szCs w:val="18"/>
              </w:rPr>
            </w:pPr>
            <w:r w:rsidRPr="008B68A9">
              <w:rPr>
                <w:sz w:val="18"/>
                <w:szCs w:val="18"/>
              </w:rPr>
              <w:t>Non-standardised questionnaire, unknown not reported.</w:t>
            </w:r>
          </w:p>
          <w:p w14:paraId="3D7D6472" w14:textId="77777777" w:rsidR="008E4573" w:rsidRPr="008B68A9" w:rsidRDefault="008E4573" w:rsidP="00045396">
            <w:pPr>
              <w:spacing w:line="240" w:lineRule="auto"/>
              <w:rPr>
                <w:sz w:val="18"/>
                <w:szCs w:val="18"/>
              </w:rPr>
            </w:pPr>
            <w:r w:rsidRPr="008B68A9">
              <w:rPr>
                <w:sz w:val="18"/>
                <w:szCs w:val="18"/>
              </w:rPr>
              <w:t>No mention of proxy respondents or checks for bias in completion.</w:t>
            </w:r>
          </w:p>
          <w:p w14:paraId="0E834894" w14:textId="77777777" w:rsidR="008E4573" w:rsidRPr="008B68A9" w:rsidRDefault="008E4573" w:rsidP="00045396">
            <w:pPr>
              <w:spacing w:line="240" w:lineRule="auto"/>
              <w:rPr>
                <w:sz w:val="18"/>
                <w:szCs w:val="18"/>
              </w:rPr>
            </w:pPr>
            <w:r w:rsidRPr="008B68A9">
              <w:rPr>
                <w:sz w:val="18"/>
                <w:szCs w:val="18"/>
              </w:rPr>
              <w:t>Although over 50% sample return for both groups, still possibly self-selecting.</w:t>
            </w:r>
          </w:p>
        </w:tc>
      </w:tr>
      <w:tr w:rsidR="008E4573" w:rsidRPr="008B68A9" w14:paraId="5560A915" w14:textId="77777777" w:rsidTr="00045396">
        <w:tc>
          <w:tcPr>
            <w:tcW w:w="1922" w:type="dxa"/>
          </w:tcPr>
          <w:p w14:paraId="2B91B626" w14:textId="77777777" w:rsidR="008E4573" w:rsidRPr="008B68A9" w:rsidRDefault="008E4573" w:rsidP="00045396">
            <w:pPr>
              <w:spacing w:line="240" w:lineRule="auto"/>
              <w:rPr>
                <w:b/>
                <w:sz w:val="18"/>
                <w:szCs w:val="18"/>
              </w:rPr>
            </w:pPr>
            <w:r w:rsidRPr="008B68A9">
              <w:rPr>
                <w:b/>
                <w:sz w:val="18"/>
                <w:szCs w:val="18"/>
              </w:rPr>
              <w:t xml:space="preserve">Forder </w:t>
            </w:r>
            <w:r w:rsidRPr="008B68A9">
              <w:rPr>
                <w:b/>
                <w:i/>
                <w:sz w:val="18"/>
                <w:szCs w:val="18"/>
              </w:rPr>
              <w:t>et al.</w:t>
            </w:r>
            <w:r w:rsidRPr="008B68A9">
              <w:rPr>
                <w:b/>
                <w:sz w:val="18"/>
                <w:szCs w:val="18"/>
              </w:rPr>
              <w:t xml:space="preserve"> 2012</w:t>
            </w:r>
          </w:p>
        </w:tc>
        <w:tc>
          <w:tcPr>
            <w:tcW w:w="1479" w:type="dxa"/>
          </w:tcPr>
          <w:p w14:paraId="10059245" w14:textId="77777777" w:rsidR="008E4573" w:rsidRPr="008B68A9" w:rsidRDefault="008E4573" w:rsidP="00045396">
            <w:pPr>
              <w:spacing w:line="240" w:lineRule="auto"/>
              <w:rPr>
                <w:sz w:val="18"/>
                <w:szCs w:val="18"/>
              </w:rPr>
            </w:pPr>
            <w:r w:rsidRPr="008B68A9">
              <w:rPr>
                <w:sz w:val="18"/>
                <w:szCs w:val="18"/>
              </w:rPr>
              <w:t>Implementation study personal health budgets</w:t>
            </w:r>
          </w:p>
        </w:tc>
        <w:tc>
          <w:tcPr>
            <w:tcW w:w="1526" w:type="dxa"/>
          </w:tcPr>
          <w:p w14:paraId="40C918F7" w14:textId="77777777" w:rsidR="008E4573" w:rsidRPr="008B68A9" w:rsidRDefault="008E4573" w:rsidP="00045396">
            <w:pPr>
              <w:spacing w:line="240" w:lineRule="auto"/>
              <w:rPr>
                <w:rFonts w:cs="Calibri"/>
                <w:sz w:val="18"/>
                <w:szCs w:val="18"/>
              </w:rPr>
            </w:pPr>
            <w:r w:rsidRPr="008B68A9">
              <w:rPr>
                <w:sz w:val="18"/>
                <w:szCs w:val="18"/>
              </w:rPr>
              <w:t>N=</w:t>
            </w:r>
            <w:r w:rsidRPr="008B68A9">
              <w:rPr>
                <w:rFonts w:cs="Calibri"/>
                <w:sz w:val="18"/>
                <w:szCs w:val="18"/>
              </w:rPr>
              <w:t>2,235</w:t>
            </w:r>
          </w:p>
          <w:p w14:paraId="7DCF8289" w14:textId="77777777" w:rsidR="008E4573" w:rsidRPr="008B68A9" w:rsidRDefault="008E4573" w:rsidP="00045396">
            <w:pPr>
              <w:spacing w:line="240" w:lineRule="auto"/>
              <w:rPr>
                <w:sz w:val="18"/>
                <w:szCs w:val="18"/>
              </w:rPr>
            </w:pPr>
            <w:r w:rsidRPr="008B68A9">
              <w:rPr>
                <w:rFonts w:cs="Calibri"/>
                <w:sz w:val="18"/>
                <w:szCs w:val="18"/>
              </w:rPr>
              <w:t>(n=234 MH)</w:t>
            </w:r>
          </w:p>
        </w:tc>
        <w:tc>
          <w:tcPr>
            <w:tcW w:w="2127" w:type="dxa"/>
          </w:tcPr>
          <w:p w14:paraId="1CCFB490" w14:textId="77777777" w:rsidR="008E4573" w:rsidRPr="008B68A9" w:rsidRDefault="008E4573" w:rsidP="00045396">
            <w:pPr>
              <w:spacing w:line="240" w:lineRule="auto"/>
              <w:rPr>
                <w:rFonts w:cs="Calibri"/>
                <w:sz w:val="18"/>
                <w:szCs w:val="18"/>
              </w:rPr>
            </w:pPr>
            <w:r w:rsidRPr="008B68A9">
              <w:rPr>
                <w:rFonts w:cs="Calibri"/>
                <w:sz w:val="18"/>
                <w:szCs w:val="18"/>
              </w:rPr>
              <w:t>Trial / control format</w:t>
            </w:r>
          </w:p>
          <w:p w14:paraId="674EB647" w14:textId="77777777" w:rsidR="008E4573" w:rsidRPr="008B68A9" w:rsidRDefault="008E4573" w:rsidP="00045396">
            <w:pPr>
              <w:spacing w:line="240" w:lineRule="auto"/>
              <w:rPr>
                <w:rFonts w:cs="Calibri"/>
                <w:sz w:val="18"/>
                <w:szCs w:val="18"/>
              </w:rPr>
            </w:pPr>
            <w:r w:rsidRPr="008B68A9">
              <w:rPr>
                <w:rFonts w:cs="Calibri"/>
                <w:sz w:val="18"/>
                <w:szCs w:val="18"/>
              </w:rPr>
              <w:t>Impact indicators included Adult Social Care Outcomes Toolkit</w:t>
            </w:r>
          </w:p>
          <w:p w14:paraId="51B3A3F3" w14:textId="77777777" w:rsidR="008E4573" w:rsidRPr="008B68A9" w:rsidRDefault="008E4573" w:rsidP="00045396">
            <w:pPr>
              <w:spacing w:line="240" w:lineRule="auto"/>
              <w:rPr>
                <w:rFonts w:cs="Calibri"/>
                <w:sz w:val="18"/>
                <w:szCs w:val="18"/>
              </w:rPr>
            </w:pPr>
            <w:r w:rsidRPr="008B68A9">
              <w:rPr>
                <w:rFonts w:cs="Calibri"/>
                <w:sz w:val="18"/>
                <w:szCs w:val="18"/>
              </w:rPr>
              <w:t>EQ-5D</w:t>
            </w:r>
          </w:p>
          <w:p w14:paraId="73A5792A" w14:textId="77777777" w:rsidR="008E4573" w:rsidRPr="008B68A9" w:rsidRDefault="008E4573" w:rsidP="00045396">
            <w:pPr>
              <w:spacing w:line="240" w:lineRule="auto"/>
              <w:rPr>
                <w:rFonts w:cs="Calibri"/>
                <w:sz w:val="18"/>
                <w:szCs w:val="18"/>
              </w:rPr>
            </w:pPr>
            <w:r w:rsidRPr="008B68A9">
              <w:rPr>
                <w:rFonts w:cs="Calibri"/>
                <w:sz w:val="18"/>
                <w:szCs w:val="18"/>
              </w:rPr>
              <w:t>General Health Questionnaire 12 and Brief Psychiatric Rating Scale</w:t>
            </w:r>
          </w:p>
          <w:p w14:paraId="2E2642EF" w14:textId="77777777" w:rsidR="008E4573" w:rsidRPr="008B68A9" w:rsidRDefault="008E4573" w:rsidP="00045396">
            <w:pPr>
              <w:spacing w:line="240" w:lineRule="auto"/>
              <w:rPr>
                <w:rFonts w:cs="Calibri"/>
                <w:sz w:val="18"/>
                <w:szCs w:val="18"/>
              </w:rPr>
            </w:pPr>
            <w:r w:rsidRPr="008B68A9">
              <w:rPr>
                <w:rFonts w:cs="Calibri"/>
                <w:sz w:val="18"/>
                <w:szCs w:val="18"/>
              </w:rPr>
              <w:t>Personalisation Outcomes Evaluation Tool</w:t>
            </w:r>
          </w:p>
          <w:p w14:paraId="0CE29C46" w14:textId="77777777" w:rsidR="008E4573" w:rsidRPr="008B68A9" w:rsidRDefault="008E4573" w:rsidP="00045396">
            <w:pPr>
              <w:spacing w:line="240" w:lineRule="auto"/>
              <w:rPr>
                <w:sz w:val="18"/>
                <w:szCs w:val="18"/>
              </w:rPr>
            </w:pPr>
            <w:r w:rsidRPr="008B68A9">
              <w:rPr>
                <w:rFonts w:cs="Calibri"/>
                <w:sz w:val="18"/>
                <w:szCs w:val="18"/>
              </w:rPr>
              <w:t>HbA1C, FEV1</w:t>
            </w:r>
          </w:p>
        </w:tc>
        <w:tc>
          <w:tcPr>
            <w:tcW w:w="1701" w:type="dxa"/>
          </w:tcPr>
          <w:p w14:paraId="6C91EDE9" w14:textId="77777777" w:rsidR="008E4573" w:rsidRPr="008B68A9" w:rsidRDefault="008E4573" w:rsidP="00045396">
            <w:pPr>
              <w:spacing w:line="240" w:lineRule="auto"/>
              <w:rPr>
                <w:sz w:val="18"/>
                <w:szCs w:val="18"/>
              </w:rPr>
            </w:pPr>
            <w:r w:rsidRPr="008B68A9">
              <w:rPr>
                <w:sz w:val="18"/>
                <w:szCs w:val="18"/>
              </w:rPr>
              <w:t>Interpretive Framework analysis</w:t>
            </w:r>
          </w:p>
          <w:p w14:paraId="35610499" w14:textId="77777777" w:rsidR="008E4573" w:rsidRPr="008B68A9" w:rsidRDefault="008E4573" w:rsidP="00045396">
            <w:pPr>
              <w:spacing w:line="240" w:lineRule="auto"/>
              <w:rPr>
                <w:sz w:val="18"/>
                <w:szCs w:val="18"/>
              </w:rPr>
            </w:pPr>
          </w:p>
        </w:tc>
        <w:tc>
          <w:tcPr>
            <w:tcW w:w="3445" w:type="dxa"/>
          </w:tcPr>
          <w:p w14:paraId="65FA2C49" w14:textId="77777777" w:rsidR="008E4573" w:rsidRPr="008B68A9" w:rsidRDefault="008E4573" w:rsidP="00045396">
            <w:pPr>
              <w:spacing w:line="240" w:lineRule="auto"/>
              <w:rPr>
                <w:sz w:val="18"/>
                <w:szCs w:val="18"/>
              </w:rPr>
            </w:pPr>
            <w:r w:rsidRPr="008B68A9">
              <w:rPr>
                <w:sz w:val="18"/>
                <w:szCs w:val="18"/>
              </w:rPr>
              <w:t>No significant health status change at 12mths.</w:t>
            </w:r>
          </w:p>
          <w:p w14:paraId="4981CA08" w14:textId="77777777" w:rsidR="008E4573" w:rsidRPr="008B68A9" w:rsidRDefault="008E4573" w:rsidP="00045396">
            <w:pPr>
              <w:spacing w:line="240" w:lineRule="auto"/>
              <w:rPr>
                <w:sz w:val="18"/>
                <w:szCs w:val="18"/>
              </w:rPr>
            </w:pPr>
            <w:r w:rsidRPr="008B68A9">
              <w:rPr>
                <w:sz w:val="18"/>
                <w:szCs w:val="18"/>
              </w:rPr>
              <w:t>Larger budgets work best.</w:t>
            </w:r>
          </w:p>
          <w:p w14:paraId="133062C3" w14:textId="77777777" w:rsidR="008E4573" w:rsidRPr="008B68A9" w:rsidRDefault="008E4573" w:rsidP="00045396">
            <w:pPr>
              <w:spacing w:line="240" w:lineRule="auto"/>
              <w:rPr>
                <w:sz w:val="18"/>
                <w:szCs w:val="18"/>
              </w:rPr>
            </w:pPr>
            <w:r w:rsidRPr="008B68A9">
              <w:rPr>
                <w:sz w:val="18"/>
                <w:szCs w:val="18"/>
              </w:rPr>
              <w:t>Higher rates of satisfaction across groups than control.</w:t>
            </w:r>
          </w:p>
          <w:p w14:paraId="42497BC0" w14:textId="77777777" w:rsidR="008E4573" w:rsidRPr="008B68A9" w:rsidRDefault="008E4573" w:rsidP="00045396">
            <w:pPr>
              <w:spacing w:line="240" w:lineRule="auto"/>
              <w:rPr>
                <w:sz w:val="18"/>
                <w:szCs w:val="18"/>
              </w:rPr>
            </w:pPr>
            <w:r w:rsidRPr="008B68A9">
              <w:rPr>
                <w:sz w:val="18"/>
                <w:szCs w:val="18"/>
              </w:rPr>
              <w:t>Configuration, (one of five deployment options), appeared to be important. More transparency better satisfaction.</w:t>
            </w:r>
          </w:p>
          <w:p w14:paraId="181D5556" w14:textId="77777777" w:rsidR="008E4573" w:rsidRPr="008B68A9" w:rsidRDefault="008E4573" w:rsidP="00045396">
            <w:pPr>
              <w:spacing w:line="240" w:lineRule="auto"/>
              <w:rPr>
                <w:sz w:val="18"/>
                <w:szCs w:val="18"/>
              </w:rPr>
            </w:pPr>
            <w:r w:rsidRPr="008B68A9">
              <w:rPr>
                <w:sz w:val="18"/>
                <w:szCs w:val="18"/>
              </w:rPr>
              <w:t>Negative effect re no choice deployment.</w:t>
            </w:r>
          </w:p>
          <w:p w14:paraId="385F7CE4" w14:textId="77777777" w:rsidR="008E4573" w:rsidRPr="008B68A9" w:rsidRDefault="008E4573" w:rsidP="00045396">
            <w:pPr>
              <w:spacing w:line="240" w:lineRule="auto"/>
              <w:rPr>
                <w:sz w:val="18"/>
                <w:szCs w:val="18"/>
              </w:rPr>
            </w:pPr>
            <w:r w:rsidRPr="008B68A9">
              <w:rPr>
                <w:sz w:val="18"/>
                <w:szCs w:val="18"/>
              </w:rPr>
              <w:t>Budget holders used A&amp;E less and GPs too saving £1300 pa though not across whole sample.</w:t>
            </w:r>
          </w:p>
          <w:p w14:paraId="4246F698" w14:textId="77777777" w:rsidR="008E4573" w:rsidRPr="008B68A9" w:rsidRDefault="008E4573" w:rsidP="00045396">
            <w:pPr>
              <w:spacing w:line="240" w:lineRule="auto"/>
              <w:rPr>
                <w:color w:val="000000"/>
                <w:sz w:val="18"/>
                <w:szCs w:val="18"/>
              </w:rPr>
            </w:pPr>
            <w:r w:rsidRPr="008B68A9">
              <w:rPr>
                <w:color w:val="000000"/>
                <w:sz w:val="18"/>
                <w:szCs w:val="18"/>
              </w:rPr>
              <w:t xml:space="preserve">Mean £10,402; max £378,524), over half (53%) of the 1171 budgets allocated were worth less than £1000 per year, and more </w:t>
            </w:r>
            <w:r w:rsidRPr="008B68A9">
              <w:rPr>
                <w:color w:val="000000"/>
                <w:sz w:val="18"/>
                <w:szCs w:val="18"/>
              </w:rPr>
              <w:lastRenderedPageBreak/>
              <w:t>than three quarters (77%) were worth less than £5000 per year.</w:t>
            </w:r>
          </w:p>
          <w:p w14:paraId="376EEECD" w14:textId="77777777" w:rsidR="008E4573" w:rsidRPr="008B68A9" w:rsidRDefault="008E4573" w:rsidP="00045396">
            <w:pPr>
              <w:spacing w:line="240" w:lineRule="auto"/>
              <w:rPr>
                <w:color w:val="000000"/>
                <w:sz w:val="18"/>
                <w:szCs w:val="18"/>
              </w:rPr>
            </w:pPr>
            <w:r w:rsidRPr="008B68A9">
              <w:rPr>
                <w:color w:val="000000"/>
                <w:sz w:val="18"/>
                <w:szCs w:val="18"/>
              </w:rPr>
              <w:t>Facilitate factors include finance departments – designing a clear process to support direct payments – engaging stakeholders to manage the cultural shift required – workforce training – peer support system – understanding of the cost of</w:t>
            </w:r>
            <w:r w:rsidRPr="008B68A9">
              <w:rPr>
                <w:rStyle w:val="apple-converted-space"/>
                <w:color w:val="000000"/>
                <w:sz w:val="18"/>
                <w:szCs w:val="18"/>
              </w:rPr>
              <w:t xml:space="preserve"> </w:t>
            </w:r>
            <w:r w:rsidRPr="008B68A9">
              <w:rPr>
                <w:color w:val="000000"/>
                <w:sz w:val="18"/>
                <w:szCs w:val="18"/>
              </w:rPr>
              <w:t>previous care packages managing double running costs from disaggregation.</w:t>
            </w:r>
          </w:p>
        </w:tc>
        <w:tc>
          <w:tcPr>
            <w:tcW w:w="2083" w:type="dxa"/>
          </w:tcPr>
          <w:p w14:paraId="35CBF030" w14:textId="77777777" w:rsidR="008E4573" w:rsidRPr="008B68A9" w:rsidRDefault="008E4573" w:rsidP="00045396">
            <w:pPr>
              <w:spacing w:line="240" w:lineRule="auto"/>
              <w:rPr>
                <w:sz w:val="18"/>
                <w:szCs w:val="18"/>
              </w:rPr>
            </w:pPr>
            <w:r w:rsidRPr="008B68A9">
              <w:rPr>
                <w:sz w:val="18"/>
                <w:szCs w:val="18"/>
              </w:rPr>
              <w:lastRenderedPageBreak/>
              <w:t>Rigorous RCT. Larger budgets appeared to have greatest effect.</w:t>
            </w:r>
          </w:p>
          <w:p w14:paraId="6BCA2060" w14:textId="77777777" w:rsidR="008E4573" w:rsidRPr="008B68A9" w:rsidRDefault="008E4573" w:rsidP="00045396">
            <w:pPr>
              <w:spacing w:line="240" w:lineRule="auto"/>
              <w:rPr>
                <w:sz w:val="18"/>
                <w:szCs w:val="18"/>
              </w:rPr>
            </w:pPr>
            <w:r w:rsidRPr="008B68A9">
              <w:rPr>
                <w:sz w:val="18"/>
                <w:szCs w:val="18"/>
              </w:rPr>
              <w:t>Small sub group analysis not statistically reliable.</w:t>
            </w:r>
          </w:p>
          <w:p w14:paraId="4448F2E5" w14:textId="77777777" w:rsidR="008E4573" w:rsidRPr="008B68A9" w:rsidRDefault="008E4573" w:rsidP="00045396">
            <w:pPr>
              <w:spacing w:line="240" w:lineRule="auto"/>
              <w:rPr>
                <w:sz w:val="18"/>
                <w:szCs w:val="18"/>
              </w:rPr>
            </w:pPr>
            <w:r w:rsidRPr="008B68A9">
              <w:rPr>
                <w:sz w:val="18"/>
                <w:szCs w:val="18"/>
              </w:rPr>
              <w:t>However PBs were cost effective for people with MH diagnosis.</w:t>
            </w:r>
          </w:p>
          <w:p w14:paraId="3D9B03F2" w14:textId="77777777" w:rsidR="008E4573" w:rsidRPr="008B68A9" w:rsidRDefault="008E4573" w:rsidP="00045396">
            <w:pPr>
              <w:spacing w:line="240" w:lineRule="auto"/>
              <w:rPr>
                <w:sz w:val="18"/>
                <w:szCs w:val="18"/>
              </w:rPr>
            </w:pPr>
          </w:p>
          <w:p w14:paraId="7EF34310" w14:textId="77777777" w:rsidR="008E4573" w:rsidRPr="008B68A9" w:rsidRDefault="008E4573" w:rsidP="00045396">
            <w:pPr>
              <w:spacing w:line="240" w:lineRule="auto"/>
              <w:rPr>
                <w:sz w:val="18"/>
                <w:szCs w:val="18"/>
              </w:rPr>
            </w:pPr>
            <w:r w:rsidRPr="008B68A9">
              <w:rPr>
                <w:sz w:val="18"/>
                <w:szCs w:val="18"/>
              </w:rPr>
              <w:t xml:space="preserve">Most discernible spend was on social care items, leisure, education and non-medical item which raises boundary issues of </w:t>
            </w:r>
            <w:r w:rsidRPr="008B68A9">
              <w:rPr>
                <w:sz w:val="18"/>
                <w:szCs w:val="18"/>
              </w:rPr>
              <w:lastRenderedPageBreak/>
              <w:t>health and social care – redolent of MH.</w:t>
            </w:r>
          </w:p>
        </w:tc>
      </w:tr>
      <w:tr w:rsidR="008E4573" w:rsidRPr="008B68A9" w14:paraId="0CA9F4FF" w14:textId="77777777" w:rsidTr="00045396">
        <w:tc>
          <w:tcPr>
            <w:tcW w:w="1922" w:type="dxa"/>
          </w:tcPr>
          <w:p w14:paraId="78437699" w14:textId="77777777" w:rsidR="008E4573" w:rsidRPr="008B68A9" w:rsidRDefault="008E4573" w:rsidP="00045396">
            <w:pPr>
              <w:spacing w:line="240" w:lineRule="auto"/>
              <w:rPr>
                <w:b/>
                <w:sz w:val="18"/>
                <w:szCs w:val="18"/>
              </w:rPr>
            </w:pPr>
            <w:r w:rsidRPr="008B68A9">
              <w:rPr>
                <w:b/>
                <w:sz w:val="18"/>
                <w:szCs w:val="18"/>
              </w:rPr>
              <w:lastRenderedPageBreak/>
              <w:t xml:space="preserve">Glendinning </w:t>
            </w:r>
            <w:r w:rsidRPr="008B68A9">
              <w:rPr>
                <w:b/>
                <w:i/>
                <w:sz w:val="18"/>
                <w:szCs w:val="18"/>
              </w:rPr>
              <w:t>et al.</w:t>
            </w:r>
            <w:r w:rsidRPr="008B68A9">
              <w:rPr>
                <w:b/>
                <w:sz w:val="18"/>
                <w:szCs w:val="18"/>
              </w:rPr>
              <w:t xml:space="preserve"> 2008</w:t>
            </w:r>
          </w:p>
        </w:tc>
        <w:tc>
          <w:tcPr>
            <w:tcW w:w="1479" w:type="dxa"/>
          </w:tcPr>
          <w:p w14:paraId="4F29C1F8" w14:textId="77777777" w:rsidR="008E4573" w:rsidRPr="008B68A9" w:rsidRDefault="008E4573" w:rsidP="00045396">
            <w:pPr>
              <w:spacing w:line="240" w:lineRule="auto"/>
              <w:rPr>
                <w:sz w:val="18"/>
                <w:szCs w:val="18"/>
              </w:rPr>
            </w:pPr>
            <w:r w:rsidRPr="008B68A9">
              <w:rPr>
                <w:sz w:val="18"/>
                <w:szCs w:val="18"/>
              </w:rPr>
              <w:t>Implementation study personal budgets for social care users in 13 local authorities. LD, older persons, physical impairment and MH formed sample.</w:t>
            </w:r>
          </w:p>
        </w:tc>
        <w:tc>
          <w:tcPr>
            <w:tcW w:w="1526" w:type="dxa"/>
          </w:tcPr>
          <w:p w14:paraId="100320A3" w14:textId="77777777" w:rsidR="008E4573" w:rsidRPr="008B68A9" w:rsidRDefault="008E4573" w:rsidP="00045396">
            <w:pPr>
              <w:spacing w:line="240" w:lineRule="auto"/>
              <w:rPr>
                <w:sz w:val="18"/>
                <w:szCs w:val="18"/>
              </w:rPr>
            </w:pPr>
            <w:r w:rsidRPr="008B68A9">
              <w:rPr>
                <w:sz w:val="18"/>
                <w:szCs w:val="18"/>
              </w:rPr>
              <w:t>959 individuals using budgets, (510 = IB group &amp; 449 = traditional services, learning disabilities n=235, older people n=263, people with physical impairments, n=327. mental health problems = 14% of the overall group, (n=131</w:t>
            </w:r>
          </w:p>
        </w:tc>
        <w:tc>
          <w:tcPr>
            <w:tcW w:w="2127" w:type="dxa"/>
          </w:tcPr>
          <w:p w14:paraId="6307C303" w14:textId="77777777" w:rsidR="008E4573" w:rsidRPr="008B68A9" w:rsidRDefault="008E4573" w:rsidP="00045396">
            <w:pPr>
              <w:spacing w:line="240" w:lineRule="auto"/>
              <w:rPr>
                <w:sz w:val="18"/>
                <w:szCs w:val="18"/>
              </w:rPr>
            </w:pPr>
            <w:r w:rsidRPr="008B68A9">
              <w:rPr>
                <w:sz w:val="18"/>
                <w:szCs w:val="18"/>
              </w:rPr>
              <w:t>Mixed Method large scale RCT 2yr programme</w:t>
            </w:r>
          </w:p>
          <w:p w14:paraId="3BD133F7" w14:textId="77777777" w:rsidR="008E4573" w:rsidRPr="008B68A9" w:rsidRDefault="008E4573" w:rsidP="00045396">
            <w:pPr>
              <w:spacing w:line="240" w:lineRule="auto"/>
              <w:rPr>
                <w:sz w:val="18"/>
                <w:szCs w:val="18"/>
              </w:rPr>
            </w:pPr>
            <w:r w:rsidRPr="008B68A9">
              <w:rPr>
                <w:sz w:val="18"/>
                <w:szCs w:val="18"/>
              </w:rPr>
              <w:t>In-depth interview, questionnaire and standardised measures, (GHQ, BPRS,ASCOT)</w:t>
            </w:r>
          </w:p>
          <w:p w14:paraId="63C35775" w14:textId="77777777" w:rsidR="008E4573" w:rsidRPr="008B68A9" w:rsidRDefault="008E4573" w:rsidP="00045396">
            <w:pPr>
              <w:spacing w:line="240" w:lineRule="auto"/>
              <w:rPr>
                <w:sz w:val="18"/>
                <w:szCs w:val="18"/>
              </w:rPr>
            </w:pPr>
            <w:r w:rsidRPr="008B68A9">
              <w:rPr>
                <w:sz w:val="18"/>
                <w:szCs w:val="18"/>
              </w:rPr>
              <w:t>Realist evaluation methodological framework exploring complexity.</w:t>
            </w:r>
          </w:p>
        </w:tc>
        <w:tc>
          <w:tcPr>
            <w:tcW w:w="1701" w:type="dxa"/>
          </w:tcPr>
          <w:p w14:paraId="57FEFD57" w14:textId="77777777" w:rsidR="008E4573" w:rsidRPr="008B68A9" w:rsidRDefault="008E4573" w:rsidP="00045396">
            <w:pPr>
              <w:spacing w:line="240" w:lineRule="auto"/>
              <w:rPr>
                <w:sz w:val="18"/>
                <w:szCs w:val="18"/>
              </w:rPr>
            </w:pPr>
            <w:r w:rsidRPr="008B68A9">
              <w:rPr>
                <w:sz w:val="18"/>
                <w:szCs w:val="18"/>
              </w:rPr>
              <w:t>Framework analysis interview data</w:t>
            </w:r>
          </w:p>
          <w:p w14:paraId="6C49EAA3" w14:textId="77777777" w:rsidR="008E4573" w:rsidRPr="008B68A9" w:rsidRDefault="008E4573" w:rsidP="00045396">
            <w:pPr>
              <w:spacing w:line="240" w:lineRule="auto"/>
              <w:rPr>
                <w:sz w:val="18"/>
                <w:szCs w:val="18"/>
              </w:rPr>
            </w:pPr>
          </w:p>
        </w:tc>
        <w:tc>
          <w:tcPr>
            <w:tcW w:w="3445" w:type="dxa"/>
          </w:tcPr>
          <w:p w14:paraId="6ABB6EF7" w14:textId="77777777" w:rsidR="008E4573" w:rsidRPr="008B68A9" w:rsidRDefault="008E4573" w:rsidP="00045396">
            <w:pPr>
              <w:spacing w:line="240" w:lineRule="auto"/>
              <w:rPr>
                <w:sz w:val="18"/>
                <w:szCs w:val="18"/>
              </w:rPr>
            </w:pPr>
            <w:r w:rsidRPr="008B68A9">
              <w:rPr>
                <w:sz w:val="18"/>
                <w:szCs w:val="18"/>
              </w:rPr>
              <w:t>IBs generally welcomed by users. Measures show variation in satisfaction. MH and physical impairment the highest. Moderate improvement in psychological wellbeing for people with MH. Older people did not, nor did groups.</w:t>
            </w:r>
          </w:p>
        </w:tc>
        <w:tc>
          <w:tcPr>
            <w:tcW w:w="2083" w:type="dxa"/>
          </w:tcPr>
          <w:p w14:paraId="339CEE65" w14:textId="77777777" w:rsidR="008E4573" w:rsidRPr="008B68A9" w:rsidRDefault="008E4573" w:rsidP="00045396">
            <w:pPr>
              <w:spacing w:line="240" w:lineRule="auto"/>
              <w:rPr>
                <w:sz w:val="18"/>
                <w:szCs w:val="18"/>
              </w:rPr>
            </w:pPr>
            <w:r w:rsidRPr="008B68A9">
              <w:rPr>
                <w:sz w:val="18"/>
                <w:szCs w:val="18"/>
              </w:rPr>
              <w:t xml:space="preserve">Large and complex multi axial though only 14% of sample MH. </w:t>
            </w:r>
          </w:p>
          <w:p w14:paraId="26726B6A" w14:textId="77777777" w:rsidR="008E4573" w:rsidRPr="008B68A9" w:rsidRDefault="008E4573" w:rsidP="00045396">
            <w:pPr>
              <w:spacing w:line="240" w:lineRule="auto"/>
              <w:rPr>
                <w:sz w:val="18"/>
                <w:szCs w:val="18"/>
              </w:rPr>
            </w:pPr>
            <w:r w:rsidRPr="008B68A9">
              <w:rPr>
                <w:sz w:val="18"/>
                <w:szCs w:val="18"/>
              </w:rPr>
              <w:t>Methodologically complex and modified their approaches, (i.e. realist evaluation).</w:t>
            </w:r>
          </w:p>
          <w:p w14:paraId="0E8F895E" w14:textId="77777777" w:rsidR="008E4573" w:rsidRPr="008B68A9" w:rsidRDefault="008E4573" w:rsidP="00045396">
            <w:pPr>
              <w:spacing w:line="240" w:lineRule="auto"/>
              <w:rPr>
                <w:sz w:val="18"/>
                <w:szCs w:val="18"/>
              </w:rPr>
            </w:pPr>
            <w:r w:rsidRPr="008B68A9">
              <w:rPr>
                <w:sz w:val="18"/>
                <w:szCs w:val="18"/>
              </w:rPr>
              <w:t>A strength was the intention to treat principle which ensured refusers were counted in evaluation, avoiding optimistically skewed data.</w:t>
            </w:r>
          </w:p>
          <w:p w14:paraId="3395960B" w14:textId="77777777" w:rsidR="008E4573" w:rsidRPr="008B68A9" w:rsidRDefault="008E4573" w:rsidP="00045396">
            <w:pPr>
              <w:spacing w:line="240" w:lineRule="auto"/>
              <w:rPr>
                <w:sz w:val="18"/>
                <w:szCs w:val="18"/>
              </w:rPr>
            </w:pPr>
            <w:r w:rsidRPr="008B68A9">
              <w:rPr>
                <w:sz w:val="18"/>
                <w:szCs w:val="18"/>
              </w:rPr>
              <w:t>Barriers between social care and health were marked. Bureaucratisation and duplication in assessment and payments were also a problem. A forerunner of what was to come.</w:t>
            </w:r>
          </w:p>
        </w:tc>
      </w:tr>
      <w:tr w:rsidR="008E4573" w:rsidRPr="008B68A9" w14:paraId="3B47DFD9" w14:textId="77777777" w:rsidTr="00045396">
        <w:tc>
          <w:tcPr>
            <w:tcW w:w="1922" w:type="dxa"/>
          </w:tcPr>
          <w:p w14:paraId="6F289BAC" w14:textId="77777777" w:rsidR="008E4573" w:rsidRPr="008B68A9" w:rsidRDefault="008E4573" w:rsidP="00045396">
            <w:pPr>
              <w:spacing w:line="240" w:lineRule="auto"/>
              <w:rPr>
                <w:b/>
                <w:sz w:val="18"/>
                <w:szCs w:val="18"/>
              </w:rPr>
            </w:pPr>
            <w:r w:rsidRPr="008B68A9">
              <w:rPr>
                <w:b/>
                <w:sz w:val="18"/>
                <w:szCs w:val="18"/>
              </w:rPr>
              <w:lastRenderedPageBreak/>
              <w:t xml:space="preserve">Hatton </w:t>
            </w:r>
            <w:r w:rsidRPr="008B68A9">
              <w:rPr>
                <w:b/>
                <w:i/>
                <w:sz w:val="18"/>
                <w:szCs w:val="18"/>
              </w:rPr>
              <w:t>et al.</w:t>
            </w:r>
            <w:r w:rsidRPr="008B68A9">
              <w:rPr>
                <w:b/>
                <w:sz w:val="18"/>
                <w:szCs w:val="18"/>
              </w:rPr>
              <w:t xml:space="preserve"> 2008</w:t>
            </w:r>
          </w:p>
        </w:tc>
        <w:tc>
          <w:tcPr>
            <w:tcW w:w="1479" w:type="dxa"/>
          </w:tcPr>
          <w:p w14:paraId="03E908CE" w14:textId="77777777" w:rsidR="008E4573" w:rsidRPr="008B68A9" w:rsidRDefault="008E4573" w:rsidP="00045396">
            <w:pPr>
              <w:spacing w:line="240" w:lineRule="auto"/>
              <w:rPr>
                <w:sz w:val="18"/>
                <w:szCs w:val="18"/>
              </w:rPr>
            </w:pPr>
            <w:r w:rsidRPr="008B68A9">
              <w:rPr>
                <w:sz w:val="18"/>
                <w:szCs w:val="18"/>
              </w:rPr>
              <w:t>In Control second report</w:t>
            </w:r>
          </w:p>
        </w:tc>
        <w:tc>
          <w:tcPr>
            <w:tcW w:w="1526" w:type="dxa"/>
          </w:tcPr>
          <w:p w14:paraId="1E0368EE" w14:textId="77777777" w:rsidR="008E4573" w:rsidRPr="008B68A9" w:rsidRDefault="008E4573" w:rsidP="00045396">
            <w:pPr>
              <w:spacing w:line="240" w:lineRule="auto"/>
              <w:rPr>
                <w:sz w:val="18"/>
                <w:szCs w:val="18"/>
              </w:rPr>
            </w:pPr>
            <w:r w:rsidRPr="008B68A9">
              <w:rPr>
                <w:sz w:val="18"/>
                <w:szCs w:val="18"/>
              </w:rPr>
              <w:t>196 interviews, (n=proxies 59% for PWLD)</w:t>
            </w:r>
          </w:p>
        </w:tc>
        <w:tc>
          <w:tcPr>
            <w:tcW w:w="2127" w:type="dxa"/>
          </w:tcPr>
          <w:p w14:paraId="03DD3EBE" w14:textId="77777777" w:rsidR="008E4573" w:rsidRPr="008B68A9" w:rsidRDefault="008E4573" w:rsidP="00045396">
            <w:pPr>
              <w:spacing w:line="240" w:lineRule="auto"/>
              <w:rPr>
                <w:sz w:val="18"/>
                <w:szCs w:val="18"/>
              </w:rPr>
            </w:pPr>
          </w:p>
        </w:tc>
        <w:tc>
          <w:tcPr>
            <w:tcW w:w="1701" w:type="dxa"/>
          </w:tcPr>
          <w:p w14:paraId="59BCAF0D" w14:textId="77777777" w:rsidR="008E4573" w:rsidRPr="008B68A9" w:rsidRDefault="008E4573" w:rsidP="00045396">
            <w:pPr>
              <w:spacing w:line="240" w:lineRule="auto"/>
              <w:rPr>
                <w:sz w:val="18"/>
                <w:szCs w:val="18"/>
              </w:rPr>
            </w:pPr>
            <w:r w:rsidRPr="008B68A9">
              <w:rPr>
                <w:sz w:val="18"/>
                <w:szCs w:val="18"/>
              </w:rPr>
              <w:t>SPSS specific non-parametric data</w:t>
            </w:r>
          </w:p>
        </w:tc>
        <w:tc>
          <w:tcPr>
            <w:tcW w:w="3445" w:type="dxa"/>
          </w:tcPr>
          <w:p w14:paraId="3694701F" w14:textId="77777777" w:rsidR="008E4573" w:rsidRPr="008B68A9" w:rsidRDefault="008E4573" w:rsidP="00045396">
            <w:pPr>
              <w:spacing w:line="240" w:lineRule="auto"/>
              <w:rPr>
                <w:sz w:val="18"/>
                <w:szCs w:val="18"/>
              </w:rPr>
            </w:pPr>
            <w:r w:rsidRPr="008B68A9">
              <w:rPr>
                <w:sz w:val="18"/>
                <w:szCs w:val="18"/>
              </w:rPr>
              <w:t>Help to plan widely reported.</w:t>
            </w:r>
          </w:p>
          <w:p w14:paraId="779E2C66" w14:textId="77777777" w:rsidR="008E4573" w:rsidRPr="008B68A9" w:rsidRDefault="008E4573" w:rsidP="00045396">
            <w:pPr>
              <w:spacing w:line="240" w:lineRule="auto"/>
              <w:rPr>
                <w:sz w:val="18"/>
                <w:szCs w:val="18"/>
              </w:rPr>
            </w:pPr>
            <w:r w:rsidRPr="008B68A9">
              <w:rPr>
                <w:sz w:val="18"/>
                <w:szCs w:val="18"/>
              </w:rPr>
              <w:t>Outcomes health and wellbeing no discernible change: quality of life improved: accessing community improved: choice and control improved.</w:t>
            </w:r>
          </w:p>
        </w:tc>
        <w:tc>
          <w:tcPr>
            <w:tcW w:w="2083" w:type="dxa"/>
          </w:tcPr>
          <w:p w14:paraId="0A1A4EC7" w14:textId="77777777" w:rsidR="008E4573" w:rsidRPr="008B68A9" w:rsidRDefault="008E4573" w:rsidP="00045396">
            <w:pPr>
              <w:spacing w:line="240" w:lineRule="auto"/>
              <w:rPr>
                <w:sz w:val="18"/>
                <w:szCs w:val="18"/>
              </w:rPr>
            </w:pPr>
            <w:r w:rsidRPr="008B68A9">
              <w:rPr>
                <w:sz w:val="18"/>
                <w:szCs w:val="18"/>
              </w:rPr>
              <w:t>In Control second report 2005-2007 LD/Older people/physical impairment.</w:t>
            </w:r>
          </w:p>
          <w:p w14:paraId="2E4CD660" w14:textId="77777777" w:rsidR="008E4573" w:rsidRPr="008B68A9" w:rsidRDefault="008E4573" w:rsidP="00045396">
            <w:pPr>
              <w:spacing w:line="240" w:lineRule="auto"/>
              <w:rPr>
                <w:sz w:val="18"/>
                <w:szCs w:val="18"/>
              </w:rPr>
            </w:pPr>
            <w:r w:rsidRPr="008B68A9">
              <w:rPr>
                <w:sz w:val="18"/>
                <w:szCs w:val="18"/>
              </w:rPr>
              <w:t xml:space="preserve">Range of participants from 17 LAs was large (1-76) single authority </w:t>
            </w:r>
          </w:p>
          <w:p w14:paraId="54C8EF8C" w14:textId="77777777" w:rsidR="008E4573" w:rsidRPr="008B68A9" w:rsidRDefault="008E4573" w:rsidP="00045396">
            <w:pPr>
              <w:spacing w:line="240" w:lineRule="auto"/>
              <w:rPr>
                <w:sz w:val="18"/>
                <w:szCs w:val="18"/>
              </w:rPr>
            </w:pPr>
            <w:r w:rsidRPr="008B68A9">
              <w:rPr>
                <w:sz w:val="18"/>
                <w:szCs w:val="18"/>
              </w:rPr>
              <w:t>Small sample.</w:t>
            </w:r>
          </w:p>
          <w:p w14:paraId="3B9AC36C" w14:textId="77777777" w:rsidR="008E4573" w:rsidRPr="008B68A9" w:rsidRDefault="008E4573" w:rsidP="00045396">
            <w:pPr>
              <w:spacing w:line="240" w:lineRule="auto"/>
              <w:rPr>
                <w:sz w:val="18"/>
                <w:szCs w:val="18"/>
              </w:rPr>
            </w:pPr>
          </w:p>
        </w:tc>
      </w:tr>
      <w:tr w:rsidR="008E4573" w:rsidRPr="008B68A9" w14:paraId="56450C20" w14:textId="77777777" w:rsidTr="00045396">
        <w:tc>
          <w:tcPr>
            <w:tcW w:w="1922" w:type="dxa"/>
          </w:tcPr>
          <w:p w14:paraId="4F636AF6" w14:textId="77777777" w:rsidR="008E4573" w:rsidRPr="008B68A9" w:rsidRDefault="008E4573" w:rsidP="00045396">
            <w:pPr>
              <w:spacing w:line="240" w:lineRule="auto"/>
              <w:rPr>
                <w:b/>
                <w:sz w:val="18"/>
                <w:szCs w:val="18"/>
              </w:rPr>
            </w:pPr>
            <w:r w:rsidRPr="008B68A9">
              <w:rPr>
                <w:b/>
                <w:sz w:val="18"/>
                <w:szCs w:val="18"/>
              </w:rPr>
              <w:t>Hatton and Waters 2011</w:t>
            </w:r>
          </w:p>
        </w:tc>
        <w:tc>
          <w:tcPr>
            <w:tcW w:w="1479" w:type="dxa"/>
          </w:tcPr>
          <w:p w14:paraId="340B451F" w14:textId="77777777" w:rsidR="008E4573" w:rsidRPr="008B68A9" w:rsidRDefault="008E4573" w:rsidP="00045396">
            <w:pPr>
              <w:spacing w:line="240" w:lineRule="auto"/>
              <w:rPr>
                <w:sz w:val="18"/>
                <w:szCs w:val="18"/>
              </w:rPr>
            </w:pPr>
            <w:r w:rsidRPr="008B68A9">
              <w:rPr>
                <w:sz w:val="18"/>
                <w:szCs w:val="18"/>
              </w:rPr>
              <w:t>1</w:t>
            </w:r>
            <w:r w:rsidRPr="008B68A9">
              <w:rPr>
                <w:sz w:val="18"/>
                <w:szCs w:val="18"/>
                <w:vertAlign w:val="superscript"/>
              </w:rPr>
              <w:t>st</w:t>
            </w:r>
            <w:r w:rsidRPr="008B68A9">
              <w:rPr>
                <w:sz w:val="18"/>
                <w:szCs w:val="18"/>
              </w:rPr>
              <w:t xml:space="preserve"> POET survey</w:t>
            </w:r>
          </w:p>
          <w:p w14:paraId="2F67835D" w14:textId="77777777" w:rsidR="008E4573" w:rsidRPr="008B68A9" w:rsidRDefault="008E4573" w:rsidP="00045396">
            <w:pPr>
              <w:spacing w:line="240" w:lineRule="auto"/>
              <w:rPr>
                <w:sz w:val="18"/>
                <w:szCs w:val="18"/>
              </w:rPr>
            </w:pPr>
          </w:p>
        </w:tc>
        <w:tc>
          <w:tcPr>
            <w:tcW w:w="1526" w:type="dxa"/>
          </w:tcPr>
          <w:p w14:paraId="31275D1B" w14:textId="77777777" w:rsidR="008E4573" w:rsidRPr="008B68A9" w:rsidRDefault="008E4573" w:rsidP="00045396">
            <w:pPr>
              <w:spacing w:line="240" w:lineRule="auto"/>
              <w:rPr>
                <w:sz w:val="18"/>
                <w:szCs w:val="18"/>
              </w:rPr>
            </w:pPr>
            <w:r w:rsidRPr="008B68A9">
              <w:rPr>
                <w:sz w:val="18"/>
                <w:szCs w:val="18"/>
              </w:rPr>
              <w:t>1114 IB users</w:t>
            </w:r>
          </w:p>
          <w:p w14:paraId="4E2B91E0" w14:textId="77777777" w:rsidR="008E4573" w:rsidRPr="008B68A9" w:rsidRDefault="008E4573" w:rsidP="00045396">
            <w:pPr>
              <w:spacing w:line="240" w:lineRule="auto"/>
              <w:rPr>
                <w:sz w:val="18"/>
                <w:szCs w:val="18"/>
              </w:rPr>
            </w:pPr>
            <w:r w:rsidRPr="008B68A9">
              <w:rPr>
                <w:sz w:val="18"/>
                <w:szCs w:val="18"/>
              </w:rPr>
              <w:t>950 carers</w:t>
            </w:r>
          </w:p>
        </w:tc>
        <w:tc>
          <w:tcPr>
            <w:tcW w:w="2127" w:type="dxa"/>
          </w:tcPr>
          <w:p w14:paraId="788819A2" w14:textId="77777777" w:rsidR="008E4573" w:rsidRPr="008B68A9" w:rsidRDefault="008E4573" w:rsidP="00045396">
            <w:pPr>
              <w:spacing w:line="240" w:lineRule="auto"/>
              <w:rPr>
                <w:sz w:val="18"/>
                <w:szCs w:val="18"/>
              </w:rPr>
            </w:pPr>
            <w:r w:rsidRPr="008B68A9">
              <w:rPr>
                <w:sz w:val="18"/>
                <w:szCs w:val="18"/>
              </w:rPr>
              <w:t>Online survey, optional printed in accessible formats.</w:t>
            </w:r>
          </w:p>
        </w:tc>
        <w:tc>
          <w:tcPr>
            <w:tcW w:w="1701" w:type="dxa"/>
          </w:tcPr>
          <w:p w14:paraId="184C6533" w14:textId="77777777" w:rsidR="008E4573" w:rsidRPr="008B68A9" w:rsidRDefault="008E4573" w:rsidP="00045396">
            <w:pPr>
              <w:spacing w:line="240" w:lineRule="auto"/>
              <w:rPr>
                <w:sz w:val="18"/>
                <w:szCs w:val="18"/>
              </w:rPr>
            </w:pPr>
          </w:p>
        </w:tc>
        <w:tc>
          <w:tcPr>
            <w:tcW w:w="3445" w:type="dxa"/>
          </w:tcPr>
          <w:p w14:paraId="45D3070E" w14:textId="77777777" w:rsidR="008E4573" w:rsidRPr="008B68A9" w:rsidRDefault="008E4573" w:rsidP="00045396">
            <w:pPr>
              <w:spacing w:line="240" w:lineRule="auto"/>
              <w:rPr>
                <w:sz w:val="18"/>
                <w:szCs w:val="18"/>
              </w:rPr>
            </w:pPr>
            <w:r w:rsidRPr="008B68A9">
              <w:rPr>
                <w:sz w:val="18"/>
                <w:szCs w:val="18"/>
              </w:rPr>
              <w:t>Claim majority of IB users perceive support to be in place and are satisfied with budget.</w:t>
            </w:r>
          </w:p>
          <w:p w14:paraId="4BC28066" w14:textId="77777777" w:rsidR="008E4573" w:rsidRPr="008B68A9" w:rsidRDefault="008E4573" w:rsidP="00045396">
            <w:pPr>
              <w:spacing w:line="240" w:lineRule="auto"/>
              <w:rPr>
                <w:sz w:val="18"/>
                <w:szCs w:val="18"/>
              </w:rPr>
            </w:pPr>
            <w:r w:rsidRPr="008B68A9">
              <w:rPr>
                <w:sz w:val="18"/>
                <w:szCs w:val="18"/>
              </w:rPr>
              <w:t>Variation between councils of information and support consumer/carer.</w:t>
            </w:r>
          </w:p>
          <w:p w14:paraId="7FC49A80" w14:textId="77777777" w:rsidR="008E4573" w:rsidRPr="008B68A9" w:rsidRDefault="008E4573" w:rsidP="00045396">
            <w:pPr>
              <w:spacing w:line="240" w:lineRule="auto"/>
              <w:rPr>
                <w:sz w:val="18"/>
                <w:szCs w:val="18"/>
              </w:rPr>
            </w:pPr>
            <w:r w:rsidRPr="008B68A9">
              <w:rPr>
                <w:sz w:val="18"/>
                <w:szCs w:val="18"/>
              </w:rPr>
              <w:t>Most used direct payment into bank account.</w:t>
            </w:r>
          </w:p>
          <w:p w14:paraId="34680B59" w14:textId="77777777" w:rsidR="008E4573" w:rsidRPr="008B68A9" w:rsidRDefault="008E4573" w:rsidP="00045396">
            <w:pPr>
              <w:spacing w:line="240" w:lineRule="auto"/>
              <w:rPr>
                <w:sz w:val="18"/>
                <w:szCs w:val="18"/>
              </w:rPr>
            </w:pPr>
            <w:r w:rsidRPr="008B68A9">
              <w:rPr>
                <w:sz w:val="18"/>
                <w:szCs w:val="18"/>
              </w:rPr>
              <w:t>Most received help in developing support plans. Large variation from whom – families and friends significant.</w:t>
            </w:r>
          </w:p>
          <w:p w14:paraId="16883013" w14:textId="77777777" w:rsidR="008E4573" w:rsidRPr="008B68A9" w:rsidRDefault="008E4573" w:rsidP="00045396">
            <w:pPr>
              <w:spacing w:line="240" w:lineRule="auto"/>
              <w:rPr>
                <w:sz w:val="18"/>
                <w:szCs w:val="18"/>
              </w:rPr>
            </w:pPr>
            <w:r w:rsidRPr="008B68A9">
              <w:rPr>
                <w:sz w:val="18"/>
                <w:szCs w:val="18"/>
              </w:rPr>
              <w:t>Budget setting processes negatively reported.</w:t>
            </w:r>
          </w:p>
          <w:p w14:paraId="01A8FB1C" w14:textId="77777777" w:rsidR="008E4573" w:rsidRPr="008B68A9" w:rsidRDefault="008E4573" w:rsidP="00045396">
            <w:pPr>
              <w:spacing w:line="240" w:lineRule="auto"/>
              <w:rPr>
                <w:sz w:val="18"/>
                <w:szCs w:val="18"/>
              </w:rPr>
            </w:pPr>
            <w:r w:rsidRPr="008B68A9">
              <w:rPr>
                <w:sz w:val="18"/>
                <w:szCs w:val="18"/>
              </w:rPr>
              <w:t>Brokers mainly used by people with physical impairment.</w:t>
            </w:r>
          </w:p>
        </w:tc>
        <w:tc>
          <w:tcPr>
            <w:tcW w:w="2083" w:type="dxa"/>
          </w:tcPr>
          <w:p w14:paraId="4AB6091C" w14:textId="77777777" w:rsidR="008E4573" w:rsidRPr="008B68A9" w:rsidRDefault="008E4573" w:rsidP="00045396">
            <w:pPr>
              <w:spacing w:line="240" w:lineRule="auto"/>
              <w:rPr>
                <w:sz w:val="18"/>
                <w:szCs w:val="18"/>
              </w:rPr>
            </w:pPr>
            <w:r w:rsidRPr="008B68A9">
              <w:rPr>
                <w:sz w:val="18"/>
                <w:szCs w:val="18"/>
              </w:rPr>
              <w:t>Report written very positively. Slasberg takes the POETs survey to task on their reporting.</w:t>
            </w:r>
          </w:p>
          <w:p w14:paraId="448849E5" w14:textId="77777777" w:rsidR="008E4573" w:rsidRPr="008B68A9" w:rsidRDefault="008E4573" w:rsidP="00045396">
            <w:pPr>
              <w:spacing w:line="240" w:lineRule="auto"/>
              <w:rPr>
                <w:sz w:val="18"/>
                <w:szCs w:val="18"/>
              </w:rPr>
            </w:pPr>
          </w:p>
          <w:p w14:paraId="3B87A983" w14:textId="77777777" w:rsidR="008E4573" w:rsidRPr="008B68A9" w:rsidRDefault="008E4573" w:rsidP="00045396">
            <w:pPr>
              <w:spacing w:line="240" w:lineRule="auto"/>
              <w:rPr>
                <w:sz w:val="18"/>
                <w:szCs w:val="18"/>
              </w:rPr>
            </w:pPr>
            <w:r w:rsidRPr="008B68A9">
              <w:rPr>
                <w:sz w:val="18"/>
                <w:szCs w:val="18"/>
              </w:rPr>
              <w:t>Mental health formed around 20% of sample across lifespan.</w:t>
            </w:r>
          </w:p>
          <w:p w14:paraId="5E7EDFD4" w14:textId="77777777" w:rsidR="008E4573" w:rsidRPr="008B68A9" w:rsidRDefault="008E4573" w:rsidP="00045396">
            <w:pPr>
              <w:spacing w:line="240" w:lineRule="auto"/>
              <w:rPr>
                <w:sz w:val="18"/>
                <w:szCs w:val="18"/>
              </w:rPr>
            </w:pPr>
            <w:r w:rsidRPr="008B68A9">
              <w:rPr>
                <w:sz w:val="18"/>
                <w:szCs w:val="18"/>
              </w:rPr>
              <w:t>They claim statistically powered sub-groups, not sure about this.</w:t>
            </w:r>
          </w:p>
          <w:p w14:paraId="445DAEAB" w14:textId="77777777" w:rsidR="008E4573" w:rsidRPr="008B68A9" w:rsidRDefault="008E4573" w:rsidP="00045396">
            <w:pPr>
              <w:spacing w:line="240" w:lineRule="auto"/>
              <w:rPr>
                <w:sz w:val="18"/>
                <w:szCs w:val="18"/>
              </w:rPr>
            </w:pPr>
            <w:r w:rsidRPr="008B68A9">
              <w:rPr>
                <w:sz w:val="18"/>
                <w:szCs w:val="18"/>
              </w:rPr>
              <w:t>MH smallest group n=71</w:t>
            </w:r>
          </w:p>
          <w:p w14:paraId="5902AA1D" w14:textId="77777777" w:rsidR="008E4573" w:rsidRPr="008B68A9" w:rsidRDefault="008E4573" w:rsidP="00045396">
            <w:pPr>
              <w:spacing w:line="240" w:lineRule="auto"/>
              <w:rPr>
                <w:sz w:val="18"/>
                <w:szCs w:val="18"/>
              </w:rPr>
            </w:pPr>
            <w:r w:rsidRPr="008B68A9">
              <w:rPr>
                <w:sz w:val="18"/>
                <w:szCs w:val="18"/>
              </w:rPr>
              <w:t>Variation in who provided support – re brokerage.</w:t>
            </w:r>
          </w:p>
        </w:tc>
      </w:tr>
      <w:tr w:rsidR="008E4573" w:rsidRPr="008B68A9" w14:paraId="1E07C288" w14:textId="77777777" w:rsidTr="00045396">
        <w:tc>
          <w:tcPr>
            <w:tcW w:w="1922" w:type="dxa"/>
          </w:tcPr>
          <w:p w14:paraId="31EF0F8D" w14:textId="77777777" w:rsidR="008E4573" w:rsidRPr="008B68A9" w:rsidRDefault="008E4573" w:rsidP="00045396">
            <w:pPr>
              <w:spacing w:line="240" w:lineRule="auto"/>
              <w:rPr>
                <w:b/>
                <w:sz w:val="18"/>
                <w:szCs w:val="18"/>
              </w:rPr>
            </w:pPr>
          </w:p>
        </w:tc>
        <w:tc>
          <w:tcPr>
            <w:tcW w:w="1479" w:type="dxa"/>
          </w:tcPr>
          <w:p w14:paraId="3B346B97" w14:textId="77777777" w:rsidR="008E4573" w:rsidRPr="008B68A9" w:rsidRDefault="008E4573" w:rsidP="00045396">
            <w:pPr>
              <w:spacing w:line="240" w:lineRule="auto"/>
              <w:rPr>
                <w:sz w:val="18"/>
                <w:szCs w:val="18"/>
              </w:rPr>
            </w:pPr>
          </w:p>
        </w:tc>
        <w:tc>
          <w:tcPr>
            <w:tcW w:w="1526" w:type="dxa"/>
          </w:tcPr>
          <w:p w14:paraId="651051C0" w14:textId="77777777" w:rsidR="008E4573" w:rsidRPr="008B68A9" w:rsidRDefault="008E4573" w:rsidP="00045396">
            <w:pPr>
              <w:spacing w:line="240" w:lineRule="auto"/>
              <w:rPr>
                <w:sz w:val="18"/>
                <w:szCs w:val="18"/>
              </w:rPr>
            </w:pPr>
          </w:p>
        </w:tc>
        <w:tc>
          <w:tcPr>
            <w:tcW w:w="2127" w:type="dxa"/>
          </w:tcPr>
          <w:p w14:paraId="3E1D210B" w14:textId="77777777" w:rsidR="008E4573" w:rsidRPr="008B68A9" w:rsidRDefault="008E4573" w:rsidP="00045396">
            <w:pPr>
              <w:spacing w:line="240" w:lineRule="auto"/>
              <w:rPr>
                <w:sz w:val="18"/>
                <w:szCs w:val="18"/>
              </w:rPr>
            </w:pPr>
          </w:p>
        </w:tc>
        <w:tc>
          <w:tcPr>
            <w:tcW w:w="1701" w:type="dxa"/>
          </w:tcPr>
          <w:p w14:paraId="7E898B38" w14:textId="77777777" w:rsidR="008E4573" w:rsidRPr="008B68A9" w:rsidRDefault="008E4573" w:rsidP="00045396">
            <w:pPr>
              <w:spacing w:line="240" w:lineRule="auto"/>
              <w:rPr>
                <w:sz w:val="18"/>
                <w:szCs w:val="18"/>
              </w:rPr>
            </w:pPr>
          </w:p>
        </w:tc>
        <w:tc>
          <w:tcPr>
            <w:tcW w:w="3445" w:type="dxa"/>
          </w:tcPr>
          <w:p w14:paraId="7DAED694" w14:textId="77777777" w:rsidR="008E4573" w:rsidRPr="008B68A9" w:rsidRDefault="008E4573" w:rsidP="00045396">
            <w:pPr>
              <w:spacing w:line="240" w:lineRule="auto"/>
              <w:rPr>
                <w:sz w:val="18"/>
                <w:szCs w:val="18"/>
              </w:rPr>
            </w:pPr>
          </w:p>
        </w:tc>
        <w:tc>
          <w:tcPr>
            <w:tcW w:w="2083" w:type="dxa"/>
          </w:tcPr>
          <w:p w14:paraId="376AFA0E" w14:textId="77777777" w:rsidR="008E4573" w:rsidRPr="008B68A9" w:rsidRDefault="008E4573" w:rsidP="00045396">
            <w:pPr>
              <w:spacing w:line="240" w:lineRule="auto"/>
              <w:rPr>
                <w:sz w:val="18"/>
                <w:szCs w:val="18"/>
              </w:rPr>
            </w:pPr>
          </w:p>
        </w:tc>
      </w:tr>
      <w:tr w:rsidR="008E4573" w:rsidRPr="008B68A9" w14:paraId="5E778EC5" w14:textId="77777777" w:rsidTr="00045396">
        <w:tc>
          <w:tcPr>
            <w:tcW w:w="1922" w:type="dxa"/>
          </w:tcPr>
          <w:p w14:paraId="2ABE8DE9" w14:textId="77777777" w:rsidR="008E4573" w:rsidRPr="008B68A9" w:rsidRDefault="008E4573" w:rsidP="00045396">
            <w:pPr>
              <w:spacing w:line="240" w:lineRule="auto"/>
              <w:rPr>
                <w:b/>
                <w:sz w:val="18"/>
                <w:szCs w:val="18"/>
              </w:rPr>
            </w:pPr>
            <w:r w:rsidRPr="008B68A9">
              <w:rPr>
                <w:b/>
                <w:sz w:val="18"/>
                <w:szCs w:val="18"/>
              </w:rPr>
              <w:t>Hatton and Waters 2013</w:t>
            </w:r>
          </w:p>
        </w:tc>
        <w:tc>
          <w:tcPr>
            <w:tcW w:w="1479" w:type="dxa"/>
          </w:tcPr>
          <w:p w14:paraId="6B56E774" w14:textId="77777777" w:rsidR="008E4573" w:rsidRPr="008B68A9" w:rsidRDefault="008E4573" w:rsidP="00045396">
            <w:pPr>
              <w:spacing w:line="240" w:lineRule="auto"/>
              <w:rPr>
                <w:sz w:val="18"/>
                <w:szCs w:val="18"/>
              </w:rPr>
            </w:pPr>
            <w:r w:rsidRPr="008B68A9">
              <w:rPr>
                <w:sz w:val="18"/>
                <w:szCs w:val="18"/>
              </w:rPr>
              <w:t>2</w:t>
            </w:r>
            <w:r w:rsidRPr="008B68A9">
              <w:rPr>
                <w:sz w:val="18"/>
                <w:szCs w:val="18"/>
                <w:vertAlign w:val="superscript"/>
              </w:rPr>
              <w:t>nd</w:t>
            </w:r>
            <w:r w:rsidRPr="008B68A9">
              <w:rPr>
                <w:sz w:val="18"/>
                <w:szCs w:val="18"/>
              </w:rPr>
              <w:t xml:space="preserve"> POET survey</w:t>
            </w:r>
          </w:p>
          <w:p w14:paraId="7FFA35BD" w14:textId="77777777" w:rsidR="008E4573" w:rsidRPr="008B68A9" w:rsidRDefault="008E4573" w:rsidP="00045396">
            <w:pPr>
              <w:spacing w:line="240" w:lineRule="auto"/>
              <w:rPr>
                <w:sz w:val="18"/>
                <w:szCs w:val="18"/>
              </w:rPr>
            </w:pPr>
            <w:r w:rsidRPr="008B68A9">
              <w:rPr>
                <w:sz w:val="18"/>
                <w:szCs w:val="18"/>
              </w:rPr>
              <w:t>People using social care IBs or carers</w:t>
            </w:r>
          </w:p>
        </w:tc>
        <w:tc>
          <w:tcPr>
            <w:tcW w:w="1526" w:type="dxa"/>
          </w:tcPr>
          <w:p w14:paraId="3CEC8361" w14:textId="77777777" w:rsidR="008E4573" w:rsidRPr="008B68A9" w:rsidRDefault="008E4573" w:rsidP="00045396">
            <w:pPr>
              <w:spacing w:line="240" w:lineRule="auto"/>
              <w:rPr>
                <w:sz w:val="18"/>
                <w:szCs w:val="18"/>
              </w:rPr>
            </w:pPr>
            <w:r w:rsidRPr="008B68A9">
              <w:rPr>
                <w:sz w:val="18"/>
                <w:szCs w:val="18"/>
              </w:rPr>
              <w:t>2,022 IB users</w:t>
            </w:r>
          </w:p>
          <w:p w14:paraId="5878F37C" w14:textId="77777777" w:rsidR="008E4573" w:rsidRPr="008B68A9" w:rsidRDefault="008E4573" w:rsidP="00045396">
            <w:pPr>
              <w:spacing w:line="240" w:lineRule="auto"/>
              <w:rPr>
                <w:sz w:val="18"/>
                <w:szCs w:val="18"/>
              </w:rPr>
            </w:pPr>
            <w:r w:rsidRPr="008B68A9">
              <w:rPr>
                <w:sz w:val="18"/>
                <w:szCs w:val="18"/>
              </w:rPr>
              <w:t>1386 carers</w:t>
            </w:r>
          </w:p>
        </w:tc>
        <w:tc>
          <w:tcPr>
            <w:tcW w:w="2127" w:type="dxa"/>
          </w:tcPr>
          <w:p w14:paraId="3321AE52" w14:textId="77777777" w:rsidR="008E4573" w:rsidRPr="008B68A9" w:rsidRDefault="008E4573" w:rsidP="00045396">
            <w:pPr>
              <w:spacing w:line="240" w:lineRule="auto"/>
              <w:rPr>
                <w:sz w:val="18"/>
                <w:szCs w:val="18"/>
              </w:rPr>
            </w:pPr>
            <w:r w:rsidRPr="008B68A9">
              <w:rPr>
                <w:sz w:val="18"/>
                <w:szCs w:val="18"/>
              </w:rPr>
              <w:t>Online survey, optional printed in accessible formats.</w:t>
            </w:r>
          </w:p>
          <w:p w14:paraId="2E294433" w14:textId="77777777" w:rsidR="008E4573" w:rsidRPr="008B68A9" w:rsidRDefault="008E4573" w:rsidP="00045396">
            <w:pPr>
              <w:spacing w:line="240" w:lineRule="auto"/>
              <w:rPr>
                <w:sz w:val="18"/>
                <w:szCs w:val="18"/>
              </w:rPr>
            </w:pPr>
            <w:r w:rsidRPr="008B68A9">
              <w:rPr>
                <w:sz w:val="18"/>
                <w:szCs w:val="18"/>
              </w:rPr>
              <w:t>10% survey completed during meeting.</w:t>
            </w:r>
          </w:p>
        </w:tc>
        <w:tc>
          <w:tcPr>
            <w:tcW w:w="1701" w:type="dxa"/>
          </w:tcPr>
          <w:p w14:paraId="002A2C27" w14:textId="77777777" w:rsidR="008E4573" w:rsidRPr="008B68A9" w:rsidRDefault="008E4573" w:rsidP="00045396">
            <w:pPr>
              <w:spacing w:line="240" w:lineRule="auto"/>
              <w:rPr>
                <w:sz w:val="18"/>
                <w:szCs w:val="18"/>
              </w:rPr>
            </w:pPr>
            <w:r w:rsidRPr="008B68A9">
              <w:rPr>
                <w:sz w:val="18"/>
                <w:szCs w:val="18"/>
              </w:rPr>
              <w:t>Lime survey, Excel – SPSS</w:t>
            </w:r>
          </w:p>
          <w:p w14:paraId="6CEC7C8D" w14:textId="77777777" w:rsidR="008E4573" w:rsidRPr="008B68A9" w:rsidRDefault="008E4573" w:rsidP="00045396">
            <w:pPr>
              <w:spacing w:line="240" w:lineRule="auto"/>
              <w:rPr>
                <w:sz w:val="18"/>
                <w:szCs w:val="18"/>
              </w:rPr>
            </w:pPr>
            <w:r w:rsidRPr="008B68A9">
              <w:rPr>
                <w:sz w:val="18"/>
                <w:szCs w:val="18"/>
              </w:rPr>
              <w:t>Coding themes from first survey reviewed as either positive or negative.</w:t>
            </w:r>
          </w:p>
        </w:tc>
        <w:tc>
          <w:tcPr>
            <w:tcW w:w="3445" w:type="dxa"/>
          </w:tcPr>
          <w:p w14:paraId="477329C1" w14:textId="77777777" w:rsidR="008E4573" w:rsidRPr="008B68A9" w:rsidRDefault="008E4573" w:rsidP="00045396">
            <w:pPr>
              <w:spacing w:line="240" w:lineRule="auto"/>
              <w:rPr>
                <w:sz w:val="18"/>
                <w:szCs w:val="18"/>
              </w:rPr>
            </w:pPr>
            <w:r w:rsidRPr="008B68A9">
              <w:rPr>
                <w:sz w:val="18"/>
                <w:szCs w:val="18"/>
              </w:rPr>
              <w:t>70% improvement in 3:15 measures</w:t>
            </w:r>
          </w:p>
          <w:p w14:paraId="2815B4FF" w14:textId="77777777" w:rsidR="008E4573" w:rsidRPr="008B68A9" w:rsidRDefault="008E4573" w:rsidP="00045396">
            <w:pPr>
              <w:spacing w:line="240" w:lineRule="auto"/>
              <w:rPr>
                <w:sz w:val="18"/>
                <w:szCs w:val="18"/>
              </w:rPr>
            </w:pPr>
            <w:r w:rsidRPr="008B68A9">
              <w:rPr>
                <w:sz w:val="18"/>
                <w:szCs w:val="18"/>
              </w:rPr>
              <w:t>60% improvement in 4:15 measures</w:t>
            </w:r>
          </w:p>
          <w:p w14:paraId="63CD52FB" w14:textId="77777777" w:rsidR="008E4573" w:rsidRPr="008B68A9" w:rsidRDefault="008E4573" w:rsidP="00045396">
            <w:pPr>
              <w:spacing w:line="240" w:lineRule="auto"/>
              <w:rPr>
                <w:sz w:val="18"/>
                <w:szCs w:val="18"/>
              </w:rPr>
            </w:pPr>
            <w:r w:rsidRPr="008B68A9">
              <w:rPr>
                <w:sz w:val="18"/>
                <w:szCs w:val="18"/>
              </w:rPr>
              <w:t>50% improvement in 2:15 measures</w:t>
            </w:r>
          </w:p>
          <w:p w14:paraId="56F557CD" w14:textId="77777777" w:rsidR="008E4573" w:rsidRPr="008B68A9" w:rsidRDefault="008E4573" w:rsidP="00045396">
            <w:pPr>
              <w:spacing w:line="240" w:lineRule="auto"/>
              <w:rPr>
                <w:sz w:val="18"/>
                <w:szCs w:val="18"/>
              </w:rPr>
            </w:pPr>
            <w:r w:rsidRPr="008B68A9">
              <w:rPr>
                <w:sz w:val="18"/>
                <w:szCs w:val="18"/>
              </w:rPr>
              <w:t>80% improvement in 2:15 measures</w:t>
            </w:r>
          </w:p>
          <w:p w14:paraId="1D362D8A" w14:textId="77777777" w:rsidR="008E4573" w:rsidRPr="008B68A9" w:rsidRDefault="008E4573" w:rsidP="00045396">
            <w:pPr>
              <w:spacing w:line="240" w:lineRule="auto"/>
              <w:rPr>
                <w:sz w:val="18"/>
                <w:szCs w:val="18"/>
              </w:rPr>
            </w:pPr>
            <w:r w:rsidRPr="008B68A9">
              <w:rPr>
                <w:sz w:val="18"/>
                <w:szCs w:val="18"/>
              </w:rPr>
              <w:t>Wide variation between councils.</w:t>
            </w:r>
          </w:p>
        </w:tc>
        <w:tc>
          <w:tcPr>
            <w:tcW w:w="2083" w:type="dxa"/>
          </w:tcPr>
          <w:p w14:paraId="427DC759" w14:textId="77777777" w:rsidR="008E4573" w:rsidRPr="008B68A9" w:rsidRDefault="008E4573" w:rsidP="00045396">
            <w:pPr>
              <w:spacing w:line="240" w:lineRule="auto"/>
              <w:rPr>
                <w:sz w:val="18"/>
                <w:szCs w:val="18"/>
              </w:rPr>
            </w:pPr>
            <w:r w:rsidRPr="008B68A9">
              <w:rPr>
                <w:sz w:val="18"/>
                <w:szCs w:val="18"/>
              </w:rPr>
              <w:t>Satisfaction aligned to autonomy and choice figured predictably high</w:t>
            </w:r>
          </w:p>
          <w:p w14:paraId="6E556E5B" w14:textId="77777777" w:rsidR="008E4573" w:rsidRPr="008B68A9" w:rsidRDefault="008E4573" w:rsidP="00045396">
            <w:pPr>
              <w:spacing w:line="240" w:lineRule="auto"/>
              <w:rPr>
                <w:sz w:val="18"/>
                <w:szCs w:val="18"/>
              </w:rPr>
            </w:pPr>
            <w:r w:rsidRPr="008B68A9">
              <w:rPr>
                <w:sz w:val="18"/>
                <w:szCs w:val="18"/>
              </w:rPr>
              <w:t>N=171 in total identified as MH. Sub-group statistical power doubtful.</w:t>
            </w:r>
          </w:p>
        </w:tc>
      </w:tr>
      <w:tr w:rsidR="008E4573" w:rsidRPr="008B68A9" w14:paraId="1E1FB0CA" w14:textId="77777777" w:rsidTr="00045396">
        <w:tc>
          <w:tcPr>
            <w:tcW w:w="1922" w:type="dxa"/>
          </w:tcPr>
          <w:p w14:paraId="2BAD0332" w14:textId="77777777" w:rsidR="008E4573" w:rsidRPr="008B68A9" w:rsidRDefault="008E4573" w:rsidP="00045396">
            <w:pPr>
              <w:spacing w:line="240" w:lineRule="auto"/>
              <w:rPr>
                <w:b/>
                <w:sz w:val="18"/>
                <w:szCs w:val="18"/>
              </w:rPr>
            </w:pPr>
          </w:p>
        </w:tc>
        <w:tc>
          <w:tcPr>
            <w:tcW w:w="1479" w:type="dxa"/>
          </w:tcPr>
          <w:p w14:paraId="276050A9" w14:textId="77777777" w:rsidR="008E4573" w:rsidRPr="008B68A9" w:rsidRDefault="008E4573" w:rsidP="00045396">
            <w:pPr>
              <w:spacing w:line="240" w:lineRule="auto"/>
              <w:rPr>
                <w:sz w:val="18"/>
                <w:szCs w:val="18"/>
              </w:rPr>
            </w:pPr>
          </w:p>
        </w:tc>
        <w:tc>
          <w:tcPr>
            <w:tcW w:w="1526" w:type="dxa"/>
          </w:tcPr>
          <w:p w14:paraId="35031F6A" w14:textId="77777777" w:rsidR="008E4573" w:rsidRPr="008B68A9" w:rsidRDefault="008E4573" w:rsidP="00045396">
            <w:pPr>
              <w:spacing w:line="240" w:lineRule="auto"/>
              <w:rPr>
                <w:sz w:val="18"/>
                <w:szCs w:val="18"/>
              </w:rPr>
            </w:pPr>
          </w:p>
        </w:tc>
        <w:tc>
          <w:tcPr>
            <w:tcW w:w="2127" w:type="dxa"/>
          </w:tcPr>
          <w:p w14:paraId="53D8EBF1" w14:textId="77777777" w:rsidR="008E4573" w:rsidRPr="008B68A9" w:rsidRDefault="008E4573" w:rsidP="00045396">
            <w:pPr>
              <w:spacing w:line="240" w:lineRule="auto"/>
              <w:rPr>
                <w:sz w:val="18"/>
                <w:szCs w:val="18"/>
              </w:rPr>
            </w:pPr>
          </w:p>
        </w:tc>
        <w:tc>
          <w:tcPr>
            <w:tcW w:w="1701" w:type="dxa"/>
          </w:tcPr>
          <w:p w14:paraId="43E04C80" w14:textId="77777777" w:rsidR="008E4573" w:rsidRPr="008B68A9" w:rsidRDefault="008E4573" w:rsidP="00045396">
            <w:pPr>
              <w:spacing w:line="240" w:lineRule="auto"/>
              <w:rPr>
                <w:sz w:val="18"/>
                <w:szCs w:val="18"/>
              </w:rPr>
            </w:pPr>
          </w:p>
        </w:tc>
        <w:tc>
          <w:tcPr>
            <w:tcW w:w="3445" w:type="dxa"/>
          </w:tcPr>
          <w:p w14:paraId="0EE39D13" w14:textId="77777777" w:rsidR="008E4573" w:rsidRPr="008B68A9" w:rsidRDefault="008E4573" w:rsidP="00045396">
            <w:pPr>
              <w:spacing w:line="240" w:lineRule="auto"/>
              <w:rPr>
                <w:sz w:val="18"/>
                <w:szCs w:val="18"/>
              </w:rPr>
            </w:pPr>
          </w:p>
        </w:tc>
        <w:tc>
          <w:tcPr>
            <w:tcW w:w="2083" w:type="dxa"/>
          </w:tcPr>
          <w:p w14:paraId="4D0D9BD2" w14:textId="77777777" w:rsidR="008E4573" w:rsidRPr="008B68A9" w:rsidRDefault="008E4573" w:rsidP="00045396">
            <w:pPr>
              <w:spacing w:line="240" w:lineRule="auto"/>
              <w:rPr>
                <w:sz w:val="18"/>
                <w:szCs w:val="18"/>
              </w:rPr>
            </w:pPr>
          </w:p>
        </w:tc>
      </w:tr>
      <w:tr w:rsidR="008E4573" w:rsidRPr="008B68A9" w14:paraId="07AAFF24" w14:textId="77777777" w:rsidTr="00045396">
        <w:tc>
          <w:tcPr>
            <w:tcW w:w="1922" w:type="dxa"/>
          </w:tcPr>
          <w:p w14:paraId="40CE05A2" w14:textId="77777777" w:rsidR="008E4573" w:rsidRPr="008B68A9" w:rsidRDefault="008E4573" w:rsidP="00045396">
            <w:pPr>
              <w:spacing w:line="240" w:lineRule="auto"/>
              <w:rPr>
                <w:b/>
                <w:sz w:val="18"/>
                <w:szCs w:val="18"/>
              </w:rPr>
            </w:pPr>
            <w:r w:rsidRPr="008B68A9">
              <w:rPr>
                <w:b/>
                <w:sz w:val="18"/>
                <w:szCs w:val="18"/>
              </w:rPr>
              <w:lastRenderedPageBreak/>
              <w:t xml:space="preserve">Poll </w:t>
            </w:r>
            <w:r w:rsidRPr="008B68A9">
              <w:rPr>
                <w:b/>
                <w:i/>
                <w:sz w:val="18"/>
                <w:szCs w:val="18"/>
              </w:rPr>
              <w:t>et al.</w:t>
            </w:r>
            <w:r w:rsidRPr="008B68A9">
              <w:rPr>
                <w:b/>
                <w:sz w:val="18"/>
                <w:szCs w:val="18"/>
              </w:rPr>
              <w:t xml:space="preserve"> 2006</w:t>
            </w:r>
          </w:p>
        </w:tc>
        <w:tc>
          <w:tcPr>
            <w:tcW w:w="1479" w:type="dxa"/>
          </w:tcPr>
          <w:p w14:paraId="3ABADFEF" w14:textId="77777777" w:rsidR="008E4573" w:rsidRPr="008B68A9" w:rsidRDefault="008E4573" w:rsidP="00045396">
            <w:pPr>
              <w:spacing w:line="240" w:lineRule="auto"/>
              <w:rPr>
                <w:sz w:val="18"/>
                <w:szCs w:val="18"/>
              </w:rPr>
            </w:pPr>
            <w:r w:rsidRPr="008B68A9">
              <w:rPr>
                <w:sz w:val="18"/>
                <w:szCs w:val="18"/>
              </w:rPr>
              <w:t>In Control first report</w:t>
            </w:r>
          </w:p>
        </w:tc>
        <w:tc>
          <w:tcPr>
            <w:tcW w:w="1526" w:type="dxa"/>
          </w:tcPr>
          <w:p w14:paraId="2E2DA3A0" w14:textId="77777777" w:rsidR="008E4573" w:rsidRPr="008B68A9" w:rsidRDefault="008E4573" w:rsidP="00045396">
            <w:pPr>
              <w:spacing w:line="240" w:lineRule="auto"/>
              <w:rPr>
                <w:sz w:val="18"/>
                <w:szCs w:val="18"/>
              </w:rPr>
            </w:pPr>
            <w:r w:rsidRPr="008B68A9">
              <w:rPr>
                <w:sz w:val="18"/>
                <w:szCs w:val="18"/>
              </w:rPr>
              <w:t>N=31 respondents</w:t>
            </w:r>
          </w:p>
        </w:tc>
        <w:tc>
          <w:tcPr>
            <w:tcW w:w="2127" w:type="dxa"/>
          </w:tcPr>
          <w:p w14:paraId="27EAF5C3" w14:textId="77777777" w:rsidR="008E4573" w:rsidRPr="008B68A9" w:rsidRDefault="008E4573" w:rsidP="00045396">
            <w:pPr>
              <w:spacing w:line="240" w:lineRule="auto"/>
              <w:rPr>
                <w:sz w:val="18"/>
                <w:szCs w:val="18"/>
              </w:rPr>
            </w:pPr>
            <w:r w:rsidRPr="008B68A9">
              <w:rPr>
                <w:sz w:val="18"/>
                <w:szCs w:val="18"/>
              </w:rPr>
              <w:t>Descriptive accounts of stakeholder and learning events in participating areas.</w:t>
            </w:r>
          </w:p>
        </w:tc>
        <w:tc>
          <w:tcPr>
            <w:tcW w:w="1701" w:type="dxa"/>
          </w:tcPr>
          <w:p w14:paraId="7BE2FC00" w14:textId="77777777" w:rsidR="008E4573" w:rsidRPr="008B68A9" w:rsidRDefault="008E4573" w:rsidP="00045396">
            <w:pPr>
              <w:spacing w:line="240" w:lineRule="auto"/>
              <w:rPr>
                <w:sz w:val="18"/>
                <w:szCs w:val="18"/>
              </w:rPr>
            </w:pPr>
            <w:r w:rsidRPr="008B68A9">
              <w:rPr>
                <w:sz w:val="18"/>
                <w:szCs w:val="18"/>
              </w:rPr>
              <w:t>Not specified</w:t>
            </w:r>
          </w:p>
        </w:tc>
        <w:tc>
          <w:tcPr>
            <w:tcW w:w="3445" w:type="dxa"/>
          </w:tcPr>
          <w:p w14:paraId="4DEA74C0" w14:textId="77777777" w:rsidR="008E4573" w:rsidRPr="008B68A9" w:rsidRDefault="008E4573" w:rsidP="00045396">
            <w:pPr>
              <w:spacing w:line="240" w:lineRule="auto"/>
              <w:rPr>
                <w:sz w:val="18"/>
                <w:szCs w:val="18"/>
              </w:rPr>
            </w:pPr>
            <w:r w:rsidRPr="008B68A9">
              <w:rPr>
                <w:sz w:val="18"/>
                <w:szCs w:val="18"/>
              </w:rPr>
              <w:t>Satisfaction and 7 principles of support reported positively.</w:t>
            </w:r>
          </w:p>
          <w:p w14:paraId="368DC131" w14:textId="77777777" w:rsidR="008E4573" w:rsidRPr="008B68A9" w:rsidRDefault="008E4573" w:rsidP="00045396">
            <w:pPr>
              <w:spacing w:line="240" w:lineRule="auto"/>
              <w:rPr>
                <w:sz w:val="18"/>
                <w:szCs w:val="18"/>
              </w:rPr>
            </w:pPr>
            <w:r w:rsidRPr="008B68A9">
              <w:rPr>
                <w:sz w:val="18"/>
                <w:szCs w:val="18"/>
              </w:rPr>
              <w:t>Diverse brokerage called for.</w:t>
            </w:r>
          </w:p>
        </w:tc>
        <w:tc>
          <w:tcPr>
            <w:tcW w:w="2083" w:type="dxa"/>
          </w:tcPr>
          <w:p w14:paraId="77394DAA" w14:textId="77777777" w:rsidR="008E4573" w:rsidRPr="008B68A9" w:rsidRDefault="008E4573" w:rsidP="00045396">
            <w:pPr>
              <w:spacing w:line="240" w:lineRule="auto"/>
              <w:rPr>
                <w:sz w:val="18"/>
                <w:szCs w:val="18"/>
              </w:rPr>
            </w:pPr>
            <w:r w:rsidRPr="008B68A9">
              <w:rPr>
                <w:sz w:val="18"/>
                <w:szCs w:val="18"/>
              </w:rPr>
              <w:t>In Control first report 2003-2005 LD</w:t>
            </w:r>
          </w:p>
          <w:p w14:paraId="6C655CEE" w14:textId="77777777" w:rsidR="008E4573" w:rsidRPr="008B68A9" w:rsidRDefault="008E4573" w:rsidP="00045396">
            <w:pPr>
              <w:spacing w:line="240" w:lineRule="auto"/>
              <w:rPr>
                <w:sz w:val="18"/>
                <w:szCs w:val="18"/>
              </w:rPr>
            </w:pPr>
            <w:r w:rsidRPr="008B68A9">
              <w:rPr>
                <w:sz w:val="18"/>
                <w:szCs w:val="18"/>
              </w:rPr>
              <w:t>Small sample.</w:t>
            </w:r>
          </w:p>
        </w:tc>
      </w:tr>
      <w:tr w:rsidR="008E4573" w:rsidRPr="008B68A9" w14:paraId="7BFB45D1" w14:textId="77777777" w:rsidTr="00045396">
        <w:tc>
          <w:tcPr>
            <w:tcW w:w="1922" w:type="dxa"/>
          </w:tcPr>
          <w:p w14:paraId="460AB21D" w14:textId="77777777" w:rsidR="008E4573" w:rsidRPr="008B68A9" w:rsidRDefault="008E4573" w:rsidP="00045396">
            <w:pPr>
              <w:spacing w:line="240" w:lineRule="auto"/>
              <w:rPr>
                <w:b/>
                <w:sz w:val="18"/>
                <w:szCs w:val="18"/>
              </w:rPr>
            </w:pPr>
          </w:p>
        </w:tc>
        <w:tc>
          <w:tcPr>
            <w:tcW w:w="1479" w:type="dxa"/>
          </w:tcPr>
          <w:p w14:paraId="235FD88E" w14:textId="77777777" w:rsidR="008E4573" w:rsidRPr="008B68A9" w:rsidRDefault="008E4573" w:rsidP="00045396">
            <w:pPr>
              <w:spacing w:line="240" w:lineRule="auto"/>
              <w:rPr>
                <w:sz w:val="18"/>
                <w:szCs w:val="18"/>
              </w:rPr>
            </w:pPr>
          </w:p>
        </w:tc>
        <w:tc>
          <w:tcPr>
            <w:tcW w:w="1526" w:type="dxa"/>
          </w:tcPr>
          <w:p w14:paraId="2F038725" w14:textId="77777777" w:rsidR="008E4573" w:rsidRPr="008B68A9" w:rsidRDefault="008E4573" w:rsidP="00045396">
            <w:pPr>
              <w:spacing w:line="240" w:lineRule="auto"/>
              <w:rPr>
                <w:sz w:val="18"/>
                <w:szCs w:val="18"/>
              </w:rPr>
            </w:pPr>
          </w:p>
        </w:tc>
        <w:tc>
          <w:tcPr>
            <w:tcW w:w="2127" w:type="dxa"/>
          </w:tcPr>
          <w:p w14:paraId="35645BD3" w14:textId="77777777" w:rsidR="008E4573" w:rsidRPr="008B68A9" w:rsidRDefault="008E4573" w:rsidP="00045396">
            <w:pPr>
              <w:spacing w:line="240" w:lineRule="auto"/>
              <w:rPr>
                <w:sz w:val="18"/>
                <w:szCs w:val="18"/>
              </w:rPr>
            </w:pPr>
          </w:p>
        </w:tc>
        <w:tc>
          <w:tcPr>
            <w:tcW w:w="1701" w:type="dxa"/>
          </w:tcPr>
          <w:p w14:paraId="66238F22" w14:textId="77777777" w:rsidR="008E4573" w:rsidRPr="008B68A9" w:rsidRDefault="008E4573" w:rsidP="00045396">
            <w:pPr>
              <w:spacing w:line="240" w:lineRule="auto"/>
              <w:rPr>
                <w:sz w:val="18"/>
                <w:szCs w:val="18"/>
              </w:rPr>
            </w:pPr>
          </w:p>
        </w:tc>
        <w:tc>
          <w:tcPr>
            <w:tcW w:w="3445" w:type="dxa"/>
          </w:tcPr>
          <w:p w14:paraId="7D36F140" w14:textId="77777777" w:rsidR="008E4573" w:rsidRPr="008B68A9" w:rsidRDefault="008E4573" w:rsidP="00045396">
            <w:pPr>
              <w:spacing w:line="240" w:lineRule="auto"/>
              <w:rPr>
                <w:sz w:val="18"/>
                <w:szCs w:val="18"/>
              </w:rPr>
            </w:pPr>
          </w:p>
        </w:tc>
        <w:tc>
          <w:tcPr>
            <w:tcW w:w="2083" w:type="dxa"/>
          </w:tcPr>
          <w:p w14:paraId="3FD225A7" w14:textId="77777777" w:rsidR="008E4573" w:rsidRPr="008B68A9" w:rsidRDefault="008E4573" w:rsidP="00045396">
            <w:pPr>
              <w:spacing w:line="240" w:lineRule="auto"/>
              <w:rPr>
                <w:sz w:val="18"/>
                <w:szCs w:val="18"/>
              </w:rPr>
            </w:pPr>
          </w:p>
        </w:tc>
      </w:tr>
      <w:tr w:rsidR="008E4573" w:rsidRPr="008B68A9" w14:paraId="5D3A5A87" w14:textId="77777777" w:rsidTr="00045396">
        <w:tc>
          <w:tcPr>
            <w:tcW w:w="1922" w:type="dxa"/>
          </w:tcPr>
          <w:p w14:paraId="71B24E12" w14:textId="77777777" w:rsidR="008E4573" w:rsidRPr="008B68A9" w:rsidRDefault="008E4573" w:rsidP="00045396">
            <w:pPr>
              <w:spacing w:line="240" w:lineRule="auto"/>
              <w:rPr>
                <w:b/>
                <w:sz w:val="18"/>
                <w:szCs w:val="18"/>
              </w:rPr>
            </w:pPr>
            <w:r w:rsidRPr="008B68A9">
              <w:rPr>
                <w:b/>
                <w:sz w:val="18"/>
                <w:szCs w:val="18"/>
              </w:rPr>
              <w:t>Waters and Hatton 2014</w:t>
            </w:r>
          </w:p>
        </w:tc>
        <w:tc>
          <w:tcPr>
            <w:tcW w:w="1479" w:type="dxa"/>
          </w:tcPr>
          <w:p w14:paraId="6069FF26" w14:textId="77777777" w:rsidR="008E4573" w:rsidRPr="008B68A9" w:rsidRDefault="008E4573" w:rsidP="00045396">
            <w:pPr>
              <w:spacing w:line="240" w:lineRule="auto"/>
              <w:rPr>
                <w:sz w:val="18"/>
                <w:szCs w:val="18"/>
              </w:rPr>
            </w:pPr>
            <w:r w:rsidRPr="008B68A9">
              <w:rPr>
                <w:sz w:val="18"/>
                <w:szCs w:val="18"/>
              </w:rPr>
              <w:t>3</w:t>
            </w:r>
            <w:r w:rsidRPr="008B68A9">
              <w:rPr>
                <w:sz w:val="18"/>
                <w:szCs w:val="18"/>
                <w:vertAlign w:val="superscript"/>
              </w:rPr>
              <w:t>rd</w:t>
            </w:r>
            <w:r w:rsidRPr="008B68A9">
              <w:rPr>
                <w:sz w:val="18"/>
                <w:szCs w:val="18"/>
              </w:rPr>
              <w:t xml:space="preserve"> POET survey</w:t>
            </w:r>
          </w:p>
        </w:tc>
        <w:tc>
          <w:tcPr>
            <w:tcW w:w="1526" w:type="dxa"/>
          </w:tcPr>
          <w:p w14:paraId="5D6E4353" w14:textId="77777777" w:rsidR="008E4573" w:rsidRPr="008B68A9" w:rsidRDefault="008E4573" w:rsidP="00045396">
            <w:pPr>
              <w:spacing w:line="240" w:lineRule="auto"/>
              <w:rPr>
                <w:sz w:val="18"/>
                <w:szCs w:val="18"/>
              </w:rPr>
            </w:pPr>
            <w:r w:rsidRPr="008B68A9">
              <w:rPr>
                <w:sz w:val="18"/>
                <w:szCs w:val="18"/>
              </w:rPr>
              <w:t>2679 IB user</w:t>
            </w:r>
          </w:p>
          <w:p w14:paraId="6A199DEB" w14:textId="77777777" w:rsidR="008E4573" w:rsidRPr="008B68A9" w:rsidRDefault="008E4573" w:rsidP="00045396">
            <w:pPr>
              <w:spacing w:line="240" w:lineRule="auto"/>
              <w:rPr>
                <w:sz w:val="18"/>
                <w:szCs w:val="18"/>
              </w:rPr>
            </w:pPr>
            <w:r w:rsidRPr="008B68A9">
              <w:rPr>
                <w:sz w:val="18"/>
                <w:szCs w:val="18"/>
              </w:rPr>
              <w:t>1328 carers</w:t>
            </w:r>
          </w:p>
        </w:tc>
        <w:tc>
          <w:tcPr>
            <w:tcW w:w="2127" w:type="dxa"/>
          </w:tcPr>
          <w:p w14:paraId="73CC273F" w14:textId="77777777" w:rsidR="008E4573" w:rsidRPr="008B68A9" w:rsidRDefault="008E4573" w:rsidP="00045396">
            <w:pPr>
              <w:spacing w:line="240" w:lineRule="auto"/>
              <w:rPr>
                <w:sz w:val="18"/>
                <w:szCs w:val="18"/>
              </w:rPr>
            </w:pPr>
            <w:r w:rsidRPr="008B68A9">
              <w:rPr>
                <w:sz w:val="18"/>
                <w:szCs w:val="18"/>
              </w:rPr>
              <w:t>Online survey, optional printed in accessible formats</w:t>
            </w:r>
          </w:p>
          <w:p w14:paraId="7A0A84C8" w14:textId="77777777" w:rsidR="008E4573" w:rsidRPr="008B68A9" w:rsidRDefault="008E4573" w:rsidP="00045396">
            <w:pPr>
              <w:spacing w:line="240" w:lineRule="auto"/>
              <w:rPr>
                <w:sz w:val="18"/>
                <w:szCs w:val="18"/>
              </w:rPr>
            </w:pPr>
            <w:r w:rsidRPr="008B68A9">
              <w:rPr>
                <w:sz w:val="18"/>
                <w:szCs w:val="18"/>
              </w:rPr>
              <w:t>10% survey completed during meeting.</w:t>
            </w:r>
          </w:p>
        </w:tc>
        <w:tc>
          <w:tcPr>
            <w:tcW w:w="1701" w:type="dxa"/>
          </w:tcPr>
          <w:p w14:paraId="0094F840" w14:textId="77777777" w:rsidR="008E4573" w:rsidRPr="008B68A9" w:rsidRDefault="008E4573" w:rsidP="00045396">
            <w:pPr>
              <w:spacing w:line="240" w:lineRule="auto"/>
              <w:rPr>
                <w:sz w:val="18"/>
                <w:szCs w:val="18"/>
              </w:rPr>
            </w:pPr>
            <w:r w:rsidRPr="008B68A9">
              <w:rPr>
                <w:sz w:val="18"/>
                <w:szCs w:val="18"/>
              </w:rPr>
              <w:t>Open text responses, numerically recorded Excel and SPSS for non-parametric analysis undertaken.</w:t>
            </w:r>
          </w:p>
          <w:p w14:paraId="6E047202" w14:textId="77777777" w:rsidR="008E4573" w:rsidRPr="008B68A9" w:rsidRDefault="008E4573" w:rsidP="00045396">
            <w:pPr>
              <w:spacing w:line="240" w:lineRule="auto"/>
              <w:rPr>
                <w:sz w:val="18"/>
                <w:szCs w:val="18"/>
              </w:rPr>
            </w:pPr>
          </w:p>
        </w:tc>
        <w:tc>
          <w:tcPr>
            <w:tcW w:w="3445" w:type="dxa"/>
          </w:tcPr>
          <w:p w14:paraId="3B96B0DD" w14:textId="77777777" w:rsidR="008E4573" w:rsidRPr="008B68A9" w:rsidRDefault="008E4573" w:rsidP="00045396">
            <w:pPr>
              <w:spacing w:line="240" w:lineRule="auto"/>
              <w:rPr>
                <w:sz w:val="18"/>
                <w:szCs w:val="18"/>
              </w:rPr>
            </w:pPr>
            <w:r w:rsidRPr="008B68A9">
              <w:rPr>
                <w:sz w:val="18"/>
                <w:szCs w:val="18"/>
              </w:rPr>
              <w:t>2/3s of respondents IBs made life better in 11 from 15 areas.</w:t>
            </w:r>
          </w:p>
          <w:p w14:paraId="1F0BD026" w14:textId="77777777" w:rsidR="008E4573" w:rsidRPr="008B68A9" w:rsidRDefault="008E4573" w:rsidP="00045396">
            <w:pPr>
              <w:spacing w:line="240" w:lineRule="auto"/>
              <w:rPr>
                <w:sz w:val="18"/>
                <w:szCs w:val="18"/>
              </w:rPr>
            </w:pPr>
            <w:r w:rsidRPr="008B68A9">
              <w:rPr>
                <w:sz w:val="18"/>
                <w:szCs w:val="18"/>
              </w:rPr>
              <w:t>Over 25% report difficulties in planning processes, (support/amount/planning).</w:t>
            </w:r>
          </w:p>
          <w:p w14:paraId="233D0EAF" w14:textId="77777777" w:rsidR="008E4573" w:rsidRPr="008B68A9" w:rsidRDefault="008E4573" w:rsidP="00045396">
            <w:pPr>
              <w:spacing w:line="240" w:lineRule="auto"/>
              <w:rPr>
                <w:sz w:val="18"/>
                <w:szCs w:val="18"/>
              </w:rPr>
            </w:pPr>
            <w:r w:rsidRPr="008B68A9">
              <w:rPr>
                <w:sz w:val="18"/>
                <w:szCs w:val="18"/>
              </w:rPr>
              <w:t>Budgets used in community rated higher than traditional services.</w:t>
            </w:r>
          </w:p>
        </w:tc>
        <w:tc>
          <w:tcPr>
            <w:tcW w:w="2083" w:type="dxa"/>
          </w:tcPr>
          <w:p w14:paraId="786910FC" w14:textId="77777777" w:rsidR="008E4573" w:rsidRPr="008B68A9" w:rsidRDefault="008E4573" w:rsidP="00045396">
            <w:pPr>
              <w:spacing w:line="240" w:lineRule="auto"/>
              <w:rPr>
                <w:sz w:val="18"/>
                <w:szCs w:val="18"/>
              </w:rPr>
            </w:pPr>
            <w:r w:rsidRPr="008B68A9">
              <w:rPr>
                <w:sz w:val="18"/>
                <w:szCs w:val="18"/>
              </w:rPr>
              <w:t>Specified more clearly how analysis was undertaken, however open questions not specified how themes developed.</w:t>
            </w:r>
          </w:p>
          <w:p w14:paraId="71BD8356" w14:textId="77777777" w:rsidR="008E4573" w:rsidRPr="008B68A9" w:rsidRDefault="008E4573" w:rsidP="00045396">
            <w:pPr>
              <w:spacing w:line="240" w:lineRule="auto"/>
              <w:rPr>
                <w:sz w:val="18"/>
                <w:szCs w:val="18"/>
              </w:rPr>
            </w:pPr>
            <w:r w:rsidRPr="008B68A9">
              <w:rPr>
                <w:sz w:val="18"/>
                <w:szCs w:val="18"/>
              </w:rPr>
              <w:t>30% had support completing the survey, no mention of proxy responses bias</w:t>
            </w:r>
          </w:p>
          <w:p w14:paraId="0E647ABF" w14:textId="77777777" w:rsidR="008E4573" w:rsidRPr="008B68A9" w:rsidRDefault="008E4573" w:rsidP="00045396">
            <w:pPr>
              <w:spacing w:line="240" w:lineRule="auto"/>
              <w:rPr>
                <w:sz w:val="18"/>
                <w:szCs w:val="18"/>
              </w:rPr>
            </w:pPr>
            <w:r w:rsidRPr="008B68A9">
              <w:rPr>
                <w:sz w:val="18"/>
                <w:szCs w:val="18"/>
              </w:rPr>
              <w:t>8.7% MH return.</w:t>
            </w:r>
          </w:p>
          <w:p w14:paraId="3FC5B8A5" w14:textId="77777777" w:rsidR="008E4573" w:rsidRPr="008B68A9" w:rsidRDefault="008E4573" w:rsidP="00045396">
            <w:pPr>
              <w:spacing w:line="240" w:lineRule="auto"/>
              <w:rPr>
                <w:sz w:val="18"/>
                <w:szCs w:val="18"/>
              </w:rPr>
            </w:pPr>
            <w:r w:rsidRPr="008B68A9">
              <w:rPr>
                <w:sz w:val="18"/>
                <w:szCs w:val="18"/>
              </w:rPr>
              <w:t>Manifesto from TLAP</w:t>
            </w:r>
          </w:p>
          <w:p w14:paraId="1F4961D1" w14:textId="77777777" w:rsidR="008E4573" w:rsidRPr="008B68A9" w:rsidRDefault="008E4573" w:rsidP="00045396">
            <w:pPr>
              <w:spacing w:line="240" w:lineRule="auto"/>
              <w:rPr>
                <w:sz w:val="18"/>
                <w:szCs w:val="18"/>
              </w:rPr>
            </w:pPr>
            <w:r w:rsidRPr="008B68A9">
              <w:rPr>
                <w:sz w:val="18"/>
                <w:szCs w:val="18"/>
              </w:rPr>
              <w:t>NB In Control 2010 indicated 30,000 IBs small</w:t>
            </w:r>
          </w:p>
        </w:tc>
      </w:tr>
      <w:tr w:rsidR="008E4573" w:rsidRPr="008B68A9" w14:paraId="6B5D7A1A" w14:textId="77777777" w:rsidTr="00045396">
        <w:tc>
          <w:tcPr>
            <w:tcW w:w="1922" w:type="dxa"/>
          </w:tcPr>
          <w:p w14:paraId="22AFD173" w14:textId="77777777" w:rsidR="008E4573" w:rsidRPr="008B68A9" w:rsidRDefault="008E4573" w:rsidP="00045396">
            <w:pPr>
              <w:spacing w:line="240" w:lineRule="auto"/>
              <w:rPr>
                <w:b/>
                <w:sz w:val="18"/>
                <w:szCs w:val="18"/>
              </w:rPr>
            </w:pPr>
          </w:p>
        </w:tc>
        <w:tc>
          <w:tcPr>
            <w:tcW w:w="1479" w:type="dxa"/>
          </w:tcPr>
          <w:p w14:paraId="4E02EB8A" w14:textId="77777777" w:rsidR="008E4573" w:rsidRPr="008B68A9" w:rsidRDefault="008E4573" w:rsidP="00045396">
            <w:pPr>
              <w:spacing w:line="240" w:lineRule="auto"/>
              <w:rPr>
                <w:sz w:val="18"/>
                <w:szCs w:val="18"/>
              </w:rPr>
            </w:pPr>
          </w:p>
        </w:tc>
        <w:tc>
          <w:tcPr>
            <w:tcW w:w="1526" w:type="dxa"/>
          </w:tcPr>
          <w:p w14:paraId="6112E0E7" w14:textId="77777777" w:rsidR="008E4573" w:rsidRPr="008B68A9" w:rsidRDefault="008E4573" w:rsidP="00045396">
            <w:pPr>
              <w:spacing w:line="240" w:lineRule="auto"/>
              <w:rPr>
                <w:sz w:val="18"/>
                <w:szCs w:val="18"/>
              </w:rPr>
            </w:pPr>
          </w:p>
        </w:tc>
        <w:tc>
          <w:tcPr>
            <w:tcW w:w="2127" w:type="dxa"/>
          </w:tcPr>
          <w:p w14:paraId="2C4ADA9B" w14:textId="77777777" w:rsidR="008E4573" w:rsidRPr="008B68A9" w:rsidRDefault="008E4573" w:rsidP="00045396">
            <w:pPr>
              <w:spacing w:line="240" w:lineRule="auto"/>
              <w:rPr>
                <w:sz w:val="18"/>
                <w:szCs w:val="18"/>
              </w:rPr>
            </w:pPr>
          </w:p>
        </w:tc>
        <w:tc>
          <w:tcPr>
            <w:tcW w:w="1701" w:type="dxa"/>
          </w:tcPr>
          <w:p w14:paraId="4EB13A3C" w14:textId="77777777" w:rsidR="008E4573" w:rsidRPr="008B68A9" w:rsidRDefault="008E4573" w:rsidP="00045396">
            <w:pPr>
              <w:spacing w:line="240" w:lineRule="auto"/>
              <w:rPr>
                <w:sz w:val="18"/>
                <w:szCs w:val="18"/>
              </w:rPr>
            </w:pPr>
          </w:p>
        </w:tc>
        <w:tc>
          <w:tcPr>
            <w:tcW w:w="3445" w:type="dxa"/>
          </w:tcPr>
          <w:p w14:paraId="0013E60B" w14:textId="77777777" w:rsidR="008E4573" w:rsidRPr="008B68A9" w:rsidRDefault="008E4573" w:rsidP="00045396">
            <w:pPr>
              <w:spacing w:line="240" w:lineRule="auto"/>
              <w:rPr>
                <w:sz w:val="18"/>
                <w:szCs w:val="18"/>
              </w:rPr>
            </w:pPr>
          </w:p>
        </w:tc>
        <w:tc>
          <w:tcPr>
            <w:tcW w:w="2083" w:type="dxa"/>
          </w:tcPr>
          <w:p w14:paraId="166CEA19" w14:textId="77777777" w:rsidR="008E4573" w:rsidRPr="008B68A9" w:rsidRDefault="008E4573" w:rsidP="00045396">
            <w:pPr>
              <w:spacing w:line="240" w:lineRule="auto"/>
              <w:rPr>
                <w:sz w:val="18"/>
                <w:szCs w:val="18"/>
              </w:rPr>
            </w:pPr>
          </w:p>
        </w:tc>
      </w:tr>
      <w:tr w:rsidR="008E4573" w:rsidRPr="008B68A9" w14:paraId="75643704" w14:textId="77777777" w:rsidTr="00045396">
        <w:tc>
          <w:tcPr>
            <w:tcW w:w="1922" w:type="dxa"/>
          </w:tcPr>
          <w:p w14:paraId="7C2227B4" w14:textId="77777777" w:rsidR="008E4573" w:rsidRPr="008B68A9" w:rsidRDefault="008E4573" w:rsidP="00045396">
            <w:pPr>
              <w:spacing w:line="240" w:lineRule="auto"/>
              <w:rPr>
                <w:b/>
                <w:sz w:val="18"/>
                <w:szCs w:val="18"/>
              </w:rPr>
            </w:pPr>
            <w:r w:rsidRPr="008B68A9">
              <w:rPr>
                <w:b/>
                <w:sz w:val="18"/>
                <w:szCs w:val="18"/>
              </w:rPr>
              <w:t>Manthorpe and Samsi 2013</w:t>
            </w:r>
          </w:p>
        </w:tc>
        <w:tc>
          <w:tcPr>
            <w:tcW w:w="1479" w:type="dxa"/>
          </w:tcPr>
          <w:p w14:paraId="455A208C" w14:textId="77777777" w:rsidR="008E4573" w:rsidRPr="008B68A9" w:rsidRDefault="008E4573" w:rsidP="00045396">
            <w:pPr>
              <w:spacing w:line="240" w:lineRule="auto"/>
              <w:rPr>
                <w:sz w:val="18"/>
                <w:szCs w:val="18"/>
              </w:rPr>
            </w:pPr>
            <w:r w:rsidRPr="008B68A9">
              <w:rPr>
                <w:sz w:val="18"/>
                <w:szCs w:val="18"/>
              </w:rPr>
              <w:t>Older people Older people with dementia. Risk of exploitation using IBs</w:t>
            </w:r>
          </w:p>
          <w:p w14:paraId="2D9F73F3" w14:textId="77777777" w:rsidR="008E4573" w:rsidRPr="008B68A9" w:rsidRDefault="008E4573" w:rsidP="00045396">
            <w:pPr>
              <w:spacing w:line="240" w:lineRule="auto"/>
              <w:rPr>
                <w:sz w:val="18"/>
                <w:szCs w:val="18"/>
              </w:rPr>
            </w:pPr>
          </w:p>
        </w:tc>
        <w:tc>
          <w:tcPr>
            <w:tcW w:w="1526" w:type="dxa"/>
          </w:tcPr>
          <w:p w14:paraId="593009FE" w14:textId="77777777" w:rsidR="008E4573" w:rsidRPr="008B68A9" w:rsidRDefault="008E4573" w:rsidP="00045396">
            <w:pPr>
              <w:spacing w:line="240" w:lineRule="auto"/>
              <w:rPr>
                <w:sz w:val="18"/>
                <w:szCs w:val="18"/>
              </w:rPr>
            </w:pPr>
            <w:r w:rsidRPr="008B68A9">
              <w:rPr>
                <w:sz w:val="18"/>
                <w:szCs w:val="18"/>
              </w:rPr>
              <w:t xml:space="preserve">Adult safeguarding officers </w:t>
            </w:r>
          </w:p>
        </w:tc>
        <w:tc>
          <w:tcPr>
            <w:tcW w:w="2127" w:type="dxa"/>
          </w:tcPr>
          <w:p w14:paraId="22FC3183" w14:textId="77777777" w:rsidR="008E4573" w:rsidRPr="008B68A9" w:rsidRDefault="008E4573" w:rsidP="00045396">
            <w:pPr>
              <w:spacing w:line="240" w:lineRule="auto"/>
              <w:rPr>
                <w:sz w:val="18"/>
                <w:szCs w:val="18"/>
              </w:rPr>
            </w:pPr>
            <w:r w:rsidRPr="008B68A9">
              <w:rPr>
                <w:sz w:val="18"/>
                <w:szCs w:val="18"/>
              </w:rPr>
              <w:t>N=15 interviewed in 2011 – earlier set of interviews on two occasions n= not stated</w:t>
            </w:r>
          </w:p>
        </w:tc>
        <w:tc>
          <w:tcPr>
            <w:tcW w:w="1701" w:type="dxa"/>
          </w:tcPr>
          <w:p w14:paraId="40043912" w14:textId="77777777" w:rsidR="008E4573" w:rsidRPr="008B68A9" w:rsidRDefault="008E4573" w:rsidP="00045396">
            <w:pPr>
              <w:spacing w:line="240" w:lineRule="auto"/>
              <w:rPr>
                <w:sz w:val="18"/>
                <w:szCs w:val="18"/>
              </w:rPr>
            </w:pPr>
            <w:r w:rsidRPr="008B68A9">
              <w:rPr>
                <w:sz w:val="18"/>
                <w:szCs w:val="18"/>
              </w:rPr>
              <w:t>“Pragmatic principles of framework analysis”</w:t>
            </w:r>
          </w:p>
        </w:tc>
        <w:tc>
          <w:tcPr>
            <w:tcW w:w="3445" w:type="dxa"/>
          </w:tcPr>
          <w:p w14:paraId="7D0E3024" w14:textId="77777777" w:rsidR="008E4573" w:rsidRPr="008B68A9" w:rsidRDefault="008E4573" w:rsidP="00045396">
            <w:pPr>
              <w:spacing w:line="240" w:lineRule="auto"/>
              <w:rPr>
                <w:sz w:val="18"/>
                <w:szCs w:val="18"/>
              </w:rPr>
            </w:pPr>
            <w:r w:rsidRPr="008B68A9">
              <w:rPr>
                <w:sz w:val="18"/>
                <w:szCs w:val="18"/>
              </w:rPr>
              <w:t>Concern for the financial safety of older people.</w:t>
            </w:r>
          </w:p>
          <w:p w14:paraId="2459D5A8" w14:textId="77777777" w:rsidR="008E4573" w:rsidRPr="008B68A9" w:rsidRDefault="008E4573" w:rsidP="00045396">
            <w:pPr>
              <w:spacing w:line="240" w:lineRule="auto"/>
              <w:rPr>
                <w:sz w:val="18"/>
                <w:szCs w:val="18"/>
              </w:rPr>
            </w:pPr>
            <w:r w:rsidRPr="008B68A9">
              <w:rPr>
                <w:sz w:val="18"/>
                <w:szCs w:val="18"/>
              </w:rPr>
              <w:t>Perceived risk and called for LA to safeguard with tighter regulation.</w:t>
            </w:r>
          </w:p>
        </w:tc>
        <w:tc>
          <w:tcPr>
            <w:tcW w:w="2083" w:type="dxa"/>
          </w:tcPr>
          <w:p w14:paraId="25665C2F" w14:textId="77777777" w:rsidR="008E4573" w:rsidRPr="008B68A9" w:rsidRDefault="008E4573" w:rsidP="00045396">
            <w:pPr>
              <w:spacing w:line="240" w:lineRule="auto"/>
              <w:rPr>
                <w:sz w:val="18"/>
                <w:szCs w:val="18"/>
              </w:rPr>
            </w:pPr>
            <w:r w:rsidRPr="008B68A9">
              <w:rPr>
                <w:sz w:val="18"/>
                <w:szCs w:val="18"/>
              </w:rPr>
              <w:t>The sample was not consistent and small.</w:t>
            </w:r>
          </w:p>
          <w:p w14:paraId="62EB3BDB" w14:textId="77777777" w:rsidR="008E4573" w:rsidRPr="008B68A9" w:rsidRDefault="008E4573" w:rsidP="00045396">
            <w:pPr>
              <w:spacing w:line="240" w:lineRule="auto"/>
              <w:rPr>
                <w:sz w:val="18"/>
                <w:szCs w:val="18"/>
              </w:rPr>
            </w:pPr>
            <w:r w:rsidRPr="008B68A9">
              <w:rPr>
                <w:sz w:val="18"/>
                <w:szCs w:val="18"/>
              </w:rPr>
              <w:t>Role of safeguarding and concerns about older people with dementia was interesting.</w:t>
            </w:r>
            <w:r w:rsidRPr="008B68A9">
              <w:rPr>
                <w:color w:val="000000"/>
                <w:sz w:val="18"/>
                <w:szCs w:val="18"/>
              </w:rPr>
              <w:t xml:space="preserve"> “Needham (2011, p. 65) observed that ‘Personalization advocates have weaved together a range of supportive discourses, encompassing the dignity </w:t>
            </w:r>
            <w:r w:rsidRPr="008B68A9">
              <w:rPr>
                <w:color w:val="000000"/>
                <w:sz w:val="18"/>
                <w:szCs w:val="18"/>
              </w:rPr>
              <w:lastRenderedPageBreak/>
              <w:t>and autonomy of the individual, the power of consumer choice and the failure of bureau-professional welfare states’. There is no sustained alternative debate discernible from these interviews with ASCs or the general literature on the subject of safeguarding and personalisation.” 899</w:t>
            </w:r>
          </w:p>
        </w:tc>
      </w:tr>
      <w:tr w:rsidR="008E4573" w:rsidRPr="008B68A9" w14:paraId="68249088" w14:textId="77777777" w:rsidTr="00045396">
        <w:tc>
          <w:tcPr>
            <w:tcW w:w="1922" w:type="dxa"/>
          </w:tcPr>
          <w:p w14:paraId="209F9B54" w14:textId="77777777" w:rsidR="008E4573" w:rsidRPr="008B68A9" w:rsidRDefault="008E4573" w:rsidP="00045396">
            <w:pPr>
              <w:spacing w:line="240" w:lineRule="auto"/>
              <w:rPr>
                <w:b/>
                <w:sz w:val="18"/>
                <w:szCs w:val="18"/>
              </w:rPr>
            </w:pPr>
            <w:r w:rsidRPr="008B68A9">
              <w:rPr>
                <w:b/>
                <w:sz w:val="18"/>
                <w:szCs w:val="18"/>
              </w:rPr>
              <w:lastRenderedPageBreak/>
              <w:t xml:space="preserve">Tyson </w:t>
            </w:r>
            <w:r w:rsidRPr="008B68A9">
              <w:rPr>
                <w:b/>
                <w:i/>
                <w:sz w:val="18"/>
                <w:szCs w:val="18"/>
              </w:rPr>
              <w:t>et al.</w:t>
            </w:r>
            <w:r w:rsidRPr="008B68A9">
              <w:rPr>
                <w:b/>
                <w:sz w:val="18"/>
                <w:szCs w:val="18"/>
              </w:rPr>
              <w:t xml:space="preserve"> 2010</w:t>
            </w:r>
          </w:p>
        </w:tc>
        <w:tc>
          <w:tcPr>
            <w:tcW w:w="1479" w:type="dxa"/>
          </w:tcPr>
          <w:p w14:paraId="26169732" w14:textId="77777777" w:rsidR="008E4573" w:rsidRPr="008B68A9" w:rsidRDefault="008E4573" w:rsidP="00045396">
            <w:pPr>
              <w:spacing w:line="240" w:lineRule="auto"/>
              <w:rPr>
                <w:sz w:val="18"/>
                <w:szCs w:val="18"/>
              </w:rPr>
            </w:pPr>
            <w:r w:rsidRPr="008B68A9">
              <w:rPr>
                <w:sz w:val="18"/>
                <w:szCs w:val="18"/>
              </w:rPr>
              <w:t>In Control third report</w:t>
            </w:r>
          </w:p>
        </w:tc>
        <w:tc>
          <w:tcPr>
            <w:tcW w:w="1526" w:type="dxa"/>
          </w:tcPr>
          <w:p w14:paraId="4BB31D0C" w14:textId="77777777" w:rsidR="008E4573" w:rsidRPr="008B68A9" w:rsidRDefault="008E4573" w:rsidP="00045396">
            <w:pPr>
              <w:spacing w:line="240" w:lineRule="auto"/>
              <w:rPr>
                <w:sz w:val="18"/>
                <w:szCs w:val="18"/>
              </w:rPr>
            </w:pPr>
            <w:r w:rsidRPr="008B68A9">
              <w:rPr>
                <w:sz w:val="18"/>
                <w:szCs w:val="18"/>
              </w:rPr>
              <w:t>Users of IBs, staff, carers</w:t>
            </w:r>
          </w:p>
        </w:tc>
        <w:tc>
          <w:tcPr>
            <w:tcW w:w="2127" w:type="dxa"/>
          </w:tcPr>
          <w:p w14:paraId="316E44EE" w14:textId="77777777" w:rsidR="008E4573" w:rsidRPr="008B68A9" w:rsidRDefault="008E4573" w:rsidP="00045396">
            <w:pPr>
              <w:spacing w:line="240" w:lineRule="auto"/>
              <w:rPr>
                <w:sz w:val="18"/>
                <w:szCs w:val="18"/>
              </w:rPr>
            </w:pPr>
            <w:r w:rsidRPr="008B68A9">
              <w:rPr>
                <w:sz w:val="18"/>
                <w:szCs w:val="18"/>
              </w:rPr>
              <w:t>On line questionnaire, aggregated by up to 75 local authorities.</w:t>
            </w:r>
          </w:p>
        </w:tc>
        <w:tc>
          <w:tcPr>
            <w:tcW w:w="1701" w:type="dxa"/>
          </w:tcPr>
          <w:p w14:paraId="6E5723B1" w14:textId="77777777" w:rsidR="008E4573" w:rsidRPr="008B68A9" w:rsidRDefault="008E4573" w:rsidP="00045396">
            <w:pPr>
              <w:spacing w:line="240" w:lineRule="auto"/>
              <w:rPr>
                <w:sz w:val="18"/>
                <w:szCs w:val="18"/>
              </w:rPr>
            </w:pPr>
            <w:r w:rsidRPr="008B68A9">
              <w:rPr>
                <w:sz w:val="18"/>
                <w:szCs w:val="18"/>
              </w:rPr>
              <w:t>Aggregated data varies by domain.</w:t>
            </w:r>
          </w:p>
          <w:p w14:paraId="20013736" w14:textId="77777777" w:rsidR="008E4573" w:rsidRPr="008B68A9" w:rsidRDefault="008E4573" w:rsidP="00045396">
            <w:pPr>
              <w:spacing w:line="240" w:lineRule="auto"/>
              <w:rPr>
                <w:sz w:val="18"/>
                <w:szCs w:val="18"/>
              </w:rPr>
            </w:pPr>
            <w:r w:rsidRPr="008B68A9">
              <w:rPr>
                <w:sz w:val="18"/>
                <w:szCs w:val="18"/>
              </w:rPr>
              <w:t>Local evaluations. Descriptive statistics</w:t>
            </w:r>
          </w:p>
        </w:tc>
        <w:tc>
          <w:tcPr>
            <w:tcW w:w="3445" w:type="dxa"/>
          </w:tcPr>
          <w:p w14:paraId="69AFDA79" w14:textId="77777777" w:rsidR="008E4573" w:rsidRPr="008B68A9" w:rsidRDefault="008E4573" w:rsidP="00045396">
            <w:pPr>
              <w:spacing w:line="240" w:lineRule="auto"/>
              <w:rPr>
                <w:sz w:val="18"/>
                <w:szCs w:val="18"/>
              </w:rPr>
            </w:pPr>
            <w:r w:rsidRPr="008B68A9">
              <w:rPr>
                <w:sz w:val="18"/>
                <w:szCs w:val="18"/>
              </w:rPr>
              <w:t>Said to have improved over a range of domains. IB users n=385-522</w:t>
            </w:r>
          </w:p>
          <w:p w14:paraId="1A5D3537" w14:textId="77777777" w:rsidR="008E4573" w:rsidRPr="008B68A9" w:rsidRDefault="008E4573" w:rsidP="00045396">
            <w:pPr>
              <w:spacing w:line="240" w:lineRule="auto"/>
              <w:rPr>
                <w:sz w:val="18"/>
                <w:szCs w:val="18"/>
              </w:rPr>
            </w:pPr>
            <w:r w:rsidRPr="008B68A9">
              <w:rPr>
                <w:sz w:val="18"/>
                <w:szCs w:val="18"/>
              </w:rPr>
              <w:t>N=55-73 professionals mostly agreed work was better across domains.</w:t>
            </w:r>
          </w:p>
          <w:p w14:paraId="04CF4FFB" w14:textId="77777777" w:rsidR="008E4573" w:rsidRPr="008B68A9" w:rsidRDefault="008E4573" w:rsidP="00045396">
            <w:pPr>
              <w:spacing w:line="240" w:lineRule="auto"/>
              <w:rPr>
                <w:sz w:val="18"/>
                <w:szCs w:val="18"/>
              </w:rPr>
            </w:pPr>
            <w:r w:rsidRPr="008B68A9">
              <w:rPr>
                <w:sz w:val="18"/>
                <w:szCs w:val="18"/>
              </w:rPr>
              <w:t>Broker role emphasised.</w:t>
            </w:r>
          </w:p>
        </w:tc>
        <w:tc>
          <w:tcPr>
            <w:tcW w:w="2083" w:type="dxa"/>
          </w:tcPr>
          <w:p w14:paraId="203C1139" w14:textId="77777777" w:rsidR="008E4573" w:rsidRPr="008B68A9" w:rsidRDefault="008E4573" w:rsidP="00045396">
            <w:pPr>
              <w:spacing w:line="240" w:lineRule="auto"/>
              <w:rPr>
                <w:sz w:val="18"/>
                <w:szCs w:val="18"/>
              </w:rPr>
            </w:pPr>
            <w:r w:rsidRPr="008B68A9">
              <w:rPr>
                <w:sz w:val="18"/>
                <w:szCs w:val="18"/>
              </w:rPr>
              <w:t>Mostly LD Key questions regarding limits to personalisation and role of individual in society pertinent.</w:t>
            </w:r>
          </w:p>
          <w:p w14:paraId="3B6D84A9" w14:textId="77777777" w:rsidR="008E4573" w:rsidRPr="008B68A9" w:rsidRDefault="008E4573" w:rsidP="00045396">
            <w:pPr>
              <w:spacing w:line="240" w:lineRule="auto"/>
              <w:rPr>
                <w:sz w:val="18"/>
                <w:szCs w:val="18"/>
              </w:rPr>
            </w:pPr>
          </w:p>
          <w:p w14:paraId="73870FC6" w14:textId="77777777" w:rsidR="008E4573" w:rsidRPr="008B68A9" w:rsidRDefault="008E4573" w:rsidP="00045396">
            <w:pPr>
              <w:spacing w:line="240" w:lineRule="auto"/>
              <w:rPr>
                <w:sz w:val="18"/>
                <w:szCs w:val="18"/>
              </w:rPr>
            </w:pPr>
            <w:r w:rsidRPr="008B68A9">
              <w:rPr>
                <w:sz w:val="18"/>
                <w:szCs w:val="18"/>
              </w:rPr>
              <w:t>Aggregated data.</w:t>
            </w:r>
          </w:p>
          <w:p w14:paraId="1F750A9B" w14:textId="77777777" w:rsidR="008E4573" w:rsidRPr="008B68A9" w:rsidRDefault="008E4573" w:rsidP="00045396">
            <w:pPr>
              <w:spacing w:line="240" w:lineRule="auto"/>
              <w:rPr>
                <w:sz w:val="18"/>
                <w:szCs w:val="18"/>
              </w:rPr>
            </w:pPr>
            <w:r w:rsidRPr="008B68A9">
              <w:rPr>
                <w:sz w:val="18"/>
                <w:szCs w:val="18"/>
              </w:rPr>
              <w:t>Data from local evaluations included in presentation. Poor presenting as % &lt;100</w:t>
            </w:r>
          </w:p>
        </w:tc>
      </w:tr>
      <w:tr w:rsidR="008E4573" w:rsidRPr="008B68A9" w14:paraId="11291405" w14:textId="77777777" w:rsidTr="00045396">
        <w:tc>
          <w:tcPr>
            <w:tcW w:w="1922" w:type="dxa"/>
          </w:tcPr>
          <w:p w14:paraId="5DC9A266" w14:textId="77777777" w:rsidR="008E4573" w:rsidRPr="008B68A9" w:rsidRDefault="008E4573" w:rsidP="00045396">
            <w:pPr>
              <w:spacing w:line="240" w:lineRule="auto"/>
              <w:rPr>
                <w:b/>
                <w:sz w:val="18"/>
                <w:szCs w:val="18"/>
              </w:rPr>
            </w:pPr>
          </w:p>
        </w:tc>
        <w:tc>
          <w:tcPr>
            <w:tcW w:w="1479" w:type="dxa"/>
          </w:tcPr>
          <w:p w14:paraId="1B67F999" w14:textId="77777777" w:rsidR="008E4573" w:rsidRPr="008B68A9" w:rsidRDefault="008E4573" w:rsidP="00045396">
            <w:pPr>
              <w:spacing w:line="240" w:lineRule="auto"/>
              <w:rPr>
                <w:b/>
                <w:sz w:val="18"/>
                <w:szCs w:val="18"/>
              </w:rPr>
            </w:pPr>
          </w:p>
        </w:tc>
        <w:tc>
          <w:tcPr>
            <w:tcW w:w="1526" w:type="dxa"/>
          </w:tcPr>
          <w:p w14:paraId="7EDF348D" w14:textId="77777777" w:rsidR="008E4573" w:rsidRPr="008B68A9" w:rsidRDefault="008E4573" w:rsidP="00045396">
            <w:pPr>
              <w:spacing w:line="240" w:lineRule="auto"/>
              <w:rPr>
                <w:b/>
                <w:sz w:val="18"/>
                <w:szCs w:val="18"/>
              </w:rPr>
            </w:pPr>
          </w:p>
        </w:tc>
        <w:tc>
          <w:tcPr>
            <w:tcW w:w="2127" w:type="dxa"/>
          </w:tcPr>
          <w:p w14:paraId="53EFFA7C" w14:textId="77777777" w:rsidR="008E4573" w:rsidRPr="008B68A9" w:rsidRDefault="008E4573" w:rsidP="00045396">
            <w:pPr>
              <w:spacing w:line="240" w:lineRule="auto"/>
              <w:rPr>
                <w:b/>
                <w:sz w:val="18"/>
                <w:szCs w:val="18"/>
              </w:rPr>
            </w:pPr>
          </w:p>
        </w:tc>
        <w:tc>
          <w:tcPr>
            <w:tcW w:w="1701" w:type="dxa"/>
          </w:tcPr>
          <w:p w14:paraId="38694B3A" w14:textId="77777777" w:rsidR="008E4573" w:rsidRPr="008B68A9" w:rsidRDefault="008E4573" w:rsidP="00045396">
            <w:pPr>
              <w:spacing w:line="240" w:lineRule="auto"/>
              <w:rPr>
                <w:b/>
                <w:sz w:val="18"/>
                <w:szCs w:val="18"/>
              </w:rPr>
            </w:pPr>
          </w:p>
        </w:tc>
        <w:tc>
          <w:tcPr>
            <w:tcW w:w="3445" w:type="dxa"/>
          </w:tcPr>
          <w:p w14:paraId="3A77C44A" w14:textId="77777777" w:rsidR="008E4573" w:rsidRPr="008B68A9" w:rsidRDefault="008E4573" w:rsidP="00045396">
            <w:pPr>
              <w:spacing w:line="240" w:lineRule="auto"/>
              <w:rPr>
                <w:b/>
                <w:sz w:val="18"/>
                <w:szCs w:val="18"/>
              </w:rPr>
            </w:pPr>
          </w:p>
        </w:tc>
        <w:tc>
          <w:tcPr>
            <w:tcW w:w="2083" w:type="dxa"/>
          </w:tcPr>
          <w:p w14:paraId="1FB22B05" w14:textId="77777777" w:rsidR="008E4573" w:rsidRPr="008B68A9" w:rsidRDefault="008E4573" w:rsidP="00045396">
            <w:pPr>
              <w:spacing w:line="240" w:lineRule="auto"/>
              <w:rPr>
                <w:b/>
                <w:sz w:val="18"/>
                <w:szCs w:val="18"/>
              </w:rPr>
            </w:pPr>
          </w:p>
        </w:tc>
      </w:tr>
      <w:tr w:rsidR="008E4573" w:rsidRPr="008B68A9" w14:paraId="26DDCC3F" w14:textId="77777777" w:rsidTr="00045396">
        <w:tc>
          <w:tcPr>
            <w:tcW w:w="14283" w:type="dxa"/>
            <w:gridSpan w:val="7"/>
            <w:shd w:val="clear" w:color="auto" w:fill="000000" w:themeFill="text1"/>
          </w:tcPr>
          <w:p w14:paraId="6FF1B5F1" w14:textId="77777777" w:rsidR="008E4573" w:rsidRPr="008B68A9" w:rsidRDefault="008E4573" w:rsidP="00045396">
            <w:pPr>
              <w:spacing w:line="240" w:lineRule="auto"/>
              <w:jc w:val="center"/>
              <w:rPr>
                <w:b/>
                <w:sz w:val="18"/>
                <w:szCs w:val="18"/>
              </w:rPr>
            </w:pPr>
            <w:r w:rsidRPr="008B68A9">
              <w:rPr>
                <w:b/>
                <w:sz w:val="18"/>
                <w:szCs w:val="18"/>
              </w:rPr>
              <w:t>Europe</w:t>
            </w:r>
          </w:p>
        </w:tc>
      </w:tr>
      <w:tr w:rsidR="008E4573" w:rsidRPr="008B68A9" w14:paraId="529472C7" w14:textId="77777777" w:rsidTr="00045396">
        <w:tc>
          <w:tcPr>
            <w:tcW w:w="1922" w:type="dxa"/>
          </w:tcPr>
          <w:p w14:paraId="25F163BB" w14:textId="77777777" w:rsidR="008E4573" w:rsidRPr="008B68A9" w:rsidRDefault="008E4573" w:rsidP="00045396">
            <w:pPr>
              <w:spacing w:line="240" w:lineRule="auto"/>
              <w:rPr>
                <w:b/>
                <w:sz w:val="18"/>
                <w:szCs w:val="18"/>
              </w:rPr>
            </w:pPr>
            <w:r w:rsidRPr="008B68A9">
              <w:rPr>
                <w:b/>
                <w:sz w:val="18"/>
                <w:szCs w:val="18"/>
              </w:rPr>
              <w:t>Arntz and Thomsen 2008</w:t>
            </w:r>
          </w:p>
        </w:tc>
        <w:tc>
          <w:tcPr>
            <w:tcW w:w="1479" w:type="dxa"/>
          </w:tcPr>
          <w:p w14:paraId="388BC46A" w14:textId="77777777" w:rsidR="008E4573" w:rsidRPr="008B68A9" w:rsidRDefault="008E4573" w:rsidP="00045396">
            <w:pPr>
              <w:spacing w:line="240" w:lineRule="auto"/>
              <w:rPr>
                <w:sz w:val="18"/>
                <w:szCs w:val="18"/>
              </w:rPr>
            </w:pPr>
            <w:r w:rsidRPr="008B68A9">
              <w:rPr>
                <w:sz w:val="18"/>
                <w:szCs w:val="18"/>
              </w:rPr>
              <w:t>Older people, long term care. Comparison with German insurance long term care scheme.</w:t>
            </w:r>
          </w:p>
        </w:tc>
        <w:tc>
          <w:tcPr>
            <w:tcW w:w="1526" w:type="dxa"/>
          </w:tcPr>
          <w:p w14:paraId="64FAFB49" w14:textId="77777777" w:rsidR="008E4573" w:rsidRPr="008B68A9" w:rsidRDefault="008E4573" w:rsidP="00045396">
            <w:pPr>
              <w:spacing w:line="240" w:lineRule="auto"/>
              <w:rPr>
                <w:sz w:val="18"/>
                <w:szCs w:val="18"/>
              </w:rPr>
            </w:pPr>
            <w:r w:rsidRPr="008B68A9">
              <w:rPr>
                <w:sz w:val="18"/>
                <w:szCs w:val="18"/>
              </w:rPr>
              <w:t>Experimental design 300 control</w:t>
            </w:r>
          </w:p>
          <w:p w14:paraId="0B870520" w14:textId="77777777" w:rsidR="008E4573" w:rsidRPr="008B68A9" w:rsidRDefault="008E4573" w:rsidP="00045396">
            <w:pPr>
              <w:spacing w:line="240" w:lineRule="auto"/>
              <w:rPr>
                <w:sz w:val="18"/>
                <w:szCs w:val="18"/>
              </w:rPr>
            </w:pPr>
            <w:r w:rsidRPr="008B68A9">
              <w:rPr>
                <w:sz w:val="18"/>
                <w:szCs w:val="18"/>
              </w:rPr>
              <w:t>150 IBs</w:t>
            </w:r>
          </w:p>
        </w:tc>
        <w:tc>
          <w:tcPr>
            <w:tcW w:w="2127" w:type="dxa"/>
          </w:tcPr>
          <w:p w14:paraId="55DC5BCA" w14:textId="77777777" w:rsidR="008E4573" w:rsidRPr="008B68A9" w:rsidRDefault="008E4573" w:rsidP="00045396">
            <w:pPr>
              <w:spacing w:line="240" w:lineRule="auto"/>
              <w:rPr>
                <w:sz w:val="18"/>
                <w:szCs w:val="18"/>
              </w:rPr>
            </w:pPr>
            <w:r w:rsidRPr="008B68A9">
              <w:rPr>
                <w:sz w:val="18"/>
                <w:szCs w:val="18"/>
              </w:rPr>
              <w:t>Interview with older persons and/or their proxy.</w:t>
            </w:r>
          </w:p>
        </w:tc>
        <w:tc>
          <w:tcPr>
            <w:tcW w:w="1701" w:type="dxa"/>
          </w:tcPr>
          <w:p w14:paraId="01BA32F2" w14:textId="77777777" w:rsidR="008E4573" w:rsidRPr="008B68A9" w:rsidRDefault="008E4573" w:rsidP="00045396">
            <w:pPr>
              <w:spacing w:line="240" w:lineRule="auto"/>
              <w:rPr>
                <w:sz w:val="18"/>
                <w:szCs w:val="18"/>
              </w:rPr>
            </w:pPr>
            <w:r w:rsidRPr="008B68A9">
              <w:rPr>
                <w:sz w:val="18"/>
                <w:szCs w:val="18"/>
              </w:rPr>
              <w:t>Descriptive statistics</w:t>
            </w:r>
          </w:p>
        </w:tc>
        <w:tc>
          <w:tcPr>
            <w:tcW w:w="3445" w:type="dxa"/>
          </w:tcPr>
          <w:p w14:paraId="5F412A3B" w14:textId="77777777" w:rsidR="008E4573" w:rsidRPr="008B68A9" w:rsidRDefault="008E4573" w:rsidP="00045396">
            <w:pPr>
              <w:spacing w:line="240" w:lineRule="auto"/>
              <w:rPr>
                <w:sz w:val="18"/>
                <w:szCs w:val="18"/>
              </w:rPr>
            </w:pPr>
            <w:r w:rsidRPr="008B68A9">
              <w:rPr>
                <w:sz w:val="18"/>
                <w:szCs w:val="18"/>
              </w:rPr>
              <w:t>Suggest payment at the higher end of continuum might be crowding out informal care; for formal paid options, less support given by relatives.</w:t>
            </w:r>
          </w:p>
          <w:p w14:paraId="61FDFBBD" w14:textId="77777777" w:rsidR="008E4573" w:rsidRPr="008B68A9" w:rsidRDefault="008E4573" w:rsidP="00045396">
            <w:pPr>
              <w:spacing w:line="240" w:lineRule="auto"/>
              <w:rPr>
                <w:sz w:val="18"/>
                <w:szCs w:val="18"/>
              </w:rPr>
            </w:pPr>
            <w:r w:rsidRPr="008B68A9">
              <w:rPr>
                <w:sz w:val="18"/>
                <w:szCs w:val="18"/>
              </w:rPr>
              <w:t>Service hours increased 15&gt;18hrs (low overheads and on-costs).</w:t>
            </w:r>
          </w:p>
        </w:tc>
        <w:tc>
          <w:tcPr>
            <w:tcW w:w="2083" w:type="dxa"/>
          </w:tcPr>
          <w:p w14:paraId="67AF7E7D" w14:textId="77777777" w:rsidR="008E4573" w:rsidRPr="008B68A9" w:rsidRDefault="008E4573" w:rsidP="00045396">
            <w:pPr>
              <w:spacing w:line="240" w:lineRule="auto"/>
              <w:rPr>
                <w:sz w:val="18"/>
                <w:szCs w:val="18"/>
              </w:rPr>
            </w:pPr>
            <w:r w:rsidRPr="008B68A9">
              <w:rPr>
                <w:sz w:val="18"/>
                <w:szCs w:val="18"/>
              </w:rPr>
              <w:t>Mismatched control treatment arms. 20% proxy only interviews and some sample refused randomisation. Much of the piece deals with corrective statistical methods for this group.</w:t>
            </w:r>
          </w:p>
        </w:tc>
      </w:tr>
      <w:tr w:rsidR="008E4573" w:rsidRPr="008B68A9" w14:paraId="65880431" w14:textId="77777777" w:rsidTr="00045396">
        <w:tc>
          <w:tcPr>
            <w:tcW w:w="1922" w:type="dxa"/>
          </w:tcPr>
          <w:p w14:paraId="24040F51" w14:textId="77777777" w:rsidR="008E4573" w:rsidRPr="008B68A9" w:rsidRDefault="008E4573" w:rsidP="00045396">
            <w:pPr>
              <w:spacing w:line="240" w:lineRule="auto"/>
              <w:rPr>
                <w:b/>
                <w:sz w:val="18"/>
                <w:szCs w:val="18"/>
              </w:rPr>
            </w:pPr>
          </w:p>
        </w:tc>
        <w:tc>
          <w:tcPr>
            <w:tcW w:w="1479" w:type="dxa"/>
          </w:tcPr>
          <w:p w14:paraId="4ACC53CB" w14:textId="77777777" w:rsidR="008E4573" w:rsidRPr="008B68A9" w:rsidRDefault="008E4573" w:rsidP="00045396">
            <w:pPr>
              <w:spacing w:line="240" w:lineRule="auto"/>
              <w:rPr>
                <w:sz w:val="18"/>
                <w:szCs w:val="18"/>
              </w:rPr>
            </w:pPr>
          </w:p>
        </w:tc>
        <w:tc>
          <w:tcPr>
            <w:tcW w:w="1526" w:type="dxa"/>
          </w:tcPr>
          <w:p w14:paraId="1BB76385" w14:textId="77777777" w:rsidR="008E4573" w:rsidRPr="008B68A9" w:rsidRDefault="008E4573" w:rsidP="00045396">
            <w:pPr>
              <w:spacing w:line="240" w:lineRule="auto"/>
              <w:rPr>
                <w:sz w:val="18"/>
                <w:szCs w:val="18"/>
              </w:rPr>
            </w:pPr>
          </w:p>
        </w:tc>
        <w:tc>
          <w:tcPr>
            <w:tcW w:w="2127" w:type="dxa"/>
          </w:tcPr>
          <w:p w14:paraId="6571B7CF" w14:textId="77777777" w:rsidR="008E4573" w:rsidRPr="008B68A9" w:rsidRDefault="008E4573" w:rsidP="00045396">
            <w:pPr>
              <w:spacing w:line="240" w:lineRule="auto"/>
              <w:rPr>
                <w:sz w:val="18"/>
                <w:szCs w:val="18"/>
              </w:rPr>
            </w:pPr>
          </w:p>
        </w:tc>
        <w:tc>
          <w:tcPr>
            <w:tcW w:w="1701" w:type="dxa"/>
          </w:tcPr>
          <w:p w14:paraId="56A57FE0" w14:textId="77777777" w:rsidR="008E4573" w:rsidRPr="008B68A9" w:rsidRDefault="008E4573" w:rsidP="00045396">
            <w:pPr>
              <w:spacing w:line="240" w:lineRule="auto"/>
              <w:rPr>
                <w:sz w:val="18"/>
                <w:szCs w:val="18"/>
              </w:rPr>
            </w:pPr>
          </w:p>
        </w:tc>
        <w:tc>
          <w:tcPr>
            <w:tcW w:w="3445" w:type="dxa"/>
          </w:tcPr>
          <w:p w14:paraId="2627A1FF" w14:textId="77777777" w:rsidR="008E4573" w:rsidRPr="008B68A9" w:rsidRDefault="008E4573" w:rsidP="00045396">
            <w:pPr>
              <w:spacing w:line="240" w:lineRule="auto"/>
              <w:rPr>
                <w:sz w:val="18"/>
                <w:szCs w:val="18"/>
              </w:rPr>
            </w:pPr>
          </w:p>
        </w:tc>
        <w:tc>
          <w:tcPr>
            <w:tcW w:w="2083" w:type="dxa"/>
          </w:tcPr>
          <w:p w14:paraId="597E8382" w14:textId="77777777" w:rsidR="008E4573" w:rsidRPr="008B68A9" w:rsidRDefault="008E4573" w:rsidP="00045396">
            <w:pPr>
              <w:spacing w:line="240" w:lineRule="auto"/>
              <w:rPr>
                <w:sz w:val="18"/>
                <w:szCs w:val="18"/>
              </w:rPr>
            </w:pPr>
          </w:p>
        </w:tc>
      </w:tr>
      <w:tr w:rsidR="008E4573" w:rsidRPr="008B68A9" w14:paraId="0E8045CE" w14:textId="77777777" w:rsidTr="00045396">
        <w:tc>
          <w:tcPr>
            <w:tcW w:w="1922" w:type="dxa"/>
          </w:tcPr>
          <w:p w14:paraId="2E15B035" w14:textId="77777777" w:rsidR="008E4573" w:rsidRPr="008B68A9" w:rsidRDefault="008E4573" w:rsidP="00045396">
            <w:pPr>
              <w:spacing w:line="240" w:lineRule="auto"/>
              <w:rPr>
                <w:b/>
                <w:sz w:val="18"/>
                <w:szCs w:val="18"/>
              </w:rPr>
            </w:pPr>
            <w:r w:rsidRPr="008B68A9">
              <w:rPr>
                <w:b/>
                <w:sz w:val="18"/>
                <w:szCs w:val="18"/>
              </w:rPr>
              <w:t>Da Roit and Le Bihan (2010),</w:t>
            </w:r>
          </w:p>
        </w:tc>
        <w:tc>
          <w:tcPr>
            <w:tcW w:w="1479" w:type="dxa"/>
          </w:tcPr>
          <w:p w14:paraId="1115A405" w14:textId="77777777" w:rsidR="008E4573" w:rsidRPr="008B68A9" w:rsidRDefault="008E4573" w:rsidP="00045396">
            <w:pPr>
              <w:spacing w:line="240" w:lineRule="auto"/>
              <w:rPr>
                <w:sz w:val="18"/>
                <w:szCs w:val="18"/>
              </w:rPr>
            </w:pPr>
            <w:r w:rsidRPr="008B68A9">
              <w:rPr>
                <w:sz w:val="18"/>
                <w:szCs w:val="18"/>
              </w:rPr>
              <w:t>Analysis of European self-direction programmes for long term care.</w:t>
            </w:r>
          </w:p>
        </w:tc>
        <w:tc>
          <w:tcPr>
            <w:tcW w:w="1526" w:type="dxa"/>
          </w:tcPr>
          <w:p w14:paraId="0642013A" w14:textId="77777777" w:rsidR="008E4573" w:rsidRPr="008B68A9" w:rsidRDefault="008E4573" w:rsidP="00045396">
            <w:pPr>
              <w:spacing w:line="240" w:lineRule="auto"/>
              <w:rPr>
                <w:sz w:val="18"/>
                <w:szCs w:val="18"/>
              </w:rPr>
            </w:pPr>
            <w:r w:rsidRPr="008B68A9">
              <w:rPr>
                <w:sz w:val="18"/>
                <w:szCs w:val="18"/>
              </w:rPr>
              <w:t>unspecified</w:t>
            </w:r>
          </w:p>
        </w:tc>
        <w:tc>
          <w:tcPr>
            <w:tcW w:w="2127" w:type="dxa"/>
          </w:tcPr>
          <w:p w14:paraId="2D35C465" w14:textId="77777777" w:rsidR="008E4573" w:rsidRPr="008B68A9" w:rsidRDefault="008E4573" w:rsidP="00045396">
            <w:pPr>
              <w:spacing w:line="240" w:lineRule="auto"/>
              <w:rPr>
                <w:sz w:val="18"/>
                <w:szCs w:val="18"/>
              </w:rPr>
            </w:pPr>
            <w:r w:rsidRPr="008B68A9">
              <w:rPr>
                <w:sz w:val="18"/>
                <w:szCs w:val="18"/>
              </w:rPr>
              <w:t>unspecified</w:t>
            </w:r>
          </w:p>
        </w:tc>
        <w:tc>
          <w:tcPr>
            <w:tcW w:w="1701" w:type="dxa"/>
          </w:tcPr>
          <w:p w14:paraId="02BC249F" w14:textId="77777777" w:rsidR="008E4573" w:rsidRPr="008B68A9" w:rsidRDefault="008E4573" w:rsidP="00045396">
            <w:pPr>
              <w:spacing w:line="240" w:lineRule="auto"/>
              <w:rPr>
                <w:sz w:val="18"/>
                <w:szCs w:val="18"/>
              </w:rPr>
            </w:pPr>
            <w:r w:rsidRPr="008B68A9">
              <w:rPr>
                <w:sz w:val="18"/>
                <w:szCs w:val="18"/>
              </w:rPr>
              <w:t>unspecified</w:t>
            </w:r>
          </w:p>
        </w:tc>
        <w:tc>
          <w:tcPr>
            <w:tcW w:w="3445" w:type="dxa"/>
          </w:tcPr>
          <w:p w14:paraId="06D597A5" w14:textId="77777777" w:rsidR="008E4573" w:rsidRPr="008B68A9" w:rsidRDefault="008E4573" w:rsidP="00045396">
            <w:pPr>
              <w:spacing w:line="240" w:lineRule="auto"/>
              <w:rPr>
                <w:sz w:val="18"/>
                <w:szCs w:val="18"/>
              </w:rPr>
            </w:pPr>
            <w:r w:rsidRPr="008B68A9">
              <w:rPr>
                <w:sz w:val="18"/>
                <w:szCs w:val="18"/>
              </w:rPr>
              <w:t>More flexible in Netherlands and Sweden than France – (see Alakeson for open and closed construction). In Gori and Da Roit they suggest IBs unregulated ‘cash-for-care transfers’ approach treated as income support in Italy - see USA Croft 2016.</w:t>
            </w:r>
          </w:p>
          <w:p w14:paraId="4B274B0B" w14:textId="77777777" w:rsidR="008E4573" w:rsidRPr="008B68A9" w:rsidRDefault="008E4573" w:rsidP="00045396">
            <w:pPr>
              <w:spacing w:line="240" w:lineRule="auto"/>
              <w:rPr>
                <w:sz w:val="18"/>
                <w:szCs w:val="18"/>
              </w:rPr>
            </w:pPr>
          </w:p>
          <w:p w14:paraId="3D76B503" w14:textId="77777777" w:rsidR="008E4573" w:rsidRPr="008B68A9" w:rsidRDefault="008E4573" w:rsidP="00045396">
            <w:pPr>
              <w:spacing w:line="240" w:lineRule="auto"/>
              <w:rPr>
                <w:sz w:val="18"/>
                <w:szCs w:val="18"/>
              </w:rPr>
            </w:pPr>
            <w:r w:rsidRPr="008B68A9">
              <w:rPr>
                <w:sz w:val="18"/>
                <w:szCs w:val="18"/>
              </w:rPr>
              <w:t>Shift of care back to families as central narrative.</w:t>
            </w:r>
          </w:p>
          <w:p w14:paraId="0E0AFE59" w14:textId="77777777" w:rsidR="008E4573" w:rsidRPr="008B68A9" w:rsidRDefault="008E4573" w:rsidP="00045396">
            <w:pPr>
              <w:spacing w:line="240" w:lineRule="auto"/>
              <w:rPr>
                <w:sz w:val="18"/>
                <w:szCs w:val="18"/>
              </w:rPr>
            </w:pPr>
          </w:p>
        </w:tc>
        <w:tc>
          <w:tcPr>
            <w:tcW w:w="2083" w:type="dxa"/>
          </w:tcPr>
          <w:p w14:paraId="56CC5008" w14:textId="77777777" w:rsidR="008E4573" w:rsidRPr="008B68A9" w:rsidRDefault="008E4573" w:rsidP="00045396">
            <w:pPr>
              <w:spacing w:line="240" w:lineRule="auto"/>
              <w:rPr>
                <w:sz w:val="18"/>
                <w:szCs w:val="18"/>
              </w:rPr>
            </w:pPr>
            <w:r w:rsidRPr="008B68A9">
              <w:rPr>
                <w:sz w:val="18"/>
                <w:szCs w:val="18"/>
              </w:rPr>
              <w:t>Not clear how literature was sourced.</w:t>
            </w:r>
          </w:p>
          <w:p w14:paraId="7727297B" w14:textId="77777777" w:rsidR="008E4573" w:rsidRPr="008B68A9" w:rsidRDefault="008E4573" w:rsidP="00045396">
            <w:pPr>
              <w:spacing w:line="240" w:lineRule="auto"/>
              <w:rPr>
                <w:sz w:val="18"/>
                <w:szCs w:val="18"/>
              </w:rPr>
            </w:pPr>
            <w:r w:rsidRPr="008B68A9">
              <w:rPr>
                <w:sz w:val="18"/>
                <w:szCs w:val="18"/>
              </w:rPr>
              <w:t xml:space="preserve">Not specific to MH </w:t>
            </w:r>
          </w:p>
          <w:p w14:paraId="346F4713" w14:textId="77777777" w:rsidR="008E4573" w:rsidRPr="008B68A9" w:rsidRDefault="008E4573" w:rsidP="00045396">
            <w:pPr>
              <w:spacing w:line="240" w:lineRule="auto"/>
              <w:rPr>
                <w:sz w:val="18"/>
                <w:szCs w:val="18"/>
              </w:rPr>
            </w:pPr>
          </w:p>
          <w:p w14:paraId="2C067341" w14:textId="77777777" w:rsidR="008E4573" w:rsidRPr="008B68A9" w:rsidRDefault="008E4573" w:rsidP="00045396">
            <w:pPr>
              <w:spacing w:line="240" w:lineRule="auto"/>
              <w:rPr>
                <w:sz w:val="18"/>
                <w:szCs w:val="18"/>
              </w:rPr>
            </w:pPr>
            <w:r w:rsidRPr="008B68A9">
              <w:rPr>
                <w:sz w:val="18"/>
                <w:szCs w:val="18"/>
              </w:rPr>
              <w:t>Strong account of development in Europe of cash for care and comparison of approaches.</w:t>
            </w:r>
          </w:p>
        </w:tc>
      </w:tr>
      <w:tr w:rsidR="008E4573" w:rsidRPr="008B68A9" w14:paraId="68F27287" w14:textId="77777777" w:rsidTr="00045396">
        <w:tc>
          <w:tcPr>
            <w:tcW w:w="1922" w:type="dxa"/>
          </w:tcPr>
          <w:p w14:paraId="6A02A45C" w14:textId="77777777" w:rsidR="008E4573" w:rsidRPr="008B68A9" w:rsidRDefault="008E4573" w:rsidP="00045396">
            <w:pPr>
              <w:spacing w:line="240" w:lineRule="auto"/>
              <w:rPr>
                <w:b/>
                <w:sz w:val="18"/>
                <w:szCs w:val="18"/>
              </w:rPr>
            </w:pPr>
          </w:p>
        </w:tc>
        <w:tc>
          <w:tcPr>
            <w:tcW w:w="1479" w:type="dxa"/>
          </w:tcPr>
          <w:p w14:paraId="026843EE" w14:textId="77777777" w:rsidR="008E4573" w:rsidRPr="008B68A9" w:rsidRDefault="008E4573" w:rsidP="00045396">
            <w:pPr>
              <w:spacing w:line="240" w:lineRule="auto"/>
              <w:rPr>
                <w:sz w:val="18"/>
                <w:szCs w:val="18"/>
              </w:rPr>
            </w:pPr>
          </w:p>
        </w:tc>
        <w:tc>
          <w:tcPr>
            <w:tcW w:w="1526" w:type="dxa"/>
          </w:tcPr>
          <w:p w14:paraId="7502A127" w14:textId="77777777" w:rsidR="008E4573" w:rsidRPr="008B68A9" w:rsidRDefault="008E4573" w:rsidP="00045396">
            <w:pPr>
              <w:spacing w:line="240" w:lineRule="auto"/>
              <w:rPr>
                <w:sz w:val="18"/>
                <w:szCs w:val="18"/>
              </w:rPr>
            </w:pPr>
          </w:p>
        </w:tc>
        <w:tc>
          <w:tcPr>
            <w:tcW w:w="2127" w:type="dxa"/>
          </w:tcPr>
          <w:p w14:paraId="00ED4F02" w14:textId="77777777" w:rsidR="008E4573" w:rsidRPr="008B68A9" w:rsidRDefault="008E4573" w:rsidP="00045396">
            <w:pPr>
              <w:spacing w:line="240" w:lineRule="auto"/>
              <w:rPr>
                <w:sz w:val="18"/>
                <w:szCs w:val="18"/>
              </w:rPr>
            </w:pPr>
          </w:p>
        </w:tc>
        <w:tc>
          <w:tcPr>
            <w:tcW w:w="1701" w:type="dxa"/>
          </w:tcPr>
          <w:p w14:paraId="2AFCB141" w14:textId="77777777" w:rsidR="008E4573" w:rsidRPr="008B68A9" w:rsidRDefault="008E4573" w:rsidP="00045396">
            <w:pPr>
              <w:spacing w:line="240" w:lineRule="auto"/>
              <w:rPr>
                <w:sz w:val="18"/>
                <w:szCs w:val="18"/>
              </w:rPr>
            </w:pPr>
          </w:p>
        </w:tc>
        <w:tc>
          <w:tcPr>
            <w:tcW w:w="3445" w:type="dxa"/>
          </w:tcPr>
          <w:p w14:paraId="3B28E6ED" w14:textId="77777777" w:rsidR="008E4573" w:rsidRPr="008B68A9" w:rsidRDefault="008E4573" w:rsidP="00045396">
            <w:pPr>
              <w:spacing w:line="240" w:lineRule="auto"/>
              <w:rPr>
                <w:sz w:val="18"/>
                <w:szCs w:val="18"/>
              </w:rPr>
            </w:pPr>
          </w:p>
        </w:tc>
        <w:tc>
          <w:tcPr>
            <w:tcW w:w="2083" w:type="dxa"/>
          </w:tcPr>
          <w:p w14:paraId="2B2FEF0C" w14:textId="77777777" w:rsidR="008E4573" w:rsidRPr="008B68A9" w:rsidRDefault="008E4573" w:rsidP="00045396">
            <w:pPr>
              <w:spacing w:line="240" w:lineRule="auto"/>
              <w:rPr>
                <w:sz w:val="18"/>
                <w:szCs w:val="18"/>
              </w:rPr>
            </w:pPr>
          </w:p>
        </w:tc>
      </w:tr>
      <w:tr w:rsidR="008E4573" w:rsidRPr="008B68A9" w14:paraId="0DBA5A9D" w14:textId="77777777" w:rsidTr="00045396">
        <w:tc>
          <w:tcPr>
            <w:tcW w:w="1922" w:type="dxa"/>
          </w:tcPr>
          <w:p w14:paraId="382096B6" w14:textId="77777777" w:rsidR="008E4573" w:rsidRPr="008B68A9" w:rsidRDefault="008E4573" w:rsidP="00045396">
            <w:pPr>
              <w:spacing w:line="240" w:lineRule="auto"/>
              <w:rPr>
                <w:b/>
                <w:sz w:val="18"/>
                <w:szCs w:val="18"/>
              </w:rPr>
            </w:pPr>
            <w:r w:rsidRPr="008B68A9">
              <w:rPr>
                <w:b/>
                <w:sz w:val="18"/>
                <w:szCs w:val="18"/>
              </w:rPr>
              <w:t>Eriksson 2014</w:t>
            </w:r>
          </w:p>
        </w:tc>
        <w:tc>
          <w:tcPr>
            <w:tcW w:w="1479" w:type="dxa"/>
          </w:tcPr>
          <w:p w14:paraId="55428CA6" w14:textId="77777777" w:rsidR="008E4573" w:rsidRPr="008B68A9" w:rsidRDefault="008E4573" w:rsidP="00045396">
            <w:pPr>
              <w:spacing w:line="240" w:lineRule="auto"/>
              <w:rPr>
                <w:sz w:val="18"/>
                <w:szCs w:val="18"/>
              </w:rPr>
            </w:pPr>
            <w:r w:rsidRPr="008B68A9">
              <w:rPr>
                <w:sz w:val="18"/>
                <w:szCs w:val="18"/>
              </w:rPr>
              <w:t>Evaluation study personalisation in learning disability services.</w:t>
            </w:r>
          </w:p>
        </w:tc>
        <w:tc>
          <w:tcPr>
            <w:tcW w:w="1526" w:type="dxa"/>
          </w:tcPr>
          <w:p w14:paraId="751A8F8C" w14:textId="77777777" w:rsidR="008E4573" w:rsidRPr="008B68A9" w:rsidRDefault="008E4573" w:rsidP="00045396">
            <w:pPr>
              <w:spacing w:line="240" w:lineRule="auto"/>
              <w:rPr>
                <w:sz w:val="18"/>
                <w:szCs w:val="18"/>
              </w:rPr>
            </w:pPr>
            <w:r w:rsidRPr="008B68A9">
              <w:rPr>
                <w:sz w:val="18"/>
                <w:szCs w:val="18"/>
              </w:rPr>
              <w:t>15-20 PWLD</w:t>
            </w:r>
          </w:p>
          <w:p w14:paraId="1701E67F" w14:textId="77777777" w:rsidR="008E4573" w:rsidRPr="008B68A9" w:rsidRDefault="008E4573" w:rsidP="00045396">
            <w:pPr>
              <w:spacing w:line="240" w:lineRule="auto"/>
              <w:rPr>
                <w:sz w:val="18"/>
                <w:szCs w:val="18"/>
              </w:rPr>
            </w:pPr>
            <w:r w:rsidRPr="008B68A9">
              <w:rPr>
                <w:sz w:val="18"/>
                <w:szCs w:val="18"/>
              </w:rPr>
              <w:t>30-40 staff</w:t>
            </w:r>
          </w:p>
        </w:tc>
        <w:tc>
          <w:tcPr>
            <w:tcW w:w="2127" w:type="dxa"/>
          </w:tcPr>
          <w:p w14:paraId="3EF45AB2" w14:textId="77777777" w:rsidR="008E4573" w:rsidRPr="008B68A9" w:rsidRDefault="008E4573" w:rsidP="00045396">
            <w:pPr>
              <w:spacing w:line="240" w:lineRule="auto"/>
              <w:rPr>
                <w:sz w:val="18"/>
                <w:szCs w:val="18"/>
              </w:rPr>
            </w:pPr>
            <w:r w:rsidRPr="008B68A9">
              <w:rPr>
                <w:sz w:val="18"/>
                <w:szCs w:val="18"/>
              </w:rPr>
              <w:t>Semi-structured interviews</w:t>
            </w:r>
          </w:p>
        </w:tc>
        <w:tc>
          <w:tcPr>
            <w:tcW w:w="1701" w:type="dxa"/>
          </w:tcPr>
          <w:p w14:paraId="3F484039" w14:textId="77777777" w:rsidR="008E4573" w:rsidRPr="008B68A9" w:rsidRDefault="008E4573" w:rsidP="00045396">
            <w:pPr>
              <w:spacing w:line="240" w:lineRule="auto"/>
              <w:rPr>
                <w:sz w:val="18"/>
                <w:szCs w:val="18"/>
              </w:rPr>
            </w:pPr>
            <w:r w:rsidRPr="008B68A9">
              <w:rPr>
                <w:sz w:val="18"/>
                <w:szCs w:val="18"/>
              </w:rPr>
              <w:t>Constructionist methodology.</w:t>
            </w:r>
          </w:p>
          <w:p w14:paraId="51D49137" w14:textId="77777777" w:rsidR="008E4573" w:rsidRPr="008B68A9" w:rsidRDefault="008E4573" w:rsidP="00045396">
            <w:pPr>
              <w:spacing w:line="240" w:lineRule="auto"/>
              <w:rPr>
                <w:sz w:val="18"/>
                <w:szCs w:val="18"/>
              </w:rPr>
            </w:pPr>
            <w:r w:rsidRPr="008B68A9">
              <w:rPr>
                <w:sz w:val="18"/>
                <w:szCs w:val="18"/>
              </w:rPr>
              <w:t>Critical discourse analysis, categorisation, positioning.</w:t>
            </w:r>
          </w:p>
        </w:tc>
        <w:tc>
          <w:tcPr>
            <w:tcW w:w="3445" w:type="dxa"/>
          </w:tcPr>
          <w:p w14:paraId="62D3C1E5" w14:textId="77777777" w:rsidR="008E4573" w:rsidRPr="008B68A9" w:rsidRDefault="008E4573" w:rsidP="00045396">
            <w:pPr>
              <w:spacing w:line="240" w:lineRule="auto"/>
              <w:rPr>
                <w:sz w:val="18"/>
                <w:szCs w:val="18"/>
              </w:rPr>
            </w:pPr>
            <w:r w:rsidRPr="008B68A9">
              <w:rPr>
                <w:sz w:val="18"/>
                <w:szCs w:val="18"/>
              </w:rPr>
              <w:t>Importance of user accessible documentation.</w:t>
            </w:r>
          </w:p>
          <w:p w14:paraId="70C26301" w14:textId="77777777" w:rsidR="008E4573" w:rsidRPr="008B68A9" w:rsidRDefault="008E4573" w:rsidP="00045396">
            <w:pPr>
              <w:spacing w:line="240" w:lineRule="auto"/>
              <w:rPr>
                <w:sz w:val="18"/>
                <w:szCs w:val="18"/>
              </w:rPr>
            </w:pPr>
          </w:p>
          <w:p w14:paraId="6C5CFE05" w14:textId="77777777" w:rsidR="008E4573" w:rsidRPr="008B68A9" w:rsidRDefault="008E4573" w:rsidP="00045396">
            <w:pPr>
              <w:spacing w:line="240" w:lineRule="auto"/>
              <w:rPr>
                <w:sz w:val="18"/>
                <w:szCs w:val="18"/>
              </w:rPr>
            </w:pPr>
            <w:r w:rsidRPr="008B68A9">
              <w:rPr>
                <w:sz w:val="18"/>
                <w:szCs w:val="18"/>
              </w:rPr>
              <w:t>Organisational thinking rather than individual thinking results in ‘tensional’ instances.</w:t>
            </w:r>
          </w:p>
          <w:p w14:paraId="4689EBF2" w14:textId="77777777" w:rsidR="008E4573" w:rsidRPr="008B68A9" w:rsidRDefault="008E4573" w:rsidP="00045396">
            <w:pPr>
              <w:spacing w:line="240" w:lineRule="auto"/>
              <w:rPr>
                <w:sz w:val="18"/>
                <w:szCs w:val="18"/>
              </w:rPr>
            </w:pPr>
          </w:p>
          <w:p w14:paraId="342D6C92" w14:textId="77777777" w:rsidR="008E4573" w:rsidRPr="008B68A9" w:rsidRDefault="008E4573" w:rsidP="00045396">
            <w:pPr>
              <w:spacing w:line="240" w:lineRule="auto"/>
              <w:rPr>
                <w:sz w:val="18"/>
                <w:szCs w:val="18"/>
              </w:rPr>
            </w:pPr>
            <w:r w:rsidRPr="008B68A9">
              <w:rPr>
                <w:sz w:val="18"/>
                <w:szCs w:val="18"/>
              </w:rPr>
              <w:t>Introduces notion of institutional power and the role of governance in constructing the position of the disabled person.</w:t>
            </w:r>
          </w:p>
          <w:p w14:paraId="4DAAE5B8" w14:textId="77777777" w:rsidR="008E4573" w:rsidRPr="008B68A9" w:rsidRDefault="008E4573" w:rsidP="00045396">
            <w:pPr>
              <w:spacing w:line="240" w:lineRule="auto"/>
              <w:rPr>
                <w:sz w:val="18"/>
                <w:szCs w:val="18"/>
              </w:rPr>
            </w:pPr>
          </w:p>
          <w:p w14:paraId="303BA507" w14:textId="77777777" w:rsidR="008E4573" w:rsidRPr="008B68A9" w:rsidRDefault="008E4573" w:rsidP="00045396">
            <w:pPr>
              <w:spacing w:line="240" w:lineRule="auto"/>
              <w:rPr>
                <w:sz w:val="18"/>
                <w:szCs w:val="18"/>
              </w:rPr>
            </w:pPr>
            <w:r w:rsidRPr="008B68A9">
              <w:rPr>
                <w:sz w:val="18"/>
                <w:szCs w:val="18"/>
              </w:rPr>
              <w:t>Argues that pressures of new managerialism are forcing workers to change, and maintaining control/authority over them.</w:t>
            </w:r>
          </w:p>
        </w:tc>
        <w:tc>
          <w:tcPr>
            <w:tcW w:w="2083" w:type="dxa"/>
          </w:tcPr>
          <w:p w14:paraId="7B36C792" w14:textId="77777777" w:rsidR="008E4573" w:rsidRPr="008B68A9" w:rsidRDefault="008E4573" w:rsidP="00045396">
            <w:pPr>
              <w:spacing w:line="240" w:lineRule="auto"/>
              <w:rPr>
                <w:sz w:val="18"/>
                <w:szCs w:val="18"/>
              </w:rPr>
            </w:pPr>
            <w:r w:rsidRPr="008B68A9">
              <w:rPr>
                <w:sz w:val="18"/>
                <w:szCs w:val="18"/>
              </w:rPr>
              <w:t>Potter constructionism used to value multiple accounts.</w:t>
            </w:r>
          </w:p>
          <w:p w14:paraId="7F93178F" w14:textId="77777777" w:rsidR="008E4573" w:rsidRPr="008B68A9" w:rsidRDefault="008E4573" w:rsidP="00045396">
            <w:pPr>
              <w:spacing w:line="240" w:lineRule="auto"/>
              <w:rPr>
                <w:sz w:val="18"/>
                <w:szCs w:val="18"/>
              </w:rPr>
            </w:pPr>
            <w:r w:rsidRPr="008B68A9">
              <w:rPr>
                <w:sz w:val="18"/>
                <w:szCs w:val="18"/>
              </w:rPr>
              <w:t>Disability services, no specific MH; however themes of power, control and regulation by others are central.</w:t>
            </w:r>
          </w:p>
          <w:p w14:paraId="48FBBBF7" w14:textId="77777777" w:rsidR="008E4573" w:rsidRPr="008B68A9" w:rsidRDefault="008E4573" w:rsidP="00045396">
            <w:pPr>
              <w:spacing w:line="240" w:lineRule="auto"/>
              <w:rPr>
                <w:sz w:val="18"/>
                <w:szCs w:val="18"/>
              </w:rPr>
            </w:pPr>
          </w:p>
          <w:p w14:paraId="7C66C5AC" w14:textId="77777777" w:rsidR="008E4573" w:rsidRPr="008B68A9" w:rsidRDefault="008E4573" w:rsidP="00045396">
            <w:pPr>
              <w:spacing w:line="240" w:lineRule="auto"/>
              <w:rPr>
                <w:sz w:val="18"/>
                <w:szCs w:val="18"/>
              </w:rPr>
            </w:pPr>
            <w:r w:rsidRPr="008B68A9">
              <w:rPr>
                <w:sz w:val="18"/>
                <w:szCs w:val="18"/>
              </w:rPr>
              <w:t>Similar to Carr 2011 that perversely personalisation reinforces dominant groups (professions and state structure).</w:t>
            </w:r>
          </w:p>
        </w:tc>
      </w:tr>
      <w:tr w:rsidR="008E4573" w:rsidRPr="008B68A9" w14:paraId="62AEC612" w14:textId="77777777" w:rsidTr="00045396">
        <w:tc>
          <w:tcPr>
            <w:tcW w:w="1922" w:type="dxa"/>
          </w:tcPr>
          <w:p w14:paraId="4132E7B7" w14:textId="77777777" w:rsidR="008E4573" w:rsidRPr="008B68A9" w:rsidRDefault="008E4573" w:rsidP="00045396">
            <w:pPr>
              <w:spacing w:line="240" w:lineRule="auto"/>
              <w:rPr>
                <w:b/>
                <w:sz w:val="18"/>
                <w:szCs w:val="18"/>
              </w:rPr>
            </w:pPr>
          </w:p>
        </w:tc>
        <w:tc>
          <w:tcPr>
            <w:tcW w:w="1479" w:type="dxa"/>
          </w:tcPr>
          <w:p w14:paraId="58F0378A" w14:textId="77777777" w:rsidR="008E4573" w:rsidRPr="008B68A9" w:rsidRDefault="008E4573" w:rsidP="00045396">
            <w:pPr>
              <w:spacing w:line="240" w:lineRule="auto"/>
              <w:rPr>
                <w:sz w:val="18"/>
                <w:szCs w:val="18"/>
              </w:rPr>
            </w:pPr>
          </w:p>
        </w:tc>
        <w:tc>
          <w:tcPr>
            <w:tcW w:w="1526" w:type="dxa"/>
          </w:tcPr>
          <w:p w14:paraId="128F7DBB" w14:textId="77777777" w:rsidR="008E4573" w:rsidRPr="008B68A9" w:rsidRDefault="008E4573" w:rsidP="00045396">
            <w:pPr>
              <w:spacing w:line="240" w:lineRule="auto"/>
              <w:rPr>
                <w:sz w:val="18"/>
                <w:szCs w:val="18"/>
              </w:rPr>
            </w:pPr>
          </w:p>
        </w:tc>
        <w:tc>
          <w:tcPr>
            <w:tcW w:w="2127" w:type="dxa"/>
          </w:tcPr>
          <w:p w14:paraId="25D7252F" w14:textId="77777777" w:rsidR="008E4573" w:rsidRPr="008B68A9" w:rsidRDefault="008E4573" w:rsidP="00045396">
            <w:pPr>
              <w:spacing w:line="240" w:lineRule="auto"/>
              <w:rPr>
                <w:sz w:val="18"/>
                <w:szCs w:val="18"/>
              </w:rPr>
            </w:pPr>
          </w:p>
        </w:tc>
        <w:tc>
          <w:tcPr>
            <w:tcW w:w="1701" w:type="dxa"/>
          </w:tcPr>
          <w:p w14:paraId="49BA4308" w14:textId="77777777" w:rsidR="008E4573" w:rsidRPr="008B68A9" w:rsidRDefault="008E4573" w:rsidP="00045396">
            <w:pPr>
              <w:spacing w:line="240" w:lineRule="auto"/>
              <w:rPr>
                <w:sz w:val="18"/>
                <w:szCs w:val="18"/>
              </w:rPr>
            </w:pPr>
          </w:p>
        </w:tc>
        <w:tc>
          <w:tcPr>
            <w:tcW w:w="3445" w:type="dxa"/>
          </w:tcPr>
          <w:p w14:paraId="09AA6446" w14:textId="77777777" w:rsidR="008E4573" w:rsidRPr="008B68A9" w:rsidRDefault="008E4573" w:rsidP="00045396">
            <w:pPr>
              <w:spacing w:line="240" w:lineRule="auto"/>
              <w:rPr>
                <w:sz w:val="18"/>
                <w:szCs w:val="18"/>
              </w:rPr>
            </w:pPr>
          </w:p>
        </w:tc>
        <w:tc>
          <w:tcPr>
            <w:tcW w:w="2083" w:type="dxa"/>
          </w:tcPr>
          <w:p w14:paraId="68D58727" w14:textId="77777777" w:rsidR="008E4573" w:rsidRPr="008B68A9" w:rsidRDefault="008E4573" w:rsidP="00045396">
            <w:pPr>
              <w:spacing w:line="240" w:lineRule="auto"/>
              <w:rPr>
                <w:sz w:val="18"/>
                <w:szCs w:val="18"/>
              </w:rPr>
            </w:pPr>
          </w:p>
        </w:tc>
      </w:tr>
      <w:tr w:rsidR="008E4573" w:rsidRPr="008B68A9" w14:paraId="03073A98" w14:textId="77777777" w:rsidTr="00045396">
        <w:tc>
          <w:tcPr>
            <w:tcW w:w="1922" w:type="dxa"/>
          </w:tcPr>
          <w:p w14:paraId="65F197BF" w14:textId="77777777" w:rsidR="008E4573" w:rsidRPr="008B68A9" w:rsidRDefault="008E4573" w:rsidP="00045396">
            <w:pPr>
              <w:spacing w:line="240" w:lineRule="auto"/>
              <w:rPr>
                <w:b/>
                <w:sz w:val="18"/>
                <w:szCs w:val="18"/>
              </w:rPr>
            </w:pPr>
            <w:r w:rsidRPr="008B68A9">
              <w:rPr>
                <w:b/>
                <w:sz w:val="18"/>
                <w:szCs w:val="18"/>
              </w:rPr>
              <w:t>Kremer 2006</w:t>
            </w:r>
          </w:p>
        </w:tc>
        <w:tc>
          <w:tcPr>
            <w:tcW w:w="1479" w:type="dxa"/>
          </w:tcPr>
          <w:p w14:paraId="00577A38" w14:textId="77777777" w:rsidR="008E4573" w:rsidRPr="008B68A9" w:rsidRDefault="008E4573" w:rsidP="00045396">
            <w:pPr>
              <w:spacing w:line="240" w:lineRule="auto"/>
              <w:rPr>
                <w:sz w:val="18"/>
                <w:szCs w:val="18"/>
              </w:rPr>
            </w:pPr>
            <w:r w:rsidRPr="008B68A9">
              <w:rPr>
                <w:sz w:val="18"/>
                <w:szCs w:val="18"/>
              </w:rPr>
              <w:t>Discourse document on role of parents using PGBs.</w:t>
            </w:r>
          </w:p>
        </w:tc>
        <w:tc>
          <w:tcPr>
            <w:tcW w:w="1526" w:type="dxa"/>
          </w:tcPr>
          <w:p w14:paraId="36F8652D"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724E36FA"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3DA015EC"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4175D760" w14:textId="77777777" w:rsidR="008E4573" w:rsidRPr="008B68A9" w:rsidRDefault="008E4573" w:rsidP="00045396">
            <w:pPr>
              <w:spacing w:line="240" w:lineRule="auto"/>
              <w:rPr>
                <w:sz w:val="18"/>
                <w:szCs w:val="18"/>
              </w:rPr>
            </w:pPr>
            <w:r w:rsidRPr="008B68A9">
              <w:rPr>
                <w:sz w:val="18"/>
                <w:szCs w:val="18"/>
              </w:rPr>
              <w:t>"The role of liberal left on one hand and neo-liberalism on the other"</w:t>
            </w:r>
          </w:p>
          <w:p w14:paraId="60D45324" w14:textId="77777777" w:rsidR="008E4573" w:rsidRPr="008B68A9" w:rsidRDefault="008E4573" w:rsidP="00045396">
            <w:pPr>
              <w:spacing w:line="240" w:lineRule="auto"/>
              <w:rPr>
                <w:sz w:val="18"/>
                <w:szCs w:val="18"/>
              </w:rPr>
            </w:pPr>
            <w:r w:rsidRPr="008B68A9">
              <w:rPr>
                <w:sz w:val="18"/>
                <w:szCs w:val="18"/>
              </w:rPr>
              <w:t xml:space="preserve">Bureaucracy associated with the budgets led to a new profession "care consultants (zorgconsultenten)" (PAGE 391) - as </w:t>
            </w:r>
            <w:r w:rsidRPr="008B68A9">
              <w:rPr>
                <w:sz w:val="18"/>
                <w:szCs w:val="18"/>
              </w:rPr>
              <w:lastRenderedPageBreak/>
              <w:t>Lymbery cited the DH "care navigators role".</w:t>
            </w:r>
          </w:p>
        </w:tc>
        <w:tc>
          <w:tcPr>
            <w:tcW w:w="2083" w:type="dxa"/>
          </w:tcPr>
          <w:p w14:paraId="4C86810A" w14:textId="77777777" w:rsidR="008E4573" w:rsidRPr="008B68A9" w:rsidRDefault="008E4573" w:rsidP="00045396">
            <w:pPr>
              <w:spacing w:line="240" w:lineRule="auto"/>
              <w:rPr>
                <w:sz w:val="18"/>
                <w:szCs w:val="18"/>
              </w:rPr>
            </w:pPr>
            <w:r w:rsidRPr="008B68A9">
              <w:rPr>
                <w:sz w:val="18"/>
                <w:szCs w:val="18"/>
              </w:rPr>
              <w:lastRenderedPageBreak/>
              <w:t>Strong argument of neo-liberal and familial dynamics.</w:t>
            </w:r>
          </w:p>
          <w:p w14:paraId="5F114B3A" w14:textId="77777777" w:rsidR="008E4573" w:rsidRPr="008B68A9" w:rsidRDefault="008E4573" w:rsidP="00045396">
            <w:pPr>
              <w:spacing w:line="240" w:lineRule="auto"/>
              <w:rPr>
                <w:sz w:val="18"/>
                <w:szCs w:val="18"/>
              </w:rPr>
            </w:pPr>
            <w:r w:rsidRPr="008B68A9">
              <w:rPr>
                <w:sz w:val="18"/>
                <w:szCs w:val="18"/>
              </w:rPr>
              <w:t>"Trilemma of consumer power" meaning</w:t>
            </w:r>
          </w:p>
          <w:p w14:paraId="357FCDCE" w14:textId="77777777" w:rsidR="008E4573" w:rsidRPr="008B68A9" w:rsidRDefault="008E4573" w:rsidP="00045396">
            <w:pPr>
              <w:spacing w:line="240" w:lineRule="auto"/>
              <w:rPr>
                <w:sz w:val="18"/>
                <w:szCs w:val="18"/>
              </w:rPr>
            </w:pPr>
            <w:r w:rsidRPr="008B68A9">
              <w:rPr>
                <w:sz w:val="18"/>
                <w:szCs w:val="18"/>
              </w:rPr>
              <w:lastRenderedPageBreak/>
              <w:t>recognises that clients - rather than professionals - should have the last word on how, when and under what conditions care should be given." (PAGE 386)</w:t>
            </w:r>
          </w:p>
        </w:tc>
      </w:tr>
      <w:tr w:rsidR="008E4573" w:rsidRPr="008B68A9" w14:paraId="45710872" w14:textId="77777777" w:rsidTr="00045396">
        <w:tc>
          <w:tcPr>
            <w:tcW w:w="1922" w:type="dxa"/>
          </w:tcPr>
          <w:p w14:paraId="475F9C21" w14:textId="77777777" w:rsidR="008E4573" w:rsidRPr="008B68A9" w:rsidRDefault="008E4573" w:rsidP="00045396">
            <w:pPr>
              <w:spacing w:line="240" w:lineRule="auto"/>
              <w:rPr>
                <w:b/>
                <w:sz w:val="18"/>
                <w:szCs w:val="18"/>
              </w:rPr>
            </w:pPr>
          </w:p>
        </w:tc>
        <w:tc>
          <w:tcPr>
            <w:tcW w:w="1479" w:type="dxa"/>
          </w:tcPr>
          <w:p w14:paraId="39F57FB3" w14:textId="77777777" w:rsidR="008E4573" w:rsidRPr="008B68A9" w:rsidRDefault="008E4573" w:rsidP="00045396">
            <w:pPr>
              <w:spacing w:line="240" w:lineRule="auto"/>
              <w:rPr>
                <w:sz w:val="18"/>
                <w:szCs w:val="18"/>
              </w:rPr>
            </w:pPr>
          </w:p>
        </w:tc>
        <w:tc>
          <w:tcPr>
            <w:tcW w:w="1526" w:type="dxa"/>
          </w:tcPr>
          <w:p w14:paraId="1A30BB1D" w14:textId="77777777" w:rsidR="008E4573" w:rsidRPr="008B68A9" w:rsidRDefault="008E4573" w:rsidP="00045396">
            <w:pPr>
              <w:spacing w:line="240" w:lineRule="auto"/>
              <w:rPr>
                <w:sz w:val="18"/>
                <w:szCs w:val="18"/>
              </w:rPr>
            </w:pPr>
          </w:p>
        </w:tc>
        <w:tc>
          <w:tcPr>
            <w:tcW w:w="2127" w:type="dxa"/>
          </w:tcPr>
          <w:p w14:paraId="5A870D24" w14:textId="77777777" w:rsidR="008E4573" w:rsidRPr="008B68A9" w:rsidRDefault="008E4573" w:rsidP="00045396">
            <w:pPr>
              <w:spacing w:line="240" w:lineRule="auto"/>
              <w:rPr>
                <w:sz w:val="18"/>
                <w:szCs w:val="18"/>
              </w:rPr>
            </w:pPr>
          </w:p>
        </w:tc>
        <w:tc>
          <w:tcPr>
            <w:tcW w:w="1701" w:type="dxa"/>
          </w:tcPr>
          <w:p w14:paraId="0A101478" w14:textId="77777777" w:rsidR="008E4573" w:rsidRPr="008B68A9" w:rsidRDefault="008E4573" w:rsidP="00045396">
            <w:pPr>
              <w:spacing w:line="240" w:lineRule="auto"/>
              <w:rPr>
                <w:sz w:val="18"/>
                <w:szCs w:val="18"/>
              </w:rPr>
            </w:pPr>
          </w:p>
        </w:tc>
        <w:tc>
          <w:tcPr>
            <w:tcW w:w="3445" w:type="dxa"/>
          </w:tcPr>
          <w:p w14:paraId="25EDF2C6" w14:textId="77777777" w:rsidR="008E4573" w:rsidRPr="008B68A9" w:rsidRDefault="008E4573" w:rsidP="00045396">
            <w:pPr>
              <w:spacing w:line="240" w:lineRule="auto"/>
              <w:rPr>
                <w:sz w:val="18"/>
                <w:szCs w:val="18"/>
              </w:rPr>
            </w:pPr>
          </w:p>
        </w:tc>
        <w:tc>
          <w:tcPr>
            <w:tcW w:w="2083" w:type="dxa"/>
          </w:tcPr>
          <w:p w14:paraId="34874BBB" w14:textId="77777777" w:rsidR="008E4573" w:rsidRPr="008B68A9" w:rsidRDefault="008E4573" w:rsidP="00045396">
            <w:pPr>
              <w:spacing w:line="240" w:lineRule="auto"/>
              <w:rPr>
                <w:sz w:val="18"/>
                <w:szCs w:val="18"/>
              </w:rPr>
            </w:pPr>
          </w:p>
        </w:tc>
      </w:tr>
      <w:tr w:rsidR="008E4573" w:rsidRPr="008B68A9" w14:paraId="484F3C18" w14:textId="77777777" w:rsidTr="00045396">
        <w:tc>
          <w:tcPr>
            <w:tcW w:w="1922" w:type="dxa"/>
          </w:tcPr>
          <w:p w14:paraId="1C5DCA25" w14:textId="77777777" w:rsidR="008E4573" w:rsidRPr="008B68A9" w:rsidRDefault="008E4573" w:rsidP="00045396">
            <w:pPr>
              <w:spacing w:line="240" w:lineRule="auto"/>
              <w:rPr>
                <w:b/>
                <w:sz w:val="18"/>
                <w:szCs w:val="18"/>
              </w:rPr>
            </w:pPr>
            <w:r w:rsidRPr="008B68A9">
              <w:rPr>
                <w:b/>
                <w:sz w:val="18"/>
                <w:szCs w:val="18"/>
              </w:rPr>
              <w:t>White 2011</w:t>
            </w:r>
          </w:p>
        </w:tc>
        <w:tc>
          <w:tcPr>
            <w:tcW w:w="1479" w:type="dxa"/>
          </w:tcPr>
          <w:p w14:paraId="5520A0EB" w14:textId="77777777" w:rsidR="008E4573" w:rsidRPr="008B68A9" w:rsidRDefault="008E4573" w:rsidP="00045396">
            <w:pPr>
              <w:spacing w:line="240" w:lineRule="auto"/>
              <w:rPr>
                <w:sz w:val="18"/>
                <w:szCs w:val="18"/>
              </w:rPr>
            </w:pPr>
            <w:r w:rsidRPr="008B68A9">
              <w:rPr>
                <w:sz w:val="18"/>
                <w:szCs w:val="18"/>
              </w:rPr>
              <w:t>Comparison between PGBs and PHBs.</w:t>
            </w:r>
          </w:p>
        </w:tc>
        <w:tc>
          <w:tcPr>
            <w:tcW w:w="1526" w:type="dxa"/>
          </w:tcPr>
          <w:p w14:paraId="5FCA290B"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69956462"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2338F831"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5B963B8D" w14:textId="77777777" w:rsidR="008E4573" w:rsidRPr="008B68A9" w:rsidRDefault="008E4573" w:rsidP="00045396">
            <w:pPr>
              <w:spacing w:line="240" w:lineRule="auto"/>
              <w:rPr>
                <w:sz w:val="18"/>
                <w:szCs w:val="18"/>
              </w:rPr>
            </w:pPr>
            <w:r w:rsidRPr="008B68A9">
              <w:rPr>
                <w:sz w:val="18"/>
                <w:szCs w:val="18"/>
              </w:rPr>
              <w:t>‘There was a belief that delegating the control of budgets to the end user would help to control costs’ (p. 5)</w:t>
            </w:r>
          </w:p>
          <w:p w14:paraId="2D778291" w14:textId="77777777" w:rsidR="008E4573" w:rsidRPr="008B68A9" w:rsidRDefault="008E4573" w:rsidP="00045396">
            <w:pPr>
              <w:spacing w:line="240" w:lineRule="auto"/>
              <w:rPr>
                <w:sz w:val="18"/>
                <w:szCs w:val="18"/>
              </w:rPr>
            </w:pPr>
            <w:r w:rsidRPr="008B68A9">
              <w:rPr>
                <w:sz w:val="18"/>
                <w:szCs w:val="18"/>
              </w:rPr>
              <w:t xml:space="preserve">Scheme oversubscribed and closed to new applicants via waiting list. </w:t>
            </w:r>
          </w:p>
        </w:tc>
        <w:tc>
          <w:tcPr>
            <w:tcW w:w="2083" w:type="dxa"/>
          </w:tcPr>
          <w:p w14:paraId="5CD8AF31" w14:textId="77777777" w:rsidR="008E4573" w:rsidRPr="008B68A9" w:rsidRDefault="008E4573" w:rsidP="00045396">
            <w:pPr>
              <w:spacing w:line="240" w:lineRule="auto"/>
              <w:rPr>
                <w:sz w:val="18"/>
                <w:szCs w:val="18"/>
              </w:rPr>
            </w:pPr>
            <w:r w:rsidRPr="008B68A9">
              <w:rPr>
                <w:sz w:val="18"/>
                <w:szCs w:val="18"/>
              </w:rPr>
              <w:t>Termed ‘woodwork effect’ to account for more applicants to PGBs than envisaged.</w:t>
            </w:r>
          </w:p>
          <w:p w14:paraId="7FC5E5AE" w14:textId="77777777" w:rsidR="008E4573" w:rsidRPr="008B68A9" w:rsidRDefault="008E4573" w:rsidP="00045396">
            <w:pPr>
              <w:spacing w:line="240" w:lineRule="auto"/>
              <w:rPr>
                <w:sz w:val="18"/>
                <w:szCs w:val="18"/>
              </w:rPr>
            </w:pPr>
            <w:r w:rsidRPr="008B68A9">
              <w:rPr>
                <w:sz w:val="18"/>
                <w:szCs w:val="18"/>
              </w:rPr>
              <w:t>Although could not foresee furore over allegations of fraud.</w:t>
            </w:r>
          </w:p>
          <w:p w14:paraId="66094037" w14:textId="77777777" w:rsidR="008E4573" w:rsidRPr="008B68A9" w:rsidRDefault="008E4573" w:rsidP="00045396">
            <w:pPr>
              <w:spacing w:line="240" w:lineRule="auto"/>
              <w:rPr>
                <w:sz w:val="18"/>
                <w:szCs w:val="18"/>
              </w:rPr>
            </w:pPr>
            <w:r w:rsidRPr="008B68A9">
              <w:rPr>
                <w:sz w:val="18"/>
                <w:szCs w:val="18"/>
              </w:rPr>
              <w:t>Seen as success, though as in America and Italy possibly a subsidy in income for some.</w:t>
            </w:r>
          </w:p>
          <w:p w14:paraId="0BF16F80" w14:textId="77777777" w:rsidR="008E4573" w:rsidRPr="008B68A9" w:rsidRDefault="008E4573" w:rsidP="00045396">
            <w:pPr>
              <w:spacing w:line="240" w:lineRule="auto"/>
              <w:rPr>
                <w:sz w:val="18"/>
                <w:szCs w:val="18"/>
              </w:rPr>
            </w:pPr>
          </w:p>
        </w:tc>
      </w:tr>
      <w:tr w:rsidR="008E4573" w:rsidRPr="008B68A9" w14:paraId="7E9223CF" w14:textId="77777777" w:rsidTr="00045396">
        <w:tc>
          <w:tcPr>
            <w:tcW w:w="1922" w:type="dxa"/>
          </w:tcPr>
          <w:p w14:paraId="22C14035" w14:textId="77777777" w:rsidR="008E4573" w:rsidRPr="008B68A9" w:rsidRDefault="008E4573" w:rsidP="00045396">
            <w:pPr>
              <w:spacing w:line="240" w:lineRule="auto"/>
              <w:rPr>
                <w:b/>
                <w:sz w:val="18"/>
                <w:szCs w:val="18"/>
              </w:rPr>
            </w:pPr>
          </w:p>
        </w:tc>
        <w:tc>
          <w:tcPr>
            <w:tcW w:w="1479" w:type="dxa"/>
          </w:tcPr>
          <w:p w14:paraId="6AC902C6" w14:textId="77777777" w:rsidR="008E4573" w:rsidRPr="008B68A9" w:rsidRDefault="008E4573" w:rsidP="00045396">
            <w:pPr>
              <w:spacing w:line="240" w:lineRule="auto"/>
              <w:rPr>
                <w:b/>
                <w:sz w:val="18"/>
                <w:szCs w:val="18"/>
              </w:rPr>
            </w:pPr>
          </w:p>
        </w:tc>
        <w:tc>
          <w:tcPr>
            <w:tcW w:w="1526" w:type="dxa"/>
          </w:tcPr>
          <w:p w14:paraId="3C7C57BF" w14:textId="77777777" w:rsidR="008E4573" w:rsidRPr="008B68A9" w:rsidRDefault="008E4573" w:rsidP="00045396">
            <w:pPr>
              <w:spacing w:line="240" w:lineRule="auto"/>
              <w:rPr>
                <w:b/>
                <w:sz w:val="18"/>
                <w:szCs w:val="18"/>
              </w:rPr>
            </w:pPr>
          </w:p>
        </w:tc>
        <w:tc>
          <w:tcPr>
            <w:tcW w:w="2127" w:type="dxa"/>
          </w:tcPr>
          <w:p w14:paraId="093F10EF" w14:textId="77777777" w:rsidR="008E4573" w:rsidRPr="008B68A9" w:rsidRDefault="008E4573" w:rsidP="00045396">
            <w:pPr>
              <w:spacing w:line="240" w:lineRule="auto"/>
              <w:rPr>
                <w:b/>
                <w:sz w:val="18"/>
                <w:szCs w:val="18"/>
              </w:rPr>
            </w:pPr>
          </w:p>
        </w:tc>
        <w:tc>
          <w:tcPr>
            <w:tcW w:w="1701" w:type="dxa"/>
          </w:tcPr>
          <w:p w14:paraId="53794C6E" w14:textId="77777777" w:rsidR="008E4573" w:rsidRPr="008B68A9" w:rsidRDefault="008E4573" w:rsidP="00045396">
            <w:pPr>
              <w:spacing w:line="240" w:lineRule="auto"/>
              <w:rPr>
                <w:b/>
                <w:sz w:val="18"/>
                <w:szCs w:val="18"/>
              </w:rPr>
            </w:pPr>
          </w:p>
        </w:tc>
        <w:tc>
          <w:tcPr>
            <w:tcW w:w="3445" w:type="dxa"/>
          </w:tcPr>
          <w:p w14:paraId="6F760D39" w14:textId="77777777" w:rsidR="008E4573" w:rsidRPr="008B68A9" w:rsidRDefault="008E4573" w:rsidP="00045396">
            <w:pPr>
              <w:spacing w:line="240" w:lineRule="auto"/>
              <w:rPr>
                <w:b/>
                <w:sz w:val="18"/>
                <w:szCs w:val="18"/>
              </w:rPr>
            </w:pPr>
          </w:p>
        </w:tc>
        <w:tc>
          <w:tcPr>
            <w:tcW w:w="2083" w:type="dxa"/>
          </w:tcPr>
          <w:p w14:paraId="1EE627D0" w14:textId="77777777" w:rsidR="008E4573" w:rsidRPr="008B68A9" w:rsidRDefault="008E4573" w:rsidP="00045396">
            <w:pPr>
              <w:spacing w:line="240" w:lineRule="auto"/>
              <w:rPr>
                <w:b/>
                <w:sz w:val="18"/>
                <w:szCs w:val="18"/>
              </w:rPr>
            </w:pPr>
          </w:p>
        </w:tc>
      </w:tr>
      <w:tr w:rsidR="008E4573" w:rsidRPr="008B68A9" w14:paraId="65FC1B43" w14:textId="77777777" w:rsidTr="00045396">
        <w:tc>
          <w:tcPr>
            <w:tcW w:w="14283" w:type="dxa"/>
            <w:gridSpan w:val="7"/>
            <w:shd w:val="clear" w:color="auto" w:fill="000000" w:themeFill="text1"/>
          </w:tcPr>
          <w:p w14:paraId="4774C6D1" w14:textId="77777777" w:rsidR="008E4573" w:rsidRPr="008B68A9" w:rsidRDefault="008E4573" w:rsidP="00045396">
            <w:pPr>
              <w:spacing w:line="240" w:lineRule="auto"/>
              <w:jc w:val="center"/>
              <w:rPr>
                <w:b/>
                <w:sz w:val="18"/>
                <w:szCs w:val="18"/>
              </w:rPr>
            </w:pPr>
            <w:r w:rsidRPr="008B68A9">
              <w:rPr>
                <w:b/>
                <w:sz w:val="18"/>
                <w:szCs w:val="18"/>
              </w:rPr>
              <w:t>Australia</w:t>
            </w:r>
          </w:p>
        </w:tc>
      </w:tr>
      <w:tr w:rsidR="008E4573" w:rsidRPr="008B68A9" w14:paraId="72BD40A8" w14:textId="77777777" w:rsidTr="00045396">
        <w:tc>
          <w:tcPr>
            <w:tcW w:w="1922" w:type="dxa"/>
          </w:tcPr>
          <w:p w14:paraId="13AEC34B" w14:textId="77777777" w:rsidR="008E4573" w:rsidRPr="008B68A9" w:rsidRDefault="008E4573" w:rsidP="00045396">
            <w:pPr>
              <w:spacing w:line="240" w:lineRule="auto"/>
              <w:rPr>
                <w:b/>
                <w:sz w:val="18"/>
                <w:szCs w:val="18"/>
              </w:rPr>
            </w:pPr>
            <w:r w:rsidRPr="008B68A9">
              <w:rPr>
                <w:b/>
                <w:sz w:val="18"/>
                <w:szCs w:val="18"/>
              </w:rPr>
              <w:t xml:space="preserve">Fisher </w:t>
            </w:r>
            <w:r w:rsidRPr="008B68A9">
              <w:rPr>
                <w:b/>
                <w:i/>
                <w:sz w:val="18"/>
                <w:szCs w:val="18"/>
              </w:rPr>
              <w:t>et al.</w:t>
            </w:r>
            <w:r w:rsidRPr="008B68A9">
              <w:rPr>
                <w:b/>
                <w:sz w:val="18"/>
                <w:szCs w:val="18"/>
              </w:rPr>
              <w:t xml:space="preserve"> 2010</w:t>
            </w:r>
          </w:p>
        </w:tc>
        <w:tc>
          <w:tcPr>
            <w:tcW w:w="1479" w:type="dxa"/>
          </w:tcPr>
          <w:p w14:paraId="3286C194" w14:textId="77777777" w:rsidR="008E4573" w:rsidRPr="008B68A9" w:rsidRDefault="008E4573" w:rsidP="00045396">
            <w:pPr>
              <w:spacing w:line="240" w:lineRule="auto"/>
              <w:rPr>
                <w:sz w:val="18"/>
                <w:szCs w:val="18"/>
              </w:rPr>
            </w:pPr>
            <w:r w:rsidRPr="008B68A9">
              <w:rPr>
                <w:sz w:val="18"/>
                <w:szCs w:val="18"/>
              </w:rPr>
              <w:t>People with learning disability, physical impairment, psychiatric disabilities (mixed), (n=19).</w:t>
            </w:r>
          </w:p>
        </w:tc>
        <w:tc>
          <w:tcPr>
            <w:tcW w:w="1526" w:type="dxa"/>
          </w:tcPr>
          <w:p w14:paraId="76BD207B" w14:textId="77777777" w:rsidR="008E4573" w:rsidRPr="008B68A9" w:rsidRDefault="008E4573" w:rsidP="00045396">
            <w:pPr>
              <w:spacing w:line="240" w:lineRule="auto"/>
              <w:rPr>
                <w:sz w:val="18"/>
                <w:szCs w:val="18"/>
              </w:rPr>
            </w:pPr>
            <w:r w:rsidRPr="008B68A9">
              <w:rPr>
                <w:sz w:val="18"/>
                <w:szCs w:val="18"/>
              </w:rPr>
              <w:t>12 users</w:t>
            </w:r>
          </w:p>
          <w:p w14:paraId="50940718" w14:textId="77777777" w:rsidR="008E4573" w:rsidRPr="008B68A9" w:rsidRDefault="008E4573" w:rsidP="00045396">
            <w:pPr>
              <w:spacing w:line="240" w:lineRule="auto"/>
              <w:rPr>
                <w:sz w:val="18"/>
                <w:szCs w:val="18"/>
              </w:rPr>
            </w:pPr>
            <w:r w:rsidRPr="008B68A9">
              <w:rPr>
                <w:sz w:val="18"/>
                <w:szCs w:val="18"/>
              </w:rPr>
              <w:t>32 service stakeholders and government agencies.</w:t>
            </w:r>
          </w:p>
          <w:p w14:paraId="59E0F9A9" w14:textId="77777777" w:rsidR="008E4573" w:rsidRPr="008B68A9" w:rsidRDefault="008E4573" w:rsidP="00045396">
            <w:pPr>
              <w:spacing w:line="240" w:lineRule="auto"/>
              <w:rPr>
                <w:sz w:val="18"/>
                <w:szCs w:val="18"/>
              </w:rPr>
            </w:pPr>
          </w:p>
        </w:tc>
        <w:tc>
          <w:tcPr>
            <w:tcW w:w="2127" w:type="dxa"/>
          </w:tcPr>
          <w:p w14:paraId="26D6AF59" w14:textId="77777777" w:rsidR="008E4573" w:rsidRPr="008B68A9" w:rsidRDefault="008E4573" w:rsidP="00045396">
            <w:pPr>
              <w:spacing w:line="240" w:lineRule="auto"/>
              <w:rPr>
                <w:sz w:val="18"/>
                <w:szCs w:val="18"/>
              </w:rPr>
            </w:pPr>
            <w:r w:rsidRPr="008B68A9">
              <w:rPr>
                <w:sz w:val="18"/>
                <w:szCs w:val="18"/>
              </w:rPr>
              <w:t>Literature review,</w:t>
            </w:r>
          </w:p>
          <w:p w14:paraId="1511B2D7" w14:textId="77777777" w:rsidR="008E4573" w:rsidRPr="008B68A9" w:rsidRDefault="008E4573" w:rsidP="00045396">
            <w:pPr>
              <w:spacing w:line="240" w:lineRule="auto"/>
              <w:rPr>
                <w:sz w:val="18"/>
                <w:szCs w:val="18"/>
              </w:rPr>
            </w:pPr>
            <w:r w:rsidRPr="008B68A9">
              <w:rPr>
                <w:sz w:val="18"/>
                <w:szCs w:val="18"/>
              </w:rPr>
              <w:t>questionnaires</w:t>
            </w:r>
          </w:p>
          <w:p w14:paraId="63069CD9" w14:textId="77777777" w:rsidR="008E4573" w:rsidRPr="008B68A9" w:rsidRDefault="008E4573" w:rsidP="00045396">
            <w:pPr>
              <w:spacing w:line="240" w:lineRule="auto"/>
              <w:rPr>
                <w:sz w:val="18"/>
                <w:szCs w:val="18"/>
              </w:rPr>
            </w:pPr>
            <w:r w:rsidRPr="008B68A9">
              <w:rPr>
                <w:sz w:val="18"/>
                <w:szCs w:val="18"/>
              </w:rPr>
              <w:t>interview (face to face and telephone).</w:t>
            </w:r>
          </w:p>
          <w:p w14:paraId="0FBC1A42" w14:textId="77777777" w:rsidR="008E4573" w:rsidRPr="008B68A9" w:rsidRDefault="008E4573" w:rsidP="00045396">
            <w:pPr>
              <w:spacing w:line="240" w:lineRule="auto"/>
              <w:rPr>
                <w:sz w:val="18"/>
                <w:szCs w:val="18"/>
              </w:rPr>
            </w:pPr>
            <w:r w:rsidRPr="008B68A9">
              <w:rPr>
                <w:sz w:val="18"/>
                <w:szCs w:val="18"/>
              </w:rPr>
              <w:t>120 questionnaires:</w:t>
            </w:r>
          </w:p>
          <w:p w14:paraId="3E481F42" w14:textId="77777777" w:rsidR="008E4573" w:rsidRPr="008B68A9" w:rsidRDefault="008E4573" w:rsidP="00045396">
            <w:pPr>
              <w:spacing w:line="240" w:lineRule="auto"/>
              <w:rPr>
                <w:sz w:val="18"/>
                <w:szCs w:val="18"/>
              </w:rPr>
            </w:pPr>
            <w:r w:rsidRPr="008B68A9">
              <w:rPr>
                <w:sz w:val="18"/>
                <w:szCs w:val="18"/>
              </w:rPr>
              <w:t>Personal wellbeing index</w:t>
            </w:r>
          </w:p>
        </w:tc>
        <w:tc>
          <w:tcPr>
            <w:tcW w:w="1701" w:type="dxa"/>
          </w:tcPr>
          <w:p w14:paraId="6FE3F32D" w14:textId="77777777" w:rsidR="008E4573" w:rsidRPr="008B68A9" w:rsidRDefault="008E4573" w:rsidP="00045396">
            <w:pPr>
              <w:spacing w:line="240" w:lineRule="auto"/>
              <w:rPr>
                <w:sz w:val="18"/>
                <w:szCs w:val="18"/>
              </w:rPr>
            </w:pPr>
            <w:r w:rsidRPr="008B68A9">
              <w:rPr>
                <w:sz w:val="18"/>
                <w:szCs w:val="18"/>
              </w:rPr>
              <w:t>Comparative analysis of literature within Australian policy context.</w:t>
            </w:r>
          </w:p>
          <w:p w14:paraId="16F4FB23" w14:textId="77777777" w:rsidR="008E4573" w:rsidRPr="008B68A9" w:rsidRDefault="008E4573" w:rsidP="00045396">
            <w:pPr>
              <w:spacing w:line="240" w:lineRule="auto"/>
              <w:rPr>
                <w:sz w:val="18"/>
                <w:szCs w:val="18"/>
              </w:rPr>
            </w:pPr>
            <w:r w:rsidRPr="008B68A9">
              <w:rPr>
                <w:sz w:val="18"/>
                <w:szCs w:val="18"/>
              </w:rPr>
              <w:t>Descriptive analysis of Disability Services National Minimum Data Set.</w:t>
            </w:r>
          </w:p>
          <w:p w14:paraId="4F5335DF" w14:textId="77777777" w:rsidR="008E4573" w:rsidRPr="008B68A9" w:rsidRDefault="008E4573" w:rsidP="00045396">
            <w:pPr>
              <w:spacing w:line="240" w:lineRule="auto"/>
              <w:rPr>
                <w:sz w:val="18"/>
                <w:szCs w:val="18"/>
              </w:rPr>
            </w:pPr>
            <w:r w:rsidRPr="008B68A9">
              <w:rPr>
                <w:sz w:val="18"/>
                <w:szCs w:val="18"/>
              </w:rPr>
              <w:t>Narrative analysis of interviews.</w:t>
            </w:r>
          </w:p>
        </w:tc>
        <w:tc>
          <w:tcPr>
            <w:tcW w:w="3445" w:type="dxa"/>
          </w:tcPr>
          <w:p w14:paraId="464682C7" w14:textId="77777777" w:rsidR="008E4573" w:rsidRPr="008B68A9" w:rsidRDefault="008E4573" w:rsidP="00045396">
            <w:pPr>
              <w:spacing w:line="240" w:lineRule="auto"/>
              <w:rPr>
                <w:sz w:val="18"/>
                <w:szCs w:val="18"/>
              </w:rPr>
            </w:pPr>
            <w:r w:rsidRPr="008B68A9">
              <w:rPr>
                <w:sz w:val="18"/>
                <w:szCs w:val="18"/>
              </w:rPr>
              <w:t>People with individual funding had no worse health and were more satisfied with control. Providers. Average funding $28,500 no greater than standard services.</w:t>
            </w:r>
          </w:p>
        </w:tc>
        <w:tc>
          <w:tcPr>
            <w:tcW w:w="2083" w:type="dxa"/>
          </w:tcPr>
          <w:p w14:paraId="1A13F32C" w14:textId="77777777" w:rsidR="008E4573" w:rsidRPr="008B68A9" w:rsidRDefault="008E4573" w:rsidP="00045396">
            <w:pPr>
              <w:spacing w:line="240" w:lineRule="auto"/>
              <w:rPr>
                <w:sz w:val="18"/>
                <w:szCs w:val="18"/>
              </w:rPr>
            </w:pPr>
            <w:r w:rsidRPr="008B68A9">
              <w:rPr>
                <w:sz w:val="18"/>
                <w:szCs w:val="18"/>
              </w:rPr>
              <w:t>Relatively small sample size and low response rate. Simple scales reduced analysis.</w:t>
            </w:r>
          </w:p>
          <w:p w14:paraId="0A64A186" w14:textId="77777777" w:rsidR="008E4573" w:rsidRPr="008B68A9" w:rsidRDefault="008E4573" w:rsidP="00045396">
            <w:pPr>
              <w:spacing w:line="240" w:lineRule="auto"/>
              <w:rPr>
                <w:sz w:val="18"/>
                <w:szCs w:val="18"/>
              </w:rPr>
            </w:pPr>
            <w:r w:rsidRPr="008B68A9">
              <w:rPr>
                <w:sz w:val="18"/>
                <w:szCs w:val="18"/>
              </w:rPr>
              <w:t>Comparative sample data obtained from third parties. Mostly learning disabilities.</w:t>
            </w:r>
          </w:p>
          <w:p w14:paraId="5195508B" w14:textId="77777777" w:rsidR="008E4573" w:rsidRPr="008B68A9" w:rsidRDefault="008E4573" w:rsidP="00045396">
            <w:pPr>
              <w:spacing w:line="240" w:lineRule="auto"/>
              <w:rPr>
                <w:sz w:val="18"/>
                <w:szCs w:val="18"/>
              </w:rPr>
            </w:pPr>
          </w:p>
          <w:p w14:paraId="683FCD8B" w14:textId="77777777" w:rsidR="008E4573" w:rsidRPr="008B68A9" w:rsidRDefault="008E4573" w:rsidP="00045396">
            <w:pPr>
              <w:spacing w:line="240" w:lineRule="auto"/>
              <w:rPr>
                <w:sz w:val="18"/>
                <w:szCs w:val="18"/>
              </w:rPr>
            </w:pPr>
            <w:r w:rsidRPr="008B68A9">
              <w:rPr>
                <w:sz w:val="18"/>
                <w:szCs w:val="18"/>
              </w:rPr>
              <w:t xml:space="preserve">Outcomes from budget group included mixed </w:t>
            </w:r>
            <w:r w:rsidRPr="008B68A9">
              <w:rPr>
                <w:sz w:val="18"/>
                <w:szCs w:val="18"/>
              </w:rPr>
              <w:lastRenderedPageBreak/>
              <w:t>need/disability whereas control did not.</w:t>
            </w:r>
          </w:p>
        </w:tc>
      </w:tr>
      <w:tr w:rsidR="008E4573" w:rsidRPr="008B68A9" w14:paraId="71BE792C" w14:textId="77777777" w:rsidTr="00045396">
        <w:tc>
          <w:tcPr>
            <w:tcW w:w="1922" w:type="dxa"/>
          </w:tcPr>
          <w:p w14:paraId="61667433" w14:textId="77777777" w:rsidR="008E4573" w:rsidRPr="008B68A9" w:rsidRDefault="008E4573" w:rsidP="00045396">
            <w:pPr>
              <w:spacing w:line="240" w:lineRule="auto"/>
              <w:rPr>
                <w:b/>
                <w:sz w:val="18"/>
                <w:szCs w:val="18"/>
              </w:rPr>
            </w:pPr>
          </w:p>
        </w:tc>
        <w:tc>
          <w:tcPr>
            <w:tcW w:w="1479" w:type="dxa"/>
          </w:tcPr>
          <w:p w14:paraId="3284BC71" w14:textId="77777777" w:rsidR="008E4573" w:rsidRPr="008B68A9" w:rsidRDefault="008E4573" w:rsidP="00045396">
            <w:pPr>
              <w:spacing w:line="240" w:lineRule="auto"/>
              <w:rPr>
                <w:sz w:val="18"/>
                <w:szCs w:val="18"/>
              </w:rPr>
            </w:pPr>
          </w:p>
        </w:tc>
        <w:tc>
          <w:tcPr>
            <w:tcW w:w="1526" w:type="dxa"/>
          </w:tcPr>
          <w:p w14:paraId="293E14D1" w14:textId="77777777" w:rsidR="008E4573" w:rsidRPr="008B68A9" w:rsidRDefault="008E4573" w:rsidP="00045396">
            <w:pPr>
              <w:spacing w:line="240" w:lineRule="auto"/>
              <w:rPr>
                <w:sz w:val="18"/>
                <w:szCs w:val="18"/>
              </w:rPr>
            </w:pPr>
          </w:p>
        </w:tc>
        <w:tc>
          <w:tcPr>
            <w:tcW w:w="2127" w:type="dxa"/>
          </w:tcPr>
          <w:p w14:paraId="4DB160A1" w14:textId="77777777" w:rsidR="008E4573" w:rsidRPr="008B68A9" w:rsidRDefault="008E4573" w:rsidP="00045396">
            <w:pPr>
              <w:spacing w:line="240" w:lineRule="auto"/>
              <w:rPr>
                <w:sz w:val="18"/>
                <w:szCs w:val="18"/>
              </w:rPr>
            </w:pPr>
          </w:p>
        </w:tc>
        <w:tc>
          <w:tcPr>
            <w:tcW w:w="1701" w:type="dxa"/>
          </w:tcPr>
          <w:p w14:paraId="28D4DE00" w14:textId="77777777" w:rsidR="008E4573" w:rsidRPr="008B68A9" w:rsidRDefault="008E4573" w:rsidP="00045396">
            <w:pPr>
              <w:spacing w:line="240" w:lineRule="auto"/>
              <w:rPr>
                <w:sz w:val="18"/>
                <w:szCs w:val="18"/>
              </w:rPr>
            </w:pPr>
          </w:p>
        </w:tc>
        <w:tc>
          <w:tcPr>
            <w:tcW w:w="3445" w:type="dxa"/>
          </w:tcPr>
          <w:p w14:paraId="095573DB" w14:textId="77777777" w:rsidR="008E4573" w:rsidRPr="008B68A9" w:rsidRDefault="008E4573" w:rsidP="00045396">
            <w:pPr>
              <w:spacing w:line="240" w:lineRule="auto"/>
              <w:rPr>
                <w:sz w:val="18"/>
                <w:szCs w:val="18"/>
              </w:rPr>
            </w:pPr>
          </w:p>
        </w:tc>
        <w:tc>
          <w:tcPr>
            <w:tcW w:w="2083" w:type="dxa"/>
          </w:tcPr>
          <w:p w14:paraId="2E4A4179" w14:textId="77777777" w:rsidR="008E4573" w:rsidRPr="008B68A9" w:rsidRDefault="008E4573" w:rsidP="00045396">
            <w:pPr>
              <w:spacing w:line="240" w:lineRule="auto"/>
              <w:rPr>
                <w:sz w:val="18"/>
                <w:szCs w:val="18"/>
              </w:rPr>
            </w:pPr>
          </w:p>
        </w:tc>
      </w:tr>
      <w:tr w:rsidR="008E4573" w:rsidRPr="008B68A9" w14:paraId="60A13231" w14:textId="77777777" w:rsidTr="00045396">
        <w:tc>
          <w:tcPr>
            <w:tcW w:w="1922" w:type="dxa"/>
          </w:tcPr>
          <w:p w14:paraId="333B925C" w14:textId="77777777" w:rsidR="008E4573" w:rsidRPr="008B68A9" w:rsidRDefault="008E4573" w:rsidP="00045396">
            <w:pPr>
              <w:spacing w:line="240" w:lineRule="auto"/>
              <w:rPr>
                <w:b/>
                <w:sz w:val="18"/>
                <w:szCs w:val="18"/>
              </w:rPr>
            </w:pPr>
            <w:r w:rsidRPr="008B68A9">
              <w:rPr>
                <w:b/>
                <w:sz w:val="18"/>
                <w:szCs w:val="18"/>
              </w:rPr>
              <w:t xml:space="preserve">Gordon </w:t>
            </w:r>
            <w:r w:rsidRPr="008B68A9">
              <w:rPr>
                <w:b/>
                <w:i/>
                <w:sz w:val="18"/>
                <w:szCs w:val="18"/>
              </w:rPr>
              <w:t>et al.</w:t>
            </w:r>
            <w:r w:rsidRPr="008B68A9">
              <w:rPr>
                <w:b/>
                <w:sz w:val="18"/>
                <w:szCs w:val="18"/>
              </w:rPr>
              <w:t xml:space="preserve"> 2012</w:t>
            </w:r>
          </w:p>
        </w:tc>
        <w:tc>
          <w:tcPr>
            <w:tcW w:w="1479" w:type="dxa"/>
          </w:tcPr>
          <w:p w14:paraId="0F6A9330" w14:textId="77777777" w:rsidR="008E4573" w:rsidRPr="008B68A9" w:rsidRDefault="008E4573" w:rsidP="00045396">
            <w:pPr>
              <w:spacing w:line="240" w:lineRule="auto"/>
              <w:rPr>
                <w:sz w:val="18"/>
                <w:szCs w:val="18"/>
              </w:rPr>
            </w:pPr>
            <w:r w:rsidRPr="008B68A9">
              <w:rPr>
                <w:sz w:val="18"/>
                <w:szCs w:val="18"/>
              </w:rPr>
              <w:t>SDC implementation older people.</w:t>
            </w:r>
          </w:p>
        </w:tc>
        <w:tc>
          <w:tcPr>
            <w:tcW w:w="1526" w:type="dxa"/>
          </w:tcPr>
          <w:p w14:paraId="069D6205" w14:textId="77777777" w:rsidR="008E4573" w:rsidRPr="008B68A9" w:rsidRDefault="008E4573" w:rsidP="00045396">
            <w:pPr>
              <w:spacing w:line="240" w:lineRule="auto"/>
              <w:rPr>
                <w:sz w:val="18"/>
                <w:szCs w:val="18"/>
              </w:rPr>
            </w:pPr>
          </w:p>
        </w:tc>
        <w:tc>
          <w:tcPr>
            <w:tcW w:w="2127" w:type="dxa"/>
          </w:tcPr>
          <w:p w14:paraId="5EC61B87" w14:textId="77777777" w:rsidR="008E4573" w:rsidRPr="008B68A9" w:rsidRDefault="008E4573" w:rsidP="00045396">
            <w:pPr>
              <w:spacing w:line="240" w:lineRule="auto"/>
              <w:rPr>
                <w:sz w:val="18"/>
                <w:szCs w:val="18"/>
              </w:rPr>
            </w:pPr>
            <w:r w:rsidRPr="008B68A9">
              <w:rPr>
                <w:sz w:val="18"/>
                <w:szCs w:val="18"/>
              </w:rPr>
              <w:t>Non-matched comparison.</w:t>
            </w:r>
          </w:p>
          <w:p w14:paraId="711AEF58" w14:textId="77777777" w:rsidR="008E4573" w:rsidRPr="008B68A9" w:rsidRDefault="008E4573" w:rsidP="00045396">
            <w:pPr>
              <w:spacing w:line="240" w:lineRule="auto"/>
              <w:rPr>
                <w:sz w:val="18"/>
                <w:szCs w:val="18"/>
              </w:rPr>
            </w:pPr>
            <w:r w:rsidRPr="008B68A9">
              <w:rPr>
                <w:sz w:val="18"/>
                <w:szCs w:val="18"/>
              </w:rPr>
              <w:t xml:space="preserve">Standardised quality of life indicator, CECAP-O </w:t>
            </w:r>
          </w:p>
        </w:tc>
        <w:tc>
          <w:tcPr>
            <w:tcW w:w="1701" w:type="dxa"/>
          </w:tcPr>
          <w:p w14:paraId="315CF2FD" w14:textId="77777777" w:rsidR="008E4573" w:rsidRPr="008B68A9" w:rsidRDefault="008E4573" w:rsidP="00045396">
            <w:pPr>
              <w:spacing w:line="240" w:lineRule="auto"/>
              <w:rPr>
                <w:sz w:val="18"/>
                <w:szCs w:val="18"/>
              </w:rPr>
            </w:pPr>
          </w:p>
        </w:tc>
        <w:tc>
          <w:tcPr>
            <w:tcW w:w="3445" w:type="dxa"/>
          </w:tcPr>
          <w:p w14:paraId="55E29CAA" w14:textId="77777777" w:rsidR="008E4573" w:rsidRPr="008B68A9" w:rsidRDefault="008E4573" w:rsidP="00045396">
            <w:pPr>
              <w:spacing w:line="240" w:lineRule="auto"/>
              <w:rPr>
                <w:sz w:val="18"/>
                <w:szCs w:val="18"/>
              </w:rPr>
            </w:pPr>
            <w:r w:rsidRPr="008B68A9">
              <w:rPr>
                <w:sz w:val="18"/>
                <w:szCs w:val="18"/>
              </w:rPr>
              <w:t>Enhanced sense of reported wellbeing and satisfaction, especially in community connecting and social activities.</w:t>
            </w:r>
          </w:p>
          <w:p w14:paraId="71A10DE8" w14:textId="77777777" w:rsidR="008E4573" w:rsidRPr="008B68A9" w:rsidRDefault="008E4573" w:rsidP="00045396">
            <w:pPr>
              <w:spacing w:line="240" w:lineRule="auto"/>
              <w:rPr>
                <w:sz w:val="18"/>
                <w:szCs w:val="18"/>
              </w:rPr>
            </w:pPr>
            <w:r w:rsidRPr="008B68A9">
              <w:rPr>
                <w:sz w:val="18"/>
                <w:szCs w:val="18"/>
              </w:rPr>
              <w:t>CECAP-O measures no difference with standard model.</w:t>
            </w:r>
          </w:p>
        </w:tc>
        <w:tc>
          <w:tcPr>
            <w:tcW w:w="2083" w:type="dxa"/>
          </w:tcPr>
          <w:p w14:paraId="4A9F698D" w14:textId="77777777" w:rsidR="008E4573" w:rsidRPr="008B68A9" w:rsidRDefault="008E4573" w:rsidP="00045396">
            <w:pPr>
              <w:spacing w:line="240" w:lineRule="auto"/>
              <w:rPr>
                <w:sz w:val="18"/>
                <w:szCs w:val="18"/>
              </w:rPr>
            </w:pPr>
          </w:p>
        </w:tc>
      </w:tr>
      <w:tr w:rsidR="008E4573" w:rsidRPr="008B68A9" w14:paraId="43D1896F" w14:textId="77777777" w:rsidTr="00045396">
        <w:tc>
          <w:tcPr>
            <w:tcW w:w="1922" w:type="dxa"/>
          </w:tcPr>
          <w:p w14:paraId="230F7831" w14:textId="77777777" w:rsidR="008E4573" w:rsidRPr="008B68A9" w:rsidRDefault="008E4573" w:rsidP="00045396">
            <w:pPr>
              <w:spacing w:line="240" w:lineRule="auto"/>
              <w:rPr>
                <w:b/>
                <w:sz w:val="18"/>
                <w:szCs w:val="18"/>
              </w:rPr>
            </w:pPr>
          </w:p>
        </w:tc>
        <w:tc>
          <w:tcPr>
            <w:tcW w:w="1479" w:type="dxa"/>
          </w:tcPr>
          <w:p w14:paraId="2382A2FB" w14:textId="77777777" w:rsidR="008E4573" w:rsidRPr="008B68A9" w:rsidRDefault="008E4573" w:rsidP="00045396">
            <w:pPr>
              <w:spacing w:line="240" w:lineRule="auto"/>
              <w:rPr>
                <w:sz w:val="18"/>
                <w:szCs w:val="18"/>
              </w:rPr>
            </w:pPr>
          </w:p>
        </w:tc>
        <w:tc>
          <w:tcPr>
            <w:tcW w:w="1526" w:type="dxa"/>
          </w:tcPr>
          <w:p w14:paraId="65B32CFB" w14:textId="77777777" w:rsidR="008E4573" w:rsidRPr="008B68A9" w:rsidRDefault="008E4573" w:rsidP="00045396">
            <w:pPr>
              <w:spacing w:line="240" w:lineRule="auto"/>
              <w:rPr>
                <w:sz w:val="18"/>
                <w:szCs w:val="18"/>
              </w:rPr>
            </w:pPr>
          </w:p>
        </w:tc>
        <w:tc>
          <w:tcPr>
            <w:tcW w:w="2127" w:type="dxa"/>
          </w:tcPr>
          <w:p w14:paraId="25D1830F" w14:textId="77777777" w:rsidR="008E4573" w:rsidRPr="008B68A9" w:rsidRDefault="008E4573" w:rsidP="00045396">
            <w:pPr>
              <w:spacing w:line="240" w:lineRule="auto"/>
              <w:rPr>
                <w:sz w:val="18"/>
                <w:szCs w:val="18"/>
              </w:rPr>
            </w:pPr>
          </w:p>
        </w:tc>
        <w:tc>
          <w:tcPr>
            <w:tcW w:w="1701" w:type="dxa"/>
          </w:tcPr>
          <w:p w14:paraId="719DA32C" w14:textId="77777777" w:rsidR="008E4573" w:rsidRPr="008B68A9" w:rsidRDefault="008E4573" w:rsidP="00045396">
            <w:pPr>
              <w:spacing w:line="240" w:lineRule="auto"/>
              <w:rPr>
                <w:sz w:val="18"/>
                <w:szCs w:val="18"/>
              </w:rPr>
            </w:pPr>
          </w:p>
        </w:tc>
        <w:tc>
          <w:tcPr>
            <w:tcW w:w="3445" w:type="dxa"/>
          </w:tcPr>
          <w:p w14:paraId="4789CF30" w14:textId="77777777" w:rsidR="008E4573" w:rsidRPr="008B68A9" w:rsidRDefault="008E4573" w:rsidP="00045396">
            <w:pPr>
              <w:spacing w:line="240" w:lineRule="auto"/>
              <w:rPr>
                <w:sz w:val="18"/>
                <w:szCs w:val="18"/>
              </w:rPr>
            </w:pPr>
          </w:p>
        </w:tc>
        <w:tc>
          <w:tcPr>
            <w:tcW w:w="2083" w:type="dxa"/>
          </w:tcPr>
          <w:p w14:paraId="0CDE3630" w14:textId="77777777" w:rsidR="008E4573" w:rsidRPr="008B68A9" w:rsidRDefault="008E4573" w:rsidP="00045396">
            <w:pPr>
              <w:spacing w:line="240" w:lineRule="auto"/>
              <w:rPr>
                <w:sz w:val="18"/>
                <w:szCs w:val="18"/>
              </w:rPr>
            </w:pPr>
          </w:p>
        </w:tc>
      </w:tr>
      <w:tr w:rsidR="008E4573" w:rsidRPr="008B68A9" w14:paraId="52DFD1F3" w14:textId="77777777" w:rsidTr="00045396">
        <w:tc>
          <w:tcPr>
            <w:tcW w:w="1922" w:type="dxa"/>
          </w:tcPr>
          <w:p w14:paraId="5892316D" w14:textId="77777777" w:rsidR="008E4573" w:rsidRPr="008B68A9" w:rsidRDefault="008E4573" w:rsidP="00045396">
            <w:pPr>
              <w:spacing w:line="240" w:lineRule="auto"/>
              <w:rPr>
                <w:b/>
                <w:sz w:val="18"/>
                <w:szCs w:val="18"/>
              </w:rPr>
            </w:pPr>
            <w:r w:rsidRPr="008B68A9">
              <w:rPr>
                <w:b/>
                <w:sz w:val="18"/>
                <w:szCs w:val="18"/>
              </w:rPr>
              <w:t>Laragy and Ottmann 2011</w:t>
            </w:r>
          </w:p>
        </w:tc>
        <w:tc>
          <w:tcPr>
            <w:tcW w:w="1479" w:type="dxa"/>
          </w:tcPr>
          <w:p w14:paraId="7B7F1516" w14:textId="77777777" w:rsidR="008E4573" w:rsidRPr="008B68A9" w:rsidRDefault="008E4573" w:rsidP="00045396">
            <w:pPr>
              <w:spacing w:line="240" w:lineRule="auto"/>
              <w:rPr>
                <w:sz w:val="18"/>
                <w:szCs w:val="18"/>
              </w:rPr>
            </w:pPr>
            <w:r w:rsidRPr="008B68A9">
              <w:rPr>
                <w:sz w:val="18"/>
                <w:szCs w:val="18"/>
              </w:rPr>
              <w:t>Families with children with learning disabilities using SDC.</w:t>
            </w:r>
          </w:p>
        </w:tc>
        <w:tc>
          <w:tcPr>
            <w:tcW w:w="1526" w:type="dxa"/>
          </w:tcPr>
          <w:p w14:paraId="5558DBCF" w14:textId="77777777" w:rsidR="008E4573" w:rsidRPr="008B68A9" w:rsidRDefault="008E4573" w:rsidP="00045396">
            <w:pPr>
              <w:spacing w:line="240" w:lineRule="auto"/>
              <w:rPr>
                <w:sz w:val="18"/>
                <w:szCs w:val="18"/>
              </w:rPr>
            </w:pPr>
            <w:r w:rsidRPr="008B68A9">
              <w:rPr>
                <w:sz w:val="18"/>
                <w:szCs w:val="18"/>
              </w:rPr>
              <w:t xml:space="preserve">5 families </w:t>
            </w:r>
          </w:p>
        </w:tc>
        <w:tc>
          <w:tcPr>
            <w:tcW w:w="2127" w:type="dxa"/>
          </w:tcPr>
          <w:p w14:paraId="4CF586EA" w14:textId="77777777" w:rsidR="008E4573" w:rsidRPr="008B68A9" w:rsidRDefault="008E4573" w:rsidP="00045396">
            <w:pPr>
              <w:spacing w:line="240" w:lineRule="auto"/>
              <w:rPr>
                <w:sz w:val="18"/>
                <w:szCs w:val="18"/>
              </w:rPr>
            </w:pPr>
            <w:r w:rsidRPr="008B68A9">
              <w:rPr>
                <w:sz w:val="18"/>
                <w:szCs w:val="18"/>
              </w:rPr>
              <w:t>Qualitative single case study design</w:t>
            </w:r>
          </w:p>
        </w:tc>
        <w:tc>
          <w:tcPr>
            <w:tcW w:w="1701" w:type="dxa"/>
          </w:tcPr>
          <w:p w14:paraId="02459C5F" w14:textId="77777777" w:rsidR="008E4573" w:rsidRPr="008B68A9" w:rsidRDefault="008E4573" w:rsidP="00045396">
            <w:pPr>
              <w:spacing w:line="240" w:lineRule="auto"/>
              <w:rPr>
                <w:sz w:val="18"/>
                <w:szCs w:val="18"/>
              </w:rPr>
            </w:pPr>
            <w:r w:rsidRPr="008B68A9">
              <w:rPr>
                <w:sz w:val="18"/>
                <w:szCs w:val="18"/>
              </w:rPr>
              <w:t xml:space="preserve">Three stage qualitative analysis. </w:t>
            </w:r>
          </w:p>
          <w:p w14:paraId="438CA86D" w14:textId="77777777" w:rsidR="008E4573" w:rsidRPr="008B68A9" w:rsidRDefault="008E4573" w:rsidP="00045396">
            <w:pPr>
              <w:spacing w:line="240" w:lineRule="auto"/>
              <w:rPr>
                <w:sz w:val="18"/>
                <w:szCs w:val="18"/>
              </w:rPr>
            </w:pPr>
            <w:r w:rsidRPr="008B68A9">
              <w:rPr>
                <w:sz w:val="18"/>
                <w:szCs w:val="18"/>
              </w:rPr>
              <w:t>Open coding and CAQRA.</w:t>
            </w:r>
          </w:p>
          <w:p w14:paraId="0626351F" w14:textId="77777777" w:rsidR="008E4573" w:rsidRPr="008B68A9" w:rsidRDefault="008E4573" w:rsidP="00045396">
            <w:pPr>
              <w:spacing w:line="240" w:lineRule="auto"/>
              <w:rPr>
                <w:sz w:val="18"/>
                <w:szCs w:val="18"/>
              </w:rPr>
            </w:pPr>
            <w:r w:rsidRPr="008B68A9">
              <w:rPr>
                <w:sz w:val="18"/>
                <w:szCs w:val="18"/>
              </w:rPr>
              <w:t>Ecological analysis.</w:t>
            </w:r>
          </w:p>
        </w:tc>
        <w:tc>
          <w:tcPr>
            <w:tcW w:w="3445" w:type="dxa"/>
          </w:tcPr>
          <w:p w14:paraId="02D09060" w14:textId="77777777" w:rsidR="008E4573" w:rsidRPr="008B68A9" w:rsidRDefault="008E4573" w:rsidP="00045396">
            <w:pPr>
              <w:spacing w:line="240" w:lineRule="auto"/>
              <w:rPr>
                <w:sz w:val="18"/>
                <w:szCs w:val="18"/>
              </w:rPr>
            </w:pPr>
            <w:r w:rsidRPr="008B68A9">
              <w:rPr>
                <w:sz w:val="18"/>
                <w:szCs w:val="18"/>
              </w:rPr>
              <w:t>Families that wanted more control were satisfied with higher esteem. Wanted more information re: options. Though experienced isolation from case manager.</w:t>
            </w:r>
          </w:p>
        </w:tc>
        <w:tc>
          <w:tcPr>
            <w:tcW w:w="2083" w:type="dxa"/>
          </w:tcPr>
          <w:p w14:paraId="163F6980" w14:textId="77777777" w:rsidR="008E4573" w:rsidRPr="008B68A9" w:rsidRDefault="008E4573" w:rsidP="00045396">
            <w:pPr>
              <w:spacing w:line="240" w:lineRule="auto"/>
              <w:rPr>
                <w:sz w:val="18"/>
                <w:szCs w:val="18"/>
              </w:rPr>
            </w:pPr>
            <w:r w:rsidRPr="008B68A9">
              <w:rPr>
                <w:sz w:val="18"/>
                <w:szCs w:val="18"/>
              </w:rPr>
              <w:t>Small but in-depth study, limited generalisability.</w:t>
            </w:r>
          </w:p>
          <w:p w14:paraId="19BF16F1" w14:textId="77777777" w:rsidR="008E4573" w:rsidRPr="008B68A9" w:rsidRDefault="008E4573" w:rsidP="00045396">
            <w:pPr>
              <w:spacing w:line="240" w:lineRule="auto"/>
              <w:rPr>
                <w:sz w:val="18"/>
                <w:szCs w:val="18"/>
              </w:rPr>
            </w:pPr>
            <w:r w:rsidRPr="008B68A9">
              <w:rPr>
                <w:sz w:val="18"/>
                <w:szCs w:val="18"/>
              </w:rPr>
              <w:t>Good use of Bronfenbrenner.</w:t>
            </w:r>
          </w:p>
        </w:tc>
      </w:tr>
      <w:tr w:rsidR="008E4573" w:rsidRPr="008B68A9" w14:paraId="6C0FE204" w14:textId="77777777" w:rsidTr="00045396">
        <w:tc>
          <w:tcPr>
            <w:tcW w:w="1922" w:type="dxa"/>
          </w:tcPr>
          <w:p w14:paraId="6F862C2B" w14:textId="77777777" w:rsidR="008E4573" w:rsidRPr="008B68A9" w:rsidRDefault="008E4573" w:rsidP="00045396">
            <w:pPr>
              <w:spacing w:line="240" w:lineRule="auto"/>
              <w:rPr>
                <w:b/>
                <w:sz w:val="18"/>
                <w:szCs w:val="18"/>
              </w:rPr>
            </w:pPr>
          </w:p>
        </w:tc>
        <w:tc>
          <w:tcPr>
            <w:tcW w:w="1479" w:type="dxa"/>
          </w:tcPr>
          <w:p w14:paraId="0959661C" w14:textId="77777777" w:rsidR="008E4573" w:rsidRPr="008B68A9" w:rsidRDefault="008E4573" w:rsidP="00045396">
            <w:pPr>
              <w:spacing w:line="240" w:lineRule="auto"/>
              <w:rPr>
                <w:sz w:val="18"/>
                <w:szCs w:val="18"/>
              </w:rPr>
            </w:pPr>
          </w:p>
        </w:tc>
        <w:tc>
          <w:tcPr>
            <w:tcW w:w="1526" w:type="dxa"/>
          </w:tcPr>
          <w:p w14:paraId="45AEF6A5" w14:textId="77777777" w:rsidR="008E4573" w:rsidRPr="008B68A9" w:rsidRDefault="008E4573" w:rsidP="00045396">
            <w:pPr>
              <w:spacing w:line="240" w:lineRule="auto"/>
              <w:rPr>
                <w:sz w:val="18"/>
                <w:szCs w:val="18"/>
              </w:rPr>
            </w:pPr>
          </w:p>
        </w:tc>
        <w:tc>
          <w:tcPr>
            <w:tcW w:w="2127" w:type="dxa"/>
          </w:tcPr>
          <w:p w14:paraId="6438F3CD" w14:textId="77777777" w:rsidR="008E4573" w:rsidRPr="008B68A9" w:rsidRDefault="008E4573" w:rsidP="00045396">
            <w:pPr>
              <w:spacing w:line="240" w:lineRule="auto"/>
              <w:rPr>
                <w:sz w:val="18"/>
                <w:szCs w:val="18"/>
              </w:rPr>
            </w:pPr>
          </w:p>
        </w:tc>
        <w:tc>
          <w:tcPr>
            <w:tcW w:w="1701" w:type="dxa"/>
          </w:tcPr>
          <w:p w14:paraId="77EDF3D5" w14:textId="77777777" w:rsidR="008E4573" w:rsidRPr="008B68A9" w:rsidRDefault="008E4573" w:rsidP="00045396">
            <w:pPr>
              <w:spacing w:line="240" w:lineRule="auto"/>
              <w:rPr>
                <w:sz w:val="18"/>
                <w:szCs w:val="18"/>
              </w:rPr>
            </w:pPr>
          </w:p>
        </w:tc>
        <w:tc>
          <w:tcPr>
            <w:tcW w:w="3445" w:type="dxa"/>
          </w:tcPr>
          <w:p w14:paraId="7EB035F3" w14:textId="77777777" w:rsidR="008E4573" w:rsidRPr="008B68A9" w:rsidRDefault="008E4573" w:rsidP="00045396">
            <w:pPr>
              <w:spacing w:line="240" w:lineRule="auto"/>
              <w:rPr>
                <w:sz w:val="18"/>
                <w:szCs w:val="18"/>
              </w:rPr>
            </w:pPr>
          </w:p>
        </w:tc>
        <w:tc>
          <w:tcPr>
            <w:tcW w:w="2083" w:type="dxa"/>
          </w:tcPr>
          <w:p w14:paraId="4912A9FB" w14:textId="77777777" w:rsidR="008E4573" w:rsidRPr="008B68A9" w:rsidRDefault="008E4573" w:rsidP="00045396">
            <w:pPr>
              <w:spacing w:line="240" w:lineRule="auto"/>
              <w:rPr>
                <w:sz w:val="18"/>
                <w:szCs w:val="18"/>
              </w:rPr>
            </w:pPr>
          </w:p>
        </w:tc>
      </w:tr>
      <w:tr w:rsidR="008E4573" w:rsidRPr="008B68A9" w14:paraId="4926A19E" w14:textId="77777777" w:rsidTr="00045396">
        <w:tc>
          <w:tcPr>
            <w:tcW w:w="1922" w:type="dxa"/>
          </w:tcPr>
          <w:p w14:paraId="385E9982" w14:textId="77777777" w:rsidR="008E4573" w:rsidRPr="008B68A9" w:rsidRDefault="008E4573" w:rsidP="00045396">
            <w:pPr>
              <w:spacing w:line="240" w:lineRule="auto"/>
              <w:rPr>
                <w:b/>
                <w:sz w:val="18"/>
                <w:szCs w:val="18"/>
              </w:rPr>
            </w:pPr>
            <w:r w:rsidRPr="008B68A9">
              <w:rPr>
                <w:b/>
                <w:sz w:val="18"/>
                <w:szCs w:val="18"/>
              </w:rPr>
              <w:t xml:space="preserve">Ottmann </w:t>
            </w:r>
            <w:r w:rsidRPr="008B68A9">
              <w:rPr>
                <w:b/>
                <w:i/>
                <w:sz w:val="18"/>
                <w:szCs w:val="18"/>
              </w:rPr>
              <w:t>et al.</w:t>
            </w:r>
            <w:r w:rsidRPr="008B68A9">
              <w:rPr>
                <w:b/>
                <w:sz w:val="18"/>
                <w:szCs w:val="18"/>
              </w:rPr>
              <w:t xml:space="preserve"> 2009</w:t>
            </w:r>
          </w:p>
        </w:tc>
        <w:tc>
          <w:tcPr>
            <w:tcW w:w="1479" w:type="dxa"/>
          </w:tcPr>
          <w:p w14:paraId="2033D2FD" w14:textId="77777777" w:rsidR="008E4573" w:rsidRPr="008B68A9" w:rsidRDefault="008E4573" w:rsidP="00045396">
            <w:pPr>
              <w:spacing w:line="240" w:lineRule="auto"/>
              <w:rPr>
                <w:sz w:val="18"/>
                <w:szCs w:val="18"/>
              </w:rPr>
            </w:pPr>
            <w:r w:rsidRPr="008B68A9">
              <w:rPr>
                <w:sz w:val="18"/>
                <w:szCs w:val="18"/>
              </w:rPr>
              <w:t>Families with children with learning disabilities using SDC.</w:t>
            </w:r>
          </w:p>
        </w:tc>
        <w:tc>
          <w:tcPr>
            <w:tcW w:w="1526" w:type="dxa"/>
          </w:tcPr>
          <w:p w14:paraId="7F3207AD" w14:textId="77777777" w:rsidR="008E4573" w:rsidRPr="008B68A9" w:rsidRDefault="008E4573" w:rsidP="00045396">
            <w:pPr>
              <w:spacing w:line="240" w:lineRule="auto"/>
              <w:rPr>
                <w:sz w:val="18"/>
                <w:szCs w:val="18"/>
              </w:rPr>
            </w:pPr>
            <w:r w:rsidRPr="008B68A9">
              <w:rPr>
                <w:sz w:val="18"/>
                <w:szCs w:val="18"/>
              </w:rPr>
              <w:t>12 families</w:t>
            </w:r>
          </w:p>
        </w:tc>
        <w:tc>
          <w:tcPr>
            <w:tcW w:w="2127" w:type="dxa"/>
          </w:tcPr>
          <w:p w14:paraId="3D5D7AE6" w14:textId="77777777" w:rsidR="008E4573" w:rsidRPr="008B68A9" w:rsidRDefault="008E4573" w:rsidP="00045396">
            <w:pPr>
              <w:spacing w:line="240" w:lineRule="auto"/>
              <w:rPr>
                <w:sz w:val="18"/>
                <w:szCs w:val="18"/>
              </w:rPr>
            </w:pPr>
            <w:r w:rsidRPr="008B68A9">
              <w:rPr>
                <w:sz w:val="18"/>
                <w:szCs w:val="18"/>
              </w:rPr>
              <w:t>2 external evaluations at 6 and 36 months.</w:t>
            </w:r>
          </w:p>
          <w:p w14:paraId="4640978E" w14:textId="77777777" w:rsidR="008E4573" w:rsidRPr="008B68A9" w:rsidRDefault="008E4573" w:rsidP="00045396">
            <w:pPr>
              <w:spacing w:line="240" w:lineRule="auto"/>
              <w:rPr>
                <w:sz w:val="18"/>
                <w:szCs w:val="18"/>
              </w:rPr>
            </w:pPr>
            <w:r w:rsidRPr="008B68A9">
              <w:rPr>
                <w:sz w:val="18"/>
                <w:szCs w:val="18"/>
              </w:rPr>
              <w:t>1 internal evaluation at 48 months.</w:t>
            </w:r>
          </w:p>
        </w:tc>
        <w:tc>
          <w:tcPr>
            <w:tcW w:w="1701" w:type="dxa"/>
          </w:tcPr>
          <w:p w14:paraId="3702FFCC" w14:textId="77777777" w:rsidR="008E4573" w:rsidRPr="008B68A9" w:rsidRDefault="008E4573" w:rsidP="00045396">
            <w:pPr>
              <w:spacing w:line="240" w:lineRule="auto"/>
              <w:rPr>
                <w:sz w:val="18"/>
                <w:szCs w:val="18"/>
              </w:rPr>
            </w:pPr>
            <w:r w:rsidRPr="008B68A9">
              <w:rPr>
                <w:sz w:val="18"/>
                <w:szCs w:val="18"/>
              </w:rPr>
              <w:t>Qualitative data from semi-structured interviews and</w:t>
            </w:r>
          </w:p>
          <w:p w14:paraId="091C0D74" w14:textId="77777777" w:rsidR="008E4573" w:rsidRPr="008B68A9" w:rsidRDefault="008E4573" w:rsidP="00045396">
            <w:pPr>
              <w:spacing w:line="240" w:lineRule="auto"/>
              <w:rPr>
                <w:sz w:val="18"/>
                <w:szCs w:val="18"/>
              </w:rPr>
            </w:pPr>
            <w:r w:rsidRPr="008B68A9">
              <w:rPr>
                <w:sz w:val="18"/>
                <w:szCs w:val="18"/>
              </w:rPr>
              <w:t>observations of meetings using participatory action research.</w:t>
            </w:r>
          </w:p>
        </w:tc>
        <w:tc>
          <w:tcPr>
            <w:tcW w:w="3445" w:type="dxa"/>
          </w:tcPr>
          <w:p w14:paraId="143CD48A" w14:textId="77777777" w:rsidR="008E4573" w:rsidRPr="008B68A9" w:rsidRDefault="008E4573" w:rsidP="00045396">
            <w:pPr>
              <w:spacing w:line="240" w:lineRule="auto"/>
              <w:rPr>
                <w:sz w:val="18"/>
                <w:szCs w:val="18"/>
              </w:rPr>
            </w:pPr>
            <w:r w:rsidRPr="008B68A9">
              <w:rPr>
                <w:sz w:val="18"/>
                <w:szCs w:val="18"/>
              </w:rPr>
              <w:t>Most families did not want administrative roles. Happy to pay a % of budget for this to be outsourced.</w:t>
            </w:r>
          </w:p>
          <w:p w14:paraId="7CB26ADA" w14:textId="77777777" w:rsidR="008E4573" w:rsidRPr="008B68A9" w:rsidRDefault="008E4573" w:rsidP="00045396">
            <w:pPr>
              <w:spacing w:line="240" w:lineRule="auto"/>
              <w:rPr>
                <w:sz w:val="18"/>
                <w:szCs w:val="18"/>
              </w:rPr>
            </w:pPr>
            <w:r w:rsidRPr="008B68A9">
              <w:rPr>
                <w:sz w:val="18"/>
                <w:szCs w:val="18"/>
              </w:rPr>
              <w:t>Creative outcomes, most impact in social and community connecting.</w:t>
            </w:r>
          </w:p>
          <w:p w14:paraId="63BA1A4A" w14:textId="77777777" w:rsidR="008E4573" w:rsidRPr="008B68A9" w:rsidRDefault="008E4573" w:rsidP="00045396">
            <w:pPr>
              <w:spacing w:line="240" w:lineRule="auto"/>
              <w:rPr>
                <w:sz w:val="18"/>
                <w:szCs w:val="18"/>
              </w:rPr>
            </w:pPr>
            <w:r w:rsidRPr="008B68A9">
              <w:rPr>
                <w:sz w:val="18"/>
                <w:szCs w:val="18"/>
              </w:rPr>
              <w:t>‘Over time, as carers disengage from information sources and support networks, CDC may contribute to an increased sense of isolation and a lack of support during transition and/or crisis points.’ (475)</w:t>
            </w:r>
          </w:p>
        </w:tc>
        <w:tc>
          <w:tcPr>
            <w:tcW w:w="2083" w:type="dxa"/>
          </w:tcPr>
          <w:p w14:paraId="758F74B4" w14:textId="77777777" w:rsidR="008E4573" w:rsidRPr="008B68A9" w:rsidRDefault="008E4573" w:rsidP="00045396">
            <w:pPr>
              <w:spacing w:line="240" w:lineRule="auto"/>
              <w:rPr>
                <w:sz w:val="18"/>
                <w:szCs w:val="18"/>
              </w:rPr>
            </w:pPr>
            <w:r w:rsidRPr="008B68A9">
              <w:rPr>
                <w:sz w:val="18"/>
                <w:szCs w:val="18"/>
              </w:rPr>
              <w:t>T6 low information due to newness of scheme.</w:t>
            </w:r>
          </w:p>
          <w:p w14:paraId="1B7D05D8" w14:textId="77777777" w:rsidR="008E4573" w:rsidRPr="008B68A9" w:rsidRDefault="008E4573" w:rsidP="00045396">
            <w:pPr>
              <w:spacing w:line="240" w:lineRule="auto"/>
              <w:rPr>
                <w:sz w:val="18"/>
                <w:szCs w:val="18"/>
              </w:rPr>
            </w:pPr>
            <w:r w:rsidRPr="008B68A9">
              <w:rPr>
                <w:sz w:val="18"/>
                <w:szCs w:val="18"/>
              </w:rPr>
              <w:t>Financial constraints meant participants (PWLD) were not present at T36 but were at T48.</w:t>
            </w:r>
          </w:p>
          <w:p w14:paraId="2655EB0A" w14:textId="77777777" w:rsidR="008E4573" w:rsidRPr="008B68A9" w:rsidRDefault="008E4573" w:rsidP="00045396">
            <w:pPr>
              <w:spacing w:line="240" w:lineRule="auto"/>
              <w:rPr>
                <w:sz w:val="18"/>
                <w:szCs w:val="18"/>
              </w:rPr>
            </w:pPr>
            <w:r w:rsidRPr="008B68A9">
              <w:rPr>
                <w:sz w:val="18"/>
                <w:szCs w:val="18"/>
              </w:rPr>
              <w:t>Isolation was present before and more so after scheme, ‘getting through the day in one piece’ was all that could be achieved.’ (p.472)</w:t>
            </w:r>
          </w:p>
        </w:tc>
      </w:tr>
      <w:tr w:rsidR="008E4573" w:rsidRPr="008B68A9" w14:paraId="4D77C75B" w14:textId="77777777" w:rsidTr="00045396">
        <w:tc>
          <w:tcPr>
            <w:tcW w:w="1922" w:type="dxa"/>
          </w:tcPr>
          <w:p w14:paraId="6A131312" w14:textId="77777777" w:rsidR="008E4573" w:rsidRPr="008B68A9" w:rsidRDefault="008E4573" w:rsidP="00045396">
            <w:pPr>
              <w:spacing w:line="240" w:lineRule="auto"/>
              <w:rPr>
                <w:b/>
                <w:sz w:val="18"/>
                <w:szCs w:val="18"/>
              </w:rPr>
            </w:pPr>
            <w:r w:rsidRPr="008B68A9">
              <w:rPr>
                <w:b/>
                <w:sz w:val="18"/>
                <w:szCs w:val="18"/>
              </w:rPr>
              <w:t xml:space="preserve">Ottmann </w:t>
            </w:r>
            <w:r w:rsidRPr="008B68A9">
              <w:rPr>
                <w:b/>
                <w:i/>
                <w:sz w:val="18"/>
                <w:szCs w:val="18"/>
              </w:rPr>
              <w:t>et al.</w:t>
            </w:r>
            <w:r w:rsidRPr="008B68A9">
              <w:rPr>
                <w:b/>
                <w:sz w:val="18"/>
                <w:szCs w:val="18"/>
              </w:rPr>
              <w:t xml:space="preserve"> 2013</w:t>
            </w:r>
          </w:p>
        </w:tc>
        <w:tc>
          <w:tcPr>
            <w:tcW w:w="1479" w:type="dxa"/>
          </w:tcPr>
          <w:p w14:paraId="78CF9039" w14:textId="77777777" w:rsidR="008E4573" w:rsidRPr="008B68A9" w:rsidRDefault="008E4573" w:rsidP="00045396">
            <w:pPr>
              <w:spacing w:line="240" w:lineRule="auto"/>
              <w:rPr>
                <w:sz w:val="18"/>
                <w:szCs w:val="18"/>
              </w:rPr>
            </w:pPr>
            <w:r w:rsidRPr="008B68A9">
              <w:rPr>
                <w:sz w:val="18"/>
                <w:szCs w:val="18"/>
              </w:rPr>
              <w:t>Systematic narrative review of SDC for older people in Australia</w:t>
            </w:r>
          </w:p>
        </w:tc>
        <w:tc>
          <w:tcPr>
            <w:tcW w:w="1526" w:type="dxa"/>
          </w:tcPr>
          <w:p w14:paraId="4DDCD01F" w14:textId="77777777" w:rsidR="008E4573" w:rsidRPr="008B68A9" w:rsidRDefault="008E4573" w:rsidP="00045396">
            <w:pPr>
              <w:spacing w:line="240" w:lineRule="auto"/>
              <w:rPr>
                <w:sz w:val="18"/>
                <w:szCs w:val="18"/>
              </w:rPr>
            </w:pPr>
            <w:r w:rsidRPr="008B68A9">
              <w:rPr>
                <w:sz w:val="18"/>
                <w:szCs w:val="18"/>
              </w:rPr>
              <w:t>Initial scan 941 + 31</w:t>
            </w:r>
          </w:p>
          <w:p w14:paraId="2B290104" w14:textId="77777777" w:rsidR="008E4573" w:rsidRPr="008B68A9" w:rsidRDefault="008E4573" w:rsidP="00045396">
            <w:pPr>
              <w:spacing w:line="240" w:lineRule="auto"/>
              <w:rPr>
                <w:sz w:val="18"/>
                <w:szCs w:val="18"/>
              </w:rPr>
            </w:pPr>
            <w:r w:rsidRPr="008B68A9">
              <w:rPr>
                <w:sz w:val="18"/>
                <w:szCs w:val="18"/>
              </w:rPr>
              <w:t xml:space="preserve">N=647 excluded did not report trial and n=41 more as only 1 </w:t>
            </w:r>
            <w:r w:rsidRPr="008B68A9">
              <w:rPr>
                <w:sz w:val="18"/>
                <w:szCs w:val="18"/>
              </w:rPr>
              <w:lastRenderedPageBreak/>
              <w:t>report per study were included.</w:t>
            </w:r>
          </w:p>
          <w:p w14:paraId="5F18C26E" w14:textId="77777777" w:rsidR="008E4573" w:rsidRPr="008B68A9" w:rsidRDefault="008E4573" w:rsidP="00045396">
            <w:pPr>
              <w:spacing w:line="240" w:lineRule="auto"/>
              <w:rPr>
                <w:sz w:val="18"/>
                <w:szCs w:val="18"/>
              </w:rPr>
            </w:pPr>
            <w:r w:rsidRPr="008B68A9">
              <w:rPr>
                <w:sz w:val="18"/>
                <w:szCs w:val="18"/>
              </w:rPr>
              <w:t xml:space="preserve">n=277 </w:t>
            </w:r>
          </w:p>
          <w:p w14:paraId="53E7D6D8" w14:textId="77777777" w:rsidR="008E4573" w:rsidRPr="008B68A9" w:rsidRDefault="008E4573" w:rsidP="00045396">
            <w:pPr>
              <w:spacing w:line="240" w:lineRule="auto"/>
              <w:rPr>
                <w:sz w:val="18"/>
                <w:szCs w:val="18"/>
              </w:rPr>
            </w:pPr>
            <w:r w:rsidRPr="008B68A9">
              <w:rPr>
                <w:sz w:val="18"/>
                <w:szCs w:val="18"/>
              </w:rPr>
              <w:t>n=17 met criteria.</w:t>
            </w:r>
          </w:p>
          <w:p w14:paraId="0029F0FE" w14:textId="77777777" w:rsidR="008E4573" w:rsidRPr="008B68A9" w:rsidRDefault="008E4573" w:rsidP="00045396">
            <w:pPr>
              <w:spacing w:line="240" w:lineRule="auto"/>
              <w:rPr>
                <w:sz w:val="18"/>
                <w:szCs w:val="18"/>
              </w:rPr>
            </w:pPr>
          </w:p>
        </w:tc>
        <w:tc>
          <w:tcPr>
            <w:tcW w:w="2127" w:type="dxa"/>
          </w:tcPr>
          <w:p w14:paraId="640EEF8D" w14:textId="77777777" w:rsidR="008E4573" w:rsidRPr="008B68A9" w:rsidRDefault="008E4573" w:rsidP="00045396">
            <w:pPr>
              <w:spacing w:line="240" w:lineRule="auto"/>
              <w:rPr>
                <w:sz w:val="18"/>
                <w:szCs w:val="18"/>
              </w:rPr>
            </w:pPr>
            <w:r w:rsidRPr="008B68A9">
              <w:rPr>
                <w:sz w:val="18"/>
                <w:szCs w:val="18"/>
              </w:rPr>
              <w:lastRenderedPageBreak/>
              <w:t>Inclusion and exclusion criteria clearly stated</w:t>
            </w:r>
          </w:p>
          <w:p w14:paraId="2C08E5AB" w14:textId="77777777" w:rsidR="008E4573" w:rsidRPr="008B68A9" w:rsidRDefault="008E4573" w:rsidP="00045396">
            <w:pPr>
              <w:spacing w:line="240" w:lineRule="auto"/>
              <w:rPr>
                <w:sz w:val="18"/>
                <w:szCs w:val="18"/>
              </w:rPr>
            </w:pPr>
          </w:p>
          <w:p w14:paraId="6C5F9321" w14:textId="77777777" w:rsidR="008E4573" w:rsidRPr="008B68A9" w:rsidRDefault="008E4573" w:rsidP="00045396">
            <w:pPr>
              <w:spacing w:line="240" w:lineRule="auto"/>
              <w:rPr>
                <w:sz w:val="18"/>
                <w:szCs w:val="18"/>
              </w:rPr>
            </w:pPr>
            <w:r w:rsidRPr="008B68A9">
              <w:rPr>
                <w:sz w:val="18"/>
                <w:szCs w:val="18"/>
              </w:rPr>
              <w:t>Search terms identified.</w:t>
            </w:r>
          </w:p>
          <w:p w14:paraId="299C5A2B" w14:textId="77777777" w:rsidR="008E4573" w:rsidRPr="008B68A9" w:rsidRDefault="008E4573" w:rsidP="00045396">
            <w:pPr>
              <w:spacing w:line="240" w:lineRule="auto"/>
              <w:rPr>
                <w:sz w:val="18"/>
                <w:szCs w:val="18"/>
              </w:rPr>
            </w:pPr>
          </w:p>
        </w:tc>
        <w:tc>
          <w:tcPr>
            <w:tcW w:w="1701" w:type="dxa"/>
          </w:tcPr>
          <w:p w14:paraId="6E3BDCCA" w14:textId="77777777" w:rsidR="008E4573" w:rsidRPr="008B68A9" w:rsidRDefault="008E4573" w:rsidP="00045396">
            <w:pPr>
              <w:spacing w:line="240" w:lineRule="auto"/>
              <w:rPr>
                <w:sz w:val="18"/>
                <w:szCs w:val="18"/>
              </w:rPr>
            </w:pPr>
            <w:r w:rsidRPr="008B68A9">
              <w:rPr>
                <w:sz w:val="18"/>
                <w:szCs w:val="18"/>
              </w:rPr>
              <w:t>Used Jones 2004</w:t>
            </w:r>
          </w:p>
          <w:p w14:paraId="099221EE" w14:textId="77777777" w:rsidR="008E4573" w:rsidRPr="008B68A9" w:rsidRDefault="008E4573" w:rsidP="00045396">
            <w:pPr>
              <w:spacing w:line="240" w:lineRule="auto"/>
              <w:rPr>
                <w:sz w:val="18"/>
                <w:szCs w:val="18"/>
              </w:rPr>
            </w:pPr>
            <w:r w:rsidRPr="008B68A9">
              <w:rPr>
                <w:sz w:val="18"/>
                <w:szCs w:val="18"/>
              </w:rPr>
              <w:t>‘coded according to criteria for evaluation designs’.</w:t>
            </w:r>
          </w:p>
        </w:tc>
        <w:tc>
          <w:tcPr>
            <w:tcW w:w="3445" w:type="dxa"/>
          </w:tcPr>
          <w:p w14:paraId="462C5458" w14:textId="77777777" w:rsidR="008E4573" w:rsidRPr="008B68A9" w:rsidRDefault="008E4573" w:rsidP="00045396">
            <w:pPr>
              <w:spacing w:line="240" w:lineRule="auto"/>
              <w:rPr>
                <w:sz w:val="18"/>
                <w:szCs w:val="18"/>
              </w:rPr>
            </w:pPr>
            <w:r w:rsidRPr="008B68A9">
              <w:rPr>
                <w:sz w:val="18"/>
                <w:szCs w:val="18"/>
              </w:rPr>
              <w:t>Older people reported satisfaction.</w:t>
            </w:r>
          </w:p>
          <w:p w14:paraId="2DAC863E" w14:textId="77777777" w:rsidR="008E4573" w:rsidRPr="008B68A9" w:rsidRDefault="008E4573" w:rsidP="00045396">
            <w:pPr>
              <w:spacing w:line="240" w:lineRule="auto"/>
              <w:rPr>
                <w:sz w:val="18"/>
                <w:szCs w:val="18"/>
              </w:rPr>
            </w:pPr>
            <w:r w:rsidRPr="008B68A9">
              <w:rPr>
                <w:sz w:val="18"/>
                <w:szCs w:val="18"/>
              </w:rPr>
              <w:t>Though in keeping with other studies, disliked the burdensome aspect of SDC.</w:t>
            </w:r>
          </w:p>
          <w:p w14:paraId="4EA6BCEF" w14:textId="77777777" w:rsidR="008E4573" w:rsidRPr="008B68A9" w:rsidRDefault="008E4573" w:rsidP="00045396">
            <w:pPr>
              <w:spacing w:line="240" w:lineRule="auto"/>
              <w:rPr>
                <w:sz w:val="18"/>
                <w:szCs w:val="18"/>
              </w:rPr>
            </w:pPr>
            <w:r w:rsidRPr="008B68A9">
              <w:rPr>
                <w:sz w:val="18"/>
                <w:szCs w:val="18"/>
              </w:rPr>
              <w:t>Found older people wanted greater involvement and flexibility in spending.</w:t>
            </w:r>
          </w:p>
          <w:p w14:paraId="6DAAF071" w14:textId="77777777" w:rsidR="008E4573" w:rsidRPr="008B68A9" w:rsidRDefault="008E4573" w:rsidP="00045396">
            <w:pPr>
              <w:spacing w:line="240" w:lineRule="auto"/>
              <w:rPr>
                <w:sz w:val="18"/>
                <w:szCs w:val="18"/>
              </w:rPr>
            </w:pPr>
            <w:r w:rsidRPr="008B68A9">
              <w:rPr>
                <w:sz w:val="18"/>
                <w:szCs w:val="18"/>
              </w:rPr>
              <w:t>Fluctuating health requires strong risk and contingency.</w:t>
            </w:r>
          </w:p>
          <w:p w14:paraId="51D7142A" w14:textId="77777777" w:rsidR="008E4573" w:rsidRPr="008B68A9" w:rsidRDefault="008E4573" w:rsidP="00045396">
            <w:pPr>
              <w:spacing w:line="240" w:lineRule="auto"/>
              <w:rPr>
                <w:sz w:val="18"/>
                <w:szCs w:val="18"/>
              </w:rPr>
            </w:pPr>
          </w:p>
          <w:p w14:paraId="432D6580" w14:textId="77777777" w:rsidR="008E4573" w:rsidRPr="008B68A9" w:rsidRDefault="008E4573" w:rsidP="00045396">
            <w:pPr>
              <w:spacing w:line="240" w:lineRule="auto"/>
              <w:rPr>
                <w:sz w:val="18"/>
                <w:szCs w:val="18"/>
              </w:rPr>
            </w:pPr>
            <w:r w:rsidRPr="008B68A9">
              <w:rPr>
                <w:sz w:val="18"/>
                <w:szCs w:val="18"/>
              </w:rPr>
              <w:t>Limitation data bias towards non-validated self-report measures.</w:t>
            </w:r>
          </w:p>
        </w:tc>
        <w:tc>
          <w:tcPr>
            <w:tcW w:w="2083" w:type="dxa"/>
          </w:tcPr>
          <w:p w14:paraId="3F9BBBF6" w14:textId="77777777" w:rsidR="008E4573" w:rsidRPr="008B68A9" w:rsidRDefault="008E4573" w:rsidP="00045396">
            <w:pPr>
              <w:spacing w:line="240" w:lineRule="auto"/>
              <w:rPr>
                <w:sz w:val="18"/>
                <w:szCs w:val="18"/>
              </w:rPr>
            </w:pPr>
            <w:r w:rsidRPr="008B68A9">
              <w:rPr>
                <w:sz w:val="18"/>
                <w:szCs w:val="18"/>
              </w:rPr>
              <w:lastRenderedPageBreak/>
              <w:t xml:space="preserve">‘CDC interventions tend to be multi-faceted and complex, producing complex outcomes that are often context dependent. Hence, our decision to conduct a </w:t>
            </w:r>
            <w:r w:rsidRPr="008B68A9">
              <w:rPr>
                <w:sz w:val="18"/>
                <w:szCs w:val="18"/>
              </w:rPr>
              <w:lastRenderedPageBreak/>
              <w:t>SNR rather than a traditional, more technically and narrowly focused systematic review of randomised controlled trials’ (p.565)</w:t>
            </w:r>
          </w:p>
          <w:p w14:paraId="5486ABC0" w14:textId="77777777" w:rsidR="008E4573" w:rsidRPr="008B68A9" w:rsidRDefault="008E4573" w:rsidP="00045396">
            <w:pPr>
              <w:spacing w:line="240" w:lineRule="auto"/>
              <w:rPr>
                <w:sz w:val="18"/>
                <w:szCs w:val="18"/>
              </w:rPr>
            </w:pPr>
          </w:p>
        </w:tc>
      </w:tr>
      <w:tr w:rsidR="008E4573" w:rsidRPr="008B68A9" w14:paraId="1C6611A4" w14:textId="77777777" w:rsidTr="00045396">
        <w:tc>
          <w:tcPr>
            <w:tcW w:w="14283" w:type="dxa"/>
            <w:gridSpan w:val="7"/>
            <w:shd w:val="clear" w:color="auto" w:fill="000000" w:themeFill="text1"/>
          </w:tcPr>
          <w:p w14:paraId="0727C966" w14:textId="77777777" w:rsidR="008E4573" w:rsidRPr="008B68A9" w:rsidRDefault="008E4573" w:rsidP="00045396">
            <w:pPr>
              <w:spacing w:line="240" w:lineRule="auto"/>
              <w:jc w:val="center"/>
              <w:rPr>
                <w:b/>
                <w:sz w:val="18"/>
                <w:szCs w:val="18"/>
              </w:rPr>
            </w:pPr>
            <w:r w:rsidRPr="008B68A9">
              <w:rPr>
                <w:b/>
                <w:sz w:val="18"/>
                <w:szCs w:val="18"/>
              </w:rPr>
              <w:lastRenderedPageBreak/>
              <w:t>USA Self Directed Care</w:t>
            </w:r>
          </w:p>
        </w:tc>
      </w:tr>
      <w:tr w:rsidR="008E4573" w:rsidRPr="008B68A9" w14:paraId="755E41A1" w14:textId="77777777" w:rsidTr="00045396">
        <w:tc>
          <w:tcPr>
            <w:tcW w:w="1922" w:type="dxa"/>
          </w:tcPr>
          <w:p w14:paraId="12BF9447" w14:textId="77777777" w:rsidR="008E4573" w:rsidRPr="008B68A9" w:rsidRDefault="008E4573" w:rsidP="00045396">
            <w:pPr>
              <w:spacing w:line="240" w:lineRule="auto"/>
              <w:rPr>
                <w:b/>
                <w:sz w:val="18"/>
                <w:szCs w:val="18"/>
              </w:rPr>
            </w:pPr>
            <w:r w:rsidRPr="008B68A9">
              <w:rPr>
                <w:b/>
                <w:sz w:val="18"/>
                <w:szCs w:val="18"/>
              </w:rPr>
              <w:t>Alakeson 2007</w:t>
            </w:r>
          </w:p>
        </w:tc>
        <w:tc>
          <w:tcPr>
            <w:tcW w:w="1479" w:type="dxa"/>
          </w:tcPr>
          <w:p w14:paraId="5AA81725" w14:textId="77777777" w:rsidR="008E4573" w:rsidRPr="008B68A9" w:rsidRDefault="008E4573" w:rsidP="00045396">
            <w:pPr>
              <w:spacing w:line="240" w:lineRule="auto"/>
              <w:rPr>
                <w:sz w:val="18"/>
                <w:szCs w:val="18"/>
              </w:rPr>
            </w:pPr>
            <w:r w:rsidRPr="008B68A9">
              <w:rPr>
                <w:sz w:val="18"/>
                <w:szCs w:val="18"/>
              </w:rPr>
              <w:t>Review of 3 SDC state services.</w:t>
            </w:r>
          </w:p>
          <w:p w14:paraId="7D8CDED9" w14:textId="77777777" w:rsidR="008E4573" w:rsidRPr="008B68A9" w:rsidRDefault="008E4573" w:rsidP="00045396">
            <w:pPr>
              <w:spacing w:line="240" w:lineRule="auto"/>
              <w:rPr>
                <w:sz w:val="18"/>
                <w:szCs w:val="18"/>
              </w:rPr>
            </w:pPr>
          </w:p>
        </w:tc>
        <w:tc>
          <w:tcPr>
            <w:tcW w:w="1526" w:type="dxa"/>
          </w:tcPr>
          <w:p w14:paraId="204E2711" w14:textId="77777777" w:rsidR="008E4573" w:rsidRPr="008B68A9" w:rsidRDefault="008E4573" w:rsidP="00045396">
            <w:pPr>
              <w:spacing w:line="240" w:lineRule="auto"/>
              <w:rPr>
                <w:sz w:val="18"/>
                <w:szCs w:val="18"/>
              </w:rPr>
            </w:pPr>
            <w:r w:rsidRPr="008B68A9">
              <w:rPr>
                <w:sz w:val="18"/>
                <w:szCs w:val="18"/>
              </w:rPr>
              <w:t>20 structured interviews.</w:t>
            </w:r>
          </w:p>
          <w:p w14:paraId="713D70F1" w14:textId="77777777" w:rsidR="008E4573" w:rsidRPr="008B68A9" w:rsidRDefault="008E4573" w:rsidP="00045396">
            <w:pPr>
              <w:spacing w:line="240" w:lineRule="auto"/>
              <w:rPr>
                <w:sz w:val="18"/>
                <w:szCs w:val="18"/>
              </w:rPr>
            </w:pPr>
            <w:r w:rsidRPr="008B68A9">
              <w:rPr>
                <w:sz w:val="18"/>
                <w:szCs w:val="18"/>
              </w:rPr>
              <w:t>33 interviews with significant contributors and budget users.</w:t>
            </w:r>
          </w:p>
        </w:tc>
        <w:tc>
          <w:tcPr>
            <w:tcW w:w="2127" w:type="dxa"/>
          </w:tcPr>
          <w:p w14:paraId="5D22CF7A" w14:textId="77777777" w:rsidR="008E4573" w:rsidRPr="008B68A9" w:rsidRDefault="008E4573" w:rsidP="00045396">
            <w:pPr>
              <w:spacing w:line="240" w:lineRule="auto"/>
              <w:rPr>
                <w:sz w:val="18"/>
                <w:szCs w:val="18"/>
              </w:rPr>
            </w:pPr>
            <w:r w:rsidRPr="008B68A9">
              <w:rPr>
                <w:sz w:val="18"/>
                <w:szCs w:val="18"/>
              </w:rPr>
              <w:t>Interviews, (face to face and telephone), with consumers, programme staff and state officials.</w:t>
            </w:r>
          </w:p>
          <w:p w14:paraId="1B7E53F7" w14:textId="77777777" w:rsidR="008E4573" w:rsidRPr="008B68A9" w:rsidRDefault="008E4573" w:rsidP="00045396">
            <w:pPr>
              <w:spacing w:line="240" w:lineRule="auto"/>
              <w:rPr>
                <w:sz w:val="18"/>
                <w:szCs w:val="18"/>
              </w:rPr>
            </w:pPr>
            <w:r w:rsidRPr="008B68A9">
              <w:rPr>
                <w:sz w:val="18"/>
                <w:szCs w:val="18"/>
              </w:rPr>
              <w:t>Programme data from SDC services, state and county records and oversight committee governance documentation.</w:t>
            </w:r>
          </w:p>
        </w:tc>
        <w:tc>
          <w:tcPr>
            <w:tcW w:w="1701" w:type="dxa"/>
          </w:tcPr>
          <w:p w14:paraId="5867D9A2" w14:textId="77777777" w:rsidR="008E4573" w:rsidRPr="008B68A9" w:rsidRDefault="008E4573" w:rsidP="00045396">
            <w:pPr>
              <w:spacing w:line="240" w:lineRule="auto"/>
              <w:rPr>
                <w:sz w:val="18"/>
                <w:szCs w:val="18"/>
              </w:rPr>
            </w:pPr>
            <w:r w:rsidRPr="008B68A9">
              <w:rPr>
                <w:sz w:val="18"/>
                <w:szCs w:val="18"/>
              </w:rPr>
              <w:t>Collation of data for descriptive analysis.</w:t>
            </w:r>
          </w:p>
        </w:tc>
        <w:tc>
          <w:tcPr>
            <w:tcW w:w="3445" w:type="dxa"/>
          </w:tcPr>
          <w:p w14:paraId="231510D1" w14:textId="77777777" w:rsidR="008E4573" w:rsidRPr="008B68A9" w:rsidRDefault="008E4573" w:rsidP="00045396">
            <w:pPr>
              <w:spacing w:line="240" w:lineRule="auto"/>
              <w:rPr>
                <w:sz w:val="18"/>
                <w:szCs w:val="18"/>
              </w:rPr>
            </w:pPr>
            <w:r w:rsidRPr="008B68A9">
              <w:rPr>
                <w:sz w:val="18"/>
                <w:szCs w:val="18"/>
              </w:rPr>
              <w:t>5 principles from SDC</w:t>
            </w:r>
          </w:p>
          <w:p w14:paraId="7A32EA27" w14:textId="77777777" w:rsidR="008E4573" w:rsidRPr="008B68A9" w:rsidRDefault="008E4573" w:rsidP="00045396">
            <w:pPr>
              <w:spacing w:line="240" w:lineRule="auto"/>
              <w:rPr>
                <w:sz w:val="18"/>
                <w:szCs w:val="18"/>
              </w:rPr>
            </w:pPr>
            <w:r w:rsidRPr="008B68A9">
              <w:rPr>
                <w:sz w:val="18"/>
                <w:szCs w:val="18"/>
              </w:rPr>
              <w:t>1 More than money – support important</w:t>
            </w:r>
          </w:p>
          <w:p w14:paraId="0E4DDE45" w14:textId="77777777" w:rsidR="008E4573" w:rsidRPr="008B68A9" w:rsidRDefault="008E4573" w:rsidP="00045396">
            <w:pPr>
              <w:spacing w:line="240" w:lineRule="auto"/>
              <w:rPr>
                <w:sz w:val="18"/>
                <w:szCs w:val="18"/>
              </w:rPr>
            </w:pPr>
            <w:r w:rsidRPr="008B68A9">
              <w:rPr>
                <w:sz w:val="18"/>
                <w:szCs w:val="18"/>
              </w:rPr>
              <w:t>2 Peer support</w:t>
            </w:r>
          </w:p>
          <w:p w14:paraId="5C54B988" w14:textId="77777777" w:rsidR="008E4573" w:rsidRPr="008B68A9" w:rsidRDefault="008E4573" w:rsidP="00045396">
            <w:pPr>
              <w:spacing w:line="240" w:lineRule="auto"/>
              <w:rPr>
                <w:sz w:val="18"/>
                <w:szCs w:val="18"/>
              </w:rPr>
            </w:pPr>
            <w:r w:rsidRPr="008B68A9">
              <w:rPr>
                <w:sz w:val="18"/>
                <w:szCs w:val="18"/>
              </w:rPr>
              <w:t>3 Greater flexibility</w:t>
            </w:r>
          </w:p>
          <w:p w14:paraId="395E86A6" w14:textId="77777777" w:rsidR="008E4573" w:rsidRPr="008B68A9" w:rsidRDefault="008E4573" w:rsidP="00045396">
            <w:pPr>
              <w:spacing w:line="240" w:lineRule="auto"/>
              <w:rPr>
                <w:sz w:val="18"/>
                <w:szCs w:val="18"/>
              </w:rPr>
            </w:pPr>
            <w:r w:rsidRPr="008B68A9">
              <w:rPr>
                <w:sz w:val="18"/>
                <w:szCs w:val="18"/>
              </w:rPr>
              <w:t>4 Recovery orientation</w:t>
            </w:r>
          </w:p>
          <w:p w14:paraId="7A606BE3" w14:textId="77777777" w:rsidR="008E4573" w:rsidRPr="008B68A9" w:rsidRDefault="008E4573" w:rsidP="00045396">
            <w:pPr>
              <w:spacing w:line="240" w:lineRule="auto"/>
              <w:rPr>
                <w:sz w:val="18"/>
                <w:szCs w:val="18"/>
              </w:rPr>
            </w:pPr>
            <w:r w:rsidRPr="008B68A9">
              <w:rPr>
                <w:sz w:val="18"/>
                <w:szCs w:val="18"/>
              </w:rPr>
              <w:t>5 Different relationship with providers.</w:t>
            </w:r>
          </w:p>
          <w:p w14:paraId="6017DEA5" w14:textId="77777777" w:rsidR="008E4573" w:rsidRPr="008B68A9" w:rsidRDefault="008E4573" w:rsidP="00045396">
            <w:pPr>
              <w:spacing w:line="240" w:lineRule="auto"/>
              <w:rPr>
                <w:sz w:val="18"/>
                <w:szCs w:val="18"/>
              </w:rPr>
            </w:pPr>
            <w:r w:rsidRPr="008B68A9">
              <w:rPr>
                <w:sz w:val="18"/>
                <w:szCs w:val="18"/>
              </w:rPr>
              <w:t>Many examples of cashing out from traditional services and purchasing alternative therapies/activities.</w:t>
            </w:r>
          </w:p>
          <w:p w14:paraId="0EC55176" w14:textId="77777777" w:rsidR="008E4573" w:rsidRPr="008B68A9" w:rsidRDefault="008E4573" w:rsidP="00045396">
            <w:pPr>
              <w:spacing w:line="240" w:lineRule="auto"/>
              <w:rPr>
                <w:sz w:val="18"/>
                <w:szCs w:val="18"/>
              </w:rPr>
            </w:pPr>
            <w:r w:rsidRPr="008B68A9">
              <w:rPr>
                <w:sz w:val="18"/>
                <w:szCs w:val="18"/>
              </w:rPr>
              <w:t>5 key work areas:</w:t>
            </w:r>
          </w:p>
          <w:p w14:paraId="42D2D676" w14:textId="77777777" w:rsidR="008E4573" w:rsidRPr="008B68A9" w:rsidRDefault="008E4573" w:rsidP="00045396">
            <w:pPr>
              <w:spacing w:line="240" w:lineRule="auto"/>
              <w:rPr>
                <w:sz w:val="18"/>
                <w:szCs w:val="18"/>
              </w:rPr>
            </w:pPr>
            <w:r w:rsidRPr="008B68A9">
              <w:rPr>
                <w:sz w:val="18"/>
                <w:szCs w:val="18"/>
              </w:rPr>
              <w:t>Freedom Authority Support Responsibility Confirmation.</w:t>
            </w:r>
          </w:p>
          <w:p w14:paraId="2D7A485B" w14:textId="77777777" w:rsidR="008E4573" w:rsidRPr="008B68A9" w:rsidRDefault="008E4573" w:rsidP="00045396">
            <w:pPr>
              <w:spacing w:line="240" w:lineRule="auto"/>
              <w:rPr>
                <w:sz w:val="18"/>
                <w:szCs w:val="18"/>
              </w:rPr>
            </w:pPr>
            <w:r w:rsidRPr="008B68A9">
              <w:rPr>
                <w:sz w:val="18"/>
                <w:szCs w:val="18"/>
              </w:rPr>
              <w:t>Discusses blending and braiding of funding streams, similar to health and social care, divides individual budgets v PHBs.</w:t>
            </w:r>
          </w:p>
          <w:p w14:paraId="47369C95" w14:textId="77777777" w:rsidR="008E4573" w:rsidRPr="008B68A9" w:rsidRDefault="008E4573" w:rsidP="00045396">
            <w:pPr>
              <w:spacing w:line="240" w:lineRule="auto"/>
              <w:rPr>
                <w:sz w:val="18"/>
                <w:szCs w:val="18"/>
              </w:rPr>
            </w:pPr>
            <w:r w:rsidRPr="008B68A9">
              <w:rPr>
                <w:sz w:val="18"/>
                <w:szCs w:val="18"/>
              </w:rPr>
              <w:t xml:space="preserve">Administrative processes re payment problematic “can reduce the job of a counselor to that of a walking ATM, as recovery coaches in Florida have described themselves” (p.33). </w:t>
            </w:r>
          </w:p>
          <w:p w14:paraId="1521CB96" w14:textId="77777777" w:rsidR="008E4573" w:rsidRPr="008B68A9" w:rsidRDefault="008E4573" w:rsidP="00045396">
            <w:pPr>
              <w:spacing w:line="240" w:lineRule="auto"/>
              <w:rPr>
                <w:sz w:val="18"/>
                <w:szCs w:val="18"/>
              </w:rPr>
            </w:pPr>
            <w:r w:rsidRPr="008B68A9">
              <w:rPr>
                <w:sz w:val="18"/>
                <w:szCs w:val="18"/>
              </w:rPr>
              <w:t>‘For many people, a personalized package of care involves addressing wider aspects of health such as wellbeing, self-esteem, employment and family life’ (p.36).</w:t>
            </w:r>
          </w:p>
          <w:p w14:paraId="4C8BE999" w14:textId="77777777" w:rsidR="008E4573" w:rsidRPr="008B68A9" w:rsidRDefault="008E4573" w:rsidP="00045396">
            <w:pPr>
              <w:spacing w:line="240" w:lineRule="auto"/>
              <w:rPr>
                <w:sz w:val="18"/>
                <w:szCs w:val="18"/>
              </w:rPr>
            </w:pPr>
            <w:r w:rsidRPr="008B68A9">
              <w:rPr>
                <w:sz w:val="18"/>
                <w:szCs w:val="18"/>
              </w:rPr>
              <w:t xml:space="preserve">The use of peers and recovery coaches from the outset were important, rather than SDC </w:t>
            </w:r>
            <w:r w:rsidRPr="008B68A9">
              <w:rPr>
                <w:sz w:val="18"/>
                <w:szCs w:val="18"/>
              </w:rPr>
              <w:lastRenderedPageBreak/>
              <w:t>users left to navigate the system on their own.</w:t>
            </w:r>
          </w:p>
        </w:tc>
        <w:tc>
          <w:tcPr>
            <w:tcW w:w="2083" w:type="dxa"/>
          </w:tcPr>
          <w:p w14:paraId="2E8D5D96" w14:textId="77777777" w:rsidR="008E4573" w:rsidRPr="008B68A9" w:rsidRDefault="008E4573" w:rsidP="00045396">
            <w:pPr>
              <w:spacing w:line="240" w:lineRule="auto"/>
              <w:rPr>
                <w:sz w:val="18"/>
                <w:szCs w:val="18"/>
              </w:rPr>
            </w:pPr>
            <w:r w:rsidRPr="008B68A9">
              <w:rPr>
                <w:sz w:val="18"/>
                <w:szCs w:val="18"/>
              </w:rPr>
              <w:lastRenderedPageBreak/>
              <w:t>Original work that led to many developments in UK, positioning VA as authority in personalisation.</w:t>
            </w:r>
          </w:p>
          <w:p w14:paraId="004C1684" w14:textId="77777777" w:rsidR="008E4573" w:rsidRPr="008B68A9" w:rsidRDefault="008E4573" w:rsidP="00045396">
            <w:pPr>
              <w:spacing w:line="240" w:lineRule="auto"/>
              <w:rPr>
                <w:sz w:val="18"/>
                <w:szCs w:val="18"/>
              </w:rPr>
            </w:pPr>
            <w:r w:rsidRPr="008B68A9">
              <w:rPr>
                <w:sz w:val="18"/>
                <w:szCs w:val="18"/>
              </w:rPr>
              <w:t>Strong evidence of rigorous approach to transparency.</w:t>
            </w:r>
          </w:p>
          <w:p w14:paraId="02088353" w14:textId="77777777" w:rsidR="008E4573" w:rsidRPr="008B68A9" w:rsidRDefault="008E4573" w:rsidP="00045396">
            <w:pPr>
              <w:spacing w:line="240" w:lineRule="auto"/>
              <w:rPr>
                <w:sz w:val="18"/>
                <w:szCs w:val="18"/>
              </w:rPr>
            </w:pPr>
          </w:p>
          <w:p w14:paraId="1BA2B191" w14:textId="77777777" w:rsidR="008E4573" w:rsidRPr="008B68A9" w:rsidRDefault="008E4573" w:rsidP="00045396">
            <w:pPr>
              <w:spacing w:line="240" w:lineRule="auto"/>
              <w:rPr>
                <w:sz w:val="18"/>
                <w:szCs w:val="18"/>
              </w:rPr>
            </w:pPr>
            <w:r w:rsidRPr="008B68A9">
              <w:rPr>
                <w:sz w:val="18"/>
                <w:szCs w:val="18"/>
              </w:rPr>
              <w:t>Figures for savings to services are mostly extrapolation from known costs, which are often approximate.</w:t>
            </w:r>
          </w:p>
          <w:p w14:paraId="4B82C22F" w14:textId="77777777" w:rsidR="008E4573" w:rsidRPr="008B68A9" w:rsidRDefault="008E4573" w:rsidP="00045396">
            <w:pPr>
              <w:spacing w:line="240" w:lineRule="auto"/>
              <w:rPr>
                <w:sz w:val="18"/>
                <w:szCs w:val="18"/>
              </w:rPr>
            </w:pPr>
          </w:p>
          <w:p w14:paraId="726059B4" w14:textId="77777777" w:rsidR="008E4573" w:rsidRPr="008B68A9" w:rsidRDefault="008E4573" w:rsidP="00045396">
            <w:pPr>
              <w:spacing w:line="240" w:lineRule="auto"/>
              <w:rPr>
                <w:sz w:val="18"/>
                <w:szCs w:val="18"/>
              </w:rPr>
            </w:pPr>
            <w:r w:rsidRPr="008B68A9">
              <w:rPr>
                <w:sz w:val="18"/>
                <w:szCs w:val="18"/>
              </w:rPr>
              <w:t>Highlights that often spend in SMI is away from medical construction, addressing social, environmental and esteem dimensions – direct challenge to orthodox – moreover for UK funding streams.</w:t>
            </w:r>
          </w:p>
        </w:tc>
      </w:tr>
      <w:tr w:rsidR="008E4573" w:rsidRPr="008B68A9" w14:paraId="25F220DE" w14:textId="77777777" w:rsidTr="00045396">
        <w:tc>
          <w:tcPr>
            <w:tcW w:w="1922" w:type="dxa"/>
          </w:tcPr>
          <w:p w14:paraId="3C08A56A" w14:textId="77777777" w:rsidR="008E4573" w:rsidRPr="008B68A9" w:rsidRDefault="008E4573" w:rsidP="00045396">
            <w:pPr>
              <w:spacing w:line="240" w:lineRule="auto"/>
              <w:rPr>
                <w:b/>
                <w:sz w:val="18"/>
                <w:szCs w:val="18"/>
              </w:rPr>
            </w:pPr>
          </w:p>
        </w:tc>
        <w:tc>
          <w:tcPr>
            <w:tcW w:w="1479" w:type="dxa"/>
          </w:tcPr>
          <w:p w14:paraId="32BEAAF3" w14:textId="77777777" w:rsidR="008E4573" w:rsidRPr="008B68A9" w:rsidRDefault="008E4573" w:rsidP="00045396">
            <w:pPr>
              <w:spacing w:line="240" w:lineRule="auto"/>
              <w:rPr>
                <w:sz w:val="18"/>
                <w:szCs w:val="18"/>
              </w:rPr>
            </w:pPr>
          </w:p>
        </w:tc>
        <w:tc>
          <w:tcPr>
            <w:tcW w:w="1526" w:type="dxa"/>
          </w:tcPr>
          <w:p w14:paraId="57B10524" w14:textId="77777777" w:rsidR="008E4573" w:rsidRPr="008B68A9" w:rsidRDefault="008E4573" w:rsidP="00045396">
            <w:pPr>
              <w:spacing w:line="240" w:lineRule="auto"/>
              <w:rPr>
                <w:sz w:val="18"/>
                <w:szCs w:val="18"/>
              </w:rPr>
            </w:pPr>
          </w:p>
        </w:tc>
        <w:tc>
          <w:tcPr>
            <w:tcW w:w="2127" w:type="dxa"/>
          </w:tcPr>
          <w:p w14:paraId="3D1F2041" w14:textId="77777777" w:rsidR="008E4573" w:rsidRPr="008B68A9" w:rsidRDefault="008E4573" w:rsidP="00045396">
            <w:pPr>
              <w:spacing w:line="240" w:lineRule="auto"/>
              <w:rPr>
                <w:sz w:val="18"/>
                <w:szCs w:val="18"/>
              </w:rPr>
            </w:pPr>
          </w:p>
        </w:tc>
        <w:tc>
          <w:tcPr>
            <w:tcW w:w="1701" w:type="dxa"/>
          </w:tcPr>
          <w:p w14:paraId="6E251FD9" w14:textId="77777777" w:rsidR="008E4573" w:rsidRPr="008B68A9" w:rsidRDefault="008E4573" w:rsidP="00045396">
            <w:pPr>
              <w:spacing w:line="240" w:lineRule="auto"/>
              <w:rPr>
                <w:sz w:val="18"/>
                <w:szCs w:val="18"/>
              </w:rPr>
            </w:pPr>
          </w:p>
        </w:tc>
        <w:tc>
          <w:tcPr>
            <w:tcW w:w="3445" w:type="dxa"/>
          </w:tcPr>
          <w:p w14:paraId="2143B78D" w14:textId="77777777" w:rsidR="008E4573" w:rsidRPr="008B68A9" w:rsidRDefault="008E4573" w:rsidP="00045396">
            <w:pPr>
              <w:spacing w:line="240" w:lineRule="auto"/>
              <w:rPr>
                <w:sz w:val="18"/>
                <w:szCs w:val="18"/>
              </w:rPr>
            </w:pPr>
          </w:p>
        </w:tc>
        <w:tc>
          <w:tcPr>
            <w:tcW w:w="2083" w:type="dxa"/>
          </w:tcPr>
          <w:p w14:paraId="3DE56F78" w14:textId="77777777" w:rsidR="008E4573" w:rsidRPr="008B68A9" w:rsidRDefault="008E4573" w:rsidP="00045396">
            <w:pPr>
              <w:spacing w:line="240" w:lineRule="auto"/>
              <w:rPr>
                <w:sz w:val="18"/>
                <w:szCs w:val="18"/>
              </w:rPr>
            </w:pPr>
          </w:p>
        </w:tc>
      </w:tr>
      <w:tr w:rsidR="008E4573" w:rsidRPr="008B68A9" w14:paraId="070290CE" w14:textId="77777777" w:rsidTr="00045396">
        <w:tc>
          <w:tcPr>
            <w:tcW w:w="1922" w:type="dxa"/>
          </w:tcPr>
          <w:p w14:paraId="54E3A90F" w14:textId="77777777" w:rsidR="008E4573" w:rsidRPr="008B68A9" w:rsidRDefault="008E4573" w:rsidP="00045396">
            <w:pPr>
              <w:spacing w:line="240" w:lineRule="auto"/>
              <w:rPr>
                <w:b/>
                <w:sz w:val="18"/>
                <w:szCs w:val="18"/>
              </w:rPr>
            </w:pPr>
            <w:r w:rsidRPr="008B68A9">
              <w:rPr>
                <w:b/>
                <w:sz w:val="18"/>
                <w:szCs w:val="18"/>
              </w:rPr>
              <w:t xml:space="preserve">Barczyk and Lincove 2010 </w:t>
            </w:r>
          </w:p>
        </w:tc>
        <w:tc>
          <w:tcPr>
            <w:tcW w:w="1479" w:type="dxa"/>
          </w:tcPr>
          <w:p w14:paraId="3CD97812" w14:textId="77777777" w:rsidR="008E4573" w:rsidRPr="008B68A9" w:rsidRDefault="008E4573" w:rsidP="00045396">
            <w:pPr>
              <w:spacing w:line="240" w:lineRule="auto"/>
              <w:rPr>
                <w:sz w:val="18"/>
                <w:szCs w:val="18"/>
              </w:rPr>
            </w:pPr>
            <w:r w:rsidRPr="008B68A9">
              <w:rPr>
                <w:sz w:val="18"/>
                <w:szCs w:val="18"/>
              </w:rPr>
              <w:t>n/a</w:t>
            </w:r>
          </w:p>
        </w:tc>
        <w:tc>
          <w:tcPr>
            <w:tcW w:w="1526" w:type="dxa"/>
          </w:tcPr>
          <w:p w14:paraId="7DE01949"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1937020E"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6E56825D"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07D41B3B" w14:textId="77777777" w:rsidR="008E4573" w:rsidRPr="008B68A9" w:rsidRDefault="008E4573" w:rsidP="00045396">
            <w:pPr>
              <w:spacing w:line="240" w:lineRule="auto"/>
              <w:rPr>
                <w:sz w:val="18"/>
                <w:szCs w:val="18"/>
              </w:rPr>
            </w:pPr>
            <w:r w:rsidRPr="008B68A9">
              <w:rPr>
                <w:sz w:val="18"/>
                <w:szCs w:val="18"/>
              </w:rPr>
              <w:t>n/a</w:t>
            </w:r>
          </w:p>
        </w:tc>
        <w:tc>
          <w:tcPr>
            <w:tcW w:w="2083" w:type="dxa"/>
          </w:tcPr>
          <w:p w14:paraId="6F255A35" w14:textId="77777777" w:rsidR="008E4573" w:rsidRPr="008B68A9" w:rsidRDefault="008E4573" w:rsidP="00045396">
            <w:pPr>
              <w:spacing w:line="240" w:lineRule="auto"/>
              <w:rPr>
                <w:sz w:val="18"/>
                <w:szCs w:val="18"/>
              </w:rPr>
            </w:pPr>
            <w:r w:rsidRPr="008B68A9">
              <w:rPr>
                <w:sz w:val="18"/>
                <w:szCs w:val="18"/>
              </w:rPr>
              <w:t xml:space="preserve">Narrative review of SDC – useful review of C&amp;C with good section on implications for mental health workers. </w:t>
            </w:r>
          </w:p>
        </w:tc>
      </w:tr>
      <w:tr w:rsidR="008E4573" w:rsidRPr="008B68A9" w14:paraId="730F1F31" w14:textId="77777777" w:rsidTr="00045396">
        <w:tc>
          <w:tcPr>
            <w:tcW w:w="1922" w:type="dxa"/>
          </w:tcPr>
          <w:p w14:paraId="0879D188" w14:textId="77777777" w:rsidR="008E4573" w:rsidRPr="008B68A9" w:rsidRDefault="008E4573" w:rsidP="00045396">
            <w:pPr>
              <w:spacing w:line="240" w:lineRule="auto"/>
              <w:rPr>
                <w:b/>
                <w:sz w:val="18"/>
                <w:szCs w:val="18"/>
              </w:rPr>
            </w:pPr>
          </w:p>
        </w:tc>
        <w:tc>
          <w:tcPr>
            <w:tcW w:w="1479" w:type="dxa"/>
          </w:tcPr>
          <w:p w14:paraId="446805B4" w14:textId="77777777" w:rsidR="008E4573" w:rsidRPr="008B68A9" w:rsidRDefault="008E4573" w:rsidP="00045396">
            <w:pPr>
              <w:spacing w:line="240" w:lineRule="auto"/>
              <w:rPr>
                <w:sz w:val="18"/>
                <w:szCs w:val="18"/>
              </w:rPr>
            </w:pPr>
          </w:p>
        </w:tc>
        <w:tc>
          <w:tcPr>
            <w:tcW w:w="1526" w:type="dxa"/>
          </w:tcPr>
          <w:p w14:paraId="65AFA62D" w14:textId="77777777" w:rsidR="008E4573" w:rsidRPr="008B68A9" w:rsidRDefault="008E4573" w:rsidP="00045396">
            <w:pPr>
              <w:spacing w:line="240" w:lineRule="auto"/>
              <w:rPr>
                <w:sz w:val="18"/>
                <w:szCs w:val="18"/>
              </w:rPr>
            </w:pPr>
          </w:p>
        </w:tc>
        <w:tc>
          <w:tcPr>
            <w:tcW w:w="2127" w:type="dxa"/>
          </w:tcPr>
          <w:p w14:paraId="1E86F9BF" w14:textId="77777777" w:rsidR="008E4573" w:rsidRPr="008B68A9" w:rsidRDefault="008E4573" w:rsidP="00045396">
            <w:pPr>
              <w:spacing w:line="240" w:lineRule="auto"/>
              <w:rPr>
                <w:sz w:val="18"/>
                <w:szCs w:val="18"/>
              </w:rPr>
            </w:pPr>
          </w:p>
        </w:tc>
        <w:tc>
          <w:tcPr>
            <w:tcW w:w="1701" w:type="dxa"/>
          </w:tcPr>
          <w:p w14:paraId="3B27CF5B" w14:textId="77777777" w:rsidR="008E4573" w:rsidRPr="008B68A9" w:rsidRDefault="008E4573" w:rsidP="00045396">
            <w:pPr>
              <w:spacing w:line="240" w:lineRule="auto"/>
              <w:rPr>
                <w:sz w:val="18"/>
                <w:szCs w:val="18"/>
              </w:rPr>
            </w:pPr>
          </w:p>
        </w:tc>
        <w:tc>
          <w:tcPr>
            <w:tcW w:w="3445" w:type="dxa"/>
          </w:tcPr>
          <w:p w14:paraId="014AAE07" w14:textId="77777777" w:rsidR="008E4573" w:rsidRPr="008B68A9" w:rsidRDefault="008E4573" w:rsidP="00045396">
            <w:pPr>
              <w:spacing w:line="240" w:lineRule="auto"/>
              <w:rPr>
                <w:sz w:val="18"/>
                <w:szCs w:val="18"/>
              </w:rPr>
            </w:pPr>
          </w:p>
        </w:tc>
        <w:tc>
          <w:tcPr>
            <w:tcW w:w="2083" w:type="dxa"/>
          </w:tcPr>
          <w:p w14:paraId="2902FF76" w14:textId="77777777" w:rsidR="008E4573" w:rsidRPr="008B68A9" w:rsidRDefault="008E4573" w:rsidP="00045396">
            <w:pPr>
              <w:spacing w:line="240" w:lineRule="auto"/>
              <w:rPr>
                <w:sz w:val="18"/>
                <w:szCs w:val="18"/>
              </w:rPr>
            </w:pPr>
          </w:p>
        </w:tc>
      </w:tr>
      <w:tr w:rsidR="008E4573" w:rsidRPr="008B68A9" w14:paraId="0EECFA78" w14:textId="77777777" w:rsidTr="00045396">
        <w:tc>
          <w:tcPr>
            <w:tcW w:w="1922" w:type="dxa"/>
          </w:tcPr>
          <w:p w14:paraId="262C9187" w14:textId="77777777" w:rsidR="008E4573" w:rsidRPr="008B68A9" w:rsidRDefault="008E4573" w:rsidP="00045396">
            <w:pPr>
              <w:spacing w:line="240" w:lineRule="auto"/>
              <w:rPr>
                <w:b/>
                <w:sz w:val="18"/>
                <w:szCs w:val="18"/>
              </w:rPr>
            </w:pPr>
            <w:r w:rsidRPr="008B68A9">
              <w:rPr>
                <w:b/>
                <w:sz w:val="18"/>
                <w:szCs w:val="18"/>
              </w:rPr>
              <w:t xml:space="preserve">Carlson </w:t>
            </w:r>
            <w:r w:rsidRPr="008B68A9">
              <w:rPr>
                <w:b/>
                <w:i/>
                <w:sz w:val="18"/>
                <w:szCs w:val="18"/>
              </w:rPr>
              <w:t>et al.</w:t>
            </w:r>
            <w:r w:rsidRPr="008B68A9">
              <w:rPr>
                <w:b/>
                <w:sz w:val="18"/>
                <w:szCs w:val="18"/>
              </w:rPr>
              <w:t xml:space="preserve"> 2007</w:t>
            </w:r>
          </w:p>
        </w:tc>
        <w:tc>
          <w:tcPr>
            <w:tcW w:w="1479" w:type="dxa"/>
          </w:tcPr>
          <w:p w14:paraId="16D7A783" w14:textId="77777777" w:rsidR="008E4573" w:rsidRPr="008B68A9" w:rsidRDefault="008E4573" w:rsidP="00045396">
            <w:pPr>
              <w:spacing w:line="240" w:lineRule="auto"/>
              <w:rPr>
                <w:sz w:val="18"/>
                <w:szCs w:val="18"/>
              </w:rPr>
            </w:pPr>
            <w:r w:rsidRPr="008B68A9">
              <w:rPr>
                <w:sz w:val="18"/>
                <w:szCs w:val="18"/>
              </w:rPr>
              <w:t>CCDE Medicaid beneficiaries.</w:t>
            </w:r>
          </w:p>
          <w:p w14:paraId="6A41FA4B" w14:textId="77777777" w:rsidR="008E4573" w:rsidRPr="008B68A9" w:rsidRDefault="008E4573" w:rsidP="00045396">
            <w:pPr>
              <w:spacing w:line="240" w:lineRule="auto"/>
              <w:rPr>
                <w:sz w:val="18"/>
                <w:szCs w:val="18"/>
              </w:rPr>
            </w:pPr>
          </w:p>
        </w:tc>
        <w:tc>
          <w:tcPr>
            <w:tcW w:w="1526" w:type="dxa"/>
          </w:tcPr>
          <w:p w14:paraId="002C07CF" w14:textId="77777777" w:rsidR="008E4573" w:rsidRPr="008B68A9" w:rsidRDefault="008E4573" w:rsidP="00045396">
            <w:pPr>
              <w:spacing w:line="240" w:lineRule="auto"/>
              <w:rPr>
                <w:sz w:val="18"/>
                <w:szCs w:val="18"/>
              </w:rPr>
            </w:pPr>
            <w:r w:rsidRPr="008B68A9">
              <w:rPr>
                <w:sz w:val="18"/>
                <w:szCs w:val="18"/>
              </w:rPr>
              <w:t xml:space="preserve">Sample size =1,739 adults in Arkansas (59.6 percent proxy), </w:t>
            </w:r>
          </w:p>
          <w:p w14:paraId="34344DA4" w14:textId="77777777" w:rsidR="008E4573" w:rsidRPr="008B68A9" w:rsidRDefault="008E4573" w:rsidP="00045396">
            <w:pPr>
              <w:spacing w:line="240" w:lineRule="auto"/>
              <w:rPr>
                <w:sz w:val="18"/>
                <w:szCs w:val="18"/>
              </w:rPr>
            </w:pPr>
            <w:r w:rsidRPr="008B68A9">
              <w:rPr>
                <w:sz w:val="18"/>
                <w:szCs w:val="18"/>
              </w:rPr>
              <w:t>New Jersey 1,465</w:t>
            </w:r>
          </w:p>
          <w:p w14:paraId="55936452" w14:textId="77777777" w:rsidR="008E4573" w:rsidRPr="008B68A9" w:rsidRDefault="008E4573" w:rsidP="00045396">
            <w:pPr>
              <w:spacing w:line="240" w:lineRule="auto"/>
              <w:rPr>
                <w:sz w:val="18"/>
                <w:szCs w:val="18"/>
              </w:rPr>
            </w:pPr>
            <w:r w:rsidRPr="008B68A9">
              <w:rPr>
                <w:sz w:val="18"/>
                <w:szCs w:val="18"/>
              </w:rPr>
              <w:t>adults (49.7 percent proxy), Florida.= 1,547 adults (64.5 percent proxy) and 859 children (100 percent proxy [parent] respondents), in response rates averaged 88 percent for the treatment group and 83 percent for control group across all three states.</w:t>
            </w:r>
          </w:p>
        </w:tc>
        <w:tc>
          <w:tcPr>
            <w:tcW w:w="2127" w:type="dxa"/>
          </w:tcPr>
          <w:p w14:paraId="127C7A8E" w14:textId="77777777" w:rsidR="008E4573" w:rsidRPr="008B68A9" w:rsidRDefault="008E4573" w:rsidP="00045396">
            <w:pPr>
              <w:spacing w:line="240" w:lineRule="auto"/>
              <w:rPr>
                <w:sz w:val="18"/>
                <w:szCs w:val="18"/>
              </w:rPr>
            </w:pPr>
            <w:r w:rsidRPr="008B68A9">
              <w:rPr>
                <w:sz w:val="18"/>
                <w:szCs w:val="18"/>
              </w:rPr>
              <w:t xml:space="preserve">Experimental design with randomised allocation. </w:t>
            </w:r>
          </w:p>
          <w:p w14:paraId="4C76481E" w14:textId="77777777" w:rsidR="008E4573" w:rsidRPr="008B68A9" w:rsidRDefault="008E4573" w:rsidP="00045396">
            <w:pPr>
              <w:spacing w:line="240" w:lineRule="auto"/>
              <w:rPr>
                <w:sz w:val="18"/>
                <w:szCs w:val="18"/>
              </w:rPr>
            </w:pPr>
            <w:r w:rsidRPr="008B68A9">
              <w:rPr>
                <w:sz w:val="18"/>
                <w:szCs w:val="18"/>
              </w:rPr>
              <w:t>Telephone interview at baseline and 9 months.</w:t>
            </w:r>
          </w:p>
        </w:tc>
        <w:tc>
          <w:tcPr>
            <w:tcW w:w="1701" w:type="dxa"/>
          </w:tcPr>
          <w:p w14:paraId="70B97904" w14:textId="77777777" w:rsidR="008E4573" w:rsidRPr="008B68A9" w:rsidRDefault="008E4573" w:rsidP="00045396">
            <w:pPr>
              <w:spacing w:line="240" w:lineRule="auto"/>
              <w:rPr>
                <w:sz w:val="18"/>
                <w:szCs w:val="18"/>
              </w:rPr>
            </w:pPr>
            <w:r w:rsidRPr="008B68A9">
              <w:rPr>
                <w:sz w:val="18"/>
                <w:szCs w:val="18"/>
              </w:rPr>
              <w:t>Logit binary models</w:t>
            </w:r>
          </w:p>
        </w:tc>
        <w:tc>
          <w:tcPr>
            <w:tcW w:w="3445" w:type="dxa"/>
          </w:tcPr>
          <w:p w14:paraId="166491A8" w14:textId="77777777" w:rsidR="008E4573" w:rsidRPr="008B68A9" w:rsidRDefault="008E4573" w:rsidP="00045396">
            <w:pPr>
              <w:spacing w:line="240" w:lineRule="auto"/>
              <w:rPr>
                <w:sz w:val="18"/>
                <w:szCs w:val="18"/>
              </w:rPr>
            </w:pPr>
            <w:r w:rsidRPr="008B68A9">
              <w:rPr>
                <w:sz w:val="18"/>
                <w:szCs w:val="18"/>
              </w:rPr>
              <w:t>At 9 months 75% of adults received monies</w:t>
            </w:r>
          </w:p>
          <w:p w14:paraId="2B348F9B" w14:textId="77777777" w:rsidR="008E4573" w:rsidRPr="008B68A9" w:rsidRDefault="008E4573" w:rsidP="00045396">
            <w:pPr>
              <w:spacing w:line="240" w:lineRule="auto"/>
              <w:rPr>
                <w:sz w:val="18"/>
                <w:szCs w:val="18"/>
              </w:rPr>
            </w:pPr>
            <w:r w:rsidRPr="008B68A9">
              <w:rPr>
                <w:sz w:val="18"/>
                <w:szCs w:val="18"/>
              </w:rPr>
              <w:t>69% children Florida. Delays were either finding person to employ or delays to training impacting on overall care experience for users.</w:t>
            </w:r>
          </w:p>
          <w:p w14:paraId="1A760248" w14:textId="77777777" w:rsidR="008E4573" w:rsidRPr="008B68A9" w:rsidRDefault="008E4573" w:rsidP="00045396">
            <w:pPr>
              <w:spacing w:line="240" w:lineRule="auto"/>
              <w:rPr>
                <w:sz w:val="18"/>
                <w:szCs w:val="18"/>
              </w:rPr>
            </w:pPr>
          </w:p>
          <w:p w14:paraId="3C4236E2" w14:textId="77777777" w:rsidR="008E4573" w:rsidRPr="008B68A9" w:rsidRDefault="008E4573" w:rsidP="00045396">
            <w:pPr>
              <w:spacing w:line="240" w:lineRule="auto"/>
              <w:rPr>
                <w:sz w:val="18"/>
                <w:szCs w:val="18"/>
              </w:rPr>
            </w:pPr>
            <w:r w:rsidRPr="008B68A9">
              <w:rPr>
                <w:sz w:val="18"/>
                <w:szCs w:val="18"/>
              </w:rPr>
              <w:t>Most employed family or friends / neighbours.</w:t>
            </w:r>
          </w:p>
          <w:p w14:paraId="534054D1" w14:textId="77777777" w:rsidR="008E4573" w:rsidRPr="008B68A9" w:rsidRDefault="008E4573" w:rsidP="00045396">
            <w:pPr>
              <w:spacing w:line="240" w:lineRule="auto"/>
              <w:rPr>
                <w:sz w:val="18"/>
                <w:szCs w:val="18"/>
              </w:rPr>
            </w:pPr>
            <w:r w:rsidRPr="008B68A9">
              <w:rPr>
                <w:sz w:val="18"/>
                <w:szCs w:val="18"/>
              </w:rPr>
              <w:t>Much lower rate of unmet need in active sample opposed to treatment.</w:t>
            </w:r>
          </w:p>
          <w:p w14:paraId="6602B229" w14:textId="77777777" w:rsidR="008E4573" w:rsidRPr="008B68A9" w:rsidRDefault="008E4573" w:rsidP="00045396">
            <w:pPr>
              <w:spacing w:line="240" w:lineRule="auto"/>
              <w:rPr>
                <w:sz w:val="18"/>
                <w:szCs w:val="18"/>
              </w:rPr>
            </w:pPr>
            <w:r w:rsidRPr="008B68A9">
              <w:rPr>
                <w:sz w:val="18"/>
                <w:szCs w:val="18"/>
              </w:rPr>
              <w:t>Very satisfied with care.</w:t>
            </w:r>
          </w:p>
        </w:tc>
        <w:tc>
          <w:tcPr>
            <w:tcW w:w="2083" w:type="dxa"/>
          </w:tcPr>
          <w:p w14:paraId="1079BFBD" w14:textId="77777777" w:rsidR="008E4573" w:rsidRPr="008B68A9" w:rsidRDefault="008E4573" w:rsidP="00045396">
            <w:pPr>
              <w:spacing w:line="240" w:lineRule="auto"/>
              <w:rPr>
                <w:sz w:val="18"/>
                <w:szCs w:val="18"/>
              </w:rPr>
            </w:pPr>
            <w:r w:rsidRPr="008B68A9">
              <w:rPr>
                <w:sz w:val="18"/>
                <w:szCs w:val="18"/>
              </w:rPr>
              <w:t>Used data of CCDE, (Brown and Dale 2007).</w:t>
            </w:r>
          </w:p>
          <w:p w14:paraId="29BD7E44" w14:textId="77777777" w:rsidR="008E4573" w:rsidRPr="008B68A9" w:rsidRDefault="008E4573" w:rsidP="00045396">
            <w:pPr>
              <w:spacing w:line="240" w:lineRule="auto"/>
              <w:rPr>
                <w:sz w:val="18"/>
                <w:szCs w:val="18"/>
              </w:rPr>
            </w:pPr>
            <w:r w:rsidRPr="008B68A9">
              <w:rPr>
                <w:sz w:val="18"/>
                <w:szCs w:val="18"/>
              </w:rPr>
              <w:t>Strong statistical analysis.</w:t>
            </w:r>
          </w:p>
          <w:p w14:paraId="65A1D0EA" w14:textId="77777777" w:rsidR="008E4573" w:rsidRPr="008B68A9" w:rsidRDefault="008E4573" w:rsidP="00045396">
            <w:pPr>
              <w:spacing w:line="240" w:lineRule="auto"/>
              <w:rPr>
                <w:sz w:val="18"/>
                <w:szCs w:val="18"/>
              </w:rPr>
            </w:pPr>
            <w:r w:rsidRPr="008B68A9">
              <w:rPr>
                <w:sz w:val="18"/>
                <w:szCs w:val="18"/>
              </w:rPr>
              <w:t>Compared hours of care needed against hours of care paid for.</w:t>
            </w:r>
          </w:p>
          <w:p w14:paraId="0BD89586" w14:textId="77777777" w:rsidR="008E4573" w:rsidRPr="008B68A9" w:rsidRDefault="008E4573" w:rsidP="00045396">
            <w:pPr>
              <w:spacing w:line="240" w:lineRule="auto"/>
              <w:rPr>
                <w:sz w:val="18"/>
                <w:szCs w:val="18"/>
              </w:rPr>
            </w:pPr>
            <w:r w:rsidRPr="008B68A9">
              <w:rPr>
                <w:sz w:val="18"/>
                <w:szCs w:val="18"/>
              </w:rPr>
              <w:t>Over 40% of respondents were proxy, lowering power.</w:t>
            </w:r>
          </w:p>
        </w:tc>
      </w:tr>
      <w:tr w:rsidR="008E4573" w:rsidRPr="008B68A9" w14:paraId="187E81E2" w14:textId="77777777" w:rsidTr="00045396">
        <w:tc>
          <w:tcPr>
            <w:tcW w:w="1922" w:type="dxa"/>
          </w:tcPr>
          <w:p w14:paraId="34517754" w14:textId="77777777" w:rsidR="008E4573" w:rsidRPr="008B68A9" w:rsidRDefault="008E4573" w:rsidP="00045396">
            <w:pPr>
              <w:spacing w:line="240" w:lineRule="auto"/>
              <w:rPr>
                <w:b/>
                <w:sz w:val="18"/>
                <w:szCs w:val="18"/>
              </w:rPr>
            </w:pPr>
          </w:p>
        </w:tc>
        <w:tc>
          <w:tcPr>
            <w:tcW w:w="1479" w:type="dxa"/>
          </w:tcPr>
          <w:p w14:paraId="345BB206" w14:textId="77777777" w:rsidR="008E4573" w:rsidRPr="008B68A9" w:rsidRDefault="008E4573" w:rsidP="00045396">
            <w:pPr>
              <w:spacing w:line="240" w:lineRule="auto"/>
              <w:rPr>
                <w:sz w:val="18"/>
                <w:szCs w:val="18"/>
              </w:rPr>
            </w:pPr>
          </w:p>
        </w:tc>
        <w:tc>
          <w:tcPr>
            <w:tcW w:w="1526" w:type="dxa"/>
          </w:tcPr>
          <w:p w14:paraId="3CC96839" w14:textId="77777777" w:rsidR="008E4573" w:rsidRPr="008B68A9" w:rsidRDefault="008E4573" w:rsidP="00045396">
            <w:pPr>
              <w:spacing w:line="240" w:lineRule="auto"/>
              <w:rPr>
                <w:sz w:val="18"/>
                <w:szCs w:val="18"/>
              </w:rPr>
            </w:pPr>
          </w:p>
        </w:tc>
        <w:tc>
          <w:tcPr>
            <w:tcW w:w="2127" w:type="dxa"/>
          </w:tcPr>
          <w:p w14:paraId="15B01698" w14:textId="77777777" w:rsidR="008E4573" w:rsidRPr="008B68A9" w:rsidRDefault="008E4573" w:rsidP="00045396">
            <w:pPr>
              <w:spacing w:line="240" w:lineRule="auto"/>
              <w:rPr>
                <w:sz w:val="18"/>
                <w:szCs w:val="18"/>
              </w:rPr>
            </w:pPr>
          </w:p>
        </w:tc>
        <w:tc>
          <w:tcPr>
            <w:tcW w:w="1701" w:type="dxa"/>
          </w:tcPr>
          <w:p w14:paraId="1F5F8E6D" w14:textId="77777777" w:rsidR="008E4573" w:rsidRPr="008B68A9" w:rsidRDefault="008E4573" w:rsidP="00045396">
            <w:pPr>
              <w:spacing w:line="240" w:lineRule="auto"/>
              <w:rPr>
                <w:sz w:val="18"/>
                <w:szCs w:val="18"/>
              </w:rPr>
            </w:pPr>
          </w:p>
        </w:tc>
        <w:tc>
          <w:tcPr>
            <w:tcW w:w="3445" w:type="dxa"/>
          </w:tcPr>
          <w:p w14:paraId="2FE7B0D5" w14:textId="77777777" w:rsidR="008E4573" w:rsidRPr="008B68A9" w:rsidRDefault="008E4573" w:rsidP="00045396">
            <w:pPr>
              <w:spacing w:line="240" w:lineRule="auto"/>
              <w:rPr>
                <w:sz w:val="18"/>
                <w:szCs w:val="18"/>
              </w:rPr>
            </w:pPr>
          </w:p>
        </w:tc>
        <w:tc>
          <w:tcPr>
            <w:tcW w:w="2083" w:type="dxa"/>
          </w:tcPr>
          <w:p w14:paraId="6677AEEC" w14:textId="77777777" w:rsidR="008E4573" w:rsidRPr="008B68A9" w:rsidRDefault="008E4573" w:rsidP="00045396">
            <w:pPr>
              <w:spacing w:line="240" w:lineRule="auto"/>
              <w:rPr>
                <w:sz w:val="18"/>
                <w:szCs w:val="18"/>
              </w:rPr>
            </w:pPr>
          </w:p>
        </w:tc>
      </w:tr>
      <w:tr w:rsidR="008E4573" w:rsidRPr="008B68A9" w14:paraId="3AB16F1A" w14:textId="77777777" w:rsidTr="00045396">
        <w:tc>
          <w:tcPr>
            <w:tcW w:w="1922" w:type="dxa"/>
          </w:tcPr>
          <w:p w14:paraId="48496F07" w14:textId="77777777" w:rsidR="008E4573" w:rsidRPr="008B68A9" w:rsidRDefault="008E4573" w:rsidP="00045396">
            <w:pPr>
              <w:spacing w:line="240" w:lineRule="auto"/>
              <w:rPr>
                <w:b/>
                <w:sz w:val="18"/>
                <w:szCs w:val="18"/>
              </w:rPr>
            </w:pPr>
            <w:r w:rsidRPr="008B68A9">
              <w:rPr>
                <w:b/>
                <w:sz w:val="18"/>
                <w:szCs w:val="18"/>
              </w:rPr>
              <w:lastRenderedPageBreak/>
              <w:t>Conroy and Yuskauskas 1996</w:t>
            </w:r>
          </w:p>
        </w:tc>
        <w:tc>
          <w:tcPr>
            <w:tcW w:w="1479" w:type="dxa"/>
          </w:tcPr>
          <w:p w14:paraId="443534A9" w14:textId="77777777" w:rsidR="008E4573" w:rsidRPr="008B68A9" w:rsidRDefault="008E4573" w:rsidP="00045396">
            <w:pPr>
              <w:spacing w:line="240" w:lineRule="auto"/>
              <w:rPr>
                <w:sz w:val="18"/>
                <w:szCs w:val="18"/>
              </w:rPr>
            </w:pPr>
            <w:r w:rsidRPr="008B68A9">
              <w:rPr>
                <w:sz w:val="18"/>
                <w:szCs w:val="18"/>
              </w:rPr>
              <w:t>The first evaluation of SDC in LD.</w:t>
            </w:r>
          </w:p>
        </w:tc>
        <w:tc>
          <w:tcPr>
            <w:tcW w:w="1526" w:type="dxa"/>
          </w:tcPr>
          <w:p w14:paraId="48321E6C" w14:textId="77777777" w:rsidR="008E4573" w:rsidRPr="008B68A9" w:rsidRDefault="008E4573" w:rsidP="00045396">
            <w:pPr>
              <w:spacing w:line="240" w:lineRule="auto"/>
              <w:rPr>
                <w:sz w:val="18"/>
                <w:szCs w:val="18"/>
              </w:rPr>
            </w:pPr>
            <w:r w:rsidRPr="008B68A9">
              <w:rPr>
                <w:sz w:val="18"/>
                <w:szCs w:val="18"/>
              </w:rPr>
              <w:t>n=38 PWLD</w:t>
            </w:r>
          </w:p>
          <w:p w14:paraId="45C5E5B5" w14:textId="77777777" w:rsidR="008E4573" w:rsidRPr="008B68A9" w:rsidRDefault="008E4573" w:rsidP="00045396">
            <w:pPr>
              <w:spacing w:line="240" w:lineRule="auto"/>
              <w:rPr>
                <w:sz w:val="18"/>
                <w:szCs w:val="18"/>
              </w:rPr>
            </w:pPr>
            <w:r w:rsidRPr="008B68A9">
              <w:rPr>
                <w:sz w:val="18"/>
                <w:szCs w:val="18"/>
              </w:rPr>
              <w:t>T 1 com   n=40</w:t>
            </w:r>
          </w:p>
          <w:p w14:paraId="540A2DBD" w14:textId="77777777" w:rsidR="008E4573" w:rsidRPr="008B68A9" w:rsidRDefault="008E4573" w:rsidP="00045396">
            <w:pPr>
              <w:spacing w:line="240" w:lineRule="auto"/>
              <w:rPr>
                <w:sz w:val="18"/>
                <w:szCs w:val="18"/>
              </w:rPr>
            </w:pPr>
            <w:r w:rsidRPr="008B68A9">
              <w:rPr>
                <w:sz w:val="18"/>
                <w:szCs w:val="18"/>
              </w:rPr>
              <w:t>T2 18mths n=38</w:t>
            </w:r>
          </w:p>
          <w:p w14:paraId="25899576" w14:textId="77777777" w:rsidR="008E4573" w:rsidRPr="008B68A9" w:rsidRDefault="008E4573" w:rsidP="00045396">
            <w:pPr>
              <w:spacing w:line="240" w:lineRule="auto"/>
              <w:rPr>
                <w:sz w:val="18"/>
                <w:szCs w:val="18"/>
              </w:rPr>
            </w:pPr>
            <w:r w:rsidRPr="008B68A9">
              <w:rPr>
                <w:sz w:val="18"/>
                <w:szCs w:val="18"/>
              </w:rPr>
              <w:t>Comparison group n=90 T1&amp;2.</w:t>
            </w:r>
          </w:p>
        </w:tc>
        <w:tc>
          <w:tcPr>
            <w:tcW w:w="2127" w:type="dxa"/>
          </w:tcPr>
          <w:p w14:paraId="2A3795A1" w14:textId="77777777" w:rsidR="008E4573" w:rsidRPr="008B68A9" w:rsidRDefault="008E4573" w:rsidP="00045396">
            <w:pPr>
              <w:spacing w:line="240" w:lineRule="auto"/>
              <w:rPr>
                <w:sz w:val="18"/>
                <w:szCs w:val="18"/>
              </w:rPr>
            </w:pPr>
            <w:r w:rsidRPr="008B68A9">
              <w:rPr>
                <w:sz w:val="18"/>
                <w:szCs w:val="18"/>
              </w:rPr>
              <w:t>24 item structured interview schedule (including quality of life changes).</w:t>
            </w:r>
          </w:p>
          <w:p w14:paraId="3173F916" w14:textId="77777777" w:rsidR="008E4573" w:rsidRPr="008B68A9" w:rsidRDefault="008E4573" w:rsidP="00045396">
            <w:pPr>
              <w:spacing w:line="240" w:lineRule="auto"/>
              <w:rPr>
                <w:sz w:val="18"/>
                <w:szCs w:val="18"/>
              </w:rPr>
            </w:pPr>
            <w:r w:rsidRPr="008B68A9">
              <w:rPr>
                <w:sz w:val="18"/>
                <w:szCs w:val="18"/>
              </w:rPr>
              <w:t>The Decision Control Inventory</w:t>
            </w:r>
          </w:p>
          <w:p w14:paraId="4927924A" w14:textId="77777777" w:rsidR="008E4573" w:rsidRPr="008B68A9" w:rsidRDefault="008E4573" w:rsidP="00045396">
            <w:pPr>
              <w:spacing w:line="240" w:lineRule="auto"/>
              <w:rPr>
                <w:sz w:val="18"/>
                <w:szCs w:val="18"/>
              </w:rPr>
            </w:pPr>
            <w:r w:rsidRPr="008B68A9">
              <w:rPr>
                <w:sz w:val="18"/>
                <w:szCs w:val="18"/>
              </w:rPr>
              <w:t>26 dimensions and time taken 70mins.</w:t>
            </w:r>
          </w:p>
        </w:tc>
        <w:tc>
          <w:tcPr>
            <w:tcW w:w="1701" w:type="dxa"/>
          </w:tcPr>
          <w:p w14:paraId="0E23FDCC" w14:textId="77777777" w:rsidR="008E4573" w:rsidRPr="008B68A9" w:rsidRDefault="008E4573" w:rsidP="00045396">
            <w:pPr>
              <w:spacing w:line="240" w:lineRule="auto"/>
              <w:rPr>
                <w:sz w:val="18"/>
                <w:szCs w:val="18"/>
              </w:rPr>
            </w:pPr>
            <w:r w:rsidRPr="008B68A9">
              <w:rPr>
                <w:sz w:val="18"/>
                <w:szCs w:val="18"/>
              </w:rPr>
              <w:t>Non-parametric statistical analysis.</w:t>
            </w:r>
          </w:p>
        </w:tc>
        <w:tc>
          <w:tcPr>
            <w:tcW w:w="3445" w:type="dxa"/>
          </w:tcPr>
          <w:p w14:paraId="15CC3794" w14:textId="77777777" w:rsidR="008E4573" w:rsidRPr="008B68A9" w:rsidRDefault="008E4573" w:rsidP="00045396">
            <w:pPr>
              <w:spacing w:line="240" w:lineRule="auto"/>
              <w:rPr>
                <w:sz w:val="18"/>
                <w:szCs w:val="18"/>
              </w:rPr>
            </w:pPr>
            <w:r w:rsidRPr="008B68A9">
              <w:rPr>
                <w:sz w:val="18"/>
                <w:szCs w:val="18"/>
              </w:rPr>
              <w:t>“a nascent paradigm shift has been described in the developmental disabilities literature” (np).</w:t>
            </w:r>
          </w:p>
          <w:p w14:paraId="567CF2A5" w14:textId="77777777" w:rsidR="008E4573" w:rsidRPr="008B68A9" w:rsidRDefault="008E4573" w:rsidP="00045396">
            <w:pPr>
              <w:spacing w:line="240" w:lineRule="auto"/>
              <w:rPr>
                <w:sz w:val="18"/>
                <w:szCs w:val="18"/>
              </w:rPr>
            </w:pPr>
            <w:r w:rsidRPr="008B68A9">
              <w:rPr>
                <w:sz w:val="18"/>
                <w:szCs w:val="18"/>
              </w:rPr>
              <w:t>“There is no single definition of the nature of a self-determination intervention, primarily because it is fundamentally and intrinsically different for every individual.”</w:t>
            </w:r>
          </w:p>
          <w:p w14:paraId="12758188" w14:textId="77777777" w:rsidR="008E4573" w:rsidRPr="008B68A9" w:rsidRDefault="008E4573" w:rsidP="00045396">
            <w:pPr>
              <w:spacing w:line="240" w:lineRule="auto"/>
              <w:rPr>
                <w:sz w:val="18"/>
                <w:szCs w:val="18"/>
              </w:rPr>
            </w:pPr>
          </w:p>
          <w:p w14:paraId="40F6ECDD" w14:textId="77777777" w:rsidR="008E4573" w:rsidRPr="008B68A9" w:rsidRDefault="008E4573" w:rsidP="00045396">
            <w:pPr>
              <w:spacing w:line="240" w:lineRule="auto"/>
              <w:rPr>
                <w:sz w:val="18"/>
                <w:szCs w:val="18"/>
              </w:rPr>
            </w:pPr>
            <w:r w:rsidRPr="008B68A9">
              <w:rPr>
                <w:sz w:val="18"/>
                <w:szCs w:val="18"/>
              </w:rPr>
              <w:t>“The Self Determination Project is based on four guiding principles: Freedom, Authority, Support, and Responsibility (FASR)” (Nerney &amp; Shumway, 1996).</w:t>
            </w:r>
          </w:p>
          <w:p w14:paraId="5BE9A570" w14:textId="77777777" w:rsidR="008E4573" w:rsidRPr="008B68A9" w:rsidRDefault="008E4573" w:rsidP="00045396">
            <w:pPr>
              <w:spacing w:line="240" w:lineRule="auto"/>
              <w:rPr>
                <w:sz w:val="18"/>
                <w:szCs w:val="18"/>
              </w:rPr>
            </w:pPr>
          </w:p>
          <w:p w14:paraId="2D7C9AA5" w14:textId="77777777" w:rsidR="008E4573" w:rsidRPr="008B68A9" w:rsidRDefault="008E4573" w:rsidP="00045396">
            <w:pPr>
              <w:spacing w:line="240" w:lineRule="auto"/>
              <w:rPr>
                <w:sz w:val="18"/>
                <w:szCs w:val="18"/>
              </w:rPr>
            </w:pPr>
            <w:r w:rsidRPr="008B68A9">
              <w:rPr>
                <w:sz w:val="18"/>
                <w:szCs w:val="18"/>
              </w:rPr>
              <w:t>22 increases and 4 decreases among the 26 dimensions of the Decision Control Inventory – increase in circle of friends – cost reduction 12-15%. Though problems of cost-centre v individual were present then.</w:t>
            </w:r>
          </w:p>
        </w:tc>
        <w:tc>
          <w:tcPr>
            <w:tcW w:w="2083" w:type="dxa"/>
          </w:tcPr>
          <w:p w14:paraId="2045876E" w14:textId="77777777" w:rsidR="008E4573" w:rsidRPr="008B68A9" w:rsidRDefault="008E4573" w:rsidP="00045396">
            <w:pPr>
              <w:spacing w:line="240" w:lineRule="auto"/>
              <w:rPr>
                <w:sz w:val="18"/>
                <w:szCs w:val="18"/>
              </w:rPr>
            </w:pPr>
            <w:r w:rsidRPr="008B68A9">
              <w:rPr>
                <w:sz w:val="18"/>
                <w:szCs w:val="18"/>
              </w:rPr>
              <w:t>“Self-determination remains difficult to define. A key component associated with all interpretations, however, concerns the notion of power” (np).</w:t>
            </w:r>
          </w:p>
          <w:p w14:paraId="2669587C" w14:textId="77777777" w:rsidR="008E4573" w:rsidRPr="008B68A9" w:rsidRDefault="008E4573" w:rsidP="00045396">
            <w:pPr>
              <w:spacing w:line="240" w:lineRule="auto"/>
              <w:rPr>
                <w:sz w:val="18"/>
                <w:szCs w:val="18"/>
              </w:rPr>
            </w:pPr>
          </w:p>
          <w:p w14:paraId="32745880" w14:textId="77777777" w:rsidR="008E4573" w:rsidRPr="008B68A9" w:rsidRDefault="008E4573" w:rsidP="00045396">
            <w:pPr>
              <w:spacing w:line="240" w:lineRule="auto"/>
              <w:rPr>
                <w:sz w:val="18"/>
                <w:szCs w:val="18"/>
              </w:rPr>
            </w:pPr>
            <w:r w:rsidRPr="008B68A9">
              <w:rPr>
                <w:sz w:val="18"/>
                <w:szCs w:val="18"/>
              </w:rPr>
              <w:t>Most participants had been involved in institutionalised services for decades, most challenging behaviours.</w:t>
            </w:r>
          </w:p>
          <w:p w14:paraId="3473FCF8" w14:textId="77777777" w:rsidR="008E4573" w:rsidRPr="008B68A9" w:rsidRDefault="008E4573" w:rsidP="00045396">
            <w:pPr>
              <w:spacing w:line="240" w:lineRule="auto"/>
              <w:rPr>
                <w:sz w:val="18"/>
                <w:szCs w:val="18"/>
              </w:rPr>
            </w:pPr>
          </w:p>
          <w:p w14:paraId="60BC8118" w14:textId="77777777" w:rsidR="008E4573" w:rsidRPr="008B68A9" w:rsidRDefault="008E4573" w:rsidP="00045396">
            <w:pPr>
              <w:spacing w:line="240" w:lineRule="auto"/>
              <w:rPr>
                <w:sz w:val="18"/>
                <w:szCs w:val="18"/>
              </w:rPr>
            </w:pPr>
            <w:r w:rsidRPr="008B68A9">
              <w:rPr>
                <w:sz w:val="18"/>
                <w:szCs w:val="18"/>
              </w:rPr>
              <w:t xml:space="preserve">Challenges the ‘learn and earn’ approach – rather self-determination is a right – not a privilege. </w:t>
            </w:r>
          </w:p>
        </w:tc>
      </w:tr>
      <w:tr w:rsidR="008E4573" w:rsidRPr="008B68A9" w14:paraId="7D2B5E3E" w14:textId="77777777" w:rsidTr="00045396">
        <w:tc>
          <w:tcPr>
            <w:tcW w:w="1922" w:type="dxa"/>
          </w:tcPr>
          <w:p w14:paraId="44001C2D" w14:textId="77777777" w:rsidR="008E4573" w:rsidRPr="008B68A9" w:rsidRDefault="008E4573" w:rsidP="00045396">
            <w:pPr>
              <w:spacing w:line="240" w:lineRule="auto"/>
              <w:rPr>
                <w:b/>
                <w:sz w:val="18"/>
                <w:szCs w:val="18"/>
              </w:rPr>
            </w:pPr>
          </w:p>
        </w:tc>
        <w:tc>
          <w:tcPr>
            <w:tcW w:w="1479" w:type="dxa"/>
          </w:tcPr>
          <w:p w14:paraId="5345BB1F" w14:textId="77777777" w:rsidR="008E4573" w:rsidRPr="008B68A9" w:rsidRDefault="008E4573" w:rsidP="00045396">
            <w:pPr>
              <w:spacing w:line="240" w:lineRule="auto"/>
              <w:rPr>
                <w:sz w:val="18"/>
                <w:szCs w:val="18"/>
              </w:rPr>
            </w:pPr>
          </w:p>
        </w:tc>
        <w:tc>
          <w:tcPr>
            <w:tcW w:w="1526" w:type="dxa"/>
          </w:tcPr>
          <w:p w14:paraId="352866C2" w14:textId="77777777" w:rsidR="008E4573" w:rsidRPr="008B68A9" w:rsidRDefault="008E4573" w:rsidP="00045396">
            <w:pPr>
              <w:spacing w:line="240" w:lineRule="auto"/>
              <w:rPr>
                <w:sz w:val="18"/>
                <w:szCs w:val="18"/>
              </w:rPr>
            </w:pPr>
          </w:p>
        </w:tc>
        <w:tc>
          <w:tcPr>
            <w:tcW w:w="2127" w:type="dxa"/>
          </w:tcPr>
          <w:p w14:paraId="69FAF9CA" w14:textId="77777777" w:rsidR="008E4573" w:rsidRPr="008B68A9" w:rsidRDefault="008E4573" w:rsidP="00045396">
            <w:pPr>
              <w:spacing w:line="240" w:lineRule="auto"/>
              <w:rPr>
                <w:sz w:val="18"/>
                <w:szCs w:val="18"/>
              </w:rPr>
            </w:pPr>
          </w:p>
        </w:tc>
        <w:tc>
          <w:tcPr>
            <w:tcW w:w="1701" w:type="dxa"/>
          </w:tcPr>
          <w:p w14:paraId="5C4DA800" w14:textId="77777777" w:rsidR="008E4573" w:rsidRPr="008B68A9" w:rsidRDefault="008E4573" w:rsidP="00045396">
            <w:pPr>
              <w:spacing w:line="240" w:lineRule="auto"/>
              <w:rPr>
                <w:sz w:val="18"/>
                <w:szCs w:val="18"/>
              </w:rPr>
            </w:pPr>
          </w:p>
        </w:tc>
        <w:tc>
          <w:tcPr>
            <w:tcW w:w="3445" w:type="dxa"/>
          </w:tcPr>
          <w:p w14:paraId="2A32FE3D" w14:textId="77777777" w:rsidR="008E4573" w:rsidRPr="008B68A9" w:rsidRDefault="008E4573" w:rsidP="00045396">
            <w:pPr>
              <w:spacing w:line="240" w:lineRule="auto"/>
              <w:rPr>
                <w:sz w:val="18"/>
                <w:szCs w:val="18"/>
              </w:rPr>
            </w:pPr>
          </w:p>
        </w:tc>
        <w:tc>
          <w:tcPr>
            <w:tcW w:w="2083" w:type="dxa"/>
          </w:tcPr>
          <w:p w14:paraId="015035C4" w14:textId="77777777" w:rsidR="008E4573" w:rsidRPr="008B68A9" w:rsidRDefault="008E4573" w:rsidP="00045396">
            <w:pPr>
              <w:spacing w:line="240" w:lineRule="auto"/>
              <w:rPr>
                <w:sz w:val="18"/>
                <w:szCs w:val="18"/>
              </w:rPr>
            </w:pPr>
          </w:p>
        </w:tc>
      </w:tr>
      <w:tr w:rsidR="008E4573" w:rsidRPr="008B68A9" w14:paraId="3FC33CA4" w14:textId="77777777" w:rsidTr="00045396">
        <w:tc>
          <w:tcPr>
            <w:tcW w:w="1922" w:type="dxa"/>
          </w:tcPr>
          <w:p w14:paraId="03CB59A7" w14:textId="77777777" w:rsidR="008E4573" w:rsidRPr="008B68A9" w:rsidRDefault="008E4573" w:rsidP="00045396">
            <w:pPr>
              <w:spacing w:line="240" w:lineRule="auto"/>
              <w:rPr>
                <w:b/>
                <w:sz w:val="18"/>
                <w:szCs w:val="18"/>
              </w:rPr>
            </w:pPr>
            <w:r w:rsidRPr="008B68A9">
              <w:rPr>
                <w:b/>
                <w:sz w:val="18"/>
                <w:szCs w:val="18"/>
              </w:rPr>
              <w:t>Cook 2005</w:t>
            </w:r>
          </w:p>
        </w:tc>
        <w:tc>
          <w:tcPr>
            <w:tcW w:w="1479" w:type="dxa"/>
          </w:tcPr>
          <w:p w14:paraId="2B3B14B1" w14:textId="77777777" w:rsidR="008E4573" w:rsidRPr="008B68A9" w:rsidRDefault="008E4573" w:rsidP="00045396">
            <w:pPr>
              <w:spacing w:line="240" w:lineRule="auto"/>
              <w:rPr>
                <w:sz w:val="18"/>
                <w:szCs w:val="18"/>
              </w:rPr>
            </w:pPr>
            <w:r w:rsidRPr="008B68A9">
              <w:rPr>
                <w:sz w:val="18"/>
                <w:szCs w:val="18"/>
              </w:rPr>
              <w:t>n/a</w:t>
            </w:r>
          </w:p>
          <w:p w14:paraId="1495868C" w14:textId="77777777" w:rsidR="008E4573" w:rsidRPr="008B68A9" w:rsidRDefault="008E4573" w:rsidP="00045396">
            <w:pPr>
              <w:spacing w:line="240" w:lineRule="auto"/>
              <w:rPr>
                <w:sz w:val="18"/>
                <w:szCs w:val="18"/>
              </w:rPr>
            </w:pPr>
          </w:p>
        </w:tc>
        <w:tc>
          <w:tcPr>
            <w:tcW w:w="1526" w:type="dxa"/>
          </w:tcPr>
          <w:p w14:paraId="47575DD5"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7DB79E53"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0841D037"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5FDD7D69" w14:textId="77777777" w:rsidR="008E4573" w:rsidRPr="008B68A9" w:rsidRDefault="008E4573" w:rsidP="00045396">
            <w:pPr>
              <w:spacing w:line="240" w:lineRule="auto"/>
              <w:rPr>
                <w:sz w:val="18"/>
                <w:szCs w:val="18"/>
              </w:rPr>
            </w:pPr>
            <w:r w:rsidRPr="008B68A9">
              <w:rPr>
                <w:sz w:val="18"/>
                <w:szCs w:val="18"/>
              </w:rPr>
              <w:t>n/a</w:t>
            </w:r>
          </w:p>
        </w:tc>
        <w:tc>
          <w:tcPr>
            <w:tcW w:w="2083" w:type="dxa"/>
          </w:tcPr>
          <w:p w14:paraId="4F20FE29" w14:textId="77777777" w:rsidR="008E4573" w:rsidRPr="008B68A9" w:rsidRDefault="008E4573" w:rsidP="00045396">
            <w:pPr>
              <w:spacing w:line="240" w:lineRule="auto"/>
              <w:rPr>
                <w:sz w:val="18"/>
                <w:szCs w:val="18"/>
              </w:rPr>
            </w:pPr>
            <w:r w:rsidRPr="008B68A9">
              <w:rPr>
                <w:sz w:val="18"/>
                <w:szCs w:val="18"/>
              </w:rPr>
              <w:t>A good account of the self-directed care movement and its origins in the user movement.</w:t>
            </w:r>
          </w:p>
        </w:tc>
      </w:tr>
      <w:tr w:rsidR="008E4573" w:rsidRPr="008B68A9" w14:paraId="2C02AC7F" w14:textId="77777777" w:rsidTr="00045396">
        <w:tc>
          <w:tcPr>
            <w:tcW w:w="1922" w:type="dxa"/>
          </w:tcPr>
          <w:p w14:paraId="3FFA3FF0" w14:textId="77777777" w:rsidR="008E4573" w:rsidRPr="008B68A9" w:rsidRDefault="008E4573" w:rsidP="00045396">
            <w:pPr>
              <w:spacing w:line="240" w:lineRule="auto"/>
              <w:rPr>
                <w:b/>
                <w:sz w:val="18"/>
                <w:szCs w:val="18"/>
              </w:rPr>
            </w:pPr>
          </w:p>
        </w:tc>
        <w:tc>
          <w:tcPr>
            <w:tcW w:w="1479" w:type="dxa"/>
          </w:tcPr>
          <w:p w14:paraId="7E73A44A" w14:textId="77777777" w:rsidR="008E4573" w:rsidRPr="008B68A9" w:rsidRDefault="008E4573" w:rsidP="00045396">
            <w:pPr>
              <w:spacing w:line="240" w:lineRule="auto"/>
              <w:rPr>
                <w:sz w:val="18"/>
                <w:szCs w:val="18"/>
              </w:rPr>
            </w:pPr>
          </w:p>
        </w:tc>
        <w:tc>
          <w:tcPr>
            <w:tcW w:w="1526" w:type="dxa"/>
          </w:tcPr>
          <w:p w14:paraId="35729D60" w14:textId="77777777" w:rsidR="008E4573" w:rsidRPr="008B68A9" w:rsidRDefault="008E4573" w:rsidP="00045396">
            <w:pPr>
              <w:spacing w:line="240" w:lineRule="auto"/>
              <w:rPr>
                <w:sz w:val="18"/>
                <w:szCs w:val="18"/>
              </w:rPr>
            </w:pPr>
          </w:p>
        </w:tc>
        <w:tc>
          <w:tcPr>
            <w:tcW w:w="2127" w:type="dxa"/>
          </w:tcPr>
          <w:p w14:paraId="090C3456" w14:textId="77777777" w:rsidR="008E4573" w:rsidRPr="008B68A9" w:rsidRDefault="008E4573" w:rsidP="00045396">
            <w:pPr>
              <w:spacing w:line="240" w:lineRule="auto"/>
              <w:rPr>
                <w:sz w:val="18"/>
                <w:szCs w:val="18"/>
              </w:rPr>
            </w:pPr>
          </w:p>
        </w:tc>
        <w:tc>
          <w:tcPr>
            <w:tcW w:w="1701" w:type="dxa"/>
          </w:tcPr>
          <w:p w14:paraId="34406D28" w14:textId="77777777" w:rsidR="008E4573" w:rsidRPr="008B68A9" w:rsidRDefault="008E4573" w:rsidP="00045396">
            <w:pPr>
              <w:spacing w:line="240" w:lineRule="auto"/>
              <w:rPr>
                <w:sz w:val="18"/>
                <w:szCs w:val="18"/>
              </w:rPr>
            </w:pPr>
          </w:p>
        </w:tc>
        <w:tc>
          <w:tcPr>
            <w:tcW w:w="3445" w:type="dxa"/>
          </w:tcPr>
          <w:p w14:paraId="26A86DED" w14:textId="77777777" w:rsidR="008E4573" w:rsidRPr="008B68A9" w:rsidRDefault="008E4573" w:rsidP="00045396">
            <w:pPr>
              <w:spacing w:line="240" w:lineRule="auto"/>
              <w:rPr>
                <w:sz w:val="18"/>
                <w:szCs w:val="18"/>
              </w:rPr>
            </w:pPr>
          </w:p>
        </w:tc>
        <w:tc>
          <w:tcPr>
            <w:tcW w:w="2083" w:type="dxa"/>
          </w:tcPr>
          <w:p w14:paraId="268DE122" w14:textId="77777777" w:rsidR="008E4573" w:rsidRPr="008B68A9" w:rsidRDefault="008E4573" w:rsidP="00045396">
            <w:pPr>
              <w:spacing w:line="240" w:lineRule="auto"/>
              <w:rPr>
                <w:sz w:val="18"/>
                <w:szCs w:val="18"/>
              </w:rPr>
            </w:pPr>
          </w:p>
        </w:tc>
      </w:tr>
      <w:tr w:rsidR="008E4573" w:rsidRPr="008B68A9" w14:paraId="467E7F03" w14:textId="77777777" w:rsidTr="00045396">
        <w:tc>
          <w:tcPr>
            <w:tcW w:w="1922" w:type="dxa"/>
          </w:tcPr>
          <w:p w14:paraId="7DA04120" w14:textId="77777777" w:rsidR="008E4573" w:rsidRPr="008B68A9" w:rsidRDefault="008E4573" w:rsidP="00045396">
            <w:pPr>
              <w:spacing w:line="240" w:lineRule="auto"/>
              <w:rPr>
                <w:b/>
                <w:sz w:val="18"/>
                <w:szCs w:val="18"/>
              </w:rPr>
            </w:pPr>
            <w:r w:rsidRPr="008B68A9">
              <w:rPr>
                <w:b/>
                <w:sz w:val="18"/>
                <w:szCs w:val="18"/>
              </w:rPr>
              <w:t xml:space="preserve">Cook </w:t>
            </w:r>
            <w:r w:rsidRPr="008B68A9">
              <w:rPr>
                <w:b/>
                <w:i/>
                <w:sz w:val="18"/>
                <w:szCs w:val="18"/>
              </w:rPr>
              <w:t>et al.</w:t>
            </w:r>
            <w:r w:rsidRPr="008B68A9">
              <w:rPr>
                <w:b/>
                <w:sz w:val="18"/>
                <w:szCs w:val="18"/>
              </w:rPr>
              <w:t xml:space="preserve"> 2008</w:t>
            </w:r>
          </w:p>
        </w:tc>
        <w:tc>
          <w:tcPr>
            <w:tcW w:w="1479" w:type="dxa"/>
          </w:tcPr>
          <w:p w14:paraId="07EF6349" w14:textId="77777777" w:rsidR="008E4573" w:rsidRPr="008B68A9" w:rsidRDefault="008E4573" w:rsidP="00045396">
            <w:pPr>
              <w:spacing w:line="240" w:lineRule="auto"/>
              <w:rPr>
                <w:sz w:val="18"/>
                <w:szCs w:val="18"/>
              </w:rPr>
            </w:pPr>
            <w:r w:rsidRPr="008B68A9">
              <w:rPr>
                <w:sz w:val="18"/>
                <w:szCs w:val="18"/>
              </w:rPr>
              <w:t>Working age people with mental health problems in Florida.</w:t>
            </w:r>
          </w:p>
          <w:p w14:paraId="05C0A856" w14:textId="77777777" w:rsidR="008E4573" w:rsidRPr="008B68A9" w:rsidRDefault="008E4573" w:rsidP="00045396">
            <w:pPr>
              <w:spacing w:line="240" w:lineRule="auto"/>
              <w:rPr>
                <w:sz w:val="18"/>
                <w:szCs w:val="18"/>
              </w:rPr>
            </w:pPr>
          </w:p>
        </w:tc>
        <w:tc>
          <w:tcPr>
            <w:tcW w:w="1526" w:type="dxa"/>
          </w:tcPr>
          <w:p w14:paraId="4B06A34A" w14:textId="77777777" w:rsidR="008E4573" w:rsidRPr="008B68A9" w:rsidRDefault="008E4573" w:rsidP="00045396">
            <w:pPr>
              <w:spacing w:line="240" w:lineRule="auto"/>
              <w:rPr>
                <w:sz w:val="18"/>
                <w:szCs w:val="18"/>
              </w:rPr>
            </w:pPr>
            <w:r w:rsidRPr="008B68A9">
              <w:rPr>
                <w:sz w:val="18"/>
                <w:szCs w:val="18"/>
              </w:rPr>
              <w:t>106</w:t>
            </w:r>
          </w:p>
        </w:tc>
        <w:tc>
          <w:tcPr>
            <w:tcW w:w="2127" w:type="dxa"/>
          </w:tcPr>
          <w:p w14:paraId="58B322A0" w14:textId="77777777" w:rsidR="008E4573" w:rsidRPr="008B68A9" w:rsidRDefault="008E4573" w:rsidP="00045396">
            <w:pPr>
              <w:spacing w:line="240" w:lineRule="auto"/>
              <w:rPr>
                <w:sz w:val="18"/>
                <w:szCs w:val="18"/>
              </w:rPr>
            </w:pPr>
            <w:r w:rsidRPr="008B68A9">
              <w:rPr>
                <w:sz w:val="18"/>
                <w:szCs w:val="18"/>
                <w:lang w:eastAsia="x-none"/>
              </w:rPr>
              <w:t>Non-randomised pre-post design over 19 months of SDC users in two circuits. Outcome data from state records were used.</w:t>
            </w:r>
          </w:p>
          <w:p w14:paraId="6B443EAC" w14:textId="77777777" w:rsidR="008E4573" w:rsidRPr="008B68A9" w:rsidRDefault="008E4573" w:rsidP="00045396">
            <w:pPr>
              <w:spacing w:line="240" w:lineRule="auto"/>
              <w:rPr>
                <w:sz w:val="18"/>
                <w:szCs w:val="18"/>
              </w:rPr>
            </w:pPr>
          </w:p>
        </w:tc>
        <w:tc>
          <w:tcPr>
            <w:tcW w:w="1701" w:type="dxa"/>
          </w:tcPr>
          <w:p w14:paraId="34253190" w14:textId="77777777" w:rsidR="008E4573" w:rsidRPr="008B68A9" w:rsidRDefault="008E4573" w:rsidP="00045396">
            <w:pPr>
              <w:spacing w:line="240" w:lineRule="auto"/>
              <w:rPr>
                <w:sz w:val="18"/>
                <w:szCs w:val="18"/>
              </w:rPr>
            </w:pPr>
            <w:r w:rsidRPr="008B68A9">
              <w:rPr>
                <w:sz w:val="18"/>
                <w:szCs w:val="18"/>
              </w:rPr>
              <w:t>Statistical tools were used to create demographic and paired t test comparisons.</w:t>
            </w:r>
          </w:p>
        </w:tc>
        <w:tc>
          <w:tcPr>
            <w:tcW w:w="3445" w:type="dxa"/>
          </w:tcPr>
          <w:p w14:paraId="11EB3C81" w14:textId="77777777" w:rsidR="008E4573" w:rsidRPr="008B68A9" w:rsidRDefault="008E4573" w:rsidP="00045396">
            <w:pPr>
              <w:spacing w:line="240" w:lineRule="auto"/>
              <w:rPr>
                <w:sz w:val="18"/>
                <w:szCs w:val="18"/>
              </w:rPr>
            </w:pPr>
            <w:r w:rsidRPr="008B68A9">
              <w:rPr>
                <w:sz w:val="18"/>
                <w:szCs w:val="18"/>
              </w:rPr>
              <w:t>Higher scores across the sample from baseline to 19 month in days in community, programme participation, Global Assessment of Functioning Scale. No fraud detected and participants spent 1/3 of their allocation.</w:t>
            </w:r>
          </w:p>
        </w:tc>
        <w:tc>
          <w:tcPr>
            <w:tcW w:w="2083" w:type="dxa"/>
          </w:tcPr>
          <w:p w14:paraId="087CD684" w14:textId="77777777" w:rsidR="008E4573" w:rsidRPr="008B68A9" w:rsidRDefault="008E4573" w:rsidP="00045396">
            <w:pPr>
              <w:spacing w:line="240" w:lineRule="auto"/>
              <w:rPr>
                <w:sz w:val="18"/>
                <w:szCs w:val="18"/>
              </w:rPr>
            </w:pPr>
            <w:r w:rsidRPr="008B68A9">
              <w:rPr>
                <w:sz w:val="18"/>
                <w:szCs w:val="18"/>
              </w:rPr>
              <w:t>Sample included participants with severe and enduring mental health problems, (diagnosis of schizophrenia, bi-polar disorder).</w:t>
            </w:r>
          </w:p>
          <w:p w14:paraId="383E3B87" w14:textId="77777777" w:rsidR="008E4573" w:rsidRPr="008B68A9" w:rsidRDefault="008E4573" w:rsidP="00045396">
            <w:pPr>
              <w:spacing w:line="240" w:lineRule="auto"/>
              <w:rPr>
                <w:sz w:val="18"/>
                <w:szCs w:val="18"/>
              </w:rPr>
            </w:pPr>
            <w:r w:rsidRPr="008B68A9">
              <w:rPr>
                <w:sz w:val="18"/>
                <w:szCs w:val="18"/>
              </w:rPr>
              <w:t>Not very clear analysis.</w:t>
            </w:r>
          </w:p>
        </w:tc>
      </w:tr>
      <w:tr w:rsidR="008E4573" w:rsidRPr="008B68A9" w14:paraId="426A188A" w14:textId="77777777" w:rsidTr="00045396">
        <w:tc>
          <w:tcPr>
            <w:tcW w:w="1922" w:type="dxa"/>
          </w:tcPr>
          <w:p w14:paraId="7DDB6F2D" w14:textId="77777777" w:rsidR="008E4573" w:rsidRPr="008B68A9" w:rsidRDefault="008E4573" w:rsidP="00045396">
            <w:pPr>
              <w:spacing w:line="240" w:lineRule="auto"/>
              <w:rPr>
                <w:b/>
                <w:sz w:val="18"/>
                <w:szCs w:val="18"/>
              </w:rPr>
            </w:pPr>
          </w:p>
        </w:tc>
        <w:tc>
          <w:tcPr>
            <w:tcW w:w="1479" w:type="dxa"/>
          </w:tcPr>
          <w:p w14:paraId="6645106D" w14:textId="77777777" w:rsidR="008E4573" w:rsidRPr="008B68A9" w:rsidRDefault="008E4573" w:rsidP="00045396">
            <w:pPr>
              <w:spacing w:line="240" w:lineRule="auto"/>
              <w:rPr>
                <w:sz w:val="18"/>
                <w:szCs w:val="18"/>
              </w:rPr>
            </w:pPr>
          </w:p>
        </w:tc>
        <w:tc>
          <w:tcPr>
            <w:tcW w:w="1526" w:type="dxa"/>
          </w:tcPr>
          <w:p w14:paraId="029401D7" w14:textId="77777777" w:rsidR="008E4573" w:rsidRPr="008B68A9" w:rsidRDefault="008E4573" w:rsidP="00045396">
            <w:pPr>
              <w:spacing w:line="240" w:lineRule="auto"/>
              <w:rPr>
                <w:sz w:val="18"/>
                <w:szCs w:val="18"/>
              </w:rPr>
            </w:pPr>
          </w:p>
        </w:tc>
        <w:tc>
          <w:tcPr>
            <w:tcW w:w="2127" w:type="dxa"/>
          </w:tcPr>
          <w:p w14:paraId="0317393A" w14:textId="77777777" w:rsidR="008E4573" w:rsidRPr="008B68A9" w:rsidRDefault="008E4573" w:rsidP="00045396">
            <w:pPr>
              <w:spacing w:line="240" w:lineRule="auto"/>
              <w:rPr>
                <w:sz w:val="18"/>
                <w:szCs w:val="18"/>
                <w:lang w:eastAsia="x-none"/>
              </w:rPr>
            </w:pPr>
          </w:p>
        </w:tc>
        <w:tc>
          <w:tcPr>
            <w:tcW w:w="1701" w:type="dxa"/>
          </w:tcPr>
          <w:p w14:paraId="2CFB0851" w14:textId="77777777" w:rsidR="008E4573" w:rsidRPr="008B68A9" w:rsidRDefault="008E4573" w:rsidP="00045396">
            <w:pPr>
              <w:spacing w:line="240" w:lineRule="auto"/>
              <w:rPr>
                <w:sz w:val="18"/>
                <w:szCs w:val="18"/>
              </w:rPr>
            </w:pPr>
          </w:p>
        </w:tc>
        <w:tc>
          <w:tcPr>
            <w:tcW w:w="3445" w:type="dxa"/>
          </w:tcPr>
          <w:p w14:paraId="357AD647" w14:textId="77777777" w:rsidR="008E4573" w:rsidRPr="008B68A9" w:rsidRDefault="008E4573" w:rsidP="00045396">
            <w:pPr>
              <w:spacing w:line="240" w:lineRule="auto"/>
              <w:rPr>
                <w:sz w:val="18"/>
                <w:szCs w:val="18"/>
              </w:rPr>
            </w:pPr>
          </w:p>
        </w:tc>
        <w:tc>
          <w:tcPr>
            <w:tcW w:w="2083" w:type="dxa"/>
          </w:tcPr>
          <w:p w14:paraId="447B1F3C" w14:textId="77777777" w:rsidR="008E4573" w:rsidRPr="008B68A9" w:rsidRDefault="008E4573" w:rsidP="00045396">
            <w:pPr>
              <w:spacing w:line="240" w:lineRule="auto"/>
              <w:rPr>
                <w:sz w:val="18"/>
                <w:szCs w:val="18"/>
              </w:rPr>
            </w:pPr>
          </w:p>
        </w:tc>
      </w:tr>
      <w:tr w:rsidR="008E4573" w:rsidRPr="008B68A9" w14:paraId="2C5B8CE6" w14:textId="77777777" w:rsidTr="00045396">
        <w:tc>
          <w:tcPr>
            <w:tcW w:w="1922" w:type="dxa"/>
          </w:tcPr>
          <w:p w14:paraId="7B3C3481" w14:textId="77777777" w:rsidR="008E4573" w:rsidRPr="008B68A9" w:rsidRDefault="008E4573" w:rsidP="00045396">
            <w:pPr>
              <w:spacing w:line="240" w:lineRule="auto"/>
              <w:rPr>
                <w:b/>
                <w:sz w:val="18"/>
                <w:szCs w:val="18"/>
              </w:rPr>
            </w:pPr>
            <w:r w:rsidRPr="008B68A9">
              <w:rPr>
                <w:b/>
                <w:sz w:val="18"/>
                <w:szCs w:val="18"/>
              </w:rPr>
              <w:lastRenderedPageBreak/>
              <w:t>Cook &amp; Shore 2010</w:t>
            </w:r>
          </w:p>
        </w:tc>
        <w:tc>
          <w:tcPr>
            <w:tcW w:w="1479" w:type="dxa"/>
          </w:tcPr>
          <w:p w14:paraId="4FB738EA" w14:textId="77777777" w:rsidR="008E4573" w:rsidRPr="008B68A9" w:rsidRDefault="008E4573" w:rsidP="00045396">
            <w:pPr>
              <w:spacing w:line="240" w:lineRule="auto"/>
              <w:rPr>
                <w:sz w:val="18"/>
                <w:szCs w:val="18"/>
              </w:rPr>
            </w:pPr>
            <w:r w:rsidRPr="008B68A9">
              <w:rPr>
                <w:sz w:val="18"/>
                <w:szCs w:val="18"/>
              </w:rPr>
              <w:t>Introduction to Texas SDC programme.</w:t>
            </w:r>
          </w:p>
          <w:p w14:paraId="430F532E" w14:textId="77777777" w:rsidR="008E4573" w:rsidRPr="008B68A9" w:rsidRDefault="008E4573" w:rsidP="00045396">
            <w:pPr>
              <w:spacing w:line="240" w:lineRule="auto"/>
              <w:rPr>
                <w:sz w:val="18"/>
                <w:szCs w:val="18"/>
              </w:rPr>
            </w:pPr>
          </w:p>
        </w:tc>
        <w:tc>
          <w:tcPr>
            <w:tcW w:w="1526" w:type="dxa"/>
          </w:tcPr>
          <w:p w14:paraId="3DF6F450" w14:textId="77777777" w:rsidR="008E4573" w:rsidRPr="008B68A9" w:rsidRDefault="008E4573" w:rsidP="00045396">
            <w:pPr>
              <w:spacing w:line="240" w:lineRule="auto"/>
              <w:rPr>
                <w:sz w:val="18"/>
                <w:szCs w:val="18"/>
              </w:rPr>
            </w:pPr>
            <w:r w:rsidRPr="008B68A9">
              <w:rPr>
                <w:sz w:val="18"/>
                <w:szCs w:val="18"/>
              </w:rPr>
              <w:t>RCT experimental design.</w:t>
            </w:r>
          </w:p>
          <w:p w14:paraId="46076A6B" w14:textId="77777777" w:rsidR="008E4573" w:rsidRPr="008B68A9" w:rsidRDefault="008E4573" w:rsidP="00045396">
            <w:pPr>
              <w:spacing w:line="240" w:lineRule="auto"/>
              <w:rPr>
                <w:sz w:val="18"/>
                <w:szCs w:val="18"/>
              </w:rPr>
            </w:pPr>
            <w:r w:rsidRPr="008B68A9">
              <w:rPr>
                <w:sz w:val="18"/>
                <w:szCs w:val="18"/>
              </w:rPr>
              <w:t>SDC n=44</w:t>
            </w:r>
          </w:p>
          <w:p w14:paraId="258A5E0B" w14:textId="77777777" w:rsidR="008E4573" w:rsidRPr="008B68A9" w:rsidRDefault="008E4573" w:rsidP="00045396">
            <w:pPr>
              <w:spacing w:line="240" w:lineRule="auto"/>
              <w:rPr>
                <w:sz w:val="18"/>
                <w:szCs w:val="18"/>
              </w:rPr>
            </w:pPr>
            <w:r w:rsidRPr="008B68A9">
              <w:rPr>
                <w:sz w:val="18"/>
                <w:szCs w:val="18"/>
              </w:rPr>
              <w:t>Control n=31</w:t>
            </w:r>
          </w:p>
          <w:p w14:paraId="4846974D" w14:textId="77777777" w:rsidR="008E4573" w:rsidRPr="008B68A9" w:rsidRDefault="008E4573" w:rsidP="00045396">
            <w:pPr>
              <w:spacing w:line="240" w:lineRule="auto"/>
              <w:rPr>
                <w:sz w:val="18"/>
                <w:szCs w:val="18"/>
              </w:rPr>
            </w:pPr>
          </w:p>
          <w:p w14:paraId="57272D81" w14:textId="77777777" w:rsidR="008E4573" w:rsidRPr="008B68A9" w:rsidRDefault="008E4573" w:rsidP="00045396">
            <w:pPr>
              <w:spacing w:line="240" w:lineRule="auto"/>
              <w:rPr>
                <w:sz w:val="18"/>
                <w:szCs w:val="18"/>
              </w:rPr>
            </w:pPr>
            <w:r w:rsidRPr="008B68A9">
              <w:rPr>
                <w:sz w:val="18"/>
                <w:szCs w:val="18"/>
              </w:rPr>
              <w:t xml:space="preserve">(Overall sample to be reported </w:t>
            </w:r>
          </w:p>
          <w:p w14:paraId="1509811D" w14:textId="77777777" w:rsidR="008E4573" w:rsidRPr="008B68A9" w:rsidRDefault="008E4573" w:rsidP="00045396">
            <w:pPr>
              <w:spacing w:line="240" w:lineRule="auto"/>
              <w:rPr>
                <w:sz w:val="18"/>
                <w:szCs w:val="18"/>
              </w:rPr>
            </w:pPr>
            <w:r w:rsidRPr="008B68A9">
              <w:rPr>
                <w:sz w:val="18"/>
                <w:szCs w:val="18"/>
              </w:rPr>
              <w:t>N=300)</w:t>
            </w:r>
          </w:p>
        </w:tc>
        <w:tc>
          <w:tcPr>
            <w:tcW w:w="2127" w:type="dxa"/>
          </w:tcPr>
          <w:p w14:paraId="28AAE172" w14:textId="77777777" w:rsidR="008E4573" w:rsidRPr="008B68A9" w:rsidRDefault="008E4573" w:rsidP="00045396">
            <w:pPr>
              <w:spacing w:line="240" w:lineRule="auto"/>
              <w:rPr>
                <w:sz w:val="18"/>
                <w:szCs w:val="18"/>
              </w:rPr>
            </w:pPr>
            <w:r w:rsidRPr="008B68A9">
              <w:rPr>
                <w:sz w:val="18"/>
                <w:szCs w:val="18"/>
              </w:rPr>
              <w:t>Participatory action research framing engagement, but not clear method for data analysis.</w:t>
            </w:r>
          </w:p>
        </w:tc>
        <w:tc>
          <w:tcPr>
            <w:tcW w:w="1701" w:type="dxa"/>
          </w:tcPr>
          <w:p w14:paraId="3E9796D3" w14:textId="77777777" w:rsidR="008E4573" w:rsidRPr="008B68A9" w:rsidRDefault="008E4573" w:rsidP="00045396">
            <w:pPr>
              <w:spacing w:line="240" w:lineRule="auto"/>
              <w:rPr>
                <w:sz w:val="18"/>
                <w:szCs w:val="18"/>
              </w:rPr>
            </w:pPr>
            <w:r w:rsidRPr="008B68A9">
              <w:rPr>
                <w:sz w:val="18"/>
                <w:szCs w:val="18"/>
              </w:rPr>
              <w:t>Not specified</w:t>
            </w:r>
          </w:p>
        </w:tc>
        <w:tc>
          <w:tcPr>
            <w:tcW w:w="3445" w:type="dxa"/>
          </w:tcPr>
          <w:p w14:paraId="5881F045" w14:textId="77777777" w:rsidR="008E4573" w:rsidRPr="008B68A9" w:rsidRDefault="008E4573" w:rsidP="00045396">
            <w:pPr>
              <w:spacing w:line="240" w:lineRule="auto"/>
              <w:rPr>
                <w:sz w:val="18"/>
                <w:szCs w:val="18"/>
              </w:rPr>
            </w:pPr>
            <w:r w:rsidRPr="008B68A9">
              <w:rPr>
                <w:sz w:val="18"/>
                <w:szCs w:val="18"/>
              </w:rPr>
              <w:t>First preliminary data on Texas SDC.</w:t>
            </w:r>
          </w:p>
          <w:p w14:paraId="0BEB7C2F" w14:textId="77777777" w:rsidR="008E4573" w:rsidRPr="008B68A9" w:rsidRDefault="008E4573" w:rsidP="00045396">
            <w:pPr>
              <w:spacing w:line="240" w:lineRule="auto"/>
              <w:rPr>
                <w:sz w:val="18"/>
                <w:szCs w:val="18"/>
              </w:rPr>
            </w:pPr>
            <w:r w:rsidRPr="008B68A9">
              <w:rPr>
                <w:sz w:val="18"/>
                <w:szCs w:val="18"/>
              </w:rPr>
              <w:t>Broad diagnosis with experience of hospitalisation, more people termed bi-polar and co-existing substance misuse, rather than psychosis in either SDC or control.</w:t>
            </w:r>
          </w:p>
          <w:p w14:paraId="6407C6E0" w14:textId="77777777" w:rsidR="008E4573" w:rsidRPr="008B68A9" w:rsidRDefault="008E4573" w:rsidP="00045396">
            <w:pPr>
              <w:spacing w:line="240" w:lineRule="auto"/>
              <w:rPr>
                <w:sz w:val="18"/>
                <w:szCs w:val="18"/>
              </w:rPr>
            </w:pPr>
            <w:r w:rsidRPr="008B68A9">
              <w:rPr>
                <w:sz w:val="18"/>
                <w:szCs w:val="18"/>
              </w:rPr>
              <w:t>Minority in work, though most report hope to work within 1yr.</w:t>
            </w:r>
          </w:p>
          <w:p w14:paraId="19657B3C" w14:textId="77777777" w:rsidR="008E4573" w:rsidRPr="008B68A9" w:rsidRDefault="008E4573" w:rsidP="00045396">
            <w:pPr>
              <w:spacing w:line="240" w:lineRule="auto"/>
              <w:rPr>
                <w:sz w:val="18"/>
                <w:szCs w:val="18"/>
              </w:rPr>
            </w:pPr>
            <w:r w:rsidRPr="008B68A9">
              <w:rPr>
                <w:sz w:val="18"/>
                <w:szCs w:val="18"/>
              </w:rPr>
              <w:t>First 20 plans show:</w:t>
            </w:r>
          </w:p>
          <w:p w14:paraId="653569F0" w14:textId="77777777" w:rsidR="008E4573" w:rsidRPr="008B68A9" w:rsidRDefault="008E4573" w:rsidP="00045396">
            <w:pPr>
              <w:spacing w:line="240" w:lineRule="auto"/>
              <w:rPr>
                <w:sz w:val="18"/>
                <w:szCs w:val="18"/>
              </w:rPr>
            </w:pPr>
            <w:r w:rsidRPr="008B68A9">
              <w:rPr>
                <w:sz w:val="18"/>
                <w:szCs w:val="18"/>
              </w:rPr>
              <w:t>31% spent on non-traditional</w:t>
            </w:r>
          </w:p>
          <w:p w14:paraId="4D2DFE6B" w14:textId="77777777" w:rsidR="008E4573" w:rsidRPr="008B68A9" w:rsidRDefault="008E4573" w:rsidP="00045396">
            <w:pPr>
              <w:spacing w:line="240" w:lineRule="auto"/>
              <w:rPr>
                <w:sz w:val="18"/>
                <w:szCs w:val="18"/>
              </w:rPr>
            </w:pPr>
            <w:r w:rsidRPr="008B68A9">
              <w:rPr>
                <w:sz w:val="18"/>
                <w:szCs w:val="18"/>
              </w:rPr>
              <w:t xml:space="preserve">goods and services. </w:t>
            </w:r>
          </w:p>
          <w:p w14:paraId="78862DBA" w14:textId="77777777" w:rsidR="008E4573" w:rsidRPr="008B68A9" w:rsidRDefault="008E4573" w:rsidP="00045396">
            <w:pPr>
              <w:spacing w:line="240" w:lineRule="auto"/>
              <w:rPr>
                <w:sz w:val="18"/>
                <w:szCs w:val="18"/>
              </w:rPr>
            </w:pPr>
            <w:r w:rsidRPr="008B68A9">
              <w:rPr>
                <w:sz w:val="18"/>
                <w:szCs w:val="18"/>
              </w:rPr>
              <w:t xml:space="preserve">69% spent on traditional mental health services. </w:t>
            </w:r>
          </w:p>
        </w:tc>
        <w:tc>
          <w:tcPr>
            <w:tcW w:w="2083" w:type="dxa"/>
          </w:tcPr>
          <w:p w14:paraId="4E953720" w14:textId="77777777" w:rsidR="008E4573" w:rsidRPr="008B68A9" w:rsidRDefault="008E4573" w:rsidP="00045396">
            <w:pPr>
              <w:spacing w:line="240" w:lineRule="auto"/>
              <w:rPr>
                <w:sz w:val="18"/>
                <w:szCs w:val="18"/>
              </w:rPr>
            </w:pPr>
            <w:r w:rsidRPr="008B68A9">
              <w:rPr>
                <w:sz w:val="18"/>
                <w:szCs w:val="18"/>
              </w:rPr>
              <w:t>Describes processes of engagement between academic/potential users/communities and professionals.</w:t>
            </w:r>
          </w:p>
          <w:p w14:paraId="4D709885" w14:textId="77777777" w:rsidR="008E4573" w:rsidRPr="008B68A9" w:rsidRDefault="008E4573" w:rsidP="00045396">
            <w:pPr>
              <w:spacing w:line="240" w:lineRule="auto"/>
              <w:rPr>
                <w:sz w:val="18"/>
                <w:szCs w:val="18"/>
              </w:rPr>
            </w:pPr>
          </w:p>
          <w:p w14:paraId="7398149C" w14:textId="77777777" w:rsidR="008E4573" w:rsidRPr="008B68A9" w:rsidRDefault="008E4573" w:rsidP="00045396">
            <w:pPr>
              <w:spacing w:line="240" w:lineRule="auto"/>
              <w:rPr>
                <w:sz w:val="18"/>
                <w:szCs w:val="18"/>
              </w:rPr>
            </w:pPr>
          </w:p>
        </w:tc>
      </w:tr>
      <w:tr w:rsidR="008E4573" w:rsidRPr="008B68A9" w14:paraId="12B0B7D1" w14:textId="77777777" w:rsidTr="00045396">
        <w:tc>
          <w:tcPr>
            <w:tcW w:w="1922" w:type="dxa"/>
          </w:tcPr>
          <w:p w14:paraId="4F392081" w14:textId="77777777" w:rsidR="008E4573" w:rsidRPr="008B68A9" w:rsidRDefault="008E4573" w:rsidP="00045396">
            <w:pPr>
              <w:spacing w:line="240" w:lineRule="auto"/>
              <w:rPr>
                <w:b/>
                <w:sz w:val="18"/>
                <w:szCs w:val="18"/>
              </w:rPr>
            </w:pPr>
          </w:p>
        </w:tc>
        <w:tc>
          <w:tcPr>
            <w:tcW w:w="1479" w:type="dxa"/>
          </w:tcPr>
          <w:p w14:paraId="5DA0E39B" w14:textId="77777777" w:rsidR="008E4573" w:rsidRPr="008B68A9" w:rsidRDefault="008E4573" w:rsidP="00045396">
            <w:pPr>
              <w:spacing w:line="240" w:lineRule="auto"/>
              <w:rPr>
                <w:sz w:val="18"/>
                <w:szCs w:val="18"/>
              </w:rPr>
            </w:pPr>
          </w:p>
        </w:tc>
        <w:tc>
          <w:tcPr>
            <w:tcW w:w="1526" w:type="dxa"/>
          </w:tcPr>
          <w:p w14:paraId="00489CFC" w14:textId="77777777" w:rsidR="008E4573" w:rsidRPr="008B68A9" w:rsidRDefault="008E4573" w:rsidP="00045396">
            <w:pPr>
              <w:spacing w:line="240" w:lineRule="auto"/>
              <w:rPr>
                <w:sz w:val="18"/>
                <w:szCs w:val="18"/>
              </w:rPr>
            </w:pPr>
          </w:p>
        </w:tc>
        <w:tc>
          <w:tcPr>
            <w:tcW w:w="2127" w:type="dxa"/>
          </w:tcPr>
          <w:p w14:paraId="7CBB23B2" w14:textId="77777777" w:rsidR="008E4573" w:rsidRPr="008B68A9" w:rsidRDefault="008E4573" w:rsidP="00045396">
            <w:pPr>
              <w:spacing w:line="240" w:lineRule="auto"/>
              <w:rPr>
                <w:sz w:val="18"/>
                <w:szCs w:val="18"/>
              </w:rPr>
            </w:pPr>
          </w:p>
        </w:tc>
        <w:tc>
          <w:tcPr>
            <w:tcW w:w="1701" w:type="dxa"/>
          </w:tcPr>
          <w:p w14:paraId="32554DB1" w14:textId="77777777" w:rsidR="008E4573" w:rsidRPr="008B68A9" w:rsidRDefault="008E4573" w:rsidP="00045396">
            <w:pPr>
              <w:spacing w:line="240" w:lineRule="auto"/>
              <w:rPr>
                <w:sz w:val="18"/>
                <w:szCs w:val="18"/>
              </w:rPr>
            </w:pPr>
          </w:p>
        </w:tc>
        <w:tc>
          <w:tcPr>
            <w:tcW w:w="3445" w:type="dxa"/>
          </w:tcPr>
          <w:p w14:paraId="0D924211" w14:textId="77777777" w:rsidR="008E4573" w:rsidRPr="008B68A9" w:rsidRDefault="008E4573" w:rsidP="00045396">
            <w:pPr>
              <w:spacing w:line="240" w:lineRule="auto"/>
              <w:rPr>
                <w:sz w:val="18"/>
                <w:szCs w:val="18"/>
              </w:rPr>
            </w:pPr>
          </w:p>
        </w:tc>
        <w:tc>
          <w:tcPr>
            <w:tcW w:w="2083" w:type="dxa"/>
          </w:tcPr>
          <w:p w14:paraId="3EFD3395" w14:textId="77777777" w:rsidR="008E4573" w:rsidRPr="008B68A9" w:rsidRDefault="008E4573" w:rsidP="00045396">
            <w:pPr>
              <w:spacing w:line="240" w:lineRule="auto"/>
              <w:rPr>
                <w:sz w:val="18"/>
                <w:szCs w:val="18"/>
              </w:rPr>
            </w:pPr>
          </w:p>
        </w:tc>
      </w:tr>
      <w:tr w:rsidR="008E4573" w:rsidRPr="008B68A9" w14:paraId="3A677FFE" w14:textId="77777777" w:rsidTr="00045396">
        <w:tc>
          <w:tcPr>
            <w:tcW w:w="1922" w:type="dxa"/>
          </w:tcPr>
          <w:p w14:paraId="20889ADA" w14:textId="77777777" w:rsidR="008E4573" w:rsidRPr="008B68A9" w:rsidRDefault="008E4573" w:rsidP="00045396">
            <w:pPr>
              <w:spacing w:line="240" w:lineRule="auto"/>
              <w:rPr>
                <w:b/>
                <w:sz w:val="18"/>
                <w:szCs w:val="18"/>
              </w:rPr>
            </w:pPr>
            <w:r w:rsidRPr="008B68A9">
              <w:rPr>
                <w:b/>
                <w:sz w:val="18"/>
                <w:szCs w:val="18"/>
              </w:rPr>
              <w:t>Croft and Parish 2016</w:t>
            </w:r>
          </w:p>
        </w:tc>
        <w:tc>
          <w:tcPr>
            <w:tcW w:w="1479" w:type="dxa"/>
          </w:tcPr>
          <w:p w14:paraId="33A97370" w14:textId="77777777" w:rsidR="008E4573" w:rsidRPr="008B68A9" w:rsidRDefault="008E4573" w:rsidP="00045396">
            <w:pPr>
              <w:spacing w:line="240" w:lineRule="auto"/>
              <w:rPr>
                <w:sz w:val="18"/>
                <w:szCs w:val="18"/>
              </w:rPr>
            </w:pPr>
            <w:r w:rsidRPr="008B68A9">
              <w:rPr>
                <w:sz w:val="18"/>
                <w:szCs w:val="18"/>
              </w:rPr>
              <w:t>Impact of self-direction on recovery in Florida</w:t>
            </w:r>
          </w:p>
        </w:tc>
        <w:tc>
          <w:tcPr>
            <w:tcW w:w="1526" w:type="dxa"/>
          </w:tcPr>
          <w:p w14:paraId="06BE6C27" w14:textId="77777777" w:rsidR="008E4573" w:rsidRPr="008B68A9" w:rsidRDefault="008E4573" w:rsidP="00045396">
            <w:pPr>
              <w:spacing w:line="240" w:lineRule="auto"/>
              <w:rPr>
                <w:sz w:val="18"/>
                <w:szCs w:val="18"/>
              </w:rPr>
            </w:pPr>
            <w:r w:rsidRPr="008B68A9">
              <w:rPr>
                <w:sz w:val="18"/>
                <w:szCs w:val="18"/>
              </w:rPr>
              <w:t>30 self-direction budget users selected for diversity, (age, gender, ethnicity), from 60 pre-interview screen.</w:t>
            </w:r>
          </w:p>
        </w:tc>
        <w:tc>
          <w:tcPr>
            <w:tcW w:w="2127" w:type="dxa"/>
          </w:tcPr>
          <w:p w14:paraId="5247CD30" w14:textId="77777777" w:rsidR="008E4573" w:rsidRPr="008B68A9" w:rsidRDefault="008E4573" w:rsidP="00045396">
            <w:pPr>
              <w:spacing w:line="240" w:lineRule="auto"/>
              <w:rPr>
                <w:sz w:val="18"/>
                <w:szCs w:val="18"/>
              </w:rPr>
            </w:pPr>
            <w:r w:rsidRPr="008B68A9">
              <w:rPr>
                <w:sz w:val="18"/>
                <w:szCs w:val="18"/>
              </w:rPr>
              <w:t>Semi-structured interviews range 25–75 min; mean 40 minutes.</w:t>
            </w:r>
          </w:p>
        </w:tc>
        <w:tc>
          <w:tcPr>
            <w:tcW w:w="1701" w:type="dxa"/>
          </w:tcPr>
          <w:p w14:paraId="27978D0C" w14:textId="77777777" w:rsidR="008E4573" w:rsidRPr="008B68A9" w:rsidRDefault="008E4573" w:rsidP="00045396">
            <w:pPr>
              <w:spacing w:line="240" w:lineRule="auto"/>
              <w:rPr>
                <w:sz w:val="18"/>
                <w:szCs w:val="18"/>
              </w:rPr>
            </w:pPr>
            <w:r w:rsidRPr="008B68A9">
              <w:rPr>
                <w:sz w:val="18"/>
                <w:szCs w:val="18"/>
              </w:rPr>
              <w:t>Thematic analysis.</w:t>
            </w:r>
          </w:p>
          <w:p w14:paraId="7C0ABA55" w14:textId="77777777" w:rsidR="008E4573" w:rsidRPr="008B68A9" w:rsidRDefault="008E4573" w:rsidP="00045396">
            <w:pPr>
              <w:spacing w:line="240" w:lineRule="auto"/>
              <w:rPr>
                <w:sz w:val="18"/>
                <w:szCs w:val="18"/>
              </w:rPr>
            </w:pPr>
            <w:r w:rsidRPr="008B68A9">
              <w:rPr>
                <w:sz w:val="18"/>
                <w:szCs w:val="18"/>
              </w:rPr>
              <w:t>Including member checking with 6 participants.</w:t>
            </w:r>
          </w:p>
        </w:tc>
        <w:tc>
          <w:tcPr>
            <w:tcW w:w="3445" w:type="dxa"/>
          </w:tcPr>
          <w:p w14:paraId="429B38D4" w14:textId="77777777" w:rsidR="008E4573" w:rsidRPr="008B68A9" w:rsidRDefault="008E4573" w:rsidP="00045396">
            <w:pPr>
              <w:spacing w:line="240" w:lineRule="auto"/>
              <w:rPr>
                <w:sz w:val="18"/>
                <w:szCs w:val="18"/>
              </w:rPr>
            </w:pPr>
            <w:r w:rsidRPr="008B68A9">
              <w:rPr>
                <w:sz w:val="18"/>
                <w:szCs w:val="18"/>
              </w:rPr>
              <w:t>A positive relationship between self-direction and recovery indicated.</w:t>
            </w:r>
          </w:p>
          <w:p w14:paraId="57DFF0DC" w14:textId="77777777" w:rsidR="008E4573" w:rsidRPr="008B68A9" w:rsidRDefault="008E4573" w:rsidP="00045396">
            <w:pPr>
              <w:spacing w:line="240" w:lineRule="auto"/>
              <w:rPr>
                <w:sz w:val="18"/>
                <w:szCs w:val="18"/>
              </w:rPr>
            </w:pPr>
            <w:r w:rsidRPr="008B68A9">
              <w:rPr>
                <w:sz w:val="18"/>
                <w:szCs w:val="18"/>
              </w:rPr>
              <w:t>Thematic framework from analysis.</w:t>
            </w:r>
          </w:p>
          <w:p w14:paraId="45280B94" w14:textId="77777777" w:rsidR="008E4573" w:rsidRPr="008B68A9" w:rsidRDefault="008E4573" w:rsidP="00045396">
            <w:pPr>
              <w:spacing w:line="240" w:lineRule="auto"/>
              <w:rPr>
                <w:sz w:val="18"/>
                <w:szCs w:val="18"/>
              </w:rPr>
            </w:pPr>
            <w:r w:rsidRPr="008B68A9">
              <w:rPr>
                <w:sz w:val="18"/>
                <w:szCs w:val="18"/>
              </w:rPr>
              <w:t>Social recovery – substance use recovery physical wellness – clinical recovery – functional recovery – clinical recovery.</w:t>
            </w:r>
          </w:p>
          <w:p w14:paraId="2C50F692" w14:textId="77777777" w:rsidR="008E4573" w:rsidRPr="008B68A9" w:rsidRDefault="008E4573" w:rsidP="00045396">
            <w:pPr>
              <w:spacing w:line="240" w:lineRule="auto"/>
              <w:rPr>
                <w:sz w:val="18"/>
                <w:szCs w:val="18"/>
              </w:rPr>
            </w:pPr>
          </w:p>
          <w:p w14:paraId="391015A8" w14:textId="77777777" w:rsidR="008E4573" w:rsidRPr="008B68A9" w:rsidRDefault="008E4573" w:rsidP="00045396">
            <w:pPr>
              <w:spacing w:line="240" w:lineRule="auto"/>
              <w:rPr>
                <w:sz w:val="18"/>
                <w:szCs w:val="18"/>
              </w:rPr>
            </w:pPr>
            <w:r w:rsidRPr="008B68A9">
              <w:rPr>
                <w:sz w:val="18"/>
                <w:szCs w:val="18"/>
              </w:rPr>
              <w:t>Role of broker encouraging important.</w:t>
            </w:r>
          </w:p>
          <w:p w14:paraId="391BA6F9" w14:textId="77777777" w:rsidR="008E4573" w:rsidRPr="008B68A9" w:rsidRDefault="008E4573" w:rsidP="00045396">
            <w:pPr>
              <w:spacing w:line="240" w:lineRule="auto"/>
              <w:rPr>
                <w:sz w:val="18"/>
                <w:szCs w:val="18"/>
              </w:rPr>
            </w:pPr>
            <w:r w:rsidRPr="008B68A9">
              <w:rPr>
                <w:sz w:val="18"/>
                <w:szCs w:val="18"/>
              </w:rPr>
              <w:t xml:space="preserve">Some report ‘giving back’ through volunteerism. </w:t>
            </w:r>
          </w:p>
          <w:p w14:paraId="74E1693C" w14:textId="77777777" w:rsidR="008E4573" w:rsidRPr="008B68A9" w:rsidRDefault="008E4573" w:rsidP="00045396">
            <w:pPr>
              <w:spacing w:line="240" w:lineRule="auto"/>
              <w:rPr>
                <w:sz w:val="18"/>
                <w:szCs w:val="18"/>
              </w:rPr>
            </w:pPr>
          </w:p>
          <w:p w14:paraId="068F0748" w14:textId="77777777" w:rsidR="008E4573" w:rsidRPr="008B68A9" w:rsidRDefault="008E4573" w:rsidP="00045396">
            <w:pPr>
              <w:spacing w:line="240" w:lineRule="auto"/>
              <w:rPr>
                <w:sz w:val="18"/>
                <w:szCs w:val="18"/>
              </w:rPr>
            </w:pPr>
            <w:r w:rsidRPr="008B68A9">
              <w:rPr>
                <w:sz w:val="18"/>
                <w:szCs w:val="18"/>
              </w:rPr>
              <w:t>Highlights frugality of budget holders, but also the relationship between poverty and MH.</w:t>
            </w:r>
          </w:p>
          <w:p w14:paraId="3816F899" w14:textId="77777777" w:rsidR="008E4573" w:rsidRPr="008B68A9" w:rsidRDefault="008E4573" w:rsidP="00045396">
            <w:pPr>
              <w:spacing w:line="240" w:lineRule="auto"/>
              <w:rPr>
                <w:sz w:val="18"/>
                <w:szCs w:val="18"/>
              </w:rPr>
            </w:pPr>
            <w:r w:rsidRPr="008B68A9">
              <w:rPr>
                <w:sz w:val="18"/>
                <w:szCs w:val="18"/>
              </w:rPr>
              <w:t>Users purchased food, clothing – recognise basic need for MH.</w:t>
            </w:r>
          </w:p>
        </w:tc>
        <w:tc>
          <w:tcPr>
            <w:tcW w:w="2083" w:type="dxa"/>
          </w:tcPr>
          <w:p w14:paraId="644BDC32" w14:textId="77777777" w:rsidR="008E4573" w:rsidRPr="008B68A9" w:rsidRDefault="008E4573" w:rsidP="00045396">
            <w:pPr>
              <w:spacing w:line="240" w:lineRule="auto"/>
              <w:rPr>
                <w:sz w:val="18"/>
                <w:szCs w:val="18"/>
              </w:rPr>
            </w:pPr>
            <w:r w:rsidRPr="008B68A9">
              <w:rPr>
                <w:sz w:val="18"/>
                <w:szCs w:val="18"/>
              </w:rPr>
              <w:t>“Early stages of, analytic memoing techniques used to capture impressions, identify discrete phenomena, document areas of convergence and divergence between themes.” Six participants were used in member checking coding.</w:t>
            </w:r>
          </w:p>
          <w:p w14:paraId="4D4B6977" w14:textId="77777777" w:rsidR="008E4573" w:rsidRPr="008B68A9" w:rsidRDefault="008E4573" w:rsidP="00045396">
            <w:pPr>
              <w:spacing w:line="240" w:lineRule="auto"/>
              <w:rPr>
                <w:sz w:val="18"/>
                <w:szCs w:val="18"/>
              </w:rPr>
            </w:pPr>
            <w:r w:rsidRPr="008B68A9">
              <w:rPr>
                <w:sz w:val="18"/>
                <w:szCs w:val="18"/>
              </w:rPr>
              <w:t>Suggest it is the first study exploring perspectives of individuals with serious mental illness on self-direction</w:t>
            </w:r>
          </w:p>
          <w:p w14:paraId="6119EB5F" w14:textId="77777777" w:rsidR="008E4573" w:rsidRPr="008B68A9" w:rsidRDefault="008E4573" w:rsidP="00045396">
            <w:pPr>
              <w:spacing w:line="240" w:lineRule="auto"/>
              <w:rPr>
                <w:sz w:val="18"/>
                <w:szCs w:val="18"/>
              </w:rPr>
            </w:pPr>
          </w:p>
        </w:tc>
      </w:tr>
      <w:tr w:rsidR="008E4573" w:rsidRPr="008B68A9" w14:paraId="29F0F952" w14:textId="77777777" w:rsidTr="00045396">
        <w:tc>
          <w:tcPr>
            <w:tcW w:w="1922" w:type="dxa"/>
          </w:tcPr>
          <w:p w14:paraId="2FA5FD01" w14:textId="77777777" w:rsidR="008E4573" w:rsidRPr="008B68A9" w:rsidRDefault="008E4573" w:rsidP="00045396">
            <w:pPr>
              <w:spacing w:line="240" w:lineRule="auto"/>
              <w:rPr>
                <w:b/>
                <w:sz w:val="18"/>
                <w:szCs w:val="18"/>
              </w:rPr>
            </w:pPr>
          </w:p>
        </w:tc>
        <w:tc>
          <w:tcPr>
            <w:tcW w:w="1479" w:type="dxa"/>
          </w:tcPr>
          <w:p w14:paraId="0DE7DF04" w14:textId="77777777" w:rsidR="008E4573" w:rsidRPr="008B68A9" w:rsidRDefault="008E4573" w:rsidP="00045396">
            <w:pPr>
              <w:spacing w:line="240" w:lineRule="auto"/>
              <w:rPr>
                <w:sz w:val="18"/>
                <w:szCs w:val="18"/>
              </w:rPr>
            </w:pPr>
          </w:p>
        </w:tc>
        <w:tc>
          <w:tcPr>
            <w:tcW w:w="1526" w:type="dxa"/>
          </w:tcPr>
          <w:p w14:paraId="13635327" w14:textId="77777777" w:rsidR="008E4573" w:rsidRPr="008B68A9" w:rsidRDefault="008E4573" w:rsidP="00045396">
            <w:pPr>
              <w:spacing w:line="240" w:lineRule="auto"/>
              <w:rPr>
                <w:sz w:val="18"/>
                <w:szCs w:val="18"/>
              </w:rPr>
            </w:pPr>
          </w:p>
        </w:tc>
        <w:tc>
          <w:tcPr>
            <w:tcW w:w="2127" w:type="dxa"/>
          </w:tcPr>
          <w:p w14:paraId="6479C992" w14:textId="77777777" w:rsidR="008E4573" w:rsidRPr="008B68A9" w:rsidRDefault="008E4573" w:rsidP="00045396">
            <w:pPr>
              <w:spacing w:line="240" w:lineRule="auto"/>
              <w:rPr>
                <w:sz w:val="18"/>
                <w:szCs w:val="18"/>
              </w:rPr>
            </w:pPr>
          </w:p>
        </w:tc>
        <w:tc>
          <w:tcPr>
            <w:tcW w:w="1701" w:type="dxa"/>
          </w:tcPr>
          <w:p w14:paraId="2F36CE0A" w14:textId="77777777" w:rsidR="008E4573" w:rsidRPr="008B68A9" w:rsidRDefault="008E4573" w:rsidP="00045396">
            <w:pPr>
              <w:spacing w:line="240" w:lineRule="auto"/>
              <w:rPr>
                <w:sz w:val="18"/>
                <w:szCs w:val="18"/>
              </w:rPr>
            </w:pPr>
          </w:p>
        </w:tc>
        <w:tc>
          <w:tcPr>
            <w:tcW w:w="3445" w:type="dxa"/>
          </w:tcPr>
          <w:p w14:paraId="648B33F7" w14:textId="77777777" w:rsidR="008E4573" w:rsidRPr="008B68A9" w:rsidRDefault="008E4573" w:rsidP="00045396">
            <w:pPr>
              <w:spacing w:line="240" w:lineRule="auto"/>
              <w:rPr>
                <w:sz w:val="18"/>
                <w:szCs w:val="18"/>
              </w:rPr>
            </w:pPr>
          </w:p>
        </w:tc>
        <w:tc>
          <w:tcPr>
            <w:tcW w:w="2083" w:type="dxa"/>
          </w:tcPr>
          <w:p w14:paraId="4B557EDE" w14:textId="77777777" w:rsidR="008E4573" w:rsidRPr="008B68A9" w:rsidRDefault="008E4573" w:rsidP="00045396">
            <w:pPr>
              <w:spacing w:line="240" w:lineRule="auto"/>
              <w:rPr>
                <w:sz w:val="18"/>
                <w:szCs w:val="18"/>
              </w:rPr>
            </w:pPr>
          </w:p>
        </w:tc>
      </w:tr>
      <w:tr w:rsidR="008E4573" w:rsidRPr="008B68A9" w14:paraId="048AABBE" w14:textId="77777777" w:rsidTr="00045396">
        <w:tc>
          <w:tcPr>
            <w:tcW w:w="1922" w:type="dxa"/>
          </w:tcPr>
          <w:p w14:paraId="1C997D22" w14:textId="77777777" w:rsidR="008E4573" w:rsidRPr="008B68A9" w:rsidRDefault="008E4573" w:rsidP="00045396">
            <w:pPr>
              <w:spacing w:line="240" w:lineRule="auto"/>
              <w:rPr>
                <w:b/>
                <w:sz w:val="18"/>
                <w:szCs w:val="18"/>
              </w:rPr>
            </w:pPr>
            <w:r w:rsidRPr="008B68A9">
              <w:rPr>
                <w:b/>
                <w:sz w:val="18"/>
                <w:szCs w:val="18"/>
              </w:rPr>
              <w:lastRenderedPageBreak/>
              <w:t xml:space="preserve">Dale </w:t>
            </w:r>
            <w:r w:rsidRPr="008B68A9">
              <w:rPr>
                <w:b/>
                <w:i/>
                <w:sz w:val="18"/>
                <w:szCs w:val="18"/>
              </w:rPr>
              <w:t>et al.</w:t>
            </w:r>
            <w:r w:rsidRPr="008B68A9">
              <w:rPr>
                <w:b/>
                <w:sz w:val="18"/>
                <w:szCs w:val="18"/>
              </w:rPr>
              <w:t xml:space="preserve"> 2004</w:t>
            </w:r>
          </w:p>
        </w:tc>
        <w:tc>
          <w:tcPr>
            <w:tcW w:w="1479" w:type="dxa"/>
          </w:tcPr>
          <w:p w14:paraId="4762399F" w14:textId="77777777" w:rsidR="008E4573" w:rsidRPr="008B68A9" w:rsidRDefault="008E4573" w:rsidP="00045396">
            <w:pPr>
              <w:spacing w:line="240" w:lineRule="auto"/>
              <w:rPr>
                <w:sz w:val="18"/>
                <w:szCs w:val="18"/>
              </w:rPr>
            </w:pPr>
            <w:r w:rsidRPr="008B68A9">
              <w:rPr>
                <w:sz w:val="18"/>
                <w:szCs w:val="18"/>
              </w:rPr>
              <w:t>CCDE older persons receiving PCS.</w:t>
            </w:r>
          </w:p>
          <w:p w14:paraId="1E49726A" w14:textId="77777777" w:rsidR="008E4573" w:rsidRPr="008B68A9" w:rsidRDefault="008E4573" w:rsidP="00045396">
            <w:pPr>
              <w:spacing w:line="240" w:lineRule="auto"/>
              <w:rPr>
                <w:sz w:val="18"/>
                <w:szCs w:val="18"/>
              </w:rPr>
            </w:pPr>
          </w:p>
        </w:tc>
        <w:tc>
          <w:tcPr>
            <w:tcW w:w="1526" w:type="dxa"/>
          </w:tcPr>
          <w:p w14:paraId="02B70455" w14:textId="77777777" w:rsidR="008E4573" w:rsidRPr="008B68A9" w:rsidRDefault="008E4573" w:rsidP="00045396">
            <w:pPr>
              <w:spacing w:line="240" w:lineRule="auto"/>
              <w:rPr>
                <w:sz w:val="18"/>
                <w:szCs w:val="18"/>
              </w:rPr>
            </w:pPr>
            <w:r w:rsidRPr="008B68A9">
              <w:rPr>
                <w:sz w:val="18"/>
                <w:szCs w:val="18"/>
              </w:rPr>
              <w:t>Over 18 and eligible for Medicaid PCS N=2,008, first two years.</w:t>
            </w:r>
          </w:p>
          <w:p w14:paraId="422DF0B8" w14:textId="77777777" w:rsidR="008E4573" w:rsidRPr="008B68A9" w:rsidRDefault="008E4573" w:rsidP="00045396">
            <w:pPr>
              <w:spacing w:line="240" w:lineRule="auto"/>
              <w:rPr>
                <w:sz w:val="18"/>
                <w:szCs w:val="18"/>
              </w:rPr>
            </w:pPr>
            <w:r w:rsidRPr="008B68A9">
              <w:rPr>
                <w:sz w:val="18"/>
                <w:szCs w:val="18"/>
              </w:rPr>
              <w:t xml:space="preserve">Post-enrolment for a cohort of early enrolees n=1,312 </w:t>
            </w:r>
          </w:p>
        </w:tc>
        <w:tc>
          <w:tcPr>
            <w:tcW w:w="2127" w:type="dxa"/>
          </w:tcPr>
          <w:p w14:paraId="77789364" w14:textId="77777777" w:rsidR="008E4573" w:rsidRPr="008B68A9" w:rsidRDefault="008E4573" w:rsidP="00045396">
            <w:pPr>
              <w:spacing w:line="240" w:lineRule="auto"/>
              <w:rPr>
                <w:sz w:val="18"/>
                <w:szCs w:val="18"/>
              </w:rPr>
            </w:pPr>
            <w:r w:rsidRPr="008B68A9">
              <w:rPr>
                <w:sz w:val="18"/>
                <w:szCs w:val="18"/>
              </w:rPr>
              <w:t>Medicare and Medicaid claim expenditure data.</w:t>
            </w:r>
          </w:p>
          <w:p w14:paraId="67BB5E49" w14:textId="77777777" w:rsidR="008E4573" w:rsidRPr="008B68A9" w:rsidRDefault="008E4573" w:rsidP="00045396">
            <w:pPr>
              <w:spacing w:line="240" w:lineRule="auto"/>
              <w:rPr>
                <w:sz w:val="18"/>
                <w:szCs w:val="18"/>
              </w:rPr>
            </w:pPr>
            <w:r w:rsidRPr="008B68A9">
              <w:rPr>
                <w:sz w:val="18"/>
                <w:szCs w:val="18"/>
              </w:rPr>
              <w:t>Computer assisted telephone survey.</w:t>
            </w:r>
          </w:p>
        </w:tc>
        <w:tc>
          <w:tcPr>
            <w:tcW w:w="1701" w:type="dxa"/>
          </w:tcPr>
          <w:p w14:paraId="1A1CF335" w14:textId="77777777" w:rsidR="008E4573" w:rsidRPr="008B68A9" w:rsidRDefault="008E4573" w:rsidP="00045396">
            <w:pPr>
              <w:spacing w:line="240" w:lineRule="auto"/>
              <w:rPr>
                <w:sz w:val="18"/>
                <w:szCs w:val="18"/>
              </w:rPr>
            </w:pPr>
            <w:r w:rsidRPr="008B68A9">
              <w:rPr>
                <w:sz w:val="18"/>
                <w:szCs w:val="18"/>
              </w:rPr>
              <w:t>Regression models for effect comparison from baseline data.</w:t>
            </w:r>
          </w:p>
        </w:tc>
        <w:tc>
          <w:tcPr>
            <w:tcW w:w="3445" w:type="dxa"/>
          </w:tcPr>
          <w:p w14:paraId="63AB062D" w14:textId="77777777" w:rsidR="008E4573" w:rsidRPr="008B68A9" w:rsidRDefault="008E4573" w:rsidP="00045396">
            <w:pPr>
              <w:spacing w:line="240" w:lineRule="auto"/>
              <w:rPr>
                <w:sz w:val="18"/>
                <w:szCs w:val="18"/>
              </w:rPr>
            </w:pPr>
            <w:r w:rsidRPr="008B68A9">
              <w:rPr>
                <w:sz w:val="18"/>
                <w:szCs w:val="18"/>
              </w:rPr>
              <w:t>Increased satisfaction with a reported lowering of unmet need.</w:t>
            </w:r>
          </w:p>
          <w:p w14:paraId="3318E8F4" w14:textId="77777777" w:rsidR="008E4573" w:rsidRPr="008B68A9" w:rsidRDefault="008E4573" w:rsidP="00045396">
            <w:pPr>
              <w:spacing w:line="240" w:lineRule="auto"/>
              <w:rPr>
                <w:sz w:val="18"/>
                <w:szCs w:val="18"/>
              </w:rPr>
            </w:pPr>
            <w:r w:rsidRPr="008B68A9">
              <w:rPr>
                <w:sz w:val="18"/>
                <w:szCs w:val="18"/>
              </w:rPr>
              <w:t>Cost for PCS group were x2 – attributed to identifying need and meeting through C&amp;C, although offset with lower use of beds (see below).</w:t>
            </w:r>
          </w:p>
          <w:p w14:paraId="5DADB51A" w14:textId="77777777" w:rsidR="008E4573" w:rsidRPr="008B68A9" w:rsidRDefault="008E4573" w:rsidP="00045396">
            <w:pPr>
              <w:spacing w:line="240" w:lineRule="auto"/>
              <w:rPr>
                <w:sz w:val="18"/>
                <w:szCs w:val="18"/>
              </w:rPr>
            </w:pPr>
            <w:r w:rsidRPr="008B68A9">
              <w:rPr>
                <w:sz w:val="18"/>
                <w:szCs w:val="18"/>
              </w:rPr>
              <w:t>By yr2 expenditure was $1500 less and only 5% higher.</w:t>
            </w:r>
          </w:p>
          <w:p w14:paraId="6C0985D4" w14:textId="77777777" w:rsidR="008E4573" w:rsidRPr="008B68A9" w:rsidRDefault="008E4573" w:rsidP="00045396">
            <w:pPr>
              <w:spacing w:line="240" w:lineRule="auto"/>
              <w:rPr>
                <w:sz w:val="18"/>
                <w:szCs w:val="18"/>
              </w:rPr>
            </w:pPr>
            <w:r w:rsidRPr="008B68A9">
              <w:rPr>
                <w:sz w:val="18"/>
                <w:szCs w:val="18"/>
              </w:rPr>
              <w:t>Average budget $320 per month.</w:t>
            </w:r>
          </w:p>
        </w:tc>
        <w:tc>
          <w:tcPr>
            <w:tcW w:w="2083" w:type="dxa"/>
          </w:tcPr>
          <w:p w14:paraId="445FF89F" w14:textId="77777777" w:rsidR="008E4573" w:rsidRPr="008B68A9" w:rsidRDefault="008E4573" w:rsidP="00045396">
            <w:pPr>
              <w:spacing w:line="240" w:lineRule="auto"/>
              <w:rPr>
                <w:sz w:val="18"/>
                <w:szCs w:val="18"/>
              </w:rPr>
            </w:pPr>
            <w:r w:rsidRPr="008B68A9">
              <w:rPr>
                <w:sz w:val="18"/>
                <w:szCs w:val="18"/>
              </w:rPr>
              <w:t>C&amp;C effective for long-term care.</w:t>
            </w:r>
          </w:p>
          <w:p w14:paraId="30D1C71A" w14:textId="77777777" w:rsidR="008E4573" w:rsidRPr="008B68A9" w:rsidRDefault="008E4573" w:rsidP="00045396">
            <w:pPr>
              <w:spacing w:line="240" w:lineRule="auto"/>
              <w:rPr>
                <w:sz w:val="18"/>
                <w:szCs w:val="18"/>
              </w:rPr>
            </w:pPr>
            <w:r w:rsidRPr="008B68A9">
              <w:rPr>
                <w:sz w:val="18"/>
                <w:szCs w:val="18"/>
              </w:rPr>
              <w:t>Budget neutrality primary concern in design and commission.</w:t>
            </w:r>
          </w:p>
          <w:p w14:paraId="7ACFF407" w14:textId="77777777" w:rsidR="008E4573" w:rsidRPr="008B68A9" w:rsidRDefault="008E4573" w:rsidP="00045396">
            <w:pPr>
              <w:spacing w:line="240" w:lineRule="auto"/>
              <w:rPr>
                <w:sz w:val="18"/>
                <w:szCs w:val="18"/>
              </w:rPr>
            </w:pPr>
            <w:r w:rsidRPr="008B68A9">
              <w:rPr>
                <w:sz w:val="18"/>
                <w:szCs w:val="18"/>
              </w:rPr>
              <w:t>For as many as 68% they were also on Elderchoices programme.</w:t>
            </w:r>
          </w:p>
          <w:p w14:paraId="16D1AA9B" w14:textId="77777777" w:rsidR="008E4573" w:rsidRPr="008B68A9" w:rsidRDefault="008E4573" w:rsidP="00045396">
            <w:pPr>
              <w:spacing w:line="240" w:lineRule="auto"/>
              <w:rPr>
                <w:sz w:val="18"/>
                <w:szCs w:val="18"/>
              </w:rPr>
            </w:pPr>
          </w:p>
        </w:tc>
      </w:tr>
      <w:tr w:rsidR="008E4573" w:rsidRPr="008B68A9" w14:paraId="1DDD70C1" w14:textId="77777777" w:rsidTr="00045396">
        <w:tc>
          <w:tcPr>
            <w:tcW w:w="1922" w:type="dxa"/>
          </w:tcPr>
          <w:p w14:paraId="56EB4AAD" w14:textId="77777777" w:rsidR="008E4573" w:rsidRPr="008B68A9" w:rsidRDefault="008E4573" w:rsidP="00045396">
            <w:pPr>
              <w:spacing w:line="240" w:lineRule="auto"/>
              <w:rPr>
                <w:b/>
                <w:sz w:val="18"/>
                <w:szCs w:val="18"/>
              </w:rPr>
            </w:pPr>
          </w:p>
        </w:tc>
        <w:tc>
          <w:tcPr>
            <w:tcW w:w="1479" w:type="dxa"/>
          </w:tcPr>
          <w:p w14:paraId="1B9CA099" w14:textId="77777777" w:rsidR="008E4573" w:rsidRPr="008B68A9" w:rsidRDefault="008E4573" w:rsidP="00045396">
            <w:pPr>
              <w:spacing w:line="240" w:lineRule="auto"/>
              <w:rPr>
                <w:sz w:val="18"/>
                <w:szCs w:val="18"/>
              </w:rPr>
            </w:pPr>
          </w:p>
        </w:tc>
        <w:tc>
          <w:tcPr>
            <w:tcW w:w="1526" w:type="dxa"/>
          </w:tcPr>
          <w:p w14:paraId="62C9C793" w14:textId="77777777" w:rsidR="008E4573" w:rsidRPr="008B68A9" w:rsidRDefault="008E4573" w:rsidP="00045396">
            <w:pPr>
              <w:spacing w:line="240" w:lineRule="auto"/>
              <w:rPr>
                <w:sz w:val="18"/>
                <w:szCs w:val="18"/>
              </w:rPr>
            </w:pPr>
          </w:p>
        </w:tc>
        <w:tc>
          <w:tcPr>
            <w:tcW w:w="2127" w:type="dxa"/>
          </w:tcPr>
          <w:p w14:paraId="71FA42DE" w14:textId="77777777" w:rsidR="008E4573" w:rsidRPr="008B68A9" w:rsidRDefault="008E4573" w:rsidP="00045396">
            <w:pPr>
              <w:spacing w:line="240" w:lineRule="auto"/>
              <w:rPr>
                <w:sz w:val="18"/>
                <w:szCs w:val="18"/>
              </w:rPr>
            </w:pPr>
          </w:p>
        </w:tc>
        <w:tc>
          <w:tcPr>
            <w:tcW w:w="1701" w:type="dxa"/>
          </w:tcPr>
          <w:p w14:paraId="28E43124" w14:textId="77777777" w:rsidR="008E4573" w:rsidRPr="008B68A9" w:rsidRDefault="008E4573" w:rsidP="00045396">
            <w:pPr>
              <w:spacing w:line="240" w:lineRule="auto"/>
              <w:rPr>
                <w:sz w:val="18"/>
                <w:szCs w:val="18"/>
              </w:rPr>
            </w:pPr>
          </w:p>
        </w:tc>
        <w:tc>
          <w:tcPr>
            <w:tcW w:w="3445" w:type="dxa"/>
          </w:tcPr>
          <w:p w14:paraId="553DFA88" w14:textId="77777777" w:rsidR="008E4573" w:rsidRPr="008B68A9" w:rsidRDefault="008E4573" w:rsidP="00045396">
            <w:pPr>
              <w:spacing w:line="240" w:lineRule="auto"/>
              <w:rPr>
                <w:sz w:val="18"/>
                <w:szCs w:val="18"/>
              </w:rPr>
            </w:pPr>
          </w:p>
        </w:tc>
        <w:tc>
          <w:tcPr>
            <w:tcW w:w="2083" w:type="dxa"/>
          </w:tcPr>
          <w:p w14:paraId="45C1260C" w14:textId="77777777" w:rsidR="008E4573" w:rsidRPr="008B68A9" w:rsidRDefault="008E4573" w:rsidP="00045396">
            <w:pPr>
              <w:spacing w:line="240" w:lineRule="auto"/>
              <w:rPr>
                <w:sz w:val="18"/>
                <w:szCs w:val="18"/>
              </w:rPr>
            </w:pPr>
          </w:p>
        </w:tc>
      </w:tr>
      <w:tr w:rsidR="008E4573" w:rsidRPr="008B68A9" w14:paraId="7829EB97" w14:textId="77777777" w:rsidTr="00045396">
        <w:tc>
          <w:tcPr>
            <w:tcW w:w="1922" w:type="dxa"/>
          </w:tcPr>
          <w:p w14:paraId="533B6026" w14:textId="77777777" w:rsidR="008E4573" w:rsidRPr="008B68A9" w:rsidRDefault="008E4573" w:rsidP="00045396">
            <w:pPr>
              <w:spacing w:line="240" w:lineRule="auto"/>
              <w:rPr>
                <w:b/>
                <w:sz w:val="18"/>
                <w:szCs w:val="18"/>
              </w:rPr>
            </w:pPr>
            <w:r w:rsidRPr="008B68A9">
              <w:rPr>
                <w:b/>
                <w:sz w:val="18"/>
                <w:szCs w:val="18"/>
              </w:rPr>
              <w:t>Dale and Brown 2006</w:t>
            </w:r>
          </w:p>
        </w:tc>
        <w:tc>
          <w:tcPr>
            <w:tcW w:w="1479" w:type="dxa"/>
          </w:tcPr>
          <w:p w14:paraId="27E468F3" w14:textId="77777777" w:rsidR="008E4573" w:rsidRPr="008B68A9" w:rsidRDefault="008E4573" w:rsidP="00045396">
            <w:pPr>
              <w:spacing w:line="240" w:lineRule="auto"/>
              <w:rPr>
                <w:sz w:val="18"/>
                <w:szCs w:val="18"/>
              </w:rPr>
            </w:pPr>
            <w:r w:rsidRPr="008B68A9">
              <w:rPr>
                <w:sz w:val="18"/>
                <w:szCs w:val="18"/>
              </w:rPr>
              <w:t>Adults 18-64 with physical disability helped to live at home using PCS and SDS.</w:t>
            </w:r>
          </w:p>
        </w:tc>
        <w:tc>
          <w:tcPr>
            <w:tcW w:w="1526" w:type="dxa"/>
          </w:tcPr>
          <w:p w14:paraId="009AEF46" w14:textId="77777777" w:rsidR="008E4573" w:rsidRPr="008B68A9" w:rsidRDefault="008E4573" w:rsidP="00045396">
            <w:pPr>
              <w:spacing w:line="240" w:lineRule="auto"/>
              <w:rPr>
                <w:sz w:val="18"/>
                <w:szCs w:val="18"/>
              </w:rPr>
            </w:pPr>
            <w:r w:rsidRPr="008B68A9">
              <w:rPr>
                <w:sz w:val="18"/>
                <w:szCs w:val="18"/>
              </w:rPr>
              <w:t>2008</w:t>
            </w:r>
          </w:p>
          <w:p w14:paraId="52D9FE5C" w14:textId="77777777" w:rsidR="008E4573" w:rsidRPr="008B68A9" w:rsidRDefault="008E4573" w:rsidP="00045396">
            <w:pPr>
              <w:spacing w:line="240" w:lineRule="auto"/>
              <w:rPr>
                <w:sz w:val="18"/>
                <w:szCs w:val="18"/>
              </w:rPr>
            </w:pPr>
            <w:r w:rsidRPr="008B68A9">
              <w:rPr>
                <w:sz w:val="18"/>
                <w:szCs w:val="18"/>
              </w:rPr>
              <w:t>1004= intervention</w:t>
            </w:r>
          </w:p>
          <w:p w14:paraId="0FFFF687" w14:textId="77777777" w:rsidR="008E4573" w:rsidRPr="008B68A9" w:rsidRDefault="008E4573" w:rsidP="00045396">
            <w:pPr>
              <w:spacing w:line="240" w:lineRule="auto"/>
              <w:rPr>
                <w:sz w:val="18"/>
                <w:szCs w:val="18"/>
              </w:rPr>
            </w:pPr>
            <w:r w:rsidRPr="008B68A9">
              <w:rPr>
                <w:sz w:val="18"/>
                <w:szCs w:val="18"/>
              </w:rPr>
              <w:t>1004 = control.</w:t>
            </w:r>
          </w:p>
        </w:tc>
        <w:tc>
          <w:tcPr>
            <w:tcW w:w="2127" w:type="dxa"/>
          </w:tcPr>
          <w:p w14:paraId="69A15595" w14:textId="77777777" w:rsidR="008E4573" w:rsidRPr="008B68A9" w:rsidRDefault="008E4573" w:rsidP="00045396">
            <w:pPr>
              <w:spacing w:line="240" w:lineRule="auto"/>
              <w:rPr>
                <w:sz w:val="18"/>
                <w:szCs w:val="18"/>
              </w:rPr>
            </w:pPr>
            <w:r w:rsidRPr="008B68A9">
              <w:rPr>
                <w:sz w:val="18"/>
                <w:szCs w:val="18"/>
              </w:rPr>
              <w:t>Medicare and Medicaid claim expenditure data</w:t>
            </w:r>
          </w:p>
          <w:p w14:paraId="6D5D2C56" w14:textId="77777777" w:rsidR="008E4573" w:rsidRPr="008B68A9" w:rsidRDefault="008E4573" w:rsidP="00045396">
            <w:pPr>
              <w:spacing w:line="240" w:lineRule="auto"/>
              <w:rPr>
                <w:sz w:val="18"/>
                <w:szCs w:val="18"/>
              </w:rPr>
            </w:pPr>
            <w:r w:rsidRPr="008B68A9">
              <w:rPr>
                <w:sz w:val="18"/>
                <w:szCs w:val="18"/>
              </w:rPr>
              <w:t>Computer assisted telephone survey.</w:t>
            </w:r>
          </w:p>
        </w:tc>
        <w:tc>
          <w:tcPr>
            <w:tcW w:w="1701" w:type="dxa"/>
          </w:tcPr>
          <w:p w14:paraId="2A7ADF12" w14:textId="77777777" w:rsidR="008E4573" w:rsidRPr="008B68A9" w:rsidRDefault="008E4573" w:rsidP="00045396">
            <w:pPr>
              <w:spacing w:line="240" w:lineRule="auto"/>
              <w:rPr>
                <w:sz w:val="18"/>
                <w:szCs w:val="18"/>
              </w:rPr>
            </w:pPr>
            <w:r w:rsidRPr="008B68A9">
              <w:rPr>
                <w:sz w:val="18"/>
                <w:szCs w:val="18"/>
              </w:rPr>
              <w:t>Regression models for effect comparison from baseline data.</w:t>
            </w:r>
          </w:p>
        </w:tc>
        <w:tc>
          <w:tcPr>
            <w:tcW w:w="3445" w:type="dxa"/>
          </w:tcPr>
          <w:p w14:paraId="46CC8AE2" w14:textId="77777777" w:rsidR="008E4573" w:rsidRPr="008B68A9" w:rsidRDefault="008E4573" w:rsidP="00045396">
            <w:pPr>
              <w:spacing w:line="240" w:lineRule="auto"/>
              <w:rPr>
                <w:sz w:val="18"/>
                <w:szCs w:val="18"/>
              </w:rPr>
            </w:pPr>
            <w:r w:rsidRPr="008B68A9">
              <w:rPr>
                <w:sz w:val="18"/>
                <w:szCs w:val="18"/>
              </w:rPr>
              <w:t>Arkansas cash and counseling reduced nursing care bed usage. Comparison of self-directed personal care services affect Medicaid expenditure.</w:t>
            </w:r>
          </w:p>
        </w:tc>
        <w:tc>
          <w:tcPr>
            <w:tcW w:w="2083" w:type="dxa"/>
          </w:tcPr>
          <w:p w14:paraId="2FF8D5AC" w14:textId="77777777" w:rsidR="008E4573" w:rsidRPr="008B68A9" w:rsidRDefault="008E4573" w:rsidP="00045396">
            <w:pPr>
              <w:spacing w:line="240" w:lineRule="auto"/>
              <w:rPr>
                <w:sz w:val="18"/>
                <w:szCs w:val="18"/>
              </w:rPr>
            </w:pPr>
            <w:r w:rsidRPr="008B68A9">
              <w:rPr>
                <w:sz w:val="18"/>
                <w:szCs w:val="18"/>
              </w:rPr>
              <w:t xml:space="preserve">High </w:t>
            </w:r>
          </w:p>
        </w:tc>
      </w:tr>
      <w:tr w:rsidR="008E4573" w:rsidRPr="008B68A9" w14:paraId="2398933D" w14:textId="77777777" w:rsidTr="00045396">
        <w:tc>
          <w:tcPr>
            <w:tcW w:w="1922" w:type="dxa"/>
          </w:tcPr>
          <w:p w14:paraId="7B400453" w14:textId="77777777" w:rsidR="008E4573" w:rsidRPr="008B68A9" w:rsidRDefault="008E4573" w:rsidP="00045396">
            <w:pPr>
              <w:spacing w:line="240" w:lineRule="auto"/>
              <w:rPr>
                <w:b/>
                <w:sz w:val="18"/>
                <w:szCs w:val="18"/>
              </w:rPr>
            </w:pPr>
          </w:p>
        </w:tc>
        <w:tc>
          <w:tcPr>
            <w:tcW w:w="1479" w:type="dxa"/>
          </w:tcPr>
          <w:p w14:paraId="61F2E9BF" w14:textId="77777777" w:rsidR="008E4573" w:rsidRPr="008B68A9" w:rsidRDefault="008E4573" w:rsidP="00045396">
            <w:pPr>
              <w:spacing w:line="240" w:lineRule="auto"/>
              <w:rPr>
                <w:sz w:val="18"/>
                <w:szCs w:val="18"/>
              </w:rPr>
            </w:pPr>
          </w:p>
        </w:tc>
        <w:tc>
          <w:tcPr>
            <w:tcW w:w="1526" w:type="dxa"/>
          </w:tcPr>
          <w:p w14:paraId="3EFE3F7F" w14:textId="77777777" w:rsidR="008E4573" w:rsidRPr="008B68A9" w:rsidRDefault="008E4573" w:rsidP="00045396">
            <w:pPr>
              <w:spacing w:line="240" w:lineRule="auto"/>
              <w:rPr>
                <w:sz w:val="18"/>
                <w:szCs w:val="18"/>
              </w:rPr>
            </w:pPr>
          </w:p>
        </w:tc>
        <w:tc>
          <w:tcPr>
            <w:tcW w:w="2127" w:type="dxa"/>
          </w:tcPr>
          <w:p w14:paraId="3AD6AF52" w14:textId="77777777" w:rsidR="008E4573" w:rsidRPr="008B68A9" w:rsidRDefault="008E4573" w:rsidP="00045396">
            <w:pPr>
              <w:spacing w:line="240" w:lineRule="auto"/>
              <w:rPr>
                <w:sz w:val="18"/>
                <w:szCs w:val="18"/>
              </w:rPr>
            </w:pPr>
          </w:p>
        </w:tc>
        <w:tc>
          <w:tcPr>
            <w:tcW w:w="1701" w:type="dxa"/>
          </w:tcPr>
          <w:p w14:paraId="5910C1DE" w14:textId="77777777" w:rsidR="008E4573" w:rsidRPr="008B68A9" w:rsidRDefault="008E4573" w:rsidP="00045396">
            <w:pPr>
              <w:spacing w:line="240" w:lineRule="auto"/>
              <w:rPr>
                <w:sz w:val="18"/>
                <w:szCs w:val="18"/>
              </w:rPr>
            </w:pPr>
          </w:p>
        </w:tc>
        <w:tc>
          <w:tcPr>
            <w:tcW w:w="3445" w:type="dxa"/>
          </w:tcPr>
          <w:p w14:paraId="72EA3CC2" w14:textId="77777777" w:rsidR="008E4573" w:rsidRPr="008B68A9" w:rsidRDefault="008E4573" w:rsidP="00045396">
            <w:pPr>
              <w:spacing w:line="240" w:lineRule="auto"/>
              <w:rPr>
                <w:sz w:val="18"/>
                <w:szCs w:val="18"/>
              </w:rPr>
            </w:pPr>
          </w:p>
        </w:tc>
        <w:tc>
          <w:tcPr>
            <w:tcW w:w="2083" w:type="dxa"/>
          </w:tcPr>
          <w:p w14:paraId="1F29D9E3" w14:textId="77777777" w:rsidR="008E4573" w:rsidRPr="008B68A9" w:rsidRDefault="008E4573" w:rsidP="00045396">
            <w:pPr>
              <w:spacing w:line="240" w:lineRule="auto"/>
              <w:rPr>
                <w:sz w:val="18"/>
                <w:szCs w:val="18"/>
              </w:rPr>
            </w:pPr>
          </w:p>
        </w:tc>
      </w:tr>
      <w:tr w:rsidR="008E4573" w:rsidRPr="008B68A9" w14:paraId="7D4039A5" w14:textId="77777777" w:rsidTr="00045396">
        <w:tc>
          <w:tcPr>
            <w:tcW w:w="1922" w:type="dxa"/>
          </w:tcPr>
          <w:p w14:paraId="2F55405C" w14:textId="77777777" w:rsidR="008E4573" w:rsidRPr="008B68A9" w:rsidRDefault="008E4573" w:rsidP="00045396">
            <w:pPr>
              <w:spacing w:line="240" w:lineRule="auto"/>
              <w:rPr>
                <w:b/>
                <w:sz w:val="18"/>
                <w:szCs w:val="18"/>
              </w:rPr>
            </w:pPr>
            <w:r w:rsidRPr="008B68A9">
              <w:rPr>
                <w:b/>
                <w:sz w:val="18"/>
                <w:szCs w:val="18"/>
              </w:rPr>
              <w:t xml:space="preserve">Doty </w:t>
            </w:r>
            <w:r w:rsidRPr="008B68A9">
              <w:rPr>
                <w:b/>
                <w:i/>
                <w:sz w:val="18"/>
                <w:szCs w:val="18"/>
              </w:rPr>
              <w:t>et al.</w:t>
            </w:r>
            <w:r w:rsidRPr="008B68A9">
              <w:rPr>
                <w:b/>
                <w:sz w:val="18"/>
                <w:szCs w:val="18"/>
              </w:rPr>
              <w:t xml:space="preserve"> 2007</w:t>
            </w:r>
          </w:p>
        </w:tc>
        <w:tc>
          <w:tcPr>
            <w:tcW w:w="1479" w:type="dxa"/>
          </w:tcPr>
          <w:p w14:paraId="7492E1E9" w14:textId="77777777" w:rsidR="008E4573" w:rsidRPr="008B68A9" w:rsidRDefault="008E4573" w:rsidP="00045396">
            <w:pPr>
              <w:spacing w:line="240" w:lineRule="auto"/>
              <w:rPr>
                <w:sz w:val="18"/>
                <w:szCs w:val="18"/>
              </w:rPr>
            </w:pPr>
            <w:r w:rsidRPr="008B68A9">
              <w:rPr>
                <w:sz w:val="18"/>
                <w:szCs w:val="18"/>
              </w:rPr>
              <w:t>CCDE study design</w:t>
            </w:r>
          </w:p>
          <w:p w14:paraId="41F19557" w14:textId="77777777" w:rsidR="008E4573" w:rsidRPr="008B68A9" w:rsidRDefault="008E4573" w:rsidP="00045396">
            <w:pPr>
              <w:spacing w:line="240" w:lineRule="auto"/>
              <w:rPr>
                <w:sz w:val="18"/>
                <w:szCs w:val="18"/>
              </w:rPr>
            </w:pPr>
          </w:p>
        </w:tc>
        <w:tc>
          <w:tcPr>
            <w:tcW w:w="1526" w:type="dxa"/>
          </w:tcPr>
          <w:p w14:paraId="6BFB0172"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17736043" w14:textId="77777777" w:rsidR="008E4573" w:rsidRPr="008B68A9" w:rsidRDefault="008E4573" w:rsidP="00045396">
            <w:pPr>
              <w:spacing w:line="240" w:lineRule="auto"/>
              <w:rPr>
                <w:sz w:val="18"/>
                <w:szCs w:val="18"/>
              </w:rPr>
            </w:pPr>
            <w:r w:rsidRPr="008B68A9">
              <w:rPr>
                <w:sz w:val="18"/>
                <w:szCs w:val="18"/>
              </w:rPr>
              <w:t>Interview with CCDE management team</w:t>
            </w:r>
          </w:p>
        </w:tc>
        <w:tc>
          <w:tcPr>
            <w:tcW w:w="1701" w:type="dxa"/>
          </w:tcPr>
          <w:p w14:paraId="4040A8E8"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0B9C9976" w14:textId="77777777" w:rsidR="008E4573" w:rsidRPr="008B68A9" w:rsidRDefault="008E4573" w:rsidP="00045396">
            <w:pPr>
              <w:spacing w:line="240" w:lineRule="auto"/>
              <w:rPr>
                <w:sz w:val="18"/>
                <w:szCs w:val="18"/>
              </w:rPr>
            </w:pPr>
            <w:r w:rsidRPr="008B68A9">
              <w:rPr>
                <w:sz w:val="18"/>
                <w:szCs w:val="18"/>
              </w:rPr>
              <w:t>The CCDE is argued to be the forerunner of modern self-directed care, credited with changing Medicaid legislations and opening up the way for waivers.</w:t>
            </w:r>
          </w:p>
        </w:tc>
        <w:tc>
          <w:tcPr>
            <w:tcW w:w="2083" w:type="dxa"/>
          </w:tcPr>
          <w:p w14:paraId="11B7FACB" w14:textId="77777777" w:rsidR="008E4573" w:rsidRPr="008B68A9" w:rsidRDefault="008E4573" w:rsidP="00045396">
            <w:pPr>
              <w:spacing w:line="240" w:lineRule="auto"/>
              <w:rPr>
                <w:sz w:val="18"/>
                <w:szCs w:val="18"/>
              </w:rPr>
            </w:pPr>
            <w:r w:rsidRPr="008B68A9">
              <w:rPr>
                <w:sz w:val="18"/>
                <w:szCs w:val="18"/>
              </w:rPr>
              <w:t xml:space="preserve">Descriptive account of the construction of the CCDE. </w:t>
            </w:r>
          </w:p>
          <w:p w14:paraId="5A1CF6B1" w14:textId="77777777" w:rsidR="008E4573" w:rsidRPr="008B68A9" w:rsidRDefault="008E4573" w:rsidP="00045396">
            <w:pPr>
              <w:spacing w:line="240" w:lineRule="auto"/>
              <w:rPr>
                <w:sz w:val="18"/>
                <w:szCs w:val="18"/>
              </w:rPr>
            </w:pPr>
            <w:r w:rsidRPr="008B68A9">
              <w:rPr>
                <w:sz w:val="18"/>
                <w:szCs w:val="18"/>
              </w:rPr>
              <w:t>The fiscal intermediaries seen as lynchpin – support C&amp;C users and reassure IRS and federal funding no fraud.</w:t>
            </w:r>
          </w:p>
          <w:p w14:paraId="2430BFF1" w14:textId="77777777" w:rsidR="008E4573" w:rsidRPr="008B68A9" w:rsidRDefault="008E4573" w:rsidP="00045396">
            <w:pPr>
              <w:spacing w:line="240" w:lineRule="auto"/>
              <w:rPr>
                <w:sz w:val="18"/>
                <w:szCs w:val="18"/>
              </w:rPr>
            </w:pPr>
            <w:r w:rsidRPr="008B68A9">
              <w:rPr>
                <w:sz w:val="18"/>
                <w:szCs w:val="18"/>
              </w:rPr>
              <w:t>Consumers cite support workers as key.</w:t>
            </w:r>
          </w:p>
        </w:tc>
      </w:tr>
      <w:tr w:rsidR="008E4573" w:rsidRPr="008B68A9" w14:paraId="6D0C77D1" w14:textId="77777777" w:rsidTr="00045396">
        <w:tc>
          <w:tcPr>
            <w:tcW w:w="1922" w:type="dxa"/>
          </w:tcPr>
          <w:p w14:paraId="23F05884" w14:textId="77777777" w:rsidR="008E4573" w:rsidRPr="008B68A9" w:rsidRDefault="008E4573" w:rsidP="00045396">
            <w:pPr>
              <w:spacing w:line="240" w:lineRule="auto"/>
              <w:rPr>
                <w:b/>
                <w:sz w:val="18"/>
                <w:szCs w:val="18"/>
              </w:rPr>
            </w:pPr>
          </w:p>
        </w:tc>
        <w:tc>
          <w:tcPr>
            <w:tcW w:w="1479" w:type="dxa"/>
          </w:tcPr>
          <w:p w14:paraId="5680973E" w14:textId="77777777" w:rsidR="008E4573" w:rsidRPr="008B68A9" w:rsidRDefault="008E4573" w:rsidP="00045396">
            <w:pPr>
              <w:spacing w:line="240" w:lineRule="auto"/>
              <w:rPr>
                <w:sz w:val="18"/>
                <w:szCs w:val="18"/>
              </w:rPr>
            </w:pPr>
          </w:p>
        </w:tc>
        <w:tc>
          <w:tcPr>
            <w:tcW w:w="1526" w:type="dxa"/>
          </w:tcPr>
          <w:p w14:paraId="1E3716D1" w14:textId="77777777" w:rsidR="008E4573" w:rsidRPr="008B68A9" w:rsidRDefault="008E4573" w:rsidP="00045396">
            <w:pPr>
              <w:spacing w:line="240" w:lineRule="auto"/>
              <w:rPr>
                <w:sz w:val="18"/>
                <w:szCs w:val="18"/>
              </w:rPr>
            </w:pPr>
          </w:p>
        </w:tc>
        <w:tc>
          <w:tcPr>
            <w:tcW w:w="2127" w:type="dxa"/>
          </w:tcPr>
          <w:p w14:paraId="42731BFA" w14:textId="77777777" w:rsidR="008E4573" w:rsidRPr="008B68A9" w:rsidRDefault="008E4573" w:rsidP="00045396">
            <w:pPr>
              <w:spacing w:line="240" w:lineRule="auto"/>
              <w:rPr>
                <w:sz w:val="18"/>
                <w:szCs w:val="18"/>
              </w:rPr>
            </w:pPr>
          </w:p>
        </w:tc>
        <w:tc>
          <w:tcPr>
            <w:tcW w:w="1701" w:type="dxa"/>
          </w:tcPr>
          <w:p w14:paraId="55052DAC" w14:textId="77777777" w:rsidR="008E4573" w:rsidRPr="008B68A9" w:rsidRDefault="008E4573" w:rsidP="00045396">
            <w:pPr>
              <w:spacing w:line="240" w:lineRule="auto"/>
              <w:rPr>
                <w:sz w:val="18"/>
                <w:szCs w:val="18"/>
              </w:rPr>
            </w:pPr>
          </w:p>
        </w:tc>
        <w:tc>
          <w:tcPr>
            <w:tcW w:w="3445" w:type="dxa"/>
          </w:tcPr>
          <w:p w14:paraId="42B5EFE2" w14:textId="77777777" w:rsidR="008E4573" w:rsidRPr="008B68A9" w:rsidRDefault="008E4573" w:rsidP="00045396">
            <w:pPr>
              <w:spacing w:line="240" w:lineRule="auto"/>
              <w:rPr>
                <w:sz w:val="18"/>
                <w:szCs w:val="18"/>
              </w:rPr>
            </w:pPr>
          </w:p>
        </w:tc>
        <w:tc>
          <w:tcPr>
            <w:tcW w:w="2083" w:type="dxa"/>
          </w:tcPr>
          <w:p w14:paraId="58C0871E" w14:textId="77777777" w:rsidR="008E4573" w:rsidRPr="008B68A9" w:rsidRDefault="008E4573" w:rsidP="00045396">
            <w:pPr>
              <w:spacing w:line="240" w:lineRule="auto"/>
              <w:rPr>
                <w:sz w:val="18"/>
                <w:szCs w:val="18"/>
              </w:rPr>
            </w:pPr>
          </w:p>
        </w:tc>
      </w:tr>
      <w:tr w:rsidR="008E4573" w:rsidRPr="008B68A9" w14:paraId="0E862EA6" w14:textId="77777777" w:rsidTr="00045396">
        <w:tc>
          <w:tcPr>
            <w:tcW w:w="1922" w:type="dxa"/>
          </w:tcPr>
          <w:p w14:paraId="125D78AD" w14:textId="77777777" w:rsidR="008E4573" w:rsidRPr="008B68A9" w:rsidRDefault="008E4573" w:rsidP="00045396">
            <w:pPr>
              <w:spacing w:line="240" w:lineRule="auto"/>
              <w:rPr>
                <w:b/>
                <w:sz w:val="18"/>
                <w:szCs w:val="18"/>
              </w:rPr>
            </w:pPr>
            <w:r w:rsidRPr="008B68A9">
              <w:rPr>
                <w:b/>
                <w:sz w:val="18"/>
                <w:szCs w:val="18"/>
              </w:rPr>
              <w:t xml:space="preserve">Foster </w:t>
            </w:r>
            <w:r w:rsidRPr="008B68A9">
              <w:rPr>
                <w:b/>
                <w:i/>
                <w:sz w:val="18"/>
                <w:szCs w:val="18"/>
              </w:rPr>
              <w:t>et al</w:t>
            </w:r>
            <w:r w:rsidRPr="008B68A9">
              <w:rPr>
                <w:b/>
                <w:sz w:val="18"/>
                <w:szCs w:val="18"/>
              </w:rPr>
              <w:t>. 2003</w:t>
            </w:r>
          </w:p>
        </w:tc>
        <w:tc>
          <w:tcPr>
            <w:tcW w:w="1479" w:type="dxa"/>
          </w:tcPr>
          <w:p w14:paraId="26EB401E" w14:textId="77777777" w:rsidR="008E4573" w:rsidRPr="008B68A9" w:rsidRDefault="008E4573" w:rsidP="00045396">
            <w:pPr>
              <w:spacing w:line="240" w:lineRule="auto"/>
              <w:rPr>
                <w:sz w:val="18"/>
                <w:szCs w:val="18"/>
              </w:rPr>
            </w:pPr>
            <w:r w:rsidRPr="008B68A9">
              <w:rPr>
                <w:sz w:val="18"/>
                <w:szCs w:val="18"/>
              </w:rPr>
              <w:t>18-64 eligible for Medicaid home support.</w:t>
            </w:r>
          </w:p>
        </w:tc>
        <w:tc>
          <w:tcPr>
            <w:tcW w:w="1526" w:type="dxa"/>
          </w:tcPr>
          <w:p w14:paraId="2A078C60" w14:textId="77777777" w:rsidR="008E4573" w:rsidRPr="008B68A9" w:rsidRDefault="008E4573" w:rsidP="00045396">
            <w:pPr>
              <w:spacing w:line="240" w:lineRule="auto"/>
              <w:rPr>
                <w:sz w:val="18"/>
                <w:szCs w:val="18"/>
              </w:rPr>
            </w:pPr>
            <w:r w:rsidRPr="008B68A9">
              <w:rPr>
                <w:sz w:val="18"/>
                <w:szCs w:val="18"/>
              </w:rPr>
              <w:t>N=1739</w:t>
            </w:r>
          </w:p>
        </w:tc>
        <w:tc>
          <w:tcPr>
            <w:tcW w:w="2127" w:type="dxa"/>
          </w:tcPr>
          <w:p w14:paraId="7EA111AB" w14:textId="77777777" w:rsidR="008E4573" w:rsidRPr="008B68A9" w:rsidRDefault="008E4573" w:rsidP="00045396">
            <w:pPr>
              <w:spacing w:line="240" w:lineRule="auto"/>
              <w:rPr>
                <w:sz w:val="18"/>
                <w:szCs w:val="18"/>
              </w:rPr>
            </w:pPr>
            <w:r w:rsidRPr="008B68A9">
              <w:rPr>
                <w:sz w:val="18"/>
                <w:szCs w:val="18"/>
              </w:rPr>
              <w:t>Computer assisted telephone interviews sampling.</w:t>
            </w:r>
          </w:p>
          <w:p w14:paraId="042FC250" w14:textId="77777777" w:rsidR="008E4573" w:rsidRPr="008B68A9" w:rsidRDefault="008E4573" w:rsidP="00045396">
            <w:pPr>
              <w:spacing w:line="240" w:lineRule="auto"/>
              <w:rPr>
                <w:sz w:val="18"/>
                <w:szCs w:val="18"/>
              </w:rPr>
            </w:pPr>
            <w:r w:rsidRPr="008B68A9">
              <w:rPr>
                <w:sz w:val="18"/>
                <w:szCs w:val="18"/>
              </w:rPr>
              <w:t>Survey baseline and follow up at 9 months</w:t>
            </w:r>
          </w:p>
        </w:tc>
        <w:tc>
          <w:tcPr>
            <w:tcW w:w="1701" w:type="dxa"/>
          </w:tcPr>
          <w:p w14:paraId="373E2DD6" w14:textId="77777777" w:rsidR="008E4573" w:rsidRPr="008B68A9" w:rsidRDefault="008E4573" w:rsidP="00045396">
            <w:pPr>
              <w:spacing w:line="240" w:lineRule="auto"/>
              <w:rPr>
                <w:sz w:val="18"/>
                <w:szCs w:val="18"/>
              </w:rPr>
            </w:pPr>
            <w:r w:rsidRPr="008B68A9">
              <w:rPr>
                <w:sz w:val="18"/>
                <w:szCs w:val="18"/>
              </w:rPr>
              <w:t>Binary logit model to estimate programme impact.</w:t>
            </w:r>
          </w:p>
        </w:tc>
        <w:tc>
          <w:tcPr>
            <w:tcW w:w="3445" w:type="dxa"/>
          </w:tcPr>
          <w:p w14:paraId="67713C1D" w14:textId="77777777" w:rsidR="008E4573" w:rsidRPr="008B68A9" w:rsidRDefault="008E4573" w:rsidP="00045396">
            <w:pPr>
              <w:spacing w:line="240" w:lineRule="auto"/>
              <w:rPr>
                <w:sz w:val="18"/>
                <w:szCs w:val="18"/>
              </w:rPr>
            </w:pPr>
            <w:r w:rsidRPr="008B68A9">
              <w:rPr>
                <w:sz w:val="18"/>
                <w:szCs w:val="18"/>
              </w:rPr>
              <w:t xml:space="preserve">Cash and counselling group high satisfaction. Less likely to complain about carers. </w:t>
            </w:r>
          </w:p>
          <w:p w14:paraId="7E1C0869" w14:textId="77777777" w:rsidR="008E4573" w:rsidRPr="008B68A9" w:rsidRDefault="008E4573" w:rsidP="00045396">
            <w:pPr>
              <w:spacing w:line="240" w:lineRule="auto"/>
              <w:rPr>
                <w:sz w:val="18"/>
                <w:szCs w:val="18"/>
              </w:rPr>
            </w:pPr>
            <w:r w:rsidRPr="008B68A9">
              <w:rPr>
                <w:sz w:val="18"/>
                <w:szCs w:val="18"/>
              </w:rPr>
              <w:t>Small reductions in unmet need.</w:t>
            </w:r>
          </w:p>
        </w:tc>
        <w:tc>
          <w:tcPr>
            <w:tcW w:w="2083" w:type="dxa"/>
          </w:tcPr>
          <w:p w14:paraId="147BA938" w14:textId="77777777" w:rsidR="008E4573" w:rsidRPr="008B68A9" w:rsidRDefault="008E4573" w:rsidP="00045396">
            <w:pPr>
              <w:spacing w:line="240" w:lineRule="auto"/>
              <w:rPr>
                <w:sz w:val="18"/>
                <w:szCs w:val="18"/>
              </w:rPr>
            </w:pPr>
            <w:r w:rsidRPr="008B68A9">
              <w:rPr>
                <w:sz w:val="18"/>
                <w:szCs w:val="18"/>
              </w:rPr>
              <w:t>High reliance on proxy respondents (at 71% elderly and 29% non-elderly). Nearly half older respondents were co-</w:t>
            </w:r>
            <w:r w:rsidRPr="008B68A9">
              <w:rPr>
                <w:sz w:val="18"/>
                <w:szCs w:val="18"/>
              </w:rPr>
              <w:lastRenderedPageBreak/>
              <w:t>enrolled on an additional waiver programme during follow-up.</w:t>
            </w:r>
          </w:p>
          <w:p w14:paraId="67179398" w14:textId="77777777" w:rsidR="008E4573" w:rsidRPr="008B68A9" w:rsidRDefault="008E4573" w:rsidP="00045396">
            <w:pPr>
              <w:spacing w:line="240" w:lineRule="auto"/>
              <w:rPr>
                <w:sz w:val="18"/>
                <w:szCs w:val="18"/>
              </w:rPr>
            </w:pPr>
            <w:r w:rsidRPr="008B68A9">
              <w:rPr>
                <w:sz w:val="18"/>
                <w:szCs w:val="18"/>
              </w:rPr>
              <w:t>Nursing care support of some may impact health measures. Question re fidelity of effect.</w:t>
            </w:r>
          </w:p>
        </w:tc>
      </w:tr>
      <w:tr w:rsidR="008E4573" w:rsidRPr="008B68A9" w14:paraId="483BC7BD" w14:textId="77777777" w:rsidTr="00045396">
        <w:tc>
          <w:tcPr>
            <w:tcW w:w="1922" w:type="dxa"/>
          </w:tcPr>
          <w:p w14:paraId="4CB85685" w14:textId="77777777" w:rsidR="008E4573" w:rsidRPr="008B68A9" w:rsidRDefault="008E4573" w:rsidP="00045396">
            <w:pPr>
              <w:spacing w:line="240" w:lineRule="auto"/>
              <w:rPr>
                <w:b/>
                <w:sz w:val="18"/>
                <w:szCs w:val="18"/>
              </w:rPr>
            </w:pPr>
          </w:p>
        </w:tc>
        <w:tc>
          <w:tcPr>
            <w:tcW w:w="1479" w:type="dxa"/>
          </w:tcPr>
          <w:p w14:paraId="56DBF957" w14:textId="77777777" w:rsidR="008E4573" w:rsidRPr="008B68A9" w:rsidRDefault="008E4573" w:rsidP="00045396">
            <w:pPr>
              <w:spacing w:line="240" w:lineRule="auto"/>
              <w:rPr>
                <w:sz w:val="18"/>
                <w:szCs w:val="18"/>
              </w:rPr>
            </w:pPr>
          </w:p>
        </w:tc>
        <w:tc>
          <w:tcPr>
            <w:tcW w:w="1526" w:type="dxa"/>
          </w:tcPr>
          <w:p w14:paraId="4FF97451" w14:textId="77777777" w:rsidR="008E4573" w:rsidRPr="008B68A9" w:rsidRDefault="008E4573" w:rsidP="00045396">
            <w:pPr>
              <w:spacing w:line="240" w:lineRule="auto"/>
              <w:rPr>
                <w:sz w:val="18"/>
                <w:szCs w:val="18"/>
              </w:rPr>
            </w:pPr>
          </w:p>
        </w:tc>
        <w:tc>
          <w:tcPr>
            <w:tcW w:w="2127" w:type="dxa"/>
          </w:tcPr>
          <w:p w14:paraId="2FF02EFA" w14:textId="77777777" w:rsidR="008E4573" w:rsidRPr="008B68A9" w:rsidRDefault="008E4573" w:rsidP="00045396">
            <w:pPr>
              <w:spacing w:line="240" w:lineRule="auto"/>
              <w:rPr>
                <w:sz w:val="18"/>
                <w:szCs w:val="18"/>
              </w:rPr>
            </w:pPr>
          </w:p>
        </w:tc>
        <w:tc>
          <w:tcPr>
            <w:tcW w:w="1701" w:type="dxa"/>
          </w:tcPr>
          <w:p w14:paraId="2C4707B6" w14:textId="77777777" w:rsidR="008E4573" w:rsidRPr="008B68A9" w:rsidRDefault="008E4573" w:rsidP="00045396">
            <w:pPr>
              <w:spacing w:line="240" w:lineRule="auto"/>
              <w:rPr>
                <w:sz w:val="18"/>
                <w:szCs w:val="18"/>
              </w:rPr>
            </w:pPr>
          </w:p>
        </w:tc>
        <w:tc>
          <w:tcPr>
            <w:tcW w:w="3445" w:type="dxa"/>
          </w:tcPr>
          <w:p w14:paraId="3BFF9142" w14:textId="77777777" w:rsidR="008E4573" w:rsidRPr="008B68A9" w:rsidRDefault="008E4573" w:rsidP="00045396">
            <w:pPr>
              <w:spacing w:line="240" w:lineRule="auto"/>
              <w:rPr>
                <w:sz w:val="18"/>
                <w:szCs w:val="18"/>
              </w:rPr>
            </w:pPr>
          </w:p>
        </w:tc>
        <w:tc>
          <w:tcPr>
            <w:tcW w:w="2083" w:type="dxa"/>
          </w:tcPr>
          <w:p w14:paraId="56745709" w14:textId="77777777" w:rsidR="008E4573" w:rsidRPr="008B68A9" w:rsidRDefault="008E4573" w:rsidP="00045396">
            <w:pPr>
              <w:spacing w:line="240" w:lineRule="auto"/>
              <w:rPr>
                <w:sz w:val="18"/>
                <w:szCs w:val="18"/>
              </w:rPr>
            </w:pPr>
          </w:p>
        </w:tc>
      </w:tr>
      <w:tr w:rsidR="008E4573" w:rsidRPr="008B68A9" w14:paraId="39EBB3F0" w14:textId="77777777" w:rsidTr="00045396">
        <w:tc>
          <w:tcPr>
            <w:tcW w:w="1922" w:type="dxa"/>
          </w:tcPr>
          <w:p w14:paraId="386A84D6" w14:textId="77777777" w:rsidR="008E4573" w:rsidRPr="008B68A9" w:rsidRDefault="008E4573" w:rsidP="00045396">
            <w:pPr>
              <w:spacing w:line="240" w:lineRule="auto"/>
              <w:rPr>
                <w:b/>
                <w:sz w:val="18"/>
                <w:szCs w:val="18"/>
              </w:rPr>
            </w:pPr>
            <w:r w:rsidRPr="008B68A9">
              <w:rPr>
                <w:b/>
                <w:sz w:val="18"/>
                <w:szCs w:val="18"/>
              </w:rPr>
              <w:t xml:space="preserve">Frank </w:t>
            </w:r>
            <w:r w:rsidRPr="008B68A9">
              <w:rPr>
                <w:b/>
                <w:i/>
                <w:sz w:val="18"/>
                <w:szCs w:val="18"/>
              </w:rPr>
              <w:t>et al.</w:t>
            </w:r>
            <w:r w:rsidRPr="008B68A9">
              <w:rPr>
                <w:b/>
                <w:sz w:val="18"/>
                <w:szCs w:val="18"/>
              </w:rPr>
              <w:t xml:space="preserve"> 2003</w:t>
            </w:r>
          </w:p>
        </w:tc>
        <w:tc>
          <w:tcPr>
            <w:tcW w:w="1479" w:type="dxa"/>
          </w:tcPr>
          <w:p w14:paraId="6976E426" w14:textId="77777777" w:rsidR="008E4573" w:rsidRPr="008B68A9" w:rsidRDefault="008E4573" w:rsidP="00045396">
            <w:pPr>
              <w:spacing w:line="240" w:lineRule="auto"/>
              <w:rPr>
                <w:sz w:val="18"/>
                <w:szCs w:val="18"/>
              </w:rPr>
            </w:pPr>
            <w:r w:rsidRPr="008B68A9">
              <w:rPr>
                <w:sz w:val="18"/>
                <w:szCs w:val="18"/>
              </w:rPr>
              <w:t>n/a</w:t>
            </w:r>
          </w:p>
          <w:p w14:paraId="111B80EA" w14:textId="77777777" w:rsidR="008E4573" w:rsidRPr="008B68A9" w:rsidRDefault="008E4573" w:rsidP="00045396">
            <w:pPr>
              <w:spacing w:line="240" w:lineRule="auto"/>
              <w:rPr>
                <w:sz w:val="18"/>
                <w:szCs w:val="18"/>
              </w:rPr>
            </w:pPr>
          </w:p>
        </w:tc>
        <w:tc>
          <w:tcPr>
            <w:tcW w:w="1526" w:type="dxa"/>
          </w:tcPr>
          <w:p w14:paraId="672D5531"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512A1DE1" w14:textId="77777777" w:rsidR="008E4573" w:rsidRPr="008B68A9" w:rsidRDefault="008E4573" w:rsidP="00045396">
            <w:pPr>
              <w:spacing w:line="240" w:lineRule="auto"/>
              <w:rPr>
                <w:sz w:val="18"/>
                <w:szCs w:val="18"/>
              </w:rPr>
            </w:pPr>
            <w:r w:rsidRPr="008B68A9">
              <w:rPr>
                <w:sz w:val="18"/>
                <w:szCs w:val="18"/>
              </w:rPr>
              <w:t>Documentary review</w:t>
            </w:r>
          </w:p>
        </w:tc>
        <w:tc>
          <w:tcPr>
            <w:tcW w:w="1701" w:type="dxa"/>
          </w:tcPr>
          <w:p w14:paraId="57C91BDA" w14:textId="77777777" w:rsidR="008E4573" w:rsidRPr="008B68A9" w:rsidRDefault="008E4573" w:rsidP="00045396">
            <w:pPr>
              <w:spacing w:line="240" w:lineRule="auto"/>
              <w:rPr>
                <w:sz w:val="18"/>
                <w:szCs w:val="18"/>
              </w:rPr>
            </w:pPr>
            <w:r w:rsidRPr="008B68A9">
              <w:rPr>
                <w:sz w:val="18"/>
                <w:szCs w:val="18"/>
              </w:rPr>
              <w:t>n/a</w:t>
            </w:r>
          </w:p>
        </w:tc>
        <w:tc>
          <w:tcPr>
            <w:tcW w:w="3445" w:type="dxa"/>
          </w:tcPr>
          <w:p w14:paraId="593E4F3D" w14:textId="77777777" w:rsidR="008E4573" w:rsidRPr="008B68A9" w:rsidRDefault="008E4573" w:rsidP="00045396">
            <w:pPr>
              <w:spacing w:line="240" w:lineRule="auto"/>
              <w:rPr>
                <w:sz w:val="18"/>
                <w:szCs w:val="18"/>
              </w:rPr>
            </w:pPr>
            <w:r w:rsidRPr="008B68A9">
              <w:rPr>
                <w:sz w:val="18"/>
                <w:szCs w:val="18"/>
              </w:rPr>
              <w:t>Medicare funding reductions argues a diminished role for state agencies and growth in user and informal.</w:t>
            </w:r>
          </w:p>
        </w:tc>
        <w:tc>
          <w:tcPr>
            <w:tcW w:w="2083" w:type="dxa"/>
          </w:tcPr>
          <w:p w14:paraId="4672B738" w14:textId="77777777" w:rsidR="008E4573" w:rsidRPr="008B68A9" w:rsidRDefault="008E4573" w:rsidP="00045396">
            <w:pPr>
              <w:spacing w:line="240" w:lineRule="auto"/>
              <w:rPr>
                <w:sz w:val="18"/>
                <w:szCs w:val="18"/>
              </w:rPr>
            </w:pPr>
            <w:r w:rsidRPr="008B68A9">
              <w:rPr>
                <w:sz w:val="18"/>
                <w:szCs w:val="18"/>
              </w:rPr>
              <w:t>Well referenced account of Medicare and self-direction.</w:t>
            </w:r>
          </w:p>
        </w:tc>
      </w:tr>
      <w:tr w:rsidR="008E4573" w:rsidRPr="008B68A9" w14:paraId="287A0D23" w14:textId="77777777" w:rsidTr="00045396">
        <w:tc>
          <w:tcPr>
            <w:tcW w:w="1922" w:type="dxa"/>
          </w:tcPr>
          <w:p w14:paraId="2262DACD" w14:textId="77777777" w:rsidR="008E4573" w:rsidRPr="008B68A9" w:rsidRDefault="008E4573" w:rsidP="00045396">
            <w:pPr>
              <w:spacing w:line="240" w:lineRule="auto"/>
              <w:rPr>
                <w:b/>
                <w:sz w:val="18"/>
                <w:szCs w:val="18"/>
              </w:rPr>
            </w:pPr>
          </w:p>
        </w:tc>
        <w:tc>
          <w:tcPr>
            <w:tcW w:w="1479" w:type="dxa"/>
          </w:tcPr>
          <w:p w14:paraId="4570B16E" w14:textId="77777777" w:rsidR="008E4573" w:rsidRPr="008B68A9" w:rsidRDefault="008E4573" w:rsidP="00045396">
            <w:pPr>
              <w:spacing w:line="240" w:lineRule="auto"/>
              <w:rPr>
                <w:sz w:val="18"/>
                <w:szCs w:val="18"/>
              </w:rPr>
            </w:pPr>
          </w:p>
        </w:tc>
        <w:tc>
          <w:tcPr>
            <w:tcW w:w="1526" w:type="dxa"/>
          </w:tcPr>
          <w:p w14:paraId="0F53A354" w14:textId="77777777" w:rsidR="008E4573" w:rsidRPr="008B68A9" w:rsidRDefault="008E4573" w:rsidP="00045396">
            <w:pPr>
              <w:spacing w:line="240" w:lineRule="auto"/>
              <w:rPr>
                <w:sz w:val="18"/>
                <w:szCs w:val="18"/>
              </w:rPr>
            </w:pPr>
          </w:p>
        </w:tc>
        <w:tc>
          <w:tcPr>
            <w:tcW w:w="2127" w:type="dxa"/>
          </w:tcPr>
          <w:p w14:paraId="16AD833E" w14:textId="77777777" w:rsidR="008E4573" w:rsidRPr="008B68A9" w:rsidRDefault="008E4573" w:rsidP="00045396">
            <w:pPr>
              <w:spacing w:line="240" w:lineRule="auto"/>
              <w:rPr>
                <w:sz w:val="18"/>
                <w:szCs w:val="18"/>
              </w:rPr>
            </w:pPr>
          </w:p>
        </w:tc>
        <w:tc>
          <w:tcPr>
            <w:tcW w:w="1701" w:type="dxa"/>
          </w:tcPr>
          <w:p w14:paraId="19909E11" w14:textId="77777777" w:rsidR="008E4573" w:rsidRPr="008B68A9" w:rsidRDefault="008E4573" w:rsidP="00045396">
            <w:pPr>
              <w:spacing w:line="240" w:lineRule="auto"/>
              <w:rPr>
                <w:sz w:val="18"/>
                <w:szCs w:val="18"/>
              </w:rPr>
            </w:pPr>
          </w:p>
        </w:tc>
        <w:tc>
          <w:tcPr>
            <w:tcW w:w="3445" w:type="dxa"/>
          </w:tcPr>
          <w:p w14:paraId="5C0CC306" w14:textId="77777777" w:rsidR="008E4573" w:rsidRPr="008B68A9" w:rsidRDefault="008E4573" w:rsidP="00045396">
            <w:pPr>
              <w:spacing w:line="240" w:lineRule="auto"/>
              <w:rPr>
                <w:sz w:val="18"/>
                <w:szCs w:val="18"/>
              </w:rPr>
            </w:pPr>
          </w:p>
        </w:tc>
        <w:tc>
          <w:tcPr>
            <w:tcW w:w="2083" w:type="dxa"/>
          </w:tcPr>
          <w:p w14:paraId="70A296A4" w14:textId="77777777" w:rsidR="008E4573" w:rsidRPr="008B68A9" w:rsidRDefault="008E4573" w:rsidP="00045396">
            <w:pPr>
              <w:spacing w:line="240" w:lineRule="auto"/>
              <w:rPr>
                <w:sz w:val="18"/>
                <w:szCs w:val="18"/>
              </w:rPr>
            </w:pPr>
          </w:p>
        </w:tc>
      </w:tr>
      <w:tr w:rsidR="008E4573" w:rsidRPr="008B68A9" w14:paraId="699151BB" w14:textId="77777777" w:rsidTr="00045396">
        <w:tc>
          <w:tcPr>
            <w:tcW w:w="1922" w:type="dxa"/>
          </w:tcPr>
          <w:p w14:paraId="6D56BF6B" w14:textId="77777777" w:rsidR="008E4573" w:rsidRPr="008B68A9" w:rsidRDefault="008E4573" w:rsidP="00045396">
            <w:pPr>
              <w:spacing w:line="240" w:lineRule="auto"/>
              <w:rPr>
                <w:b/>
                <w:sz w:val="18"/>
                <w:szCs w:val="18"/>
              </w:rPr>
            </w:pPr>
            <w:r w:rsidRPr="008B68A9">
              <w:rPr>
                <w:b/>
                <w:sz w:val="18"/>
                <w:szCs w:val="18"/>
              </w:rPr>
              <w:t xml:space="preserve">Freidman </w:t>
            </w:r>
            <w:r w:rsidRPr="008B68A9">
              <w:rPr>
                <w:b/>
                <w:i/>
                <w:sz w:val="18"/>
                <w:szCs w:val="18"/>
              </w:rPr>
              <w:t>et al.</w:t>
            </w:r>
            <w:r w:rsidRPr="008B68A9">
              <w:rPr>
                <w:b/>
                <w:sz w:val="18"/>
                <w:szCs w:val="18"/>
              </w:rPr>
              <w:t xml:space="preserve"> 2015</w:t>
            </w:r>
          </w:p>
        </w:tc>
        <w:tc>
          <w:tcPr>
            <w:tcW w:w="1479" w:type="dxa"/>
          </w:tcPr>
          <w:p w14:paraId="33FA658E" w14:textId="77777777" w:rsidR="008E4573" w:rsidRPr="008B68A9" w:rsidRDefault="008E4573" w:rsidP="00045396">
            <w:pPr>
              <w:spacing w:line="240" w:lineRule="auto"/>
              <w:rPr>
                <w:sz w:val="18"/>
                <w:szCs w:val="18"/>
              </w:rPr>
            </w:pPr>
            <w:r w:rsidRPr="008B68A9">
              <w:rPr>
                <w:sz w:val="18"/>
                <w:szCs w:val="18"/>
              </w:rPr>
              <w:t>Home care spending in SDC and older adults with depression.</w:t>
            </w:r>
          </w:p>
        </w:tc>
        <w:tc>
          <w:tcPr>
            <w:tcW w:w="1526" w:type="dxa"/>
          </w:tcPr>
          <w:p w14:paraId="2816D1D4" w14:textId="77777777" w:rsidR="008E4573" w:rsidRPr="008B68A9" w:rsidRDefault="008E4573" w:rsidP="00045396">
            <w:pPr>
              <w:spacing w:line="240" w:lineRule="auto"/>
              <w:rPr>
                <w:sz w:val="18"/>
                <w:szCs w:val="18"/>
              </w:rPr>
            </w:pPr>
            <w:r w:rsidRPr="008B68A9">
              <w:rPr>
                <w:sz w:val="18"/>
                <w:szCs w:val="18"/>
              </w:rPr>
              <w:t>At baseline n=754</w:t>
            </w:r>
          </w:p>
        </w:tc>
        <w:tc>
          <w:tcPr>
            <w:tcW w:w="2127" w:type="dxa"/>
          </w:tcPr>
          <w:p w14:paraId="0E7C724F" w14:textId="77777777" w:rsidR="008E4573" w:rsidRPr="008B68A9" w:rsidRDefault="008E4573" w:rsidP="00045396">
            <w:pPr>
              <w:spacing w:line="240" w:lineRule="auto"/>
              <w:rPr>
                <w:sz w:val="18"/>
                <w:szCs w:val="18"/>
              </w:rPr>
            </w:pPr>
            <w:r w:rsidRPr="008B68A9">
              <w:rPr>
                <w:sz w:val="18"/>
                <w:szCs w:val="18"/>
              </w:rPr>
              <w:t>Baseline data from interview.</w:t>
            </w:r>
          </w:p>
          <w:p w14:paraId="5739EE54" w14:textId="77777777" w:rsidR="008E4573" w:rsidRPr="008B68A9" w:rsidRDefault="008E4573" w:rsidP="00045396">
            <w:pPr>
              <w:spacing w:line="240" w:lineRule="auto"/>
              <w:rPr>
                <w:sz w:val="18"/>
                <w:szCs w:val="18"/>
              </w:rPr>
            </w:pPr>
            <w:r w:rsidRPr="008B68A9">
              <w:rPr>
                <w:sz w:val="18"/>
                <w:szCs w:val="18"/>
              </w:rPr>
              <w:t>Secondary data extrapolated from spend pattern receipts.</w:t>
            </w:r>
          </w:p>
        </w:tc>
        <w:tc>
          <w:tcPr>
            <w:tcW w:w="1701" w:type="dxa"/>
          </w:tcPr>
          <w:p w14:paraId="6478FE1B" w14:textId="77777777" w:rsidR="008E4573" w:rsidRPr="008B68A9" w:rsidRDefault="008E4573" w:rsidP="00045396">
            <w:pPr>
              <w:spacing w:line="240" w:lineRule="auto"/>
              <w:rPr>
                <w:sz w:val="18"/>
                <w:szCs w:val="18"/>
              </w:rPr>
            </w:pPr>
            <w:r w:rsidRPr="008B68A9">
              <w:rPr>
                <w:sz w:val="18"/>
                <w:szCs w:val="18"/>
              </w:rPr>
              <w:t xml:space="preserve">Logic regression, </w:t>
            </w:r>
          </w:p>
          <w:p w14:paraId="10B939BD" w14:textId="77777777" w:rsidR="008E4573" w:rsidRPr="008B68A9" w:rsidRDefault="008E4573" w:rsidP="00045396">
            <w:pPr>
              <w:spacing w:line="240" w:lineRule="auto"/>
              <w:rPr>
                <w:sz w:val="18"/>
                <w:szCs w:val="18"/>
              </w:rPr>
            </w:pPr>
            <w:r w:rsidRPr="008B68A9">
              <w:rPr>
                <w:sz w:val="18"/>
                <w:szCs w:val="18"/>
              </w:rPr>
              <w:t>Resampling (bootstrapping)</w:t>
            </w:r>
          </w:p>
        </w:tc>
        <w:tc>
          <w:tcPr>
            <w:tcW w:w="3445" w:type="dxa"/>
          </w:tcPr>
          <w:p w14:paraId="2CE8B8AA" w14:textId="77777777" w:rsidR="008E4573" w:rsidRPr="008B68A9" w:rsidRDefault="008E4573" w:rsidP="00045396">
            <w:pPr>
              <w:spacing w:line="240" w:lineRule="auto"/>
              <w:rPr>
                <w:sz w:val="18"/>
                <w:szCs w:val="18"/>
              </w:rPr>
            </w:pPr>
            <w:r w:rsidRPr="008B68A9">
              <w:rPr>
                <w:sz w:val="18"/>
                <w:szCs w:val="18"/>
              </w:rPr>
              <w:t>17% of voucher group were said to have major depression.</w:t>
            </w:r>
          </w:p>
          <w:p w14:paraId="770123A7" w14:textId="77777777" w:rsidR="008E4573" w:rsidRPr="008B68A9" w:rsidRDefault="008E4573" w:rsidP="00045396">
            <w:pPr>
              <w:spacing w:line="240" w:lineRule="auto"/>
              <w:rPr>
                <w:sz w:val="18"/>
                <w:szCs w:val="18"/>
              </w:rPr>
            </w:pPr>
            <w:r w:rsidRPr="008B68A9">
              <w:rPr>
                <w:sz w:val="18"/>
                <w:szCs w:val="18"/>
              </w:rPr>
              <w:t>‘…average benefit claims for in-home workers were about 30% lower for depressed persons who used the benefit’ (p. 100). However, environmental spend for this category was higher.</w:t>
            </w:r>
          </w:p>
          <w:p w14:paraId="01C1ABF7" w14:textId="77777777" w:rsidR="008E4573" w:rsidRPr="008B68A9" w:rsidRDefault="008E4573" w:rsidP="00045396">
            <w:pPr>
              <w:spacing w:line="240" w:lineRule="auto"/>
              <w:rPr>
                <w:sz w:val="18"/>
                <w:szCs w:val="18"/>
              </w:rPr>
            </w:pPr>
            <w:r w:rsidRPr="008B68A9">
              <w:rPr>
                <w:sz w:val="18"/>
                <w:szCs w:val="18"/>
              </w:rPr>
              <w:t>Voucher specialist allocated to voucher group – not broker, not supporting development of plan – but advising on 8 class of redeemable expenditure.</w:t>
            </w:r>
          </w:p>
        </w:tc>
        <w:tc>
          <w:tcPr>
            <w:tcW w:w="2083" w:type="dxa"/>
          </w:tcPr>
          <w:p w14:paraId="7DEEE497" w14:textId="77777777" w:rsidR="008E4573" w:rsidRPr="008B68A9" w:rsidRDefault="008E4573" w:rsidP="00045396">
            <w:pPr>
              <w:spacing w:line="240" w:lineRule="auto"/>
              <w:rPr>
                <w:sz w:val="18"/>
                <w:szCs w:val="18"/>
              </w:rPr>
            </w:pPr>
            <w:r w:rsidRPr="008B68A9">
              <w:rPr>
                <w:sz w:val="18"/>
                <w:szCs w:val="18"/>
              </w:rPr>
              <w:t>Unclear whether a reanalysis or fresh research.</w:t>
            </w:r>
          </w:p>
          <w:p w14:paraId="50C46819" w14:textId="77777777" w:rsidR="008E4573" w:rsidRPr="008B68A9" w:rsidRDefault="008E4573" w:rsidP="00045396">
            <w:pPr>
              <w:spacing w:line="240" w:lineRule="auto"/>
              <w:rPr>
                <w:sz w:val="18"/>
                <w:szCs w:val="18"/>
              </w:rPr>
            </w:pPr>
            <w:r w:rsidRPr="008B68A9">
              <w:rPr>
                <w:sz w:val="18"/>
                <w:szCs w:val="18"/>
              </w:rPr>
              <w:t>Cites 26% sample with cognitive impairment.</w:t>
            </w:r>
          </w:p>
          <w:p w14:paraId="19DA5F93" w14:textId="77777777" w:rsidR="008E4573" w:rsidRPr="008B68A9" w:rsidRDefault="008E4573" w:rsidP="00045396">
            <w:pPr>
              <w:spacing w:line="240" w:lineRule="auto"/>
              <w:rPr>
                <w:sz w:val="18"/>
                <w:szCs w:val="18"/>
              </w:rPr>
            </w:pPr>
            <w:r w:rsidRPr="008B68A9">
              <w:rPr>
                <w:sz w:val="18"/>
                <w:szCs w:val="18"/>
              </w:rPr>
              <w:t>Did not consider the variable that low mood may result in withdrawal from social interaction (low spend on carer), but environmental spend up.</w:t>
            </w:r>
          </w:p>
        </w:tc>
      </w:tr>
      <w:tr w:rsidR="008E4573" w:rsidRPr="008B68A9" w14:paraId="58FB675A" w14:textId="77777777" w:rsidTr="00045396">
        <w:tc>
          <w:tcPr>
            <w:tcW w:w="1922" w:type="dxa"/>
          </w:tcPr>
          <w:p w14:paraId="06F97024" w14:textId="77777777" w:rsidR="008E4573" w:rsidRPr="008B68A9" w:rsidRDefault="008E4573" w:rsidP="00045396">
            <w:pPr>
              <w:spacing w:line="240" w:lineRule="auto"/>
              <w:rPr>
                <w:b/>
                <w:color w:val="000000"/>
                <w:sz w:val="18"/>
                <w:szCs w:val="18"/>
              </w:rPr>
            </w:pPr>
          </w:p>
        </w:tc>
        <w:tc>
          <w:tcPr>
            <w:tcW w:w="1479" w:type="dxa"/>
          </w:tcPr>
          <w:p w14:paraId="2A4FDC90" w14:textId="77777777" w:rsidR="008E4573" w:rsidRPr="008B68A9" w:rsidRDefault="008E4573" w:rsidP="00045396">
            <w:pPr>
              <w:spacing w:line="240" w:lineRule="auto"/>
              <w:rPr>
                <w:sz w:val="18"/>
                <w:szCs w:val="18"/>
              </w:rPr>
            </w:pPr>
          </w:p>
        </w:tc>
        <w:tc>
          <w:tcPr>
            <w:tcW w:w="1526" w:type="dxa"/>
          </w:tcPr>
          <w:p w14:paraId="54CD3EBA" w14:textId="77777777" w:rsidR="008E4573" w:rsidRPr="008B68A9" w:rsidRDefault="008E4573" w:rsidP="00045396">
            <w:pPr>
              <w:spacing w:line="240" w:lineRule="auto"/>
              <w:rPr>
                <w:sz w:val="18"/>
                <w:szCs w:val="18"/>
              </w:rPr>
            </w:pPr>
          </w:p>
        </w:tc>
        <w:tc>
          <w:tcPr>
            <w:tcW w:w="2127" w:type="dxa"/>
          </w:tcPr>
          <w:p w14:paraId="60EC4B2C" w14:textId="77777777" w:rsidR="008E4573" w:rsidRPr="008B68A9" w:rsidRDefault="008E4573" w:rsidP="00045396">
            <w:pPr>
              <w:spacing w:line="240" w:lineRule="auto"/>
              <w:rPr>
                <w:sz w:val="18"/>
                <w:szCs w:val="18"/>
              </w:rPr>
            </w:pPr>
          </w:p>
        </w:tc>
        <w:tc>
          <w:tcPr>
            <w:tcW w:w="1701" w:type="dxa"/>
          </w:tcPr>
          <w:p w14:paraId="640CBC83" w14:textId="77777777" w:rsidR="008E4573" w:rsidRPr="008B68A9" w:rsidRDefault="008E4573" w:rsidP="00045396">
            <w:pPr>
              <w:spacing w:line="240" w:lineRule="auto"/>
              <w:rPr>
                <w:sz w:val="18"/>
                <w:szCs w:val="18"/>
              </w:rPr>
            </w:pPr>
          </w:p>
        </w:tc>
        <w:tc>
          <w:tcPr>
            <w:tcW w:w="3445" w:type="dxa"/>
          </w:tcPr>
          <w:p w14:paraId="57A8CC26" w14:textId="77777777" w:rsidR="008E4573" w:rsidRPr="008B68A9" w:rsidRDefault="008E4573" w:rsidP="00045396">
            <w:pPr>
              <w:spacing w:line="240" w:lineRule="auto"/>
              <w:rPr>
                <w:sz w:val="18"/>
                <w:szCs w:val="18"/>
              </w:rPr>
            </w:pPr>
          </w:p>
        </w:tc>
        <w:tc>
          <w:tcPr>
            <w:tcW w:w="2083" w:type="dxa"/>
          </w:tcPr>
          <w:p w14:paraId="01ACB07D" w14:textId="77777777" w:rsidR="008E4573" w:rsidRPr="008B68A9" w:rsidRDefault="008E4573" w:rsidP="00045396">
            <w:pPr>
              <w:spacing w:line="240" w:lineRule="auto"/>
              <w:rPr>
                <w:sz w:val="18"/>
                <w:szCs w:val="18"/>
              </w:rPr>
            </w:pPr>
          </w:p>
        </w:tc>
      </w:tr>
      <w:tr w:rsidR="008E4573" w:rsidRPr="008B68A9" w14:paraId="66A56F3C" w14:textId="77777777" w:rsidTr="00045396">
        <w:tc>
          <w:tcPr>
            <w:tcW w:w="1922" w:type="dxa"/>
          </w:tcPr>
          <w:p w14:paraId="3FB8CD87" w14:textId="77777777" w:rsidR="008E4573" w:rsidRPr="008B68A9" w:rsidRDefault="008E4573" w:rsidP="00045396">
            <w:pPr>
              <w:spacing w:line="240" w:lineRule="auto"/>
              <w:rPr>
                <w:b/>
                <w:sz w:val="18"/>
                <w:szCs w:val="18"/>
              </w:rPr>
            </w:pPr>
            <w:r w:rsidRPr="008B68A9">
              <w:rPr>
                <w:b/>
                <w:sz w:val="18"/>
                <w:szCs w:val="18"/>
              </w:rPr>
              <w:t xml:space="preserve">Mahoney </w:t>
            </w:r>
            <w:r w:rsidRPr="008B68A9">
              <w:rPr>
                <w:b/>
                <w:i/>
                <w:sz w:val="18"/>
                <w:szCs w:val="18"/>
              </w:rPr>
              <w:t>et al.</w:t>
            </w:r>
            <w:r w:rsidRPr="008B68A9">
              <w:rPr>
                <w:b/>
                <w:sz w:val="18"/>
                <w:szCs w:val="18"/>
              </w:rPr>
              <w:t xml:space="preserve"> 2005</w:t>
            </w:r>
          </w:p>
        </w:tc>
        <w:tc>
          <w:tcPr>
            <w:tcW w:w="1479" w:type="dxa"/>
          </w:tcPr>
          <w:p w14:paraId="2FB178C1" w14:textId="77777777" w:rsidR="008E4573" w:rsidRPr="008B68A9" w:rsidRDefault="008E4573" w:rsidP="00045396">
            <w:pPr>
              <w:spacing w:line="240" w:lineRule="auto"/>
              <w:rPr>
                <w:sz w:val="18"/>
                <w:szCs w:val="18"/>
              </w:rPr>
            </w:pPr>
            <w:r w:rsidRPr="008B68A9">
              <w:rPr>
                <w:sz w:val="18"/>
                <w:szCs w:val="18"/>
              </w:rPr>
              <w:t>Cash and Counseling demonstration Evaluation sites Medicaid beneficiaries</w:t>
            </w:r>
          </w:p>
        </w:tc>
        <w:tc>
          <w:tcPr>
            <w:tcW w:w="1526" w:type="dxa"/>
          </w:tcPr>
          <w:p w14:paraId="46724D3E" w14:textId="77777777" w:rsidR="008E4573" w:rsidRPr="008B68A9" w:rsidRDefault="008E4573" w:rsidP="00045396">
            <w:pPr>
              <w:spacing w:line="240" w:lineRule="auto"/>
              <w:rPr>
                <w:sz w:val="18"/>
                <w:szCs w:val="18"/>
              </w:rPr>
            </w:pPr>
            <w:r w:rsidRPr="008B68A9">
              <w:rPr>
                <w:sz w:val="18"/>
                <w:szCs w:val="18"/>
              </w:rPr>
              <w:t xml:space="preserve">1,739 adults in Arkansas (59.6 percent proxy), 1,465 adults (49.7 percent proxy) in New Jersey, and 1,547 adults (64.5 percent proxy) and 859 children </w:t>
            </w:r>
            <w:r w:rsidRPr="008B68A9">
              <w:rPr>
                <w:sz w:val="18"/>
                <w:szCs w:val="18"/>
              </w:rPr>
              <w:lastRenderedPageBreak/>
              <w:t>(100 percent proxy [parent] respondents) in Florida</w:t>
            </w:r>
          </w:p>
        </w:tc>
        <w:tc>
          <w:tcPr>
            <w:tcW w:w="2127" w:type="dxa"/>
          </w:tcPr>
          <w:p w14:paraId="2A0A2827" w14:textId="77777777" w:rsidR="008E4573" w:rsidRPr="008B68A9" w:rsidRDefault="008E4573" w:rsidP="00045396">
            <w:pPr>
              <w:spacing w:line="240" w:lineRule="auto"/>
              <w:rPr>
                <w:sz w:val="18"/>
                <w:szCs w:val="18"/>
              </w:rPr>
            </w:pPr>
            <w:r w:rsidRPr="008B68A9">
              <w:rPr>
                <w:sz w:val="18"/>
                <w:szCs w:val="18"/>
              </w:rPr>
              <w:lastRenderedPageBreak/>
              <w:t>n/a</w:t>
            </w:r>
          </w:p>
        </w:tc>
        <w:tc>
          <w:tcPr>
            <w:tcW w:w="1701" w:type="dxa"/>
          </w:tcPr>
          <w:p w14:paraId="62B337D5" w14:textId="77777777" w:rsidR="008E4573" w:rsidRPr="008B68A9" w:rsidRDefault="008E4573" w:rsidP="00045396">
            <w:pPr>
              <w:spacing w:line="240" w:lineRule="auto"/>
              <w:rPr>
                <w:sz w:val="18"/>
                <w:szCs w:val="18"/>
              </w:rPr>
            </w:pPr>
            <w:r w:rsidRPr="008B68A9">
              <w:rPr>
                <w:sz w:val="18"/>
                <w:szCs w:val="18"/>
              </w:rPr>
              <w:t xml:space="preserve">n/a </w:t>
            </w:r>
          </w:p>
        </w:tc>
        <w:tc>
          <w:tcPr>
            <w:tcW w:w="3445" w:type="dxa"/>
          </w:tcPr>
          <w:p w14:paraId="1071D427" w14:textId="77777777" w:rsidR="008E4573" w:rsidRPr="008B68A9" w:rsidRDefault="008E4573" w:rsidP="00045396">
            <w:pPr>
              <w:spacing w:line="240" w:lineRule="auto"/>
              <w:rPr>
                <w:sz w:val="18"/>
                <w:szCs w:val="18"/>
              </w:rPr>
            </w:pPr>
            <w:r w:rsidRPr="008B68A9">
              <w:rPr>
                <w:sz w:val="18"/>
                <w:szCs w:val="18"/>
              </w:rPr>
              <w:t>Response rates averaged 88 percent for the treatment group and 83 percent for the control group across all three states. (See Brown and Dale 2007, for further information on the survey sample.)</w:t>
            </w:r>
          </w:p>
          <w:p w14:paraId="79E4939D" w14:textId="77777777" w:rsidR="008E4573" w:rsidRPr="008B68A9" w:rsidRDefault="008E4573" w:rsidP="00045396">
            <w:pPr>
              <w:spacing w:line="240" w:lineRule="auto"/>
              <w:rPr>
                <w:sz w:val="18"/>
                <w:szCs w:val="18"/>
              </w:rPr>
            </w:pPr>
          </w:p>
          <w:p w14:paraId="50FFD7C2" w14:textId="77777777" w:rsidR="008E4573" w:rsidRPr="008B68A9" w:rsidRDefault="008E4573" w:rsidP="00045396">
            <w:pPr>
              <w:spacing w:line="240" w:lineRule="auto"/>
              <w:rPr>
                <w:sz w:val="18"/>
                <w:szCs w:val="18"/>
              </w:rPr>
            </w:pPr>
            <w:r w:rsidRPr="008B68A9">
              <w:rPr>
                <w:sz w:val="18"/>
                <w:szCs w:val="18"/>
              </w:rPr>
              <w:t xml:space="preserve">On the difficulties staff have to face in changing the paradigm 'States face the difficult choice of relying on existing care managers and helping them make the </w:t>
            </w:r>
            <w:r w:rsidRPr="008B68A9">
              <w:rPr>
                <w:sz w:val="18"/>
                <w:szCs w:val="18"/>
              </w:rPr>
              <w:lastRenderedPageBreak/>
              <w:t>paradigm shift from a medical model where the professional makes the decisions (p. 558)</w:t>
            </w:r>
          </w:p>
          <w:p w14:paraId="020512B5" w14:textId="77777777" w:rsidR="008E4573" w:rsidRPr="008B68A9" w:rsidRDefault="008E4573" w:rsidP="00045396">
            <w:pPr>
              <w:spacing w:line="240" w:lineRule="auto"/>
              <w:rPr>
                <w:sz w:val="18"/>
                <w:szCs w:val="18"/>
              </w:rPr>
            </w:pPr>
          </w:p>
          <w:p w14:paraId="17AB6C71" w14:textId="77777777" w:rsidR="008E4573" w:rsidRPr="008B68A9" w:rsidRDefault="008E4573" w:rsidP="00045396">
            <w:pPr>
              <w:spacing w:line="240" w:lineRule="auto"/>
              <w:rPr>
                <w:sz w:val="18"/>
                <w:szCs w:val="18"/>
              </w:rPr>
            </w:pPr>
            <w:r w:rsidRPr="008B68A9">
              <w:rPr>
                <w:sz w:val="18"/>
                <w:szCs w:val="18"/>
              </w:rPr>
              <w:t>Five areas identified</w:t>
            </w:r>
          </w:p>
          <w:p w14:paraId="266BF7DB" w14:textId="77777777" w:rsidR="008E4573" w:rsidRPr="008B68A9" w:rsidRDefault="008E4573" w:rsidP="00045396">
            <w:pPr>
              <w:spacing w:line="240" w:lineRule="auto"/>
              <w:rPr>
                <w:sz w:val="18"/>
                <w:szCs w:val="18"/>
              </w:rPr>
            </w:pPr>
            <w:r w:rsidRPr="008B68A9">
              <w:rPr>
                <w:sz w:val="18"/>
                <w:szCs w:val="18"/>
              </w:rPr>
              <w:t>Adapting principals when unable to SDC.</w:t>
            </w:r>
          </w:p>
          <w:p w14:paraId="17105E02" w14:textId="77777777" w:rsidR="008E4573" w:rsidRPr="008B68A9" w:rsidRDefault="008E4573" w:rsidP="00045396">
            <w:pPr>
              <w:spacing w:line="240" w:lineRule="auto"/>
              <w:rPr>
                <w:sz w:val="18"/>
                <w:szCs w:val="18"/>
              </w:rPr>
            </w:pPr>
            <w:r w:rsidRPr="008B68A9">
              <w:rPr>
                <w:sz w:val="18"/>
                <w:szCs w:val="18"/>
              </w:rPr>
              <w:t xml:space="preserve">Addressing worker shortages with budget users with poor networks. </w:t>
            </w:r>
          </w:p>
          <w:p w14:paraId="69F33735" w14:textId="77777777" w:rsidR="008E4573" w:rsidRPr="008B68A9" w:rsidRDefault="008E4573" w:rsidP="00045396">
            <w:pPr>
              <w:spacing w:line="240" w:lineRule="auto"/>
              <w:rPr>
                <w:sz w:val="18"/>
                <w:szCs w:val="18"/>
              </w:rPr>
            </w:pPr>
            <w:r w:rsidRPr="008B68A9">
              <w:rPr>
                <w:sz w:val="18"/>
                <w:szCs w:val="18"/>
              </w:rPr>
              <w:t>Training – for paid workers, users, fiscal intermediaries, brokers to facilitate shift away from traditional medical paradigm.</w:t>
            </w:r>
          </w:p>
          <w:p w14:paraId="3299ED35" w14:textId="77777777" w:rsidR="008E4573" w:rsidRPr="008B68A9" w:rsidRDefault="008E4573" w:rsidP="00045396">
            <w:pPr>
              <w:spacing w:line="240" w:lineRule="auto"/>
              <w:rPr>
                <w:sz w:val="18"/>
                <w:szCs w:val="18"/>
              </w:rPr>
            </w:pPr>
            <w:r w:rsidRPr="008B68A9">
              <w:rPr>
                <w:sz w:val="18"/>
                <w:szCs w:val="18"/>
              </w:rPr>
              <w:t>Ensuring QA.</w:t>
            </w:r>
          </w:p>
          <w:p w14:paraId="562DD4E2" w14:textId="77777777" w:rsidR="008E4573" w:rsidRPr="008B68A9" w:rsidRDefault="008E4573" w:rsidP="00045396">
            <w:pPr>
              <w:spacing w:line="240" w:lineRule="auto"/>
              <w:rPr>
                <w:sz w:val="18"/>
                <w:szCs w:val="18"/>
              </w:rPr>
            </w:pPr>
            <w:r w:rsidRPr="008B68A9">
              <w:rPr>
                <w:sz w:val="18"/>
                <w:szCs w:val="18"/>
              </w:rPr>
              <w:t>Involving more consumers at policy level.</w:t>
            </w:r>
          </w:p>
          <w:p w14:paraId="374CB8A5" w14:textId="77777777" w:rsidR="008E4573" w:rsidRPr="008B68A9" w:rsidRDefault="008E4573" w:rsidP="00045396">
            <w:pPr>
              <w:spacing w:line="240" w:lineRule="auto"/>
              <w:rPr>
                <w:sz w:val="18"/>
                <w:szCs w:val="18"/>
              </w:rPr>
            </w:pPr>
            <w:r w:rsidRPr="008B68A9">
              <w:rPr>
                <w:sz w:val="18"/>
                <w:szCs w:val="18"/>
              </w:rPr>
              <w:t>Sustaining a learning community of networks</w:t>
            </w:r>
          </w:p>
        </w:tc>
        <w:tc>
          <w:tcPr>
            <w:tcW w:w="2083" w:type="dxa"/>
          </w:tcPr>
          <w:p w14:paraId="155463EA" w14:textId="77777777" w:rsidR="008E4573" w:rsidRPr="008B68A9" w:rsidRDefault="008E4573" w:rsidP="00045396">
            <w:pPr>
              <w:spacing w:line="240" w:lineRule="auto"/>
              <w:rPr>
                <w:sz w:val="18"/>
                <w:szCs w:val="18"/>
              </w:rPr>
            </w:pPr>
            <w:r w:rsidRPr="008B68A9">
              <w:rPr>
                <w:sz w:val="18"/>
                <w:szCs w:val="18"/>
              </w:rPr>
              <w:lastRenderedPageBreak/>
              <w:t>Narrative account of the CCDE, data analysis reported elsewhere.</w:t>
            </w:r>
          </w:p>
          <w:p w14:paraId="6189D6E8" w14:textId="77777777" w:rsidR="008E4573" w:rsidRPr="008B68A9" w:rsidRDefault="008E4573" w:rsidP="00045396">
            <w:pPr>
              <w:spacing w:line="240" w:lineRule="auto"/>
              <w:rPr>
                <w:sz w:val="18"/>
                <w:szCs w:val="18"/>
              </w:rPr>
            </w:pPr>
            <w:r w:rsidRPr="008B68A9">
              <w:rPr>
                <w:sz w:val="18"/>
                <w:szCs w:val="18"/>
              </w:rPr>
              <w:t>The Cash and Counseling approach is not for everyone, but it is clearly a choice many participants desire. Its development merits monitoring.</w:t>
            </w:r>
          </w:p>
          <w:p w14:paraId="00066664" w14:textId="77777777" w:rsidR="008E4573" w:rsidRPr="008B68A9" w:rsidRDefault="008E4573" w:rsidP="00045396">
            <w:pPr>
              <w:spacing w:line="240" w:lineRule="auto"/>
              <w:rPr>
                <w:sz w:val="18"/>
                <w:szCs w:val="18"/>
              </w:rPr>
            </w:pPr>
            <w:r w:rsidRPr="008B68A9">
              <w:rPr>
                <w:sz w:val="18"/>
                <w:szCs w:val="18"/>
              </w:rPr>
              <w:lastRenderedPageBreak/>
              <w:t>Mostly LD and physical impairment though a precursor to the C&amp;C SD in MH that followed.</w:t>
            </w:r>
          </w:p>
          <w:p w14:paraId="1092B138" w14:textId="77777777" w:rsidR="008E4573" w:rsidRPr="008B68A9" w:rsidRDefault="008E4573" w:rsidP="00045396">
            <w:pPr>
              <w:spacing w:line="240" w:lineRule="auto"/>
              <w:rPr>
                <w:sz w:val="18"/>
                <w:szCs w:val="18"/>
              </w:rPr>
            </w:pPr>
            <w:r w:rsidRPr="008B68A9">
              <w:rPr>
                <w:sz w:val="18"/>
                <w:szCs w:val="18"/>
              </w:rPr>
              <w:t>Same data as Carlson et al (2005)</w:t>
            </w:r>
          </w:p>
        </w:tc>
      </w:tr>
      <w:tr w:rsidR="008E4573" w:rsidRPr="008B68A9" w14:paraId="381D107F" w14:textId="77777777" w:rsidTr="00045396">
        <w:tc>
          <w:tcPr>
            <w:tcW w:w="1922" w:type="dxa"/>
          </w:tcPr>
          <w:p w14:paraId="73A939A3" w14:textId="77777777" w:rsidR="008E4573" w:rsidRPr="008B68A9" w:rsidRDefault="008E4573" w:rsidP="00045396">
            <w:pPr>
              <w:spacing w:line="240" w:lineRule="auto"/>
              <w:rPr>
                <w:b/>
                <w:sz w:val="18"/>
                <w:szCs w:val="18"/>
              </w:rPr>
            </w:pPr>
          </w:p>
        </w:tc>
        <w:tc>
          <w:tcPr>
            <w:tcW w:w="1479" w:type="dxa"/>
          </w:tcPr>
          <w:p w14:paraId="3E151EF9" w14:textId="77777777" w:rsidR="008E4573" w:rsidRPr="008B68A9" w:rsidRDefault="008E4573" w:rsidP="00045396">
            <w:pPr>
              <w:spacing w:line="240" w:lineRule="auto"/>
              <w:rPr>
                <w:sz w:val="18"/>
                <w:szCs w:val="18"/>
              </w:rPr>
            </w:pPr>
          </w:p>
        </w:tc>
        <w:tc>
          <w:tcPr>
            <w:tcW w:w="1526" w:type="dxa"/>
          </w:tcPr>
          <w:p w14:paraId="4B51FA91" w14:textId="77777777" w:rsidR="008E4573" w:rsidRPr="008B68A9" w:rsidRDefault="008E4573" w:rsidP="00045396">
            <w:pPr>
              <w:spacing w:line="240" w:lineRule="auto"/>
              <w:rPr>
                <w:sz w:val="18"/>
                <w:szCs w:val="18"/>
              </w:rPr>
            </w:pPr>
          </w:p>
        </w:tc>
        <w:tc>
          <w:tcPr>
            <w:tcW w:w="2127" w:type="dxa"/>
          </w:tcPr>
          <w:p w14:paraId="23066ACA" w14:textId="77777777" w:rsidR="008E4573" w:rsidRPr="008B68A9" w:rsidRDefault="008E4573" w:rsidP="00045396">
            <w:pPr>
              <w:spacing w:line="240" w:lineRule="auto"/>
              <w:rPr>
                <w:sz w:val="18"/>
                <w:szCs w:val="18"/>
              </w:rPr>
            </w:pPr>
          </w:p>
        </w:tc>
        <w:tc>
          <w:tcPr>
            <w:tcW w:w="1701" w:type="dxa"/>
          </w:tcPr>
          <w:p w14:paraId="483B8041" w14:textId="77777777" w:rsidR="008E4573" w:rsidRPr="008B68A9" w:rsidRDefault="008E4573" w:rsidP="00045396">
            <w:pPr>
              <w:spacing w:line="240" w:lineRule="auto"/>
              <w:rPr>
                <w:sz w:val="18"/>
                <w:szCs w:val="18"/>
              </w:rPr>
            </w:pPr>
          </w:p>
        </w:tc>
        <w:tc>
          <w:tcPr>
            <w:tcW w:w="3445" w:type="dxa"/>
          </w:tcPr>
          <w:p w14:paraId="2DB41249" w14:textId="77777777" w:rsidR="008E4573" w:rsidRPr="008B68A9" w:rsidRDefault="008E4573" w:rsidP="00045396">
            <w:pPr>
              <w:spacing w:line="240" w:lineRule="auto"/>
              <w:rPr>
                <w:sz w:val="18"/>
                <w:szCs w:val="18"/>
              </w:rPr>
            </w:pPr>
          </w:p>
        </w:tc>
        <w:tc>
          <w:tcPr>
            <w:tcW w:w="2083" w:type="dxa"/>
          </w:tcPr>
          <w:p w14:paraId="702E37BC" w14:textId="77777777" w:rsidR="008E4573" w:rsidRPr="008B68A9" w:rsidRDefault="008E4573" w:rsidP="00045396">
            <w:pPr>
              <w:spacing w:line="240" w:lineRule="auto"/>
              <w:rPr>
                <w:sz w:val="18"/>
                <w:szCs w:val="18"/>
              </w:rPr>
            </w:pPr>
          </w:p>
        </w:tc>
      </w:tr>
      <w:tr w:rsidR="008E4573" w:rsidRPr="008B68A9" w14:paraId="35B8683A" w14:textId="77777777" w:rsidTr="00045396">
        <w:tc>
          <w:tcPr>
            <w:tcW w:w="1922" w:type="dxa"/>
          </w:tcPr>
          <w:p w14:paraId="4E0EB2E0" w14:textId="77777777" w:rsidR="008E4573" w:rsidRPr="008B68A9" w:rsidRDefault="008E4573" w:rsidP="00045396">
            <w:pPr>
              <w:spacing w:line="240" w:lineRule="auto"/>
              <w:rPr>
                <w:b/>
                <w:sz w:val="18"/>
                <w:szCs w:val="18"/>
              </w:rPr>
            </w:pPr>
            <w:r w:rsidRPr="008B68A9">
              <w:rPr>
                <w:b/>
                <w:sz w:val="18"/>
                <w:szCs w:val="18"/>
              </w:rPr>
              <w:t>Robert Wood Johnson Foundation 2013</w:t>
            </w:r>
          </w:p>
        </w:tc>
        <w:tc>
          <w:tcPr>
            <w:tcW w:w="1479" w:type="dxa"/>
          </w:tcPr>
          <w:p w14:paraId="24F113F1" w14:textId="77777777" w:rsidR="008E4573" w:rsidRPr="008B68A9" w:rsidRDefault="008E4573" w:rsidP="00045396">
            <w:pPr>
              <w:spacing w:line="240" w:lineRule="auto"/>
              <w:rPr>
                <w:sz w:val="18"/>
                <w:szCs w:val="18"/>
              </w:rPr>
            </w:pPr>
            <w:r w:rsidRPr="008B68A9">
              <w:rPr>
                <w:sz w:val="18"/>
                <w:szCs w:val="18"/>
              </w:rPr>
              <w:t>Environmental scan of self-direction in behavioural health.</w:t>
            </w:r>
          </w:p>
        </w:tc>
        <w:tc>
          <w:tcPr>
            <w:tcW w:w="1526" w:type="dxa"/>
          </w:tcPr>
          <w:p w14:paraId="4F96D2DA" w14:textId="77777777" w:rsidR="008E4573" w:rsidRPr="008B68A9" w:rsidRDefault="008E4573" w:rsidP="00045396">
            <w:pPr>
              <w:spacing w:line="240" w:lineRule="auto"/>
              <w:rPr>
                <w:sz w:val="18"/>
                <w:szCs w:val="18"/>
              </w:rPr>
            </w:pPr>
            <w:r w:rsidRPr="008B68A9">
              <w:rPr>
                <w:sz w:val="18"/>
                <w:szCs w:val="18"/>
              </w:rPr>
              <w:t>n/a</w:t>
            </w:r>
          </w:p>
        </w:tc>
        <w:tc>
          <w:tcPr>
            <w:tcW w:w="2127" w:type="dxa"/>
          </w:tcPr>
          <w:p w14:paraId="6823C7EA" w14:textId="77777777" w:rsidR="008E4573" w:rsidRPr="008B68A9" w:rsidRDefault="008E4573" w:rsidP="00045396">
            <w:pPr>
              <w:spacing w:line="240" w:lineRule="auto"/>
              <w:rPr>
                <w:sz w:val="18"/>
                <w:szCs w:val="18"/>
              </w:rPr>
            </w:pPr>
            <w:r w:rsidRPr="008B68A9">
              <w:rPr>
                <w:sz w:val="18"/>
                <w:szCs w:val="18"/>
              </w:rPr>
              <w:t>n/a</w:t>
            </w:r>
          </w:p>
        </w:tc>
        <w:tc>
          <w:tcPr>
            <w:tcW w:w="1701" w:type="dxa"/>
          </w:tcPr>
          <w:p w14:paraId="3FB94A3A" w14:textId="77777777" w:rsidR="008E4573" w:rsidRPr="008B68A9" w:rsidRDefault="008E4573" w:rsidP="00045396">
            <w:pPr>
              <w:spacing w:line="240" w:lineRule="auto"/>
              <w:rPr>
                <w:sz w:val="18"/>
                <w:szCs w:val="18"/>
              </w:rPr>
            </w:pPr>
            <w:r w:rsidRPr="008B68A9">
              <w:rPr>
                <w:sz w:val="18"/>
                <w:szCs w:val="18"/>
              </w:rPr>
              <w:t>Narrative literature review.</w:t>
            </w:r>
          </w:p>
          <w:p w14:paraId="42617454" w14:textId="77777777" w:rsidR="008E4573" w:rsidRPr="008B68A9" w:rsidRDefault="008E4573" w:rsidP="00045396">
            <w:pPr>
              <w:spacing w:line="240" w:lineRule="auto"/>
              <w:rPr>
                <w:sz w:val="18"/>
                <w:szCs w:val="18"/>
              </w:rPr>
            </w:pPr>
            <w:r w:rsidRPr="008B68A9">
              <w:rPr>
                <w:sz w:val="18"/>
                <w:szCs w:val="18"/>
              </w:rPr>
              <w:t>No discernible search strategy.</w:t>
            </w:r>
          </w:p>
        </w:tc>
        <w:tc>
          <w:tcPr>
            <w:tcW w:w="3445" w:type="dxa"/>
          </w:tcPr>
          <w:p w14:paraId="2FB88B84" w14:textId="77777777" w:rsidR="008E4573" w:rsidRPr="008B68A9" w:rsidRDefault="008E4573" w:rsidP="00045396">
            <w:pPr>
              <w:spacing w:line="240" w:lineRule="auto"/>
              <w:rPr>
                <w:sz w:val="18"/>
                <w:szCs w:val="18"/>
              </w:rPr>
            </w:pPr>
            <w:r w:rsidRPr="008B68A9">
              <w:rPr>
                <w:sz w:val="18"/>
                <w:szCs w:val="18"/>
              </w:rPr>
              <w:t>Acknowledges the complexity of SDC in mental health and the role of societal and organisational culture affecting personalisation in MH.</w:t>
            </w:r>
          </w:p>
        </w:tc>
        <w:tc>
          <w:tcPr>
            <w:tcW w:w="2083" w:type="dxa"/>
          </w:tcPr>
          <w:p w14:paraId="55CD07FD" w14:textId="77777777" w:rsidR="008E4573" w:rsidRPr="008B68A9" w:rsidRDefault="008E4573" w:rsidP="00045396">
            <w:pPr>
              <w:spacing w:line="240" w:lineRule="auto"/>
              <w:rPr>
                <w:sz w:val="18"/>
                <w:szCs w:val="18"/>
              </w:rPr>
            </w:pPr>
            <w:r w:rsidRPr="008B68A9">
              <w:rPr>
                <w:sz w:val="18"/>
                <w:szCs w:val="18"/>
              </w:rPr>
              <w:t>Detailed attempting to discuss SDC in mental health in terms of recovery, policy, barriers.</w:t>
            </w:r>
          </w:p>
        </w:tc>
      </w:tr>
      <w:tr w:rsidR="008E4573" w:rsidRPr="008B68A9" w14:paraId="7DEDC157" w14:textId="77777777" w:rsidTr="00045396">
        <w:tc>
          <w:tcPr>
            <w:tcW w:w="1922" w:type="dxa"/>
          </w:tcPr>
          <w:p w14:paraId="7E834173" w14:textId="77777777" w:rsidR="008E4573" w:rsidRPr="008B68A9" w:rsidRDefault="008E4573" w:rsidP="00045396">
            <w:pPr>
              <w:spacing w:line="240" w:lineRule="auto"/>
              <w:rPr>
                <w:b/>
                <w:sz w:val="18"/>
                <w:szCs w:val="18"/>
              </w:rPr>
            </w:pPr>
          </w:p>
        </w:tc>
        <w:tc>
          <w:tcPr>
            <w:tcW w:w="1479" w:type="dxa"/>
          </w:tcPr>
          <w:p w14:paraId="0C72C474" w14:textId="77777777" w:rsidR="008E4573" w:rsidRPr="008B68A9" w:rsidRDefault="008E4573" w:rsidP="00045396">
            <w:pPr>
              <w:spacing w:line="240" w:lineRule="auto"/>
              <w:rPr>
                <w:sz w:val="18"/>
                <w:szCs w:val="18"/>
              </w:rPr>
            </w:pPr>
          </w:p>
        </w:tc>
        <w:tc>
          <w:tcPr>
            <w:tcW w:w="1526" w:type="dxa"/>
          </w:tcPr>
          <w:p w14:paraId="29E74A5E" w14:textId="77777777" w:rsidR="008E4573" w:rsidRPr="008B68A9" w:rsidRDefault="008E4573" w:rsidP="00045396">
            <w:pPr>
              <w:spacing w:line="240" w:lineRule="auto"/>
              <w:rPr>
                <w:sz w:val="18"/>
                <w:szCs w:val="18"/>
              </w:rPr>
            </w:pPr>
          </w:p>
        </w:tc>
        <w:tc>
          <w:tcPr>
            <w:tcW w:w="2127" w:type="dxa"/>
          </w:tcPr>
          <w:p w14:paraId="291CC2C7" w14:textId="77777777" w:rsidR="008E4573" w:rsidRPr="008B68A9" w:rsidRDefault="008E4573" w:rsidP="00045396">
            <w:pPr>
              <w:spacing w:line="240" w:lineRule="auto"/>
              <w:rPr>
                <w:sz w:val="18"/>
                <w:szCs w:val="18"/>
              </w:rPr>
            </w:pPr>
          </w:p>
        </w:tc>
        <w:tc>
          <w:tcPr>
            <w:tcW w:w="1701" w:type="dxa"/>
          </w:tcPr>
          <w:p w14:paraId="4F6922D6" w14:textId="77777777" w:rsidR="008E4573" w:rsidRPr="008B68A9" w:rsidRDefault="008E4573" w:rsidP="00045396">
            <w:pPr>
              <w:spacing w:line="240" w:lineRule="auto"/>
              <w:rPr>
                <w:sz w:val="18"/>
                <w:szCs w:val="18"/>
              </w:rPr>
            </w:pPr>
          </w:p>
        </w:tc>
        <w:tc>
          <w:tcPr>
            <w:tcW w:w="3445" w:type="dxa"/>
          </w:tcPr>
          <w:p w14:paraId="0F6A3DB8" w14:textId="77777777" w:rsidR="008E4573" w:rsidRPr="008B68A9" w:rsidRDefault="008E4573" w:rsidP="00045396">
            <w:pPr>
              <w:spacing w:line="240" w:lineRule="auto"/>
              <w:rPr>
                <w:sz w:val="18"/>
                <w:szCs w:val="18"/>
              </w:rPr>
            </w:pPr>
          </w:p>
        </w:tc>
        <w:tc>
          <w:tcPr>
            <w:tcW w:w="2083" w:type="dxa"/>
          </w:tcPr>
          <w:p w14:paraId="79CE6460" w14:textId="77777777" w:rsidR="008E4573" w:rsidRPr="008B68A9" w:rsidRDefault="008E4573" w:rsidP="00045396">
            <w:pPr>
              <w:spacing w:line="240" w:lineRule="auto"/>
              <w:rPr>
                <w:sz w:val="18"/>
                <w:szCs w:val="18"/>
              </w:rPr>
            </w:pPr>
          </w:p>
        </w:tc>
      </w:tr>
      <w:tr w:rsidR="008E4573" w:rsidRPr="008B68A9" w14:paraId="0A985753" w14:textId="77777777" w:rsidTr="00045396">
        <w:tc>
          <w:tcPr>
            <w:tcW w:w="1922" w:type="dxa"/>
          </w:tcPr>
          <w:p w14:paraId="251F1A39" w14:textId="77777777" w:rsidR="008E4573" w:rsidRPr="008B68A9" w:rsidRDefault="008E4573" w:rsidP="00045396">
            <w:pPr>
              <w:spacing w:line="240" w:lineRule="auto"/>
              <w:rPr>
                <w:b/>
                <w:sz w:val="18"/>
                <w:szCs w:val="18"/>
              </w:rPr>
            </w:pPr>
            <w:r w:rsidRPr="008B68A9">
              <w:rPr>
                <w:b/>
                <w:sz w:val="18"/>
                <w:szCs w:val="18"/>
              </w:rPr>
              <w:t xml:space="preserve">Shen </w:t>
            </w:r>
            <w:r w:rsidRPr="008B68A9">
              <w:rPr>
                <w:b/>
                <w:i/>
                <w:sz w:val="18"/>
                <w:szCs w:val="18"/>
              </w:rPr>
              <w:t>et al.</w:t>
            </w:r>
            <w:r w:rsidRPr="008B68A9">
              <w:rPr>
                <w:b/>
                <w:sz w:val="18"/>
                <w:szCs w:val="18"/>
              </w:rPr>
              <w:t xml:space="preserve"> 2008a</w:t>
            </w:r>
          </w:p>
        </w:tc>
        <w:tc>
          <w:tcPr>
            <w:tcW w:w="1479" w:type="dxa"/>
          </w:tcPr>
          <w:p w14:paraId="353DBAAC" w14:textId="77777777" w:rsidR="008E4573" w:rsidRPr="008B68A9" w:rsidRDefault="008E4573" w:rsidP="00045396">
            <w:pPr>
              <w:spacing w:line="240" w:lineRule="auto"/>
              <w:rPr>
                <w:sz w:val="18"/>
                <w:szCs w:val="18"/>
              </w:rPr>
            </w:pPr>
            <w:r w:rsidRPr="008B68A9">
              <w:rPr>
                <w:sz w:val="18"/>
                <w:szCs w:val="18"/>
              </w:rPr>
              <w:t>New Jersey arm of the Cash and Counseling Demonstration Evaluation.</w:t>
            </w:r>
          </w:p>
        </w:tc>
        <w:tc>
          <w:tcPr>
            <w:tcW w:w="1526" w:type="dxa"/>
          </w:tcPr>
          <w:p w14:paraId="1C2F3AA5" w14:textId="77777777" w:rsidR="008E4573" w:rsidRPr="008B68A9" w:rsidRDefault="008E4573" w:rsidP="00045396">
            <w:pPr>
              <w:spacing w:line="240" w:lineRule="auto"/>
              <w:rPr>
                <w:sz w:val="18"/>
                <w:szCs w:val="18"/>
              </w:rPr>
            </w:pPr>
            <w:r w:rsidRPr="008B68A9">
              <w:rPr>
                <w:sz w:val="18"/>
                <w:szCs w:val="18"/>
              </w:rPr>
              <w:t xml:space="preserve">SDC Mentally ill 95 (14.8%) control n=108 (17.3%) </w:t>
            </w:r>
          </w:p>
          <w:p w14:paraId="5AE97D78" w14:textId="77777777" w:rsidR="008E4573" w:rsidRPr="008B68A9" w:rsidRDefault="008E4573" w:rsidP="00045396">
            <w:pPr>
              <w:spacing w:line="240" w:lineRule="auto"/>
              <w:rPr>
                <w:sz w:val="18"/>
                <w:szCs w:val="18"/>
              </w:rPr>
            </w:pPr>
            <w:r w:rsidRPr="008B68A9">
              <w:rPr>
                <w:sz w:val="18"/>
                <w:szCs w:val="18"/>
              </w:rPr>
              <w:t>Total 203 (16.0%)</w:t>
            </w:r>
          </w:p>
          <w:p w14:paraId="4A7F40E8" w14:textId="77777777" w:rsidR="008E4573" w:rsidRPr="008B68A9" w:rsidRDefault="008E4573" w:rsidP="00045396">
            <w:pPr>
              <w:spacing w:line="240" w:lineRule="auto"/>
              <w:rPr>
                <w:sz w:val="18"/>
                <w:szCs w:val="18"/>
              </w:rPr>
            </w:pPr>
            <w:r w:rsidRPr="008B68A9">
              <w:rPr>
                <w:sz w:val="18"/>
                <w:szCs w:val="18"/>
              </w:rPr>
              <w:t xml:space="preserve">Non-mentally ill n=547 (85.2%) control n=516 (82.7%) </w:t>
            </w:r>
          </w:p>
          <w:p w14:paraId="0EE9D5BB" w14:textId="77777777" w:rsidR="008E4573" w:rsidRPr="008B68A9" w:rsidRDefault="008E4573" w:rsidP="00045396">
            <w:pPr>
              <w:spacing w:line="240" w:lineRule="auto"/>
              <w:rPr>
                <w:sz w:val="18"/>
                <w:szCs w:val="18"/>
              </w:rPr>
            </w:pPr>
            <w:r w:rsidRPr="008B68A9">
              <w:rPr>
                <w:sz w:val="18"/>
                <w:szCs w:val="18"/>
              </w:rPr>
              <w:t>Total 1,063 (84.0%)</w:t>
            </w:r>
          </w:p>
          <w:p w14:paraId="3BB92B6B" w14:textId="77777777" w:rsidR="008E4573" w:rsidRPr="008B68A9" w:rsidRDefault="008E4573" w:rsidP="00045396">
            <w:pPr>
              <w:spacing w:line="240" w:lineRule="auto"/>
              <w:rPr>
                <w:sz w:val="18"/>
                <w:szCs w:val="18"/>
              </w:rPr>
            </w:pPr>
            <w:r w:rsidRPr="008B68A9">
              <w:rPr>
                <w:sz w:val="18"/>
                <w:szCs w:val="18"/>
              </w:rPr>
              <w:t xml:space="preserve">Total 642 </w:t>
            </w:r>
          </w:p>
          <w:p w14:paraId="49C38276" w14:textId="77777777" w:rsidR="008E4573" w:rsidRPr="008B68A9" w:rsidRDefault="008E4573" w:rsidP="00045396">
            <w:pPr>
              <w:spacing w:line="240" w:lineRule="auto"/>
              <w:rPr>
                <w:sz w:val="18"/>
                <w:szCs w:val="18"/>
              </w:rPr>
            </w:pPr>
            <w:r w:rsidRPr="008B68A9">
              <w:rPr>
                <w:sz w:val="18"/>
                <w:szCs w:val="18"/>
              </w:rPr>
              <w:lastRenderedPageBreak/>
              <w:t xml:space="preserve">N=1,266 </w:t>
            </w:r>
          </w:p>
        </w:tc>
        <w:tc>
          <w:tcPr>
            <w:tcW w:w="2127" w:type="dxa"/>
          </w:tcPr>
          <w:p w14:paraId="6C70B37E" w14:textId="77777777" w:rsidR="008E4573" w:rsidRPr="008B68A9" w:rsidRDefault="008E4573" w:rsidP="00045396">
            <w:pPr>
              <w:spacing w:line="240" w:lineRule="auto"/>
              <w:rPr>
                <w:sz w:val="18"/>
                <w:szCs w:val="18"/>
              </w:rPr>
            </w:pPr>
            <w:r w:rsidRPr="008B68A9">
              <w:rPr>
                <w:sz w:val="18"/>
                <w:szCs w:val="18"/>
              </w:rPr>
              <w:lastRenderedPageBreak/>
              <w:t>Cash and Counseling Demonstration Evaluation baseline survey and nine month follow-up survey.</w:t>
            </w:r>
          </w:p>
        </w:tc>
        <w:tc>
          <w:tcPr>
            <w:tcW w:w="1701" w:type="dxa"/>
          </w:tcPr>
          <w:p w14:paraId="3AA2E5AE" w14:textId="77777777" w:rsidR="008E4573" w:rsidRPr="008B68A9" w:rsidRDefault="008E4573" w:rsidP="00045396">
            <w:pPr>
              <w:spacing w:line="240" w:lineRule="auto"/>
              <w:rPr>
                <w:sz w:val="18"/>
                <w:szCs w:val="18"/>
              </w:rPr>
            </w:pPr>
            <w:r w:rsidRPr="008B68A9">
              <w:rPr>
                <w:sz w:val="18"/>
                <w:szCs w:val="18"/>
              </w:rPr>
              <w:t>Suitable parametric tests.</w:t>
            </w:r>
          </w:p>
          <w:p w14:paraId="16521643" w14:textId="77777777" w:rsidR="008E4573" w:rsidRPr="008B68A9" w:rsidRDefault="008E4573" w:rsidP="00045396">
            <w:pPr>
              <w:spacing w:line="240" w:lineRule="auto"/>
              <w:rPr>
                <w:sz w:val="18"/>
                <w:szCs w:val="18"/>
              </w:rPr>
            </w:pPr>
            <w:r w:rsidRPr="008B68A9">
              <w:rPr>
                <w:sz w:val="18"/>
                <w:szCs w:val="18"/>
              </w:rPr>
              <w:t>Multivariate logistic analysis.</w:t>
            </w:r>
          </w:p>
        </w:tc>
        <w:tc>
          <w:tcPr>
            <w:tcW w:w="3445" w:type="dxa"/>
          </w:tcPr>
          <w:p w14:paraId="662CB7D8" w14:textId="77777777" w:rsidR="008E4573" w:rsidRPr="008B68A9" w:rsidRDefault="008E4573" w:rsidP="00045396">
            <w:pPr>
              <w:spacing w:line="240" w:lineRule="auto"/>
              <w:rPr>
                <w:sz w:val="18"/>
                <w:szCs w:val="18"/>
              </w:rPr>
            </w:pPr>
            <w:r w:rsidRPr="008B68A9">
              <w:rPr>
                <w:sz w:val="18"/>
                <w:szCs w:val="18"/>
              </w:rPr>
              <w:t>MH in the Arkansas sample ‘was 16% at the follow-up survey (203 out of 1,266 consumers). Among those with diagnoses of mental illness (n = 203), 92.1% (n =187) belonged to the low-cost sub-category, 5.9% (n=12) belonged to the medium-cost sub-category, and only 2% (n = 4) belonged to the high-cost sub-category.’(p95)</w:t>
            </w:r>
          </w:p>
          <w:p w14:paraId="5C95B973" w14:textId="77777777" w:rsidR="008E4573" w:rsidRPr="008B68A9" w:rsidRDefault="008E4573" w:rsidP="00045396">
            <w:pPr>
              <w:spacing w:line="240" w:lineRule="auto"/>
              <w:rPr>
                <w:sz w:val="18"/>
                <w:szCs w:val="18"/>
              </w:rPr>
            </w:pPr>
            <w:r w:rsidRPr="008B68A9">
              <w:rPr>
                <w:sz w:val="18"/>
                <w:szCs w:val="18"/>
              </w:rPr>
              <w:t>Arkansas did not permit SDC users to employ family – though older people with mental health issues preferred familiar support.</w:t>
            </w:r>
          </w:p>
        </w:tc>
        <w:tc>
          <w:tcPr>
            <w:tcW w:w="2083" w:type="dxa"/>
          </w:tcPr>
          <w:p w14:paraId="76F864C3" w14:textId="77777777" w:rsidR="008E4573" w:rsidRPr="008B68A9" w:rsidRDefault="008E4573" w:rsidP="00045396">
            <w:pPr>
              <w:spacing w:line="240" w:lineRule="auto"/>
              <w:rPr>
                <w:sz w:val="18"/>
                <w:szCs w:val="18"/>
              </w:rPr>
            </w:pPr>
            <w:r w:rsidRPr="008B68A9">
              <w:rPr>
                <w:sz w:val="18"/>
                <w:szCs w:val="18"/>
              </w:rPr>
              <w:t>Located diagnosis firmly within DSM and ICD criterion.</w:t>
            </w:r>
          </w:p>
          <w:p w14:paraId="323E93F0" w14:textId="77777777" w:rsidR="008E4573" w:rsidRPr="008B68A9" w:rsidRDefault="008E4573" w:rsidP="00045396">
            <w:pPr>
              <w:spacing w:line="240" w:lineRule="auto"/>
              <w:rPr>
                <w:sz w:val="18"/>
                <w:szCs w:val="18"/>
              </w:rPr>
            </w:pPr>
          </w:p>
          <w:p w14:paraId="25BE24D9" w14:textId="77777777" w:rsidR="008E4573" w:rsidRPr="008B68A9" w:rsidRDefault="008E4573" w:rsidP="00045396">
            <w:pPr>
              <w:spacing w:line="240" w:lineRule="auto"/>
              <w:rPr>
                <w:sz w:val="18"/>
                <w:szCs w:val="18"/>
              </w:rPr>
            </w:pPr>
            <w:r w:rsidRPr="008B68A9">
              <w:rPr>
                <w:sz w:val="18"/>
                <w:szCs w:val="18"/>
              </w:rPr>
              <w:t>Suggest SDC suitable for people with MH.</w:t>
            </w:r>
          </w:p>
        </w:tc>
      </w:tr>
      <w:tr w:rsidR="008E4573" w:rsidRPr="008B68A9" w14:paraId="1C4AC848" w14:textId="77777777" w:rsidTr="00045396">
        <w:tc>
          <w:tcPr>
            <w:tcW w:w="1922" w:type="dxa"/>
          </w:tcPr>
          <w:p w14:paraId="115AD15D" w14:textId="77777777" w:rsidR="008E4573" w:rsidRPr="008B68A9" w:rsidRDefault="008E4573" w:rsidP="00045396">
            <w:pPr>
              <w:spacing w:line="240" w:lineRule="auto"/>
              <w:rPr>
                <w:b/>
                <w:sz w:val="18"/>
                <w:szCs w:val="18"/>
              </w:rPr>
            </w:pPr>
          </w:p>
        </w:tc>
        <w:tc>
          <w:tcPr>
            <w:tcW w:w="1479" w:type="dxa"/>
          </w:tcPr>
          <w:p w14:paraId="641E97D4" w14:textId="77777777" w:rsidR="008E4573" w:rsidRPr="008B68A9" w:rsidRDefault="008E4573" w:rsidP="00045396">
            <w:pPr>
              <w:spacing w:line="240" w:lineRule="auto"/>
              <w:rPr>
                <w:sz w:val="18"/>
                <w:szCs w:val="18"/>
              </w:rPr>
            </w:pPr>
          </w:p>
        </w:tc>
        <w:tc>
          <w:tcPr>
            <w:tcW w:w="1526" w:type="dxa"/>
          </w:tcPr>
          <w:p w14:paraId="04B37EF4" w14:textId="77777777" w:rsidR="008E4573" w:rsidRPr="008B68A9" w:rsidRDefault="008E4573" w:rsidP="00045396">
            <w:pPr>
              <w:spacing w:line="240" w:lineRule="auto"/>
              <w:rPr>
                <w:sz w:val="18"/>
                <w:szCs w:val="18"/>
              </w:rPr>
            </w:pPr>
          </w:p>
        </w:tc>
        <w:tc>
          <w:tcPr>
            <w:tcW w:w="2127" w:type="dxa"/>
          </w:tcPr>
          <w:p w14:paraId="751A0F6F" w14:textId="77777777" w:rsidR="008E4573" w:rsidRPr="008B68A9" w:rsidRDefault="008E4573" w:rsidP="00045396">
            <w:pPr>
              <w:spacing w:line="240" w:lineRule="auto"/>
              <w:rPr>
                <w:sz w:val="18"/>
                <w:szCs w:val="18"/>
              </w:rPr>
            </w:pPr>
          </w:p>
        </w:tc>
        <w:tc>
          <w:tcPr>
            <w:tcW w:w="1701" w:type="dxa"/>
          </w:tcPr>
          <w:p w14:paraId="03CF0964" w14:textId="77777777" w:rsidR="008E4573" w:rsidRPr="008B68A9" w:rsidRDefault="008E4573" w:rsidP="00045396">
            <w:pPr>
              <w:spacing w:line="240" w:lineRule="auto"/>
              <w:rPr>
                <w:sz w:val="18"/>
                <w:szCs w:val="18"/>
              </w:rPr>
            </w:pPr>
          </w:p>
        </w:tc>
        <w:tc>
          <w:tcPr>
            <w:tcW w:w="3445" w:type="dxa"/>
          </w:tcPr>
          <w:p w14:paraId="38A802BE" w14:textId="77777777" w:rsidR="008E4573" w:rsidRPr="008B68A9" w:rsidRDefault="008E4573" w:rsidP="00045396">
            <w:pPr>
              <w:spacing w:line="240" w:lineRule="auto"/>
              <w:rPr>
                <w:sz w:val="18"/>
                <w:szCs w:val="18"/>
              </w:rPr>
            </w:pPr>
          </w:p>
        </w:tc>
        <w:tc>
          <w:tcPr>
            <w:tcW w:w="2083" w:type="dxa"/>
          </w:tcPr>
          <w:p w14:paraId="207DFC75" w14:textId="77777777" w:rsidR="008E4573" w:rsidRPr="008B68A9" w:rsidRDefault="008E4573" w:rsidP="00045396">
            <w:pPr>
              <w:spacing w:line="240" w:lineRule="auto"/>
              <w:rPr>
                <w:sz w:val="18"/>
                <w:szCs w:val="18"/>
              </w:rPr>
            </w:pPr>
          </w:p>
        </w:tc>
      </w:tr>
      <w:tr w:rsidR="008E4573" w:rsidRPr="008B68A9" w14:paraId="55319544" w14:textId="77777777" w:rsidTr="00045396">
        <w:tc>
          <w:tcPr>
            <w:tcW w:w="1922" w:type="dxa"/>
          </w:tcPr>
          <w:p w14:paraId="7BF23956" w14:textId="77777777" w:rsidR="008E4573" w:rsidRPr="008B68A9" w:rsidRDefault="008E4573" w:rsidP="00045396">
            <w:pPr>
              <w:spacing w:line="240" w:lineRule="auto"/>
              <w:rPr>
                <w:b/>
                <w:sz w:val="18"/>
                <w:szCs w:val="18"/>
              </w:rPr>
            </w:pPr>
            <w:r w:rsidRPr="008B68A9">
              <w:rPr>
                <w:b/>
                <w:sz w:val="18"/>
                <w:szCs w:val="18"/>
              </w:rPr>
              <w:t xml:space="preserve">Shen </w:t>
            </w:r>
            <w:r w:rsidRPr="008B68A9">
              <w:rPr>
                <w:b/>
                <w:i/>
                <w:sz w:val="18"/>
                <w:szCs w:val="18"/>
              </w:rPr>
              <w:t>et al.</w:t>
            </w:r>
            <w:r w:rsidRPr="008B68A9">
              <w:rPr>
                <w:b/>
                <w:sz w:val="18"/>
                <w:szCs w:val="18"/>
              </w:rPr>
              <w:t xml:space="preserve"> 2008b</w:t>
            </w:r>
          </w:p>
        </w:tc>
        <w:tc>
          <w:tcPr>
            <w:tcW w:w="1479" w:type="dxa"/>
          </w:tcPr>
          <w:p w14:paraId="168E8783" w14:textId="77777777" w:rsidR="008E4573" w:rsidRPr="008B68A9" w:rsidRDefault="008E4573" w:rsidP="00045396">
            <w:pPr>
              <w:spacing w:line="240" w:lineRule="auto"/>
              <w:rPr>
                <w:sz w:val="18"/>
                <w:szCs w:val="18"/>
              </w:rPr>
            </w:pPr>
            <w:r w:rsidRPr="008B68A9">
              <w:rPr>
                <w:sz w:val="18"/>
                <w:szCs w:val="18"/>
              </w:rPr>
              <w:t>New Jersey arm of the Cash and Counseling Demonstration Evaluation</w:t>
            </w:r>
          </w:p>
        </w:tc>
        <w:tc>
          <w:tcPr>
            <w:tcW w:w="1526" w:type="dxa"/>
          </w:tcPr>
          <w:p w14:paraId="74F17C63" w14:textId="77777777" w:rsidR="008E4573" w:rsidRPr="008B68A9" w:rsidRDefault="008E4573" w:rsidP="00045396">
            <w:pPr>
              <w:spacing w:line="240" w:lineRule="auto"/>
              <w:rPr>
                <w:sz w:val="18"/>
                <w:szCs w:val="18"/>
              </w:rPr>
            </w:pPr>
            <w:r w:rsidRPr="008B68A9">
              <w:rPr>
                <w:sz w:val="18"/>
                <w:szCs w:val="18"/>
              </w:rPr>
              <w:t xml:space="preserve">Non-elderly sample with diagnosis of mental illness Control sample, (n=1190), versus intervention sample, (n=109). </w:t>
            </w:r>
          </w:p>
        </w:tc>
        <w:tc>
          <w:tcPr>
            <w:tcW w:w="2127" w:type="dxa"/>
          </w:tcPr>
          <w:p w14:paraId="6F3DCCF6" w14:textId="77777777" w:rsidR="008E4573" w:rsidRPr="008B68A9" w:rsidRDefault="008E4573" w:rsidP="00045396">
            <w:pPr>
              <w:spacing w:line="240" w:lineRule="auto"/>
              <w:rPr>
                <w:sz w:val="18"/>
                <w:szCs w:val="18"/>
              </w:rPr>
            </w:pPr>
            <w:r w:rsidRPr="008B68A9">
              <w:rPr>
                <w:sz w:val="18"/>
                <w:szCs w:val="18"/>
              </w:rPr>
              <w:t>Cash and Counseling Demonstration Evaluation baseline survey and nine month follow-up survey.</w:t>
            </w:r>
          </w:p>
        </w:tc>
        <w:tc>
          <w:tcPr>
            <w:tcW w:w="1701" w:type="dxa"/>
          </w:tcPr>
          <w:p w14:paraId="30ECE1E5" w14:textId="77777777" w:rsidR="008E4573" w:rsidRPr="008B68A9" w:rsidRDefault="008E4573" w:rsidP="00045396">
            <w:pPr>
              <w:spacing w:line="240" w:lineRule="auto"/>
              <w:rPr>
                <w:sz w:val="18"/>
                <w:szCs w:val="18"/>
              </w:rPr>
            </w:pPr>
            <w:r w:rsidRPr="008B68A9">
              <w:rPr>
                <w:sz w:val="18"/>
                <w:szCs w:val="18"/>
              </w:rPr>
              <w:t>Regression analysis at baseline and 9 month follow up,</w:t>
            </w:r>
          </w:p>
        </w:tc>
        <w:tc>
          <w:tcPr>
            <w:tcW w:w="3445" w:type="dxa"/>
          </w:tcPr>
          <w:p w14:paraId="0AA2D0A8" w14:textId="77777777" w:rsidR="008E4573" w:rsidRPr="008B68A9" w:rsidRDefault="008E4573" w:rsidP="00045396">
            <w:pPr>
              <w:spacing w:line="240" w:lineRule="auto"/>
              <w:rPr>
                <w:sz w:val="18"/>
                <w:szCs w:val="18"/>
              </w:rPr>
            </w:pPr>
            <w:r w:rsidRPr="008B68A9">
              <w:rPr>
                <w:sz w:val="18"/>
                <w:szCs w:val="18"/>
              </w:rPr>
              <w:t>No statistical differences between 11 indices of adverse health were found. Therefore one of the barriers to traditional services facilitating self-direction of worsening health status from consumer direction did not materialise.</w:t>
            </w:r>
          </w:p>
        </w:tc>
        <w:tc>
          <w:tcPr>
            <w:tcW w:w="2083" w:type="dxa"/>
          </w:tcPr>
          <w:p w14:paraId="232B74EE" w14:textId="19EBAFF7" w:rsidR="008E4573" w:rsidRPr="008B68A9" w:rsidRDefault="008E4573" w:rsidP="00A20D48">
            <w:pPr>
              <w:spacing w:line="240" w:lineRule="auto"/>
              <w:rPr>
                <w:sz w:val="18"/>
                <w:szCs w:val="18"/>
              </w:rPr>
            </w:pPr>
            <w:r w:rsidRPr="008B68A9">
              <w:rPr>
                <w:sz w:val="18"/>
                <w:szCs w:val="18"/>
              </w:rPr>
              <w:t xml:space="preserve">Used original outcome measures of cash and counseling. Rigorous use of statistically powered analysis. Majority of participants were low cost grouping (183 = 80%), with just over a 1/3, (n=39 = 17%), in high cost suggesting that the sample may be skewed. If not claimed Medicaid in previous 12 months </w:t>
            </w:r>
            <w:r w:rsidR="00A20D48" w:rsidRPr="008B68A9">
              <w:rPr>
                <w:sz w:val="18"/>
                <w:szCs w:val="18"/>
              </w:rPr>
              <w:t>was</w:t>
            </w:r>
            <w:r w:rsidRPr="008B68A9">
              <w:rPr>
                <w:sz w:val="18"/>
                <w:szCs w:val="18"/>
              </w:rPr>
              <w:t xml:space="preserve"> not included.</w:t>
            </w:r>
          </w:p>
        </w:tc>
      </w:tr>
      <w:tr w:rsidR="008E4573" w:rsidRPr="008B68A9" w14:paraId="11DF9434" w14:textId="77777777" w:rsidTr="00045396">
        <w:tc>
          <w:tcPr>
            <w:tcW w:w="1922" w:type="dxa"/>
          </w:tcPr>
          <w:p w14:paraId="6A38447E" w14:textId="77777777" w:rsidR="008E4573" w:rsidRPr="008B68A9" w:rsidRDefault="008E4573" w:rsidP="00045396">
            <w:pPr>
              <w:spacing w:line="240" w:lineRule="auto"/>
              <w:rPr>
                <w:b/>
                <w:sz w:val="18"/>
                <w:szCs w:val="18"/>
              </w:rPr>
            </w:pPr>
          </w:p>
        </w:tc>
        <w:tc>
          <w:tcPr>
            <w:tcW w:w="1479" w:type="dxa"/>
          </w:tcPr>
          <w:p w14:paraId="0BA87A1B" w14:textId="77777777" w:rsidR="008E4573" w:rsidRPr="008B68A9" w:rsidRDefault="008E4573" w:rsidP="00045396">
            <w:pPr>
              <w:spacing w:line="240" w:lineRule="auto"/>
              <w:rPr>
                <w:sz w:val="18"/>
                <w:szCs w:val="18"/>
              </w:rPr>
            </w:pPr>
          </w:p>
        </w:tc>
        <w:tc>
          <w:tcPr>
            <w:tcW w:w="1526" w:type="dxa"/>
          </w:tcPr>
          <w:p w14:paraId="5961199A" w14:textId="77777777" w:rsidR="008E4573" w:rsidRPr="008B68A9" w:rsidRDefault="008E4573" w:rsidP="00045396">
            <w:pPr>
              <w:spacing w:line="240" w:lineRule="auto"/>
              <w:rPr>
                <w:sz w:val="18"/>
                <w:szCs w:val="18"/>
              </w:rPr>
            </w:pPr>
          </w:p>
        </w:tc>
        <w:tc>
          <w:tcPr>
            <w:tcW w:w="2127" w:type="dxa"/>
          </w:tcPr>
          <w:p w14:paraId="7D2000D5" w14:textId="77777777" w:rsidR="008E4573" w:rsidRPr="008B68A9" w:rsidRDefault="008E4573" w:rsidP="00045396">
            <w:pPr>
              <w:spacing w:line="240" w:lineRule="auto"/>
              <w:rPr>
                <w:sz w:val="18"/>
                <w:szCs w:val="18"/>
              </w:rPr>
            </w:pPr>
          </w:p>
        </w:tc>
        <w:tc>
          <w:tcPr>
            <w:tcW w:w="1701" w:type="dxa"/>
          </w:tcPr>
          <w:p w14:paraId="4FCCEE0E" w14:textId="77777777" w:rsidR="008E4573" w:rsidRPr="008B68A9" w:rsidRDefault="008E4573" w:rsidP="00045396">
            <w:pPr>
              <w:spacing w:line="240" w:lineRule="auto"/>
              <w:rPr>
                <w:sz w:val="18"/>
                <w:szCs w:val="18"/>
              </w:rPr>
            </w:pPr>
          </w:p>
        </w:tc>
        <w:tc>
          <w:tcPr>
            <w:tcW w:w="3445" w:type="dxa"/>
          </w:tcPr>
          <w:p w14:paraId="03D56089" w14:textId="77777777" w:rsidR="008E4573" w:rsidRPr="008B68A9" w:rsidRDefault="008E4573" w:rsidP="00045396">
            <w:pPr>
              <w:spacing w:line="240" w:lineRule="auto"/>
              <w:rPr>
                <w:sz w:val="18"/>
                <w:szCs w:val="18"/>
              </w:rPr>
            </w:pPr>
          </w:p>
        </w:tc>
        <w:tc>
          <w:tcPr>
            <w:tcW w:w="2083" w:type="dxa"/>
          </w:tcPr>
          <w:p w14:paraId="2BE52C41" w14:textId="77777777" w:rsidR="008E4573" w:rsidRPr="008B68A9" w:rsidRDefault="008E4573" w:rsidP="00045396">
            <w:pPr>
              <w:spacing w:line="240" w:lineRule="auto"/>
              <w:rPr>
                <w:sz w:val="18"/>
                <w:szCs w:val="18"/>
              </w:rPr>
            </w:pPr>
          </w:p>
        </w:tc>
      </w:tr>
      <w:tr w:rsidR="008E4573" w:rsidRPr="008B68A9" w14:paraId="701626D2" w14:textId="77777777" w:rsidTr="00045396">
        <w:tc>
          <w:tcPr>
            <w:tcW w:w="1922" w:type="dxa"/>
          </w:tcPr>
          <w:p w14:paraId="49455985" w14:textId="77777777" w:rsidR="008E4573" w:rsidRPr="008B68A9" w:rsidRDefault="008E4573" w:rsidP="00045396">
            <w:pPr>
              <w:spacing w:line="240" w:lineRule="auto"/>
              <w:rPr>
                <w:b/>
                <w:sz w:val="18"/>
                <w:szCs w:val="18"/>
              </w:rPr>
            </w:pPr>
            <w:r w:rsidRPr="008B68A9">
              <w:rPr>
                <w:b/>
                <w:sz w:val="18"/>
                <w:szCs w:val="18"/>
              </w:rPr>
              <w:t>Spaulding-Givens 2011</w:t>
            </w:r>
          </w:p>
        </w:tc>
        <w:tc>
          <w:tcPr>
            <w:tcW w:w="1479" w:type="dxa"/>
          </w:tcPr>
          <w:p w14:paraId="048819DD" w14:textId="77777777" w:rsidR="008E4573" w:rsidRPr="008B68A9" w:rsidRDefault="008E4573" w:rsidP="00045396">
            <w:pPr>
              <w:spacing w:line="240" w:lineRule="auto"/>
              <w:rPr>
                <w:sz w:val="18"/>
                <w:szCs w:val="18"/>
              </w:rPr>
            </w:pPr>
            <w:r w:rsidRPr="008B68A9">
              <w:rPr>
                <w:sz w:val="18"/>
                <w:szCs w:val="18"/>
              </w:rPr>
              <w:t>Florida self-directed care participants.</w:t>
            </w:r>
          </w:p>
        </w:tc>
        <w:tc>
          <w:tcPr>
            <w:tcW w:w="1526" w:type="dxa"/>
          </w:tcPr>
          <w:p w14:paraId="7454DEE4" w14:textId="77777777" w:rsidR="008E4573" w:rsidRPr="008B68A9" w:rsidRDefault="008E4573" w:rsidP="00045396">
            <w:pPr>
              <w:spacing w:line="240" w:lineRule="auto"/>
              <w:rPr>
                <w:sz w:val="18"/>
                <w:szCs w:val="18"/>
              </w:rPr>
            </w:pPr>
            <w:r w:rsidRPr="008B68A9">
              <w:rPr>
                <w:sz w:val="18"/>
                <w:szCs w:val="18"/>
              </w:rPr>
              <w:t xml:space="preserve">N=80 </w:t>
            </w:r>
          </w:p>
        </w:tc>
        <w:tc>
          <w:tcPr>
            <w:tcW w:w="2127" w:type="dxa"/>
          </w:tcPr>
          <w:p w14:paraId="76F7C616" w14:textId="77777777" w:rsidR="008E4573" w:rsidRPr="008B68A9" w:rsidRDefault="008E4573" w:rsidP="00045396">
            <w:pPr>
              <w:spacing w:line="240" w:lineRule="auto"/>
              <w:rPr>
                <w:sz w:val="18"/>
                <w:szCs w:val="18"/>
              </w:rPr>
            </w:pPr>
            <w:r w:rsidRPr="008B68A9">
              <w:rPr>
                <w:sz w:val="18"/>
                <w:szCs w:val="18"/>
              </w:rPr>
              <w:t>Documentary review of Florida SDC users in service.</w:t>
            </w:r>
          </w:p>
        </w:tc>
        <w:tc>
          <w:tcPr>
            <w:tcW w:w="1701" w:type="dxa"/>
          </w:tcPr>
          <w:p w14:paraId="1A77448A" w14:textId="77777777" w:rsidR="008E4573" w:rsidRPr="008B68A9" w:rsidRDefault="008E4573" w:rsidP="00045396">
            <w:pPr>
              <w:spacing w:line="240" w:lineRule="auto"/>
              <w:rPr>
                <w:sz w:val="18"/>
                <w:szCs w:val="18"/>
              </w:rPr>
            </w:pPr>
            <w:r w:rsidRPr="008B68A9">
              <w:rPr>
                <w:sz w:val="18"/>
                <w:szCs w:val="18"/>
              </w:rPr>
              <w:t>Thematic analysis and quantitative descriptive data analysis.</w:t>
            </w:r>
          </w:p>
        </w:tc>
        <w:tc>
          <w:tcPr>
            <w:tcW w:w="3445" w:type="dxa"/>
          </w:tcPr>
          <w:p w14:paraId="6C8D1010" w14:textId="77777777" w:rsidR="008E4573" w:rsidRPr="008B68A9" w:rsidRDefault="008E4573" w:rsidP="00045396">
            <w:pPr>
              <w:spacing w:line="240" w:lineRule="auto"/>
              <w:rPr>
                <w:sz w:val="18"/>
                <w:szCs w:val="18"/>
              </w:rPr>
            </w:pPr>
            <w:r w:rsidRPr="008B68A9">
              <w:rPr>
                <w:sz w:val="18"/>
                <w:szCs w:val="18"/>
              </w:rPr>
              <w:t>Outcomes barriers and progress and service use rated by users SDC and recovery coaches.</w:t>
            </w:r>
          </w:p>
          <w:p w14:paraId="7AAE1CE9" w14:textId="77777777" w:rsidR="008E4573" w:rsidRPr="008B68A9" w:rsidRDefault="008E4573" w:rsidP="00045396">
            <w:pPr>
              <w:spacing w:line="240" w:lineRule="auto"/>
              <w:rPr>
                <w:sz w:val="18"/>
                <w:szCs w:val="18"/>
              </w:rPr>
            </w:pPr>
            <w:r w:rsidRPr="008B68A9">
              <w:rPr>
                <w:sz w:val="18"/>
                <w:szCs w:val="18"/>
              </w:rPr>
              <w:t>Goals: stability/wellness: independent living: services: happiness: symptom management: skills.</w:t>
            </w:r>
          </w:p>
          <w:p w14:paraId="04981474" w14:textId="77777777" w:rsidR="008E4573" w:rsidRPr="008B68A9" w:rsidRDefault="008E4573" w:rsidP="00045396">
            <w:pPr>
              <w:spacing w:line="240" w:lineRule="auto"/>
              <w:rPr>
                <w:sz w:val="18"/>
                <w:szCs w:val="18"/>
              </w:rPr>
            </w:pPr>
            <w:r w:rsidRPr="008B68A9">
              <w:rPr>
                <w:sz w:val="18"/>
                <w:szCs w:val="18"/>
              </w:rPr>
              <w:t>Also physical wellness and occupation/education.</w:t>
            </w:r>
          </w:p>
          <w:p w14:paraId="595558B7" w14:textId="77777777" w:rsidR="008E4573" w:rsidRPr="008B68A9" w:rsidRDefault="008E4573" w:rsidP="00045396">
            <w:pPr>
              <w:spacing w:line="240" w:lineRule="auto"/>
              <w:rPr>
                <w:sz w:val="18"/>
                <w:szCs w:val="18"/>
              </w:rPr>
            </w:pPr>
            <w:r w:rsidRPr="008B68A9">
              <w:rPr>
                <w:sz w:val="18"/>
                <w:szCs w:val="18"/>
              </w:rPr>
              <w:t xml:space="preserve">Internal and external resources identified: community: connection: </w:t>
            </w:r>
          </w:p>
          <w:p w14:paraId="3A39559F" w14:textId="77777777" w:rsidR="008E4573" w:rsidRPr="008B68A9" w:rsidRDefault="008E4573" w:rsidP="00045396">
            <w:pPr>
              <w:spacing w:line="240" w:lineRule="auto"/>
              <w:rPr>
                <w:sz w:val="18"/>
                <w:szCs w:val="18"/>
              </w:rPr>
            </w:pPr>
            <w:r w:rsidRPr="008B68A9">
              <w:rPr>
                <w:sz w:val="18"/>
                <w:szCs w:val="18"/>
              </w:rPr>
              <w:t>80% of SDC spend = non-traditional (welfare payment)</w:t>
            </w:r>
          </w:p>
          <w:p w14:paraId="4496993E" w14:textId="77777777" w:rsidR="008E4573" w:rsidRPr="008B68A9" w:rsidRDefault="008E4573" w:rsidP="00045396">
            <w:pPr>
              <w:spacing w:line="240" w:lineRule="auto"/>
              <w:rPr>
                <w:sz w:val="18"/>
                <w:szCs w:val="18"/>
              </w:rPr>
            </w:pPr>
            <w:r w:rsidRPr="008B68A9">
              <w:rPr>
                <w:sz w:val="18"/>
                <w:szCs w:val="18"/>
              </w:rPr>
              <w:t xml:space="preserve">“suggests inverse relationship between severity of participant’s symptomology and functionality and their total expenditures” (p135) as Freidman </w:t>
            </w:r>
            <w:r w:rsidRPr="008B68A9">
              <w:rPr>
                <w:i/>
                <w:sz w:val="18"/>
                <w:szCs w:val="18"/>
              </w:rPr>
              <w:t>et al.</w:t>
            </w:r>
            <w:r w:rsidRPr="008B68A9">
              <w:rPr>
                <w:sz w:val="18"/>
                <w:szCs w:val="18"/>
              </w:rPr>
              <w:t xml:space="preserve"> 2015.</w:t>
            </w:r>
          </w:p>
        </w:tc>
        <w:tc>
          <w:tcPr>
            <w:tcW w:w="2083" w:type="dxa"/>
          </w:tcPr>
          <w:p w14:paraId="6081A940" w14:textId="77777777" w:rsidR="008E4573" w:rsidRPr="008B68A9" w:rsidRDefault="008E4573" w:rsidP="00045396">
            <w:pPr>
              <w:spacing w:line="240" w:lineRule="auto"/>
              <w:rPr>
                <w:sz w:val="18"/>
                <w:szCs w:val="18"/>
              </w:rPr>
            </w:pPr>
            <w:r w:rsidRPr="008B68A9">
              <w:rPr>
                <w:sz w:val="18"/>
                <w:szCs w:val="18"/>
              </w:rPr>
              <w:t>Doctoral thesis.</w:t>
            </w:r>
          </w:p>
          <w:p w14:paraId="6946F243" w14:textId="77777777" w:rsidR="008E4573" w:rsidRPr="008B68A9" w:rsidRDefault="008E4573" w:rsidP="00045396">
            <w:pPr>
              <w:spacing w:line="240" w:lineRule="auto"/>
              <w:rPr>
                <w:sz w:val="18"/>
                <w:szCs w:val="18"/>
              </w:rPr>
            </w:pPr>
            <w:r w:rsidRPr="008B68A9">
              <w:rPr>
                <w:sz w:val="18"/>
                <w:szCs w:val="18"/>
              </w:rPr>
              <w:t>Patient orientated variables preferred over diagnostic medical orthodoxy.</w:t>
            </w:r>
          </w:p>
          <w:p w14:paraId="61C8D166" w14:textId="77777777" w:rsidR="008E4573" w:rsidRPr="008B68A9" w:rsidRDefault="008E4573" w:rsidP="00045396">
            <w:pPr>
              <w:spacing w:line="240" w:lineRule="auto"/>
              <w:rPr>
                <w:sz w:val="18"/>
                <w:szCs w:val="18"/>
              </w:rPr>
            </w:pPr>
            <w:r w:rsidRPr="008B68A9">
              <w:rPr>
                <w:sz w:val="18"/>
                <w:szCs w:val="18"/>
              </w:rPr>
              <w:t>Small sample for approach.</w:t>
            </w:r>
          </w:p>
        </w:tc>
      </w:tr>
      <w:tr w:rsidR="008E4573" w:rsidRPr="008B68A9" w14:paraId="69FBA994" w14:textId="77777777" w:rsidTr="00045396">
        <w:tc>
          <w:tcPr>
            <w:tcW w:w="1922" w:type="dxa"/>
          </w:tcPr>
          <w:p w14:paraId="1CDC2E4B" w14:textId="77777777" w:rsidR="008E4573" w:rsidRPr="008B68A9" w:rsidRDefault="008E4573" w:rsidP="00045396">
            <w:pPr>
              <w:spacing w:line="240" w:lineRule="auto"/>
              <w:rPr>
                <w:b/>
                <w:sz w:val="18"/>
                <w:szCs w:val="18"/>
              </w:rPr>
            </w:pPr>
          </w:p>
        </w:tc>
        <w:tc>
          <w:tcPr>
            <w:tcW w:w="1479" w:type="dxa"/>
          </w:tcPr>
          <w:p w14:paraId="45E8AB38" w14:textId="77777777" w:rsidR="008E4573" w:rsidRPr="008B68A9" w:rsidRDefault="008E4573" w:rsidP="00045396">
            <w:pPr>
              <w:spacing w:line="240" w:lineRule="auto"/>
              <w:rPr>
                <w:sz w:val="18"/>
                <w:szCs w:val="18"/>
              </w:rPr>
            </w:pPr>
          </w:p>
        </w:tc>
        <w:tc>
          <w:tcPr>
            <w:tcW w:w="1526" w:type="dxa"/>
          </w:tcPr>
          <w:p w14:paraId="09FD511F" w14:textId="77777777" w:rsidR="008E4573" w:rsidRPr="008B68A9" w:rsidRDefault="008E4573" w:rsidP="00045396">
            <w:pPr>
              <w:spacing w:line="240" w:lineRule="auto"/>
              <w:rPr>
                <w:sz w:val="18"/>
                <w:szCs w:val="18"/>
              </w:rPr>
            </w:pPr>
          </w:p>
        </w:tc>
        <w:tc>
          <w:tcPr>
            <w:tcW w:w="2127" w:type="dxa"/>
          </w:tcPr>
          <w:p w14:paraId="561DDA91" w14:textId="77777777" w:rsidR="008E4573" w:rsidRPr="008B68A9" w:rsidRDefault="008E4573" w:rsidP="00045396">
            <w:pPr>
              <w:spacing w:line="240" w:lineRule="auto"/>
              <w:rPr>
                <w:sz w:val="18"/>
                <w:szCs w:val="18"/>
              </w:rPr>
            </w:pPr>
          </w:p>
        </w:tc>
        <w:tc>
          <w:tcPr>
            <w:tcW w:w="1701" w:type="dxa"/>
          </w:tcPr>
          <w:p w14:paraId="5256D161" w14:textId="77777777" w:rsidR="008E4573" w:rsidRPr="008B68A9" w:rsidRDefault="008E4573" w:rsidP="00045396">
            <w:pPr>
              <w:spacing w:line="240" w:lineRule="auto"/>
              <w:rPr>
                <w:sz w:val="18"/>
                <w:szCs w:val="18"/>
              </w:rPr>
            </w:pPr>
          </w:p>
        </w:tc>
        <w:tc>
          <w:tcPr>
            <w:tcW w:w="3445" w:type="dxa"/>
          </w:tcPr>
          <w:p w14:paraId="67AB54DF" w14:textId="77777777" w:rsidR="008E4573" w:rsidRPr="008B68A9" w:rsidRDefault="008E4573" w:rsidP="00045396">
            <w:pPr>
              <w:spacing w:line="240" w:lineRule="auto"/>
              <w:rPr>
                <w:sz w:val="18"/>
                <w:szCs w:val="18"/>
              </w:rPr>
            </w:pPr>
          </w:p>
        </w:tc>
        <w:tc>
          <w:tcPr>
            <w:tcW w:w="2083" w:type="dxa"/>
          </w:tcPr>
          <w:p w14:paraId="32E3D8A9" w14:textId="77777777" w:rsidR="008E4573" w:rsidRPr="008B68A9" w:rsidRDefault="008E4573" w:rsidP="00045396">
            <w:pPr>
              <w:spacing w:line="240" w:lineRule="auto"/>
              <w:rPr>
                <w:sz w:val="18"/>
                <w:szCs w:val="18"/>
              </w:rPr>
            </w:pPr>
          </w:p>
        </w:tc>
      </w:tr>
      <w:tr w:rsidR="008E4573" w:rsidRPr="008B68A9" w14:paraId="3E96E725" w14:textId="77777777" w:rsidTr="00045396">
        <w:tc>
          <w:tcPr>
            <w:tcW w:w="1922" w:type="dxa"/>
          </w:tcPr>
          <w:p w14:paraId="76A578F7" w14:textId="77777777" w:rsidR="008E4573" w:rsidRPr="008B68A9" w:rsidRDefault="008E4573" w:rsidP="00045396">
            <w:pPr>
              <w:spacing w:line="240" w:lineRule="auto"/>
              <w:rPr>
                <w:b/>
                <w:sz w:val="18"/>
                <w:szCs w:val="18"/>
              </w:rPr>
            </w:pPr>
            <w:r w:rsidRPr="008B68A9">
              <w:rPr>
                <w:b/>
                <w:sz w:val="18"/>
                <w:szCs w:val="18"/>
              </w:rPr>
              <w:t>Spaulding-Givens and Lacasse 2015</w:t>
            </w:r>
          </w:p>
        </w:tc>
        <w:tc>
          <w:tcPr>
            <w:tcW w:w="1479" w:type="dxa"/>
          </w:tcPr>
          <w:p w14:paraId="451E92A4" w14:textId="77777777" w:rsidR="008E4573" w:rsidRPr="008B68A9" w:rsidRDefault="008E4573" w:rsidP="00045396">
            <w:pPr>
              <w:spacing w:line="240" w:lineRule="auto"/>
              <w:rPr>
                <w:sz w:val="18"/>
                <w:szCs w:val="18"/>
              </w:rPr>
            </w:pPr>
            <w:r w:rsidRPr="008B68A9">
              <w:rPr>
                <w:sz w:val="18"/>
                <w:szCs w:val="18"/>
              </w:rPr>
              <w:t>Florida self-directed care participants.</w:t>
            </w:r>
          </w:p>
        </w:tc>
        <w:tc>
          <w:tcPr>
            <w:tcW w:w="1526" w:type="dxa"/>
          </w:tcPr>
          <w:p w14:paraId="40EC819C" w14:textId="77777777" w:rsidR="008E4573" w:rsidRPr="008B68A9" w:rsidRDefault="008E4573" w:rsidP="00045396">
            <w:pPr>
              <w:spacing w:line="240" w:lineRule="auto"/>
              <w:rPr>
                <w:sz w:val="18"/>
                <w:szCs w:val="18"/>
              </w:rPr>
            </w:pPr>
            <w:r w:rsidRPr="008B68A9">
              <w:rPr>
                <w:color w:val="000000"/>
                <w:sz w:val="18"/>
                <w:szCs w:val="18"/>
              </w:rPr>
              <w:t>n=136 SDC users</w:t>
            </w:r>
          </w:p>
        </w:tc>
        <w:tc>
          <w:tcPr>
            <w:tcW w:w="2127" w:type="dxa"/>
          </w:tcPr>
          <w:p w14:paraId="4C3503F4" w14:textId="77777777" w:rsidR="008E4573" w:rsidRPr="008B68A9" w:rsidRDefault="008E4573" w:rsidP="00045396">
            <w:pPr>
              <w:spacing w:line="240" w:lineRule="auto"/>
              <w:rPr>
                <w:sz w:val="18"/>
                <w:szCs w:val="18"/>
              </w:rPr>
            </w:pPr>
            <w:r w:rsidRPr="008B68A9">
              <w:rPr>
                <w:sz w:val="18"/>
                <w:szCs w:val="18"/>
              </w:rPr>
              <w:t>Demographic, service access, budget spend data service users, (past and current), life analysis document.</w:t>
            </w:r>
          </w:p>
        </w:tc>
        <w:tc>
          <w:tcPr>
            <w:tcW w:w="1701" w:type="dxa"/>
          </w:tcPr>
          <w:p w14:paraId="28E59004" w14:textId="77777777" w:rsidR="008E4573" w:rsidRPr="008B68A9" w:rsidRDefault="008E4573" w:rsidP="00045396">
            <w:pPr>
              <w:spacing w:line="240" w:lineRule="auto"/>
              <w:rPr>
                <w:sz w:val="18"/>
                <w:szCs w:val="18"/>
              </w:rPr>
            </w:pPr>
            <w:r w:rsidRPr="008B68A9">
              <w:rPr>
                <w:sz w:val="18"/>
                <w:szCs w:val="18"/>
              </w:rPr>
              <w:t>Naturalistic</w:t>
            </w:r>
          </w:p>
          <w:p w14:paraId="09D2C445" w14:textId="77777777" w:rsidR="008E4573" w:rsidRPr="008B68A9" w:rsidRDefault="008E4573" w:rsidP="00045396">
            <w:pPr>
              <w:spacing w:line="240" w:lineRule="auto"/>
              <w:rPr>
                <w:sz w:val="18"/>
                <w:szCs w:val="18"/>
              </w:rPr>
            </w:pPr>
            <w:r w:rsidRPr="008B68A9">
              <w:rPr>
                <w:sz w:val="18"/>
                <w:szCs w:val="18"/>
              </w:rPr>
              <w:t>descriptive study Functional Assessment</w:t>
            </w:r>
          </w:p>
          <w:p w14:paraId="75C0443C" w14:textId="77777777" w:rsidR="008E4573" w:rsidRPr="008B68A9" w:rsidRDefault="008E4573" w:rsidP="00045396">
            <w:pPr>
              <w:spacing w:line="240" w:lineRule="auto"/>
              <w:rPr>
                <w:sz w:val="18"/>
                <w:szCs w:val="18"/>
              </w:rPr>
            </w:pPr>
            <w:r w:rsidRPr="008B68A9">
              <w:rPr>
                <w:sz w:val="18"/>
                <w:szCs w:val="18"/>
              </w:rPr>
              <w:t>Rating Scale (FARS) scores, days in the community, days worked, monthly income, discharge status.</w:t>
            </w:r>
          </w:p>
        </w:tc>
        <w:tc>
          <w:tcPr>
            <w:tcW w:w="3445" w:type="dxa"/>
          </w:tcPr>
          <w:p w14:paraId="6C06A256" w14:textId="77777777" w:rsidR="008E4573" w:rsidRPr="008B68A9" w:rsidRDefault="008E4573" w:rsidP="00045396">
            <w:pPr>
              <w:spacing w:line="240" w:lineRule="auto"/>
              <w:rPr>
                <w:sz w:val="18"/>
                <w:szCs w:val="18"/>
              </w:rPr>
            </w:pPr>
            <w:r w:rsidRPr="008B68A9">
              <w:rPr>
                <w:sz w:val="18"/>
                <w:szCs w:val="18"/>
              </w:rPr>
              <w:t>Majority of SDC users reported having a severe MH problem.</w:t>
            </w:r>
          </w:p>
          <w:p w14:paraId="558EB6DA" w14:textId="77777777" w:rsidR="008E4573" w:rsidRPr="008B68A9" w:rsidRDefault="008E4573" w:rsidP="00045396">
            <w:pPr>
              <w:spacing w:line="240" w:lineRule="auto"/>
              <w:rPr>
                <w:sz w:val="18"/>
                <w:szCs w:val="18"/>
              </w:rPr>
            </w:pPr>
            <w:r w:rsidRPr="008B68A9">
              <w:rPr>
                <w:sz w:val="18"/>
                <w:szCs w:val="18"/>
              </w:rPr>
              <w:t xml:space="preserve">Participants remained in community with no detriment to their FARs, though most remained unemployed. </w:t>
            </w:r>
          </w:p>
          <w:p w14:paraId="5F099B8A" w14:textId="77777777" w:rsidR="008E4573" w:rsidRPr="008B68A9" w:rsidRDefault="008E4573" w:rsidP="00045396">
            <w:pPr>
              <w:spacing w:line="240" w:lineRule="auto"/>
              <w:rPr>
                <w:sz w:val="18"/>
                <w:szCs w:val="18"/>
              </w:rPr>
            </w:pPr>
          </w:p>
          <w:p w14:paraId="0EA0EEE1" w14:textId="77777777" w:rsidR="008E4573" w:rsidRPr="008B68A9" w:rsidRDefault="008E4573" w:rsidP="00045396">
            <w:pPr>
              <w:spacing w:line="240" w:lineRule="auto"/>
              <w:rPr>
                <w:sz w:val="18"/>
                <w:szCs w:val="18"/>
              </w:rPr>
            </w:pPr>
            <w:r w:rsidRPr="008B68A9">
              <w:rPr>
                <w:sz w:val="18"/>
                <w:szCs w:val="18"/>
              </w:rPr>
              <w:t>80% ($155,096.12) total expenditures non-traditional goods and services, (</w:t>
            </w:r>
            <w:r w:rsidRPr="008B68A9">
              <w:rPr>
                <w:rFonts w:cs="TimesNewRomanPSMT"/>
                <w:sz w:val="18"/>
                <w:szCs w:val="18"/>
              </w:rPr>
              <w:t>transportation, housing, and utilities.)</w:t>
            </w:r>
            <w:r w:rsidRPr="008B68A9">
              <w:rPr>
                <w:sz w:val="18"/>
                <w:szCs w:val="18"/>
              </w:rPr>
              <w:t xml:space="preserve"> Florida SDC is a payer-of-last resort and spend patterns understandable given relative poverty of most participants.</w:t>
            </w:r>
          </w:p>
          <w:p w14:paraId="4EF8D6E0" w14:textId="77777777" w:rsidR="008E4573" w:rsidRPr="008B68A9" w:rsidRDefault="008E4573" w:rsidP="00045396">
            <w:pPr>
              <w:spacing w:line="240" w:lineRule="auto"/>
              <w:rPr>
                <w:sz w:val="18"/>
                <w:szCs w:val="18"/>
              </w:rPr>
            </w:pPr>
            <w:r w:rsidRPr="008B68A9">
              <w:rPr>
                <w:sz w:val="18"/>
                <w:szCs w:val="18"/>
              </w:rPr>
              <w:t>Poverty and recovery correspond, though SDC as welfare payment is problematic.</w:t>
            </w:r>
          </w:p>
        </w:tc>
        <w:tc>
          <w:tcPr>
            <w:tcW w:w="2083" w:type="dxa"/>
          </w:tcPr>
          <w:p w14:paraId="3B581E80" w14:textId="77777777" w:rsidR="008E4573" w:rsidRPr="008B68A9" w:rsidRDefault="008E4573" w:rsidP="00045396">
            <w:pPr>
              <w:spacing w:line="240" w:lineRule="auto"/>
              <w:rPr>
                <w:sz w:val="18"/>
                <w:szCs w:val="18"/>
              </w:rPr>
            </w:pPr>
            <w:r w:rsidRPr="008B68A9">
              <w:rPr>
                <w:sz w:val="18"/>
                <w:szCs w:val="18"/>
              </w:rPr>
              <w:t>Small-scale and not systematic. Uses service records as data, though highlights the use of SDC as financial subsidy to overcome poverty rather than a mental health intervention.</w:t>
            </w:r>
          </w:p>
        </w:tc>
      </w:tr>
      <w:tr w:rsidR="008E4573" w:rsidRPr="008B68A9" w14:paraId="6678E48C" w14:textId="77777777" w:rsidTr="00045396">
        <w:tc>
          <w:tcPr>
            <w:tcW w:w="1922" w:type="dxa"/>
          </w:tcPr>
          <w:p w14:paraId="3E2E5DB1" w14:textId="77777777" w:rsidR="008E4573" w:rsidRPr="008B68A9" w:rsidRDefault="008E4573" w:rsidP="00045396">
            <w:pPr>
              <w:spacing w:line="240" w:lineRule="auto"/>
              <w:rPr>
                <w:b/>
                <w:sz w:val="18"/>
                <w:szCs w:val="18"/>
              </w:rPr>
            </w:pPr>
          </w:p>
        </w:tc>
        <w:tc>
          <w:tcPr>
            <w:tcW w:w="1479" w:type="dxa"/>
          </w:tcPr>
          <w:p w14:paraId="13CD34AF" w14:textId="77777777" w:rsidR="008E4573" w:rsidRPr="008B68A9" w:rsidRDefault="008E4573" w:rsidP="00045396">
            <w:pPr>
              <w:spacing w:line="240" w:lineRule="auto"/>
              <w:rPr>
                <w:sz w:val="18"/>
                <w:szCs w:val="18"/>
              </w:rPr>
            </w:pPr>
          </w:p>
        </w:tc>
        <w:tc>
          <w:tcPr>
            <w:tcW w:w="1526" w:type="dxa"/>
          </w:tcPr>
          <w:p w14:paraId="426AC7D5" w14:textId="77777777" w:rsidR="008E4573" w:rsidRPr="008B68A9" w:rsidRDefault="008E4573" w:rsidP="00045396">
            <w:pPr>
              <w:spacing w:line="240" w:lineRule="auto"/>
              <w:rPr>
                <w:color w:val="000000"/>
                <w:sz w:val="18"/>
                <w:szCs w:val="18"/>
              </w:rPr>
            </w:pPr>
          </w:p>
        </w:tc>
        <w:tc>
          <w:tcPr>
            <w:tcW w:w="2127" w:type="dxa"/>
          </w:tcPr>
          <w:p w14:paraId="1581214E" w14:textId="77777777" w:rsidR="008E4573" w:rsidRPr="008B68A9" w:rsidRDefault="008E4573" w:rsidP="00045396">
            <w:pPr>
              <w:spacing w:line="240" w:lineRule="auto"/>
              <w:rPr>
                <w:sz w:val="18"/>
                <w:szCs w:val="18"/>
              </w:rPr>
            </w:pPr>
          </w:p>
        </w:tc>
        <w:tc>
          <w:tcPr>
            <w:tcW w:w="1701" w:type="dxa"/>
          </w:tcPr>
          <w:p w14:paraId="15E76888" w14:textId="77777777" w:rsidR="008E4573" w:rsidRPr="008B68A9" w:rsidRDefault="008E4573" w:rsidP="00045396">
            <w:pPr>
              <w:spacing w:line="240" w:lineRule="auto"/>
              <w:rPr>
                <w:sz w:val="18"/>
                <w:szCs w:val="18"/>
              </w:rPr>
            </w:pPr>
          </w:p>
        </w:tc>
        <w:tc>
          <w:tcPr>
            <w:tcW w:w="3445" w:type="dxa"/>
          </w:tcPr>
          <w:p w14:paraId="69A1EFE9" w14:textId="77777777" w:rsidR="008E4573" w:rsidRPr="008B68A9" w:rsidRDefault="008E4573" w:rsidP="00045396">
            <w:pPr>
              <w:spacing w:line="240" w:lineRule="auto"/>
              <w:rPr>
                <w:sz w:val="18"/>
                <w:szCs w:val="18"/>
              </w:rPr>
            </w:pPr>
          </w:p>
        </w:tc>
        <w:tc>
          <w:tcPr>
            <w:tcW w:w="2083" w:type="dxa"/>
          </w:tcPr>
          <w:p w14:paraId="047DBAEE" w14:textId="77777777" w:rsidR="008E4573" w:rsidRPr="008B68A9" w:rsidRDefault="008E4573" w:rsidP="00045396">
            <w:pPr>
              <w:spacing w:line="240" w:lineRule="auto"/>
              <w:rPr>
                <w:sz w:val="18"/>
                <w:szCs w:val="18"/>
              </w:rPr>
            </w:pPr>
          </w:p>
        </w:tc>
      </w:tr>
      <w:tr w:rsidR="008E4573" w:rsidRPr="008B68A9" w14:paraId="7361CBB2" w14:textId="77777777" w:rsidTr="00045396">
        <w:tc>
          <w:tcPr>
            <w:tcW w:w="1922" w:type="dxa"/>
          </w:tcPr>
          <w:p w14:paraId="46E4AF84" w14:textId="77777777" w:rsidR="008E4573" w:rsidRPr="008B68A9" w:rsidRDefault="008E4573" w:rsidP="00045396">
            <w:pPr>
              <w:spacing w:line="240" w:lineRule="auto"/>
              <w:rPr>
                <w:b/>
                <w:sz w:val="18"/>
                <w:szCs w:val="18"/>
              </w:rPr>
            </w:pPr>
            <w:r w:rsidRPr="008B68A9">
              <w:rPr>
                <w:b/>
                <w:sz w:val="18"/>
                <w:szCs w:val="18"/>
              </w:rPr>
              <w:t>Sullivan 2006</w:t>
            </w:r>
          </w:p>
        </w:tc>
        <w:tc>
          <w:tcPr>
            <w:tcW w:w="1479" w:type="dxa"/>
          </w:tcPr>
          <w:p w14:paraId="4E2E40EE" w14:textId="77777777" w:rsidR="008E4573" w:rsidRPr="008B68A9" w:rsidRDefault="008E4573" w:rsidP="00045396">
            <w:pPr>
              <w:spacing w:line="240" w:lineRule="auto"/>
              <w:rPr>
                <w:sz w:val="18"/>
                <w:szCs w:val="18"/>
              </w:rPr>
            </w:pPr>
            <w:r w:rsidRPr="008B68A9">
              <w:rPr>
                <w:sz w:val="18"/>
                <w:szCs w:val="18"/>
              </w:rPr>
              <w:t>People with mental health problems accessing peer-led broker support in US.</w:t>
            </w:r>
          </w:p>
          <w:p w14:paraId="5F7DCC77" w14:textId="77777777" w:rsidR="008E4573" w:rsidRPr="008B68A9" w:rsidRDefault="008E4573" w:rsidP="00045396">
            <w:pPr>
              <w:spacing w:line="240" w:lineRule="auto"/>
              <w:rPr>
                <w:sz w:val="18"/>
                <w:szCs w:val="18"/>
              </w:rPr>
            </w:pPr>
          </w:p>
        </w:tc>
        <w:tc>
          <w:tcPr>
            <w:tcW w:w="1526" w:type="dxa"/>
          </w:tcPr>
          <w:p w14:paraId="7819E18B" w14:textId="77777777" w:rsidR="008E4573" w:rsidRPr="008B68A9" w:rsidRDefault="008E4573" w:rsidP="00045396">
            <w:pPr>
              <w:spacing w:line="240" w:lineRule="auto"/>
              <w:rPr>
                <w:sz w:val="18"/>
                <w:szCs w:val="18"/>
              </w:rPr>
            </w:pPr>
            <w:r w:rsidRPr="008B68A9">
              <w:rPr>
                <w:sz w:val="18"/>
                <w:szCs w:val="18"/>
              </w:rPr>
              <w:t>n=26 user respondents</w:t>
            </w:r>
          </w:p>
          <w:p w14:paraId="13EE9C6B" w14:textId="77777777" w:rsidR="008E4573" w:rsidRPr="008B68A9" w:rsidRDefault="008E4573" w:rsidP="00045396">
            <w:pPr>
              <w:spacing w:line="240" w:lineRule="auto"/>
              <w:rPr>
                <w:sz w:val="18"/>
                <w:szCs w:val="18"/>
              </w:rPr>
            </w:pPr>
          </w:p>
        </w:tc>
        <w:tc>
          <w:tcPr>
            <w:tcW w:w="2127" w:type="dxa"/>
          </w:tcPr>
          <w:p w14:paraId="43F35F5B" w14:textId="77777777" w:rsidR="008E4573" w:rsidRPr="008B68A9" w:rsidRDefault="008E4573" w:rsidP="00045396">
            <w:pPr>
              <w:spacing w:line="240" w:lineRule="auto"/>
              <w:rPr>
                <w:sz w:val="18"/>
                <w:szCs w:val="18"/>
              </w:rPr>
            </w:pPr>
            <w:r w:rsidRPr="008B68A9">
              <w:rPr>
                <w:sz w:val="18"/>
                <w:szCs w:val="18"/>
              </w:rPr>
              <w:t>1 Service quality and outcome evaluation of current mental health services tool.</w:t>
            </w:r>
          </w:p>
          <w:p w14:paraId="6A9DFF85" w14:textId="77777777" w:rsidR="008E4573" w:rsidRPr="008B68A9" w:rsidRDefault="008E4573" w:rsidP="00045396">
            <w:pPr>
              <w:spacing w:line="240" w:lineRule="auto"/>
              <w:rPr>
                <w:sz w:val="18"/>
                <w:szCs w:val="18"/>
              </w:rPr>
            </w:pPr>
            <w:r w:rsidRPr="008B68A9">
              <w:rPr>
                <w:sz w:val="18"/>
                <w:szCs w:val="18"/>
              </w:rPr>
              <w:t xml:space="preserve">2 Service quality and outcome evaluation of </w:t>
            </w:r>
          </w:p>
          <w:p w14:paraId="4A608CDF" w14:textId="77777777" w:rsidR="008E4573" w:rsidRPr="008B68A9" w:rsidRDefault="008E4573" w:rsidP="00045396">
            <w:pPr>
              <w:spacing w:line="240" w:lineRule="auto"/>
              <w:rPr>
                <w:sz w:val="18"/>
                <w:szCs w:val="18"/>
              </w:rPr>
            </w:pPr>
            <w:r w:rsidRPr="008B68A9">
              <w:rPr>
                <w:sz w:val="18"/>
                <w:szCs w:val="18"/>
              </w:rPr>
              <w:t>Empowerment Initiatives Brokerage.</w:t>
            </w:r>
          </w:p>
          <w:p w14:paraId="75093501" w14:textId="77777777" w:rsidR="008E4573" w:rsidRPr="008B68A9" w:rsidRDefault="008E4573" w:rsidP="00045396">
            <w:pPr>
              <w:spacing w:line="240" w:lineRule="auto"/>
              <w:rPr>
                <w:sz w:val="18"/>
                <w:szCs w:val="18"/>
              </w:rPr>
            </w:pPr>
            <w:r w:rsidRPr="008B68A9">
              <w:rPr>
                <w:sz w:val="18"/>
                <w:szCs w:val="18"/>
              </w:rPr>
              <w:t>3 Empowerment Initiatives Brokerage, Service Quality and</w:t>
            </w:r>
          </w:p>
          <w:p w14:paraId="7D435A13" w14:textId="77777777" w:rsidR="008E4573" w:rsidRPr="008B68A9" w:rsidRDefault="008E4573" w:rsidP="00045396">
            <w:pPr>
              <w:spacing w:line="240" w:lineRule="auto"/>
              <w:rPr>
                <w:sz w:val="18"/>
                <w:szCs w:val="18"/>
              </w:rPr>
            </w:pPr>
            <w:r w:rsidRPr="008B68A9">
              <w:rPr>
                <w:sz w:val="18"/>
                <w:szCs w:val="18"/>
              </w:rPr>
              <w:t>Outcome Evaluation.</w:t>
            </w:r>
          </w:p>
          <w:p w14:paraId="1BE38EB4" w14:textId="77777777" w:rsidR="008E4573" w:rsidRPr="008B68A9" w:rsidRDefault="008E4573" w:rsidP="00045396">
            <w:pPr>
              <w:spacing w:line="240" w:lineRule="auto"/>
              <w:rPr>
                <w:sz w:val="18"/>
                <w:szCs w:val="18"/>
              </w:rPr>
            </w:pPr>
            <w:r w:rsidRPr="008B68A9">
              <w:rPr>
                <w:sz w:val="18"/>
                <w:szCs w:val="18"/>
              </w:rPr>
              <w:t>At 3 month intervals.</w:t>
            </w:r>
          </w:p>
        </w:tc>
        <w:tc>
          <w:tcPr>
            <w:tcW w:w="1701" w:type="dxa"/>
          </w:tcPr>
          <w:p w14:paraId="03E6565A" w14:textId="77777777" w:rsidR="008E4573" w:rsidRPr="008B68A9" w:rsidRDefault="008E4573" w:rsidP="00045396">
            <w:pPr>
              <w:spacing w:line="240" w:lineRule="auto"/>
              <w:rPr>
                <w:sz w:val="18"/>
                <w:szCs w:val="18"/>
              </w:rPr>
            </w:pPr>
            <w:r w:rsidRPr="008B68A9">
              <w:rPr>
                <w:sz w:val="18"/>
                <w:szCs w:val="18"/>
              </w:rPr>
              <w:t>Descriptive analysis of quantitative data</w:t>
            </w:r>
          </w:p>
        </w:tc>
        <w:tc>
          <w:tcPr>
            <w:tcW w:w="3445" w:type="dxa"/>
          </w:tcPr>
          <w:p w14:paraId="368B6EB2" w14:textId="77777777" w:rsidR="008E4573" w:rsidRPr="008B68A9" w:rsidRDefault="008E4573" w:rsidP="00045396">
            <w:pPr>
              <w:spacing w:line="240" w:lineRule="auto"/>
              <w:rPr>
                <w:sz w:val="18"/>
                <w:szCs w:val="18"/>
              </w:rPr>
            </w:pPr>
            <w:r w:rsidRPr="008B68A9">
              <w:rPr>
                <w:sz w:val="18"/>
                <w:szCs w:val="18"/>
              </w:rPr>
              <w:t>Most respondents reported gains at final point from baseline in.</w:t>
            </w:r>
          </w:p>
          <w:p w14:paraId="1E227EC1" w14:textId="77777777" w:rsidR="008E4573" w:rsidRPr="008B68A9" w:rsidRDefault="008E4573" w:rsidP="00045396">
            <w:pPr>
              <w:spacing w:line="240" w:lineRule="auto"/>
              <w:rPr>
                <w:sz w:val="18"/>
                <w:szCs w:val="18"/>
              </w:rPr>
            </w:pPr>
            <w:r w:rsidRPr="008B68A9">
              <w:rPr>
                <w:sz w:val="18"/>
                <w:szCs w:val="18"/>
              </w:rPr>
              <w:t>Staff help, goal attainment and planning processes, individual empowerment.</w:t>
            </w:r>
          </w:p>
          <w:p w14:paraId="2C656EA8" w14:textId="77777777" w:rsidR="008E4573" w:rsidRPr="008B68A9" w:rsidRDefault="008E4573" w:rsidP="00045396">
            <w:pPr>
              <w:spacing w:line="240" w:lineRule="auto"/>
              <w:rPr>
                <w:sz w:val="18"/>
                <w:szCs w:val="18"/>
              </w:rPr>
            </w:pPr>
            <w:r w:rsidRPr="008B68A9">
              <w:rPr>
                <w:sz w:val="18"/>
                <w:szCs w:val="18"/>
              </w:rPr>
              <w:t xml:space="preserve">An increase of 1/3 in formal education from baseline. </w:t>
            </w:r>
          </w:p>
        </w:tc>
        <w:tc>
          <w:tcPr>
            <w:tcW w:w="2083" w:type="dxa"/>
          </w:tcPr>
          <w:p w14:paraId="4A52F3E1" w14:textId="77777777" w:rsidR="008E4573" w:rsidRPr="008B68A9" w:rsidRDefault="008E4573" w:rsidP="00045396">
            <w:pPr>
              <w:spacing w:line="240" w:lineRule="auto"/>
              <w:rPr>
                <w:sz w:val="18"/>
                <w:szCs w:val="18"/>
              </w:rPr>
            </w:pPr>
            <w:r w:rsidRPr="008B68A9">
              <w:rPr>
                <w:sz w:val="18"/>
                <w:szCs w:val="18"/>
              </w:rPr>
              <w:t>Small sample group.</w:t>
            </w:r>
          </w:p>
          <w:p w14:paraId="6B62D833" w14:textId="77777777" w:rsidR="008E4573" w:rsidRPr="008B68A9" w:rsidRDefault="008E4573" w:rsidP="00045396">
            <w:pPr>
              <w:spacing w:line="240" w:lineRule="auto"/>
              <w:rPr>
                <w:sz w:val="18"/>
                <w:szCs w:val="18"/>
              </w:rPr>
            </w:pPr>
            <w:r w:rsidRPr="008B68A9">
              <w:rPr>
                <w:sz w:val="18"/>
                <w:szCs w:val="18"/>
              </w:rPr>
              <w:t>Non-standardised questionnaire.</w:t>
            </w:r>
          </w:p>
          <w:p w14:paraId="4A0D1815" w14:textId="77777777" w:rsidR="008E4573" w:rsidRPr="008B68A9" w:rsidRDefault="008E4573" w:rsidP="00045396">
            <w:pPr>
              <w:spacing w:line="240" w:lineRule="auto"/>
              <w:rPr>
                <w:sz w:val="18"/>
                <w:szCs w:val="18"/>
              </w:rPr>
            </w:pPr>
            <w:r w:rsidRPr="008B68A9">
              <w:rPr>
                <w:sz w:val="18"/>
                <w:szCs w:val="18"/>
              </w:rPr>
              <w:t>Reported by some as 80% increase in employment and 83% in education, but very small sample.</w:t>
            </w:r>
          </w:p>
        </w:tc>
      </w:tr>
      <w:tr w:rsidR="008E4573" w:rsidRPr="008B68A9" w14:paraId="7401A42D" w14:textId="77777777" w:rsidTr="00045396">
        <w:tc>
          <w:tcPr>
            <w:tcW w:w="1922" w:type="dxa"/>
          </w:tcPr>
          <w:p w14:paraId="09D0655A" w14:textId="77777777" w:rsidR="008E4573" w:rsidRPr="008B68A9" w:rsidRDefault="008E4573" w:rsidP="00045396">
            <w:pPr>
              <w:spacing w:line="240" w:lineRule="auto"/>
              <w:rPr>
                <w:b/>
                <w:sz w:val="18"/>
                <w:szCs w:val="18"/>
              </w:rPr>
            </w:pPr>
          </w:p>
        </w:tc>
        <w:tc>
          <w:tcPr>
            <w:tcW w:w="1479" w:type="dxa"/>
          </w:tcPr>
          <w:p w14:paraId="1ACCE093" w14:textId="77777777" w:rsidR="008E4573" w:rsidRPr="008B68A9" w:rsidRDefault="008E4573" w:rsidP="00045396">
            <w:pPr>
              <w:spacing w:line="240" w:lineRule="auto"/>
              <w:rPr>
                <w:sz w:val="18"/>
                <w:szCs w:val="18"/>
              </w:rPr>
            </w:pPr>
          </w:p>
        </w:tc>
        <w:tc>
          <w:tcPr>
            <w:tcW w:w="1526" w:type="dxa"/>
          </w:tcPr>
          <w:p w14:paraId="40D027B1" w14:textId="77777777" w:rsidR="008E4573" w:rsidRPr="008B68A9" w:rsidRDefault="008E4573" w:rsidP="00045396">
            <w:pPr>
              <w:spacing w:line="240" w:lineRule="auto"/>
              <w:rPr>
                <w:sz w:val="18"/>
                <w:szCs w:val="18"/>
              </w:rPr>
            </w:pPr>
          </w:p>
        </w:tc>
        <w:tc>
          <w:tcPr>
            <w:tcW w:w="2127" w:type="dxa"/>
          </w:tcPr>
          <w:p w14:paraId="0C8F854D" w14:textId="77777777" w:rsidR="008E4573" w:rsidRPr="008B68A9" w:rsidRDefault="008E4573" w:rsidP="00045396">
            <w:pPr>
              <w:spacing w:line="240" w:lineRule="auto"/>
              <w:rPr>
                <w:sz w:val="18"/>
                <w:szCs w:val="18"/>
              </w:rPr>
            </w:pPr>
          </w:p>
        </w:tc>
        <w:tc>
          <w:tcPr>
            <w:tcW w:w="1701" w:type="dxa"/>
          </w:tcPr>
          <w:p w14:paraId="78F97FD6" w14:textId="77777777" w:rsidR="008E4573" w:rsidRPr="008B68A9" w:rsidRDefault="008E4573" w:rsidP="00045396">
            <w:pPr>
              <w:spacing w:line="240" w:lineRule="auto"/>
              <w:rPr>
                <w:sz w:val="18"/>
                <w:szCs w:val="18"/>
              </w:rPr>
            </w:pPr>
          </w:p>
        </w:tc>
        <w:tc>
          <w:tcPr>
            <w:tcW w:w="3445" w:type="dxa"/>
          </w:tcPr>
          <w:p w14:paraId="16AA1CAC" w14:textId="77777777" w:rsidR="008E4573" w:rsidRPr="008B68A9" w:rsidRDefault="008E4573" w:rsidP="00045396">
            <w:pPr>
              <w:spacing w:line="240" w:lineRule="auto"/>
              <w:rPr>
                <w:sz w:val="18"/>
                <w:szCs w:val="18"/>
              </w:rPr>
            </w:pPr>
          </w:p>
        </w:tc>
        <w:tc>
          <w:tcPr>
            <w:tcW w:w="2083" w:type="dxa"/>
          </w:tcPr>
          <w:p w14:paraId="171AA391" w14:textId="77777777" w:rsidR="008E4573" w:rsidRPr="008B68A9" w:rsidRDefault="008E4573" w:rsidP="00045396">
            <w:pPr>
              <w:spacing w:line="240" w:lineRule="auto"/>
              <w:rPr>
                <w:sz w:val="18"/>
                <w:szCs w:val="18"/>
              </w:rPr>
            </w:pPr>
          </w:p>
        </w:tc>
      </w:tr>
      <w:tr w:rsidR="008E4573" w:rsidRPr="008B68A9" w14:paraId="0392A2FF" w14:textId="77777777" w:rsidTr="00045396">
        <w:tc>
          <w:tcPr>
            <w:tcW w:w="14283" w:type="dxa"/>
            <w:gridSpan w:val="7"/>
            <w:shd w:val="clear" w:color="auto" w:fill="000000" w:themeFill="text1"/>
          </w:tcPr>
          <w:p w14:paraId="7E043C85" w14:textId="77777777" w:rsidR="008E4573" w:rsidRPr="008B68A9" w:rsidRDefault="008E4573" w:rsidP="00045396">
            <w:pPr>
              <w:spacing w:line="240" w:lineRule="auto"/>
              <w:jc w:val="center"/>
              <w:rPr>
                <w:b/>
                <w:sz w:val="18"/>
                <w:szCs w:val="18"/>
              </w:rPr>
            </w:pPr>
            <w:r w:rsidRPr="008B68A9">
              <w:rPr>
                <w:b/>
                <w:sz w:val="18"/>
                <w:szCs w:val="18"/>
              </w:rPr>
              <w:t>UK mental health</w:t>
            </w:r>
          </w:p>
        </w:tc>
      </w:tr>
      <w:tr w:rsidR="008E4573" w:rsidRPr="008B68A9" w14:paraId="5D9F92D0" w14:textId="77777777" w:rsidTr="00045396">
        <w:tc>
          <w:tcPr>
            <w:tcW w:w="1922" w:type="dxa"/>
          </w:tcPr>
          <w:p w14:paraId="2B83BAAC" w14:textId="77777777" w:rsidR="008E4573" w:rsidRPr="008B68A9" w:rsidRDefault="008E4573" w:rsidP="00045396">
            <w:pPr>
              <w:spacing w:line="240" w:lineRule="auto"/>
              <w:rPr>
                <w:b/>
                <w:sz w:val="18"/>
                <w:szCs w:val="18"/>
              </w:rPr>
            </w:pPr>
            <w:r w:rsidRPr="008B68A9">
              <w:rPr>
                <w:b/>
                <w:sz w:val="18"/>
                <w:szCs w:val="18"/>
              </w:rPr>
              <w:t>Alakeson 2014</w:t>
            </w:r>
          </w:p>
        </w:tc>
        <w:tc>
          <w:tcPr>
            <w:tcW w:w="1479" w:type="dxa"/>
          </w:tcPr>
          <w:p w14:paraId="779D2E80" w14:textId="77777777" w:rsidR="008E4573" w:rsidRPr="008B68A9" w:rsidRDefault="008E4573" w:rsidP="00045396">
            <w:pPr>
              <w:spacing w:line="240" w:lineRule="auto"/>
              <w:rPr>
                <w:sz w:val="18"/>
                <w:szCs w:val="18"/>
              </w:rPr>
            </w:pPr>
            <w:r w:rsidRPr="008B68A9">
              <w:rPr>
                <w:sz w:val="18"/>
                <w:szCs w:val="18"/>
              </w:rPr>
              <w:t xml:space="preserve">People with MH problems accessing PHB in </w:t>
            </w:r>
            <w:r w:rsidRPr="008B68A9">
              <w:rPr>
                <w:sz w:val="18"/>
                <w:szCs w:val="18"/>
              </w:rPr>
              <w:lastRenderedPageBreak/>
              <w:t>one English county.</w:t>
            </w:r>
          </w:p>
        </w:tc>
        <w:tc>
          <w:tcPr>
            <w:tcW w:w="1526" w:type="dxa"/>
          </w:tcPr>
          <w:p w14:paraId="640DD26B" w14:textId="77777777" w:rsidR="008E4573" w:rsidRPr="008B68A9" w:rsidRDefault="008E4573" w:rsidP="00045396">
            <w:pPr>
              <w:spacing w:line="240" w:lineRule="auto"/>
              <w:rPr>
                <w:sz w:val="18"/>
                <w:szCs w:val="18"/>
              </w:rPr>
            </w:pPr>
            <w:r w:rsidRPr="008B68A9">
              <w:rPr>
                <w:sz w:val="18"/>
                <w:szCs w:val="18"/>
              </w:rPr>
              <w:lastRenderedPageBreak/>
              <w:t>16</w:t>
            </w:r>
          </w:p>
        </w:tc>
        <w:tc>
          <w:tcPr>
            <w:tcW w:w="2127" w:type="dxa"/>
          </w:tcPr>
          <w:p w14:paraId="014E3EB2" w14:textId="77777777" w:rsidR="008E4573" w:rsidRPr="008B68A9" w:rsidRDefault="008E4573" w:rsidP="00045396">
            <w:pPr>
              <w:spacing w:line="240" w:lineRule="auto"/>
              <w:rPr>
                <w:sz w:val="18"/>
                <w:szCs w:val="18"/>
              </w:rPr>
            </w:pPr>
            <w:r w:rsidRPr="008B68A9">
              <w:rPr>
                <w:sz w:val="18"/>
                <w:szCs w:val="18"/>
              </w:rPr>
              <w:t>Not stated</w:t>
            </w:r>
          </w:p>
        </w:tc>
        <w:tc>
          <w:tcPr>
            <w:tcW w:w="1701" w:type="dxa"/>
          </w:tcPr>
          <w:p w14:paraId="31C7F4C1" w14:textId="77777777" w:rsidR="008E4573" w:rsidRPr="008B68A9" w:rsidRDefault="008E4573" w:rsidP="00045396">
            <w:pPr>
              <w:spacing w:line="240" w:lineRule="auto"/>
              <w:rPr>
                <w:sz w:val="18"/>
                <w:szCs w:val="18"/>
              </w:rPr>
            </w:pPr>
            <w:r w:rsidRPr="008B68A9">
              <w:rPr>
                <w:sz w:val="18"/>
                <w:szCs w:val="18"/>
              </w:rPr>
              <w:t xml:space="preserve">Cost comparison year on year service </w:t>
            </w:r>
            <w:r w:rsidRPr="008B68A9">
              <w:rPr>
                <w:sz w:val="18"/>
                <w:szCs w:val="18"/>
              </w:rPr>
              <w:lastRenderedPageBreak/>
              <w:t>usage – case studies not stated.</w:t>
            </w:r>
          </w:p>
        </w:tc>
        <w:tc>
          <w:tcPr>
            <w:tcW w:w="3445" w:type="dxa"/>
          </w:tcPr>
          <w:p w14:paraId="5F054B88" w14:textId="77777777" w:rsidR="008E4573" w:rsidRPr="008B68A9" w:rsidRDefault="008E4573" w:rsidP="00045396">
            <w:pPr>
              <w:spacing w:line="240" w:lineRule="auto"/>
              <w:rPr>
                <w:sz w:val="18"/>
                <w:szCs w:val="18"/>
              </w:rPr>
            </w:pPr>
            <w:r w:rsidRPr="008B68A9">
              <w:rPr>
                <w:sz w:val="18"/>
                <w:szCs w:val="18"/>
              </w:rPr>
              <w:lastRenderedPageBreak/>
              <w:t>An attempt at price by contact calculation.</w:t>
            </w:r>
          </w:p>
          <w:p w14:paraId="692F8751" w14:textId="77777777" w:rsidR="008E4573" w:rsidRPr="008B68A9" w:rsidRDefault="008E4573" w:rsidP="00045396">
            <w:pPr>
              <w:spacing w:line="240" w:lineRule="auto"/>
              <w:rPr>
                <w:sz w:val="18"/>
                <w:szCs w:val="18"/>
              </w:rPr>
            </w:pPr>
            <w:r w:rsidRPr="008B68A9">
              <w:rPr>
                <w:sz w:val="18"/>
                <w:szCs w:val="18"/>
              </w:rPr>
              <w:t>£1,820 to £29,093 pa.</w:t>
            </w:r>
          </w:p>
          <w:p w14:paraId="5F672DF4" w14:textId="77777777" w:rsidR="008E4573" w:rsidRPr="008B68A9" w:rsidRDefault="008E4573" w:rsidP="00045396">
            <w:pPr>
              <w:spacing w:line="240" w:lineRule="auto"/>
              <w:rPr>
                <w:sz w:val="18"/>
                <w:szCs w:val="18"/>
              </w:rPr>
            </w:pPr>
            <w:r w:rsidRPr="008B68A9">
              <w:rPr>
                <w:sz w:val="18"/>
                <w:szCs w:val="18"/>
              </w:rPr>
              <w:lastRenderedPageBreak/>
              <w:t>PHB user meeting with clinical team using person centred thinking.</w:t>
            </w:r>
          </w:p>
          <w:p w14:paraId="145AC954" w14:textId="77777777" w:rsidR="008E4573" w:rsidRPr="008B68A9" w:rsidRDefault="008E4573" w:rsidP="00045396">
            <w:pPr>
              <w:spacing w:line="240" w:lineRule="auto"/>
              <w:rPr>
                <w:sz w:val="18"/>
                <w:szCs w:val="18"/>
              </w:rPr>
            </w:pPr>
            <w:r w:rsidRPr="008B68A9">
              <w:rPr>
                <w:sz w:val="18"/>
                <w:szCs w:val="18"/>
              </w:rPr>
              <w:t>Most PHB users want reduction in service.</w:t>
            </w:r>
          </w:p>
          <w:p w14:paraId="79EA4D44" w14:textId="77777777" w:rsidR="008E4573" w:rsidRPr="008B68A9" w:rsidRDefault="008E4573" w:rsidP="00045396">
            <w:pPr>
              <w:spacing w:line="240" w:lineRule="auto"/>
              <w:rPr>
                <w:sz w:val="18"/>
                <w:szCs w:val="18"/>
              </w:rPr>
            </w:pPr>
            <w:r w:rsidRPr="008B68A9">
              <w:rPr>
                <w:sz w:val="18"/>
                <w:szCs w:val="18"/>
              </w:rPr>
              <w:t>Choices arise from their use.</w:t>
            </w:r>
          </w:p>
          <w:p w14:paraId="2CA31AEC" w14:textId="77777777" w:rsidR="008E4573" w:rsidRPr="008B68A9" w:rsidRDefault="008E4573" w:rsidP="00045396">
            <w:pPr>
              <w:spacing w:line="240" w:lineRule="auto"/>
              <w:rPr>
                <w:sz w:val="18"/>
                <w:szCs w:val="18"/>
              </w:rPr>
            </w:pPr>
            <w:r w:rsidRPr="008B68A9">
              <w:rPr>
                <w:sz w:val="18"/>
                <w:szCs w:val="18"/>
              </w:rPr>
              <w:t>Service reduction, employment, social factors and achieve or maintain independence was highly represented.</w:t>
            </w:r>
          </w:p>
        </w:tc>
        <w:tc>
          <w:tcPr>
            <w:tcW w:w="2083" w:type="dxa"/>
          </w:tcPr>
          <w:p w14:paraId="084C94E6" w14:textId="77777777" w:rsidR="008E4573" w:rsidRPr="008B68A9" w:rsidRDefault="008E4573" w:rsidP="00045396">
            <w:pPr>
              <w:spacing w:line="240" w:lineRule="auto"/>
              <w:rPr>
                <w:sz w:val="18"/>
                <w:szCs w:val="18"/>
              </w:rPr>
            </w:pPr>
            <w:r w:rsidRPr="008B68A9">
              <w:rPr>
                <w:sz w:val="18"/>
                <w:szCs w:val="18"/>
              </w:rPr>
              <w:lastRenderedPageBreak/>
              <w:t>Cluster by diagnosis was not operational at start and used retrospectively.</w:t>
            </w:r>
          </w:p>
          <w:p w14:paraId="7CF8E1C4" w14:textId="77777777" w:rsidR="008E4573" w:rsidRPr="008B68A9" w:rsidRDefault="008E4573" w:rsidP="00045396">
            <w:pPr>
              <w:spacing w:line="240" w:lineRule="auto"/>
              <w:rPr>
                <w:sz w:val="18"/>
                <w:szCs w:val="18"/>
              </w:rPr>
            </w:pPr>
            <w:r w:rsidRPr="008B68A9">
              <w:rPr>
                <w:sz w:val="18"/>
                <w:szCs w:val="18"/>
              </w:rPr>
              <w:lastRenderedPageBreak/>
              <w:t>Reports on commissioning clusters and potential for PHB use.</w:t>
            </w:r>
          </w:p>
          <w:p w14:paraId="72FA0E77" w14:textId="77777777" w:rsidR="008E4573" w:rsidRPr="008B68A9" w:rsidRDefault="008E4573" w:rsidP="00045396">
            <w:pPr>
              <w:spacing w:line="240" w:lineRule="auto"/>
              <w:rPr>
                <w:sz w:val="18"/>
                <w:szCs w:val="18"/>
              </w:rPr>
            </w:pPr>
            <w:r w:rsidRPr="008B68A9">
              <w:rPr>
                <w:sz w:val="18"/>
                <w:szCs w:val="18"/>
              </w:rPr>
              <w:t>Recognition of wider need beyond health.</w:t>
            </w:r>
          </w:p>
          <w:p w14:paraId="7E09EB94" w14:textId="77777777" w:rsidR="008E4573" w:rsidRPr="008B68A9" w:rsidRDefault="008E4573" w:rsidP="00045396">
            <w:pPr>
              <w:spacing w:line="240" w:lineRule="auto"/>
              <w:rPr>
                <w:sz w:val="18"/>
                <w:szCs w:val="18"/>
              </w:rPr>
            </w:pPr>
            <w:r w:rsidRPr="008B68A9">
              <w:rPr>
                <w:sz w:val="18"/>
                <w:szCs w:val="18"/>
              </w:rPr>
              <w:t>Through extrapolation suggest 54% decrease in service use A&amp;E acute services.</w:t>
            </w:r>
          </w:p>
        </w:tc>
      </w:tr>
      <w:tr w:rsidR="008E4573" w:rsidRPr="008B68A9" w14:paraId="2FE95D8C" w14:textId="77777777" w:rsidTr="00045396">
        <w:tc>
          <w:tcPr>
            <w:tcW w:w="1922" w:type="dxa"/>
          </w:tcPr>
          <w:p w14:paraId="4DD00DC1" w14:textId="77777777" w:rsidR="008E4573" w:rsidRPr="008B68A9" w:rsidRDefault="008E4573" w:rsidP="00045396">
            <w:pPr>
              <w:spacing w:line="240" w:lineRule="auto"/>
              <w:rPr>
                <w:b/>
                <w:sz w:val="18"/>
                <w:szCs w:val="18"/>
              </w:rPr>
            </w:pPr>
          </w:p>
        </w:tc>
        <w:tc>
          <w:tcPr>
            <w:tcW w:w="1479" w:type="dxa"/>
          </w:tcPr>
          <w:p w14:paraId="41AC76EF" w14:textId="77777777" w:rsidR="008E4573" w:rsidRPr="008B68A9" w:rsidRDefault="008E4573" w:rsidP="00045396">
            <w:pPr>
              <w:spacing w:line="240" w:lineRule="auto"/>
              <w:rPr>
                <w:sz w:val="18"/>
                <w:szCs w:val="18"/>
              </w:rPr>
            </w:pPr>
          </w:p>
        </w:tc>
        <w:tc>
          <w:tcPr>
            <w:tcW w:w="1526" w:type="dxa"/>
          </w:tcPr>
          <w:p w14:paraId="105B9627" w14:textId="77777777" w:rsidR="008E4573" w:rsidRPr="008B68A9" w:rsidRDefault="008E4573" w:rsidP="00045396">
            <w:pPr>
              <w:spacing w:line="240" w:lineRule="auto"/>
              <w:rPr>
                <w:sz w:val="18"/>
                <w:szCs w:val="18"/>
              </w:rPr>
            </w:pPr>
          </w:p>
        </w:tc>
        <w:tc>
          <w:tcPr>
            <w:tcW w:w="2127" w:type="dxa"/>
          </w:tcPr>
          <w:p w14:paraId="249C1C27" w14:textId="77777777" w:rsidR="008E4573" w:rsidRPr="008B68A9" w:rsidRDefault="008E4573" w:rsidP="00045396">
            <w:pPr>
              <w:spacing w:line="240" w:lineRule="auto"/>
              <w:rPr>
                <w:sz w:val="18"/>
                <w:szCs w:val="18"/>
              </w:rPr>
            </w:pPr>
          </w:p>
        </w:tc>
        <w:tc>
          <w:tcPr>
            <w:tcW w:w="1701" w:type="dxa"/>
          </w:tcPr>
          <w:p w14:paraId="13F0D0AC" w14:textId="77777777" w:rsidR="008E4573" w:rsidRPr="008B68A9" w:rsidRDefault="008E4573" w:rsidP="00045396">
            <w:pPr>
              <w:spacing w:line="240" w:lineRule="auto"/>
              <w:rPr>
                <w:sz w:val="18"/>
                <w:szCs w:val="18"/>
              </w:rPr>
            </w:pPr>
          </w:p>
        </w:tc>
        <w:tc>
          <w:tcPr>
            <w:tcW w:w="3445" w:type="dxa"/>
          </w:tcPr>
          <w:p w14:paraId="18821B6C" w14:textId="77777777" w:rsidR="008E4573" w:rsidRPr="008B68A9" w:rsidRDefault="008E4573" w:rsidP="00045396">
            <w:pPr>
              <w:spacing w:line="240" w:lineRule="auto"/>
              <w:rPr>
                <w:sz w:val="18"/>
                <w:szCs w:val="18"/>
              </w:rPr>
            </w:pPr>
          </w:p>
        </w:tc>
        <w:tc>
          <w:tcPr>
            <w:tcW w:w="2083" w:type="dxa"/>
          </w:tcPr>
          <w:p w14:paraId="5262B5E8" w14:textId="77777777" w:rsidR="008E4573" w:rsidRPr="008B68A9" w:rsidRDefault="008E4573" w:rsidP="00045396">
            <w:pPr>
              <w:spacing w:line="240" w:lineRule="auto"/>
              <w:rPr>
                <w:sz w:val="18"/>
                <w:szCs w:val="18"/>
              </w:rPr>
            </w:pPr>
          </w:p>
        </w:tc>
      </w:tr>
      <w:tr w:rsidR="008E4573" w:rsidRPr="008B68A9" w14:paraId="06F86281" w14:textId="77777777" w:rsidTr="00045396">
        <w:tc>
          <w:tcPr>
            <w:tcW w:w="1922" w:type="dxa"/>
          </w:tcPr>
          <w:p w14:paraId="26B69CA7" w14:textId="77777777" w:rsidR="008E4573" w:rsidRPr="008B68A9" w:rsidRDefault="008E4573" w:rsidP="00045396">
            <w:pPr>
              <w:spacing w:line="240" w:lineRule="auto"/>
              <w:rPr>
                <w:b/>
                <w:sz w:val="18"/>
                <w:szCs w:val="18"/>
              </w:rPr>
            </w:pPr>
            <w:r w:rsidRPr="008B68A9">
              <w:rPr>
                <w:b/>
                <w:sz w:val="18"/>
                <w:szCs w:val="18"/>
              </w:rPr>
              <w:t>Coyle, 2011</w:t>
            </w:r>
          </w:p>
        </w:tc>
        <w:tc>
          <w:tcPr>
            <w:tcW w:w="1479" w:type="dxa"/>
          </w:tcPr>
          <w:p w14:paraId="46A46F82" w14:textId="77777777" w:rsidR="008E4573" w:rsidRPr="008B68A9" w:rsidRDefault="008E4573" w:rsidP="00045396">
            <w:pPr>
              <w:spacing w:line="240" w:lineRule="auto"/>
              <w:rPr>
                <w:sz w:val="18"/>
                <w:szCs w:val="18"/>
              </w:rPr>
            </w:pPr>
            <w:r w:rsidRPr="008B68A9">
              <w:rPr>
                <w:sz w:val="18"/>
                <w:szCs w:val="18"/>
              </w:rPr>
              <w:t>Adults with severe mental health problems</w:t>
            </w:r>
          </w:p>
          <w:p w14:paraId="2D56BAF3" w14:textId="77777777" w:rsidR="008E4573" w:rsidRPr="008B68A9" w:rsidRDefault="008E4573" w:rsidP="00045396">
            <w:pPr>
              <w:spacing w:line="240" w:lineRule="auto"/>
              <w:rPr>
                <w:sz w:val="18"/>
                <w:szCs w:val="18"/>
              </w:rPr>
            </w:pPr>
            <w:r w:rsidRPr="008B68A9">
              <w:rPr>
                <w:sz w:val="18"/>
                <w:szCs w:val="18"/>
              </w:rPr>
              <w:t>Staff in early intervention teams.</w:t>
            </w:r>
          </w:p>
          <w:p w14:paraId="734EC541" w14:textId="77777777" w:rsidR="008E4573" w:rsidRPr="008B68A9" w:rsidRDefault="008E4573" w:rsidP="00045396">
            <w:pPr>
              <w:spacing w:line="240" w:lineRule="auto"/>
              <w:rPr>
                <w:sz w:val="18"/>
                <w:szCs w:val="18"/>
              </w:rPr>
            </w:pPr>
          </w:p>
        </w:tc>
        <w:tc>
          <w:tcPr>
            <w:tcW w:w="1526" w:type="dxa"/>
          </w:tcPr>
          <w:p w14:paraId="2FF24BAB" w14:textId="77777777" w:rsidR="008E4573" w:rsidRPr="008B68A9" w:rsidRDefault="008E4573" w:rsidP="00045396">
            <w:pPr>
              <w:spacing w:line="240" w:lineRule="auto"/>
              <w:rPr>
                <w:sz w:val="18"/>
                <w:szCs w:val="18"/>
              </w:rPr>
            </w:pPr>
            <w:r w:rsidRPr="008B68A9">
              <w:rPr>
                <w:sz w:val="18"/>
                <w:szCs w:val="18"/>
              </w:rPr>
              <w:t>IRB users n=7</w:t>
            </w:r>
          </w:p>
          <w:p w14:paraId="7D4DBF1A" w14:textId="77777777" w:rsidR="008E4573" w:rsidRPr="008B68A9" w:rsidRDefault="008E4573" w:rsidP="00045396">
            <w:pPr>
              <w:spacing w:line="240" w:lineRule="auto"/>
              <w:rPr>
                <w:sz w:val="18"/>
                <w:szCs w:val="18"/>
              </w:rPr>
            </w:pPr>
            <w:r w:rsidRPr="008B68A9">
              <w:rPr>
                <w:sz w:val="18"/>
                <w:szCs w:val="18"/>
              </w:rPr>
              <w:t>Staff n=9</w:t>
            </w:r>
          </w:p>
          <w:p w14:paraId="2AA93C70" w14:textId="77777777" w:rsidR="008E4573" w:rsidRPr="008B68A9" w:rsidRDefault="008E4573" w:rsidP="00045396">
            <w:pPr>
              <w:spacing w:line="240" w:lineRule="auto"/>
              <w:rPr>
                <w:sz w:val="18"/>
                <w:szCs w:val="18"/>
              </w:rPr>
            </w:pPr>
            <w:r w:rsidRPr="008B68A9">
              <w:rPr>
                <w:sz w:val="18"/>
                <w:szCs w:val="18"/>
              </w:rPr>
              <w:t>Broker n=1</w:t>
            </w:r>
          </w:p>
        </w:tc>
        <w:tc>
          <w:tcPr>
            <w:tcW w:w="2127" w:type="dxa"/>
          </w:tcPr>
          <w:p w14:paraId="39804F0F" w14:textId="77777777" w:rsidR="008E4573" w:rsidRPr="008B68A9" w:rsidRDefault="008E4573" w:rsidP="00045396">
            <w:pPr>
              <w:spacing w:line="240" w:lineRule="auto"/>
              <w:rPr>
                <w:sz w:val="18"/>
                <w:szCs w:val="18"/>
              </w:rPr>
            </w:pPr>
            <w:r w:rsidRPr="008B68A9">
              <w:rPr>
                <w:sz w:val="18"/>
                <w:szCs w:val="18"/>
              </w:rPr>
              <w:t>Semi-structured interview pre- and post-budget.</w:t>
            </w:r>
          </w:p>
          <w:p w14:paraId="0A65B909" w14:textId="77777777" w:rsidR="008E4573" w:rsidRPr="008B68A9" w:rsidRDefault="008E4573" w:rsidP="00045396">
            <w:pPr>
              <w:spacing w:line="240" w:lineRule="auto"/>
              <w:rPr>
                <w:sz w:val="18"/>
                <w:szCs w:val="18"/>
              </w:rPr>
            </w:pPr>
            <w:r w:rsidRPr="008B68A9">
              <w:rPr>
                <w:sz w:val="18"/>
                <w:szCs w:val="18"/>
              </w:rPr>
              <w:t>Staff focus groups x2</w:t>
            </w:r>
          </w:p>
          <w:p w14:paraId="7B7845CA" w14:textId="77777777" w:rsidR="008E4573" w:rsidRPr="008B68A9" w:rsidRDefault="008E4573" w:rsidP="00045396">
            <w:pPr>
              <w:spacing w:line="240" w:lineRule="auto"/>
              <w:rPr>
                <w:sz w:val="18"/>
                <w:szCs w:val="18"/>
              </w:rPr>
            </w:pPr>
            <w:r w:rsidRPr="008B68A9">
              <w:rPr>
                <w:sz w:val="18"/>
                <w:szCs w:val="18"/>
              </w:rPr>
              <w:t>Individual interview with broker.</w:t>
            </w:r>
          </w:p>
        </w:tc>
        <w:tc>
          <w:tcPr>
            <w:tcW w:w="1701" w:type="dxa"/>
          </w:tcPr>
          <w:p w14:paraId="501A4713" w14:textId="77777777" w:rsidR="008E4573" w:rsidRPr="008B68A9" w:rsidRDefault="008E4573" w:rsidP="00045396">
            <w:pPr>
              <w:spacing w:line="240" w:lineRule="auto"/>
              <w:rPr>
                <w:sz w:val="18"/>
                <w:szCs w:val="18"/>
              </w:rPr>
            </w:pPr>
            <w:r w:rsidRPr="008B68A9">
              <w:rPr>
                <w:sz w:val="18"/>
                <w:szCs w:val="18"/>
              </w:rPr>
              <w:t>Narrative analysis.</w:t>
            </w:r>
          </w:p>
          <w:p w14:paraId="1B2584F0" w14:textId="77777777" w:rsidR="008E4573" w:rsidRPr="008B68A9" w:rsidRDefault="008E4573" w:rsidP="00045396">
            <w:pPr>
              <w:spacing w:line="240" w:lineRule="auto"/>
              <w:rPr>
                <w:sz w:val="18"/>
                <w:szCs w:val="18"/>
              </w:rPr>
            </w:pPr>
            <w:r w:rsidRPr="008B68A9">
              <w:rPr>
                <w:sz w:val="18"/>
                <w:szCs w:val="18"/>
              </w:rPr>
              <w:t>Regressive to progressive trajectories.</w:t>
            </w:r>
          </w:p>
        </w:tc>
        <w:tc>
          <w:tcPr>
            <w:tcW w:w="3445" w:type="dxa"/>
          </w:tcPr>
          <w:p w14:paraId="0969A749" w14:textId="77777777" w:rsidR="008E4573" w:rsidRPr="008B68A9" w:rsidRDefault="008E4573" w:rsidP="00045396">
            <w:pPr>
              <w:spacing w:line="240" w:lineRule="auto"/>
              <w:rPr>
                <w:sz w:val="18"/>
                <w:szCs w:val="18"/>
              </w:rPr>
            </w:pPr>
            <w:r w:rsidRPr="008B68A9">
              <w:rPr>
                <w:sz w:val="18"/>
                <w:szCs w:val="18"/>
              </w:rPr>
              <w:t>Budgets positive impact on sense of choice. Satisfaction with budget. Reconnect through activities with community and previous skills.</w:t>
            </w:r>
          </w:p>
          <w:p w14:paraId="3543428F" w14:textId="77777777" w:rsidR="008E4573" w:rsidRPr="008B68A9" w:rsidRDefault="008E4573" w:rsidP="00045396">
            <w:pPr>
              <w:spacing w:line="240" w:lineRule="auto"/>
              <w:rPr>
                <w:sz w:val="18"/>
                <w:szCs w:val="18"/>
              </w:rPr>
            </w:pPr>
            <w:r w:rsidRPr="008B68A9">
              <w:rPr>
                <w:sz w:val="18"/>
                <w:szCs w:val="18"/>
              </w:rPr>
              <w:t>Staff power difficult to relinquish. Institutional perception – “not suitable for all users”.</w:t>
            </w:r>
          </w:p>
          <w:p w14:paraId="705D33C6" w14:textId="77777777" w:rsidR="008E4573" w:rsidRPr="008B68A9" w:rsidRDefault="008E4573" w:rsidP="00045396">
            <w:pPr>
              <w:spacing w:line="240" w:lineRule="auto"/>
              <w:rPr>
                <w:sz w:val="18"/>
                <w:szCs w:val="18"/>
              </w:rPr>
            </w:pPr>
            <w:r w:rsidRPr="008B68A9">
              <w:rPr>
                <w:sz w:val="18"/>
                <w:szCs w:val="18"/>
              </w:rPr>
              <w:t>Simple system of application and processes appreciated.</w:t>
            </w:r>
          </w:p>
          <w:p w14:paraId="42982C3D" w14:textId="77777777" w:rsidR="008E4573" w:rsidRPr="008B68A9" w:rsidRDefault="008E4573" w:rsidP="00045396">
            <w:pPr>
              <w:spacing w:line="240" w:lineRule="auto"/>
              <w:rPr>
                <w:sz w:val="18"/>
                <w:szCs w:val="18"/>
              </w:rPr>
            </w:pPr>
          </w:p>
        </w:tc>
        <w:tc>
          <w:tcPr>
            <w:tcW w:w="2083" w:type="dxa"/>
          </w:tcPr>
          <w:p w14:paraId="62E5FCFF" w14:textId="77777777" w:rsidR="008E4573" w:rsidRPr="008B68A9" w:rsidRDefault="008E4573" w:rsidP="00045396">
            <w:pPr>
              <w:spacing w:line="240" w:lineRule="auto"/>
              <w:rPr>
                <w:sz w:val="18"/>
                <w:szCs w:val="18"/>
              </w:rPr>
            </w:pPr>
            <w:r w:rsidRPr="008B68A9">
              <w:rPr>
                <w:sz w:val="18"/>
                <w:szCs w:val="18"/>
              </w:rPr>
              <w:t>Small-scale, staff aware of pilot status perceiving the approach would end after a year.</w:t>
            </w:r>
          </w:p>
          <w:p w14:paraId="2C279E80" w14:textId="77777777" w:rsidR="008E4573" w:rsidRPr="008B68A9" w:rsidRDefault="008E4573" w:rsidP="00045396">
            <w:pPr>
              <w:spacing w:line="240" w:lineRule="auto"/>
              <w:rPr>
                <w:sz w:val="18"/>
                <w:szCs w:val="18"/>
              </w:rPr>
            </w:pPr>
          </w:p>
        </w:tc>
      </w:tr>
      <w:tr w:rsidR="008E4573" w:rsidRPr="008B68A9" w14:paraId="3C2D035D" w14:textId="77777777" w:rsidTr="00045396">
        <w:tc>
          <w:tcPr>
            <w:tcW w:w="1922" w:type="dxa"/>
          </w:tcPr>
          <w:p w14:paraId="01E7A5B7" w14:textId="77777777" w:rsidR="008E4573" w:rsidRPr="008B68A9" w:rsidRDefault="008E4573" w:rsidP="00045396">
            <w:pPr>
              <w:spacing w:line="240" w:lineRule="auto"/>
              <w:rPr>
                <w:b/>
                <w:sz w:val="18"/>
                <w:szCs w:val="18"/>
              </w:rPr>
            </w:pPr>
          </w:p>
        </w:tc>
        <w:tc>
          <w:tcPr>
            <w:tcW w:w="1479" w:type="dxa"/>
          </w:tcPr>
          <w:p w14:paraId="2ECD0F76" w14:textId="77777777" w:rsidR="008E4573" w:rsidRPr="008B68A9" w:rsidRDefault="008E4573" w:rsidP="00045396">
            <w:pPr>
              <w:spacing w:line="240" w:lineRule="auto"/>
              <w:rPr>
                <w:sz w:val="18"/>
                <w:szCs w:val="18"/>
              </w:rPr>
            </w:pPr>
          </w:p>
        </w:tc>
        <w:tc>
          <w:tcPr>
            <w:tcW w:w="1526" w:type="dxa"/>
          </w:tcPr>
          <w:p w14:paraId="0BD6DB45" w14:textId="77777777" w:rsidR="008E4573" w:rsidRPr="008B68A9" w:rsidRDefault="008E4573" w:rsidP="00045396">
            <w:pPr>
              <w:spacing w:line="240" w:lineRule="auto"/>
              <w:rPr>
                <w:sz w:val="18"/>
                <w:szCs w:val="18"/>
              </w:rPr>
            </w:pPr>
          </w:p>
        </w:tc>
        <w:tc>
          <w:tcPr>
            <w:tcW w:w="2127" w:type="dxa"/>
          </w:tcPr>
          <w:p w14:paraId="4CA68F6D" w14:textId="77777777" w:rsidR="008E4573" w:rsidRPr="008B68A9" w:rsidRDefault="008E4573" w:rsidP="00045396">
            <w:pPr>
              <w:spacing w:line="240" w:lineRule="auto"/>
              <w:rPr>
                <w:sz w:val="18"/>
                <w:szCs w:val="18"/>
              </w:rPr>
            </w:pPr>
          </w:p>
        </w:tc>
        <w:tc>
          <w:tcPr>
            <w:tcW w:w="1701" w:type="dxa"/>
          </w:tcPr>
          <w:p w14:paraId="2CD92CA1" w14:textId="77777777" w:rsidR="008E4573" w:rsidRPr="008B68A9" w:rsidRDefault="008E4573" w:rsidP="00045396">
            <w:pPr>
              <w:spacing w:line="240" w:lineRule="auto"/>
              <w:rPr>
                <w:sz w:val="18"/>
                <w:szCs w:val="18"/>
              </w:rPr>
            </w:pPr>
          </w:p>
        </w:tc>
        <w:tc>
          <w:tcPr>
            <w:tcW w:w="3445" w:type="dxa"/>
          </w:tcPr>
          <w:p w14:paraId="2291E2C6" w14:textId="77777777" w:rsidR="008E4573" w:rsidRPr="008B68A9" w:rsidRDefault="008E4573" w:rsidP="00045396">
            <w:pPr>
              <w:spacing w:line="240" w:lineRule="auto"/>
              <w:rPr>
                <w:sz w:val="18"/>
                <w:szCs w:val="18"/>
              </w:rPr>
            </w:pPr>
          </w:p>
        </w:tc>
        <w:tc>
          <w:tcPr>
            <w:tcW w:w="2083" w:type="dxa"/>
          </w:tcPr>
          <w:p w14:paraId="51B587F1" w14:textId="77777777" w:rsidR="008E4573" w:rsidRPr="008B68A9" w:rsidRDefault="008E4573" w:rsidP="00045396">
            <w:pPr>
              <w:spacing w:line="240" w:lineRule="auto"/>
              <w:rPr>
                <w:sz w:val="18"/>
                <w:szCs w:val="18"/>
              </w:rPr>
            </w:pPr>
          </w:p>
        </w:tc>
      </w:tr>
      <w:tr w:rsidR="008E4573" w:rsidRPr="008B68A9" w14:paraId="15C42A77" w14:textId="77777777" w:rsidTr="00045396">
        <w:tc>
          <w:tcPr>
            <w:tcW w:w="1922" w:type="dxa"/>
          </w:tcPr>
          <w:p w14:paraId="25E6E652" w14:textId="77777777" w:rsidR="008E4573" w:rsidRPr="008B68A9" w:rsidRDefault="008E4573" w:rsidP="00045396">
            <w:pPr>
              <w:spacing w:line="240" w:lineRule="auto"/>
              <w:rPr>
                <w:b/>
                <w:sz w:val="18"/>
                <w:szCs w:val="18"/>
              </w:rPr>
            </w:pPr>
            <w:r w:rsidRPr="008B68A9">
              <w:rPr>
                <w:b/>
                <w:sz w:val="18"/>
                <w:szCs w:val="18"/>
              </w:rPr>
              <w:t xml:space="preserve">*Clewett </w:t>
            </w:r>
            <w:r w:rsidRPr="008B68A9">
              <w:rPr>
                <w:b/>
                <w:i/>
                <w:sz w:val="18"/>
                <w:szCs w:val="18"/>
              </w:rPr>
              <w:t>et al.</w:t>
            </w:r>
            <w:r w:rsidRPr="008B68A9">
              <w:rPr>
                <w:b/>
                <w:sz w:val="18"/>
                <w:szCs w:val="18"/>
              </w:rPr>
              <w:t xml:space="preserve"> 2015</w:t>
            </w:r>
          </w:p>
        </w:tc>
        <w:tc>
          <w:tcPr>
            <w:tcW w:w="1479" w:type="dxa"/>
          </w:tcPr>
          <w:p w14:paraId="261EA1F8" w14:textId="77777777" w:rsidR="008E4573" w:rsidRPr="008B68A9" w:rsidRDefault="008E4573" w:rsidP="00045396">
            <w:pPr>
              <w:spacing w:line="240" w:lineRule="auto"/>
              <w:rPr>
                <w:sz w:val="18"/>
                <w:szCs w:val="18"/>
              </w:rPr>
            </w:pPr>
            <w:r w:rsidRPr="008B68A9">
              <w:rPr>
                <w:sz w:val="18"/>
                <w:szCs w:val="18"/>
              </w:rPr>
              <w:t>Service user experiences of budget ending.</w:t>
            </w:r>
          </w:p>
        </w:tc>
        <w:tc>
          <w:tcPr>
            <w:tcW w:w="1526" w:type="dxa"/>
          </w:tcPr>
          <w:p w14:paraId="00387A32" w14:textId="77777777" w:rsidR="008E4573" w:rsidRPr="008B68A9" w:rsidRDefault="008E4573" w:rsidP="00045396">
            <w:pPr>
              <w:spacing w:line="240" w:lineRule="auto"/>
              <w:rPr>
                <w:sz w:val="18"/>
                <w:szCs w:val="18"/>
              </w:rPr>
            </w:pPr>
            <w:r w:rsidRPr="008B68A9">
              <w:rPr>
                <w:sz w:val="18"/>
                <w:szCs w:val="18"/>
              </w:rPr>
              <w:t>n=53 budget n=users</w:t>
            </w:r>
          </w:p>
          <w:p w14:paraId="11B46E23" w14:textId="77777777" w:rsidR="008E4573" w:rsidRPr="008B68A9" w:rsidRDefault="008E4573" w:rsidP="00045396">
            <w:pPr>
              <w:spacing w:line="240" w:lineRule="auto"/>
              <w:rPr>
                <w:sz w:val="18"/>
                <w:szCs w:val="18"/>
              </w:rPr>
            </w:pPr>
            <w:r w:rsidRPr="008B68A9">
              <w:rPr>
                <w:sz w:val="18"/>
                <w:szCs w:val="18"/>
              </w:rPr>
              <w:t>17 interview x2</w:t>
            </w:r>
          </w:p>
          <w:p w14:paraId="51F2015E" w14:textId="77777777" w:rsidR="008E4573" w:rsidRPr="008B68A9" w:rsidRDefault="008E4573" w:rsidP="00045396">
            <w:pPr>
              <w:spacing w:line="240" w:lineRule="auto"/>
              <w:rPr>
                <w:sz w:val="18"/>
                <w:szCs w:val="18"/>
              </w:rPr>
            </w:pPr>
            <w:r w:rsidRPr="008B68A9">
              <w:rPr>
                <w:sz w:val="18"/>
                <w:szCs w:val="18"/>
              </w:rPr>
              <w:t>18 interview x3</w:t>
            </w:r>
          </w:p>
          <w:p w14:paraId="4C2B5463" w14:textId="77777777" w:rsidR="008E4573" w:rsidRPr="008B68A9" w:rsidRDefault="008E4573" w:rsidP="00045396">
            <w:pPr>
              <w:spacing w:line="240" w:lineRule="auto"/>
              <w:rPr>
                <w:sz w:val="18"/>
                <w:szCs w:val="18"/>
              </w:rPr>
            </w:pPr>
            <w:r w:rsidRPr="008B68A9">
              <w:rPr>
                <w:sz w:val="18"/>
                <w:szCs w:val="18"/>
              </w:rPr>
              <w:t>N=28 practitioners</w:t>
            </w:r>
          </w:p>
        </w:tc>
        <w:tc>
          <w:tcPr>
            <w:tcW w:w="2127" w:type="dxa"/>
          </w:tcPr>
          <w:p w14:paraId="355132D5" w14:textId="77777777" w:rsidR="008E4573" w:rsidRPr="008B68A9" w:rsidRDefault="008E4573" w:rsidP="00045396">
            <w:pPr>
              <w:spacing w:line="240" w:lineRule="auto"/>
              <w:rPr>
                <w:sz w:val="18"/>
                <w:szCs w:val="18"/>
              </w:rPr>
            </w:pPr>
          </w:p>
        </w:tc>
        <w:tc>
          <w:tcPr>
            <w:tcW w:w="1701" w:type="dxa"/>
          </w:tcPr>
          <w:p w14:paraId="0717D931" w14:textId="77777777" w:rsidR="008E4573" w:rsidRPr="008B68A9" w:rsidRDefault="008E4573" w:rsidP="00045396">
            <w:pPr>
              <w:spacing w:line="240" w:lineRule="auto"/>
              <w:rPr>
                <w:sz w:val="18"/>
                <w:szCs w:val="18"/>
              </w:rPr>
            </w:pPr>
          </w:p>
        </w:tc>
        <w:tc>
          <w:tcPr>
            <w:tcW w:w="3445" w:type="dxa"/>
          </w:tcPr>
          <w:p w14:paraId="38F3EF0A" w14:textId="77777777" w:rsidR="008E4573" w:rsidRPr="008B68A9" w:rsidRDefault="008E4573" w:rsidP="00045396">
            <w:pPr>
              <w:spacing w:line="240" w:lineRule="auto"/>
              <w:rPr>
                <w:sz w:val="18"/>
                <w:szCs w:val="18"/>
              </w:rPr>
            </w:pPr>
            <w:r w:rsidRPr="008B68A9">
              <w:rPr>
                <w:sz w:val="18"/>
                <w:szCs w:val="18"/>
              </w:rPr>
              <w:t>Where personal budgets understood as outcomes focused – if outcomes were change outcomes – and b) extent to which agreement between the practitioner and service user outcome achievement and if budget was required.</w:t>
            </w:r>
          </w:p>
          <w:p w14:paraId="01261BFE" w14:textId="77777777" w:rsidR="008E4573" w:rsidRPr="008B68A9" w:rsidRDefault="008E4573" w:rsidP="00045396">
            <w:pPr>
              <w:spacing w:line="240" w:lineRule="auto"/>
              <w:rPr>
                <w:sz w:val="18"/>
                <w:szCs w:val="18"/>
              </w:rPr>
            </w:pPr>
            <w:r w:rsidRPr="008B68A9">
              <w:rPr>
                <w:sz w:val="18"/>
                <w:szCs w:val="18"/>
              </w:rPr>
              <w:t>Staff concerned re dependency.</w:t>
            </w:r>
          </w:p>
          <w:p w14:paraId="2E0C8C15" w14:textId="77777777" w:rsidR="008E4573" w:rsidRPr="008B68A9" w:rsidRDefault="008E4573" w:rsidP="00045396">
            <w:pPr>
              <w:spacing w:line="240" w:lineRule="auto"/>
              <w:rPr>
                <w:sz w:val="18"/>
                <w:szCs w:val="18"/>
              </w:rPr>
            </w:pPr>
            <w:r w:rsidRPr="008B68A9">
              <w:rPr>
                <w:sz w:val="18"/>
                <w:szCs w:val="18"/>
              </w:rPr>
              <w:t>9 PBs experienced tapering of budget*</w:t>
            </w:r>
          </w:p>
          <w:p w14:paraId="3266CCEF" w14:textId="77777777" w:rsidR="008E4573" w:rsidRPr="008B68A9" w:rsidRDefault="008E4573" w:rsidP="00045396">
            <w:pPr>
              <w:spacing w:line="240" w:lineRule="auto"/>
              <w:rPr>
                <w:sz w:val="18"/>
                <w:szCs w:val="18"/>
              </w:rPr>
            </w:pPr>
            <w:r w:rsidRPr="008B68A9">
              <w:rPr>
                <w:sz w:val="18"/>
                <w:szCs w:val="18"/>
              </w:rPr>
              <w:t>3 PBs chose to end</w:t>
            </w:r>
          </w:p>
          <w:p w14:paraId="2CD0C0DC" w14:textId="77777777" w:rsidR="008E4573" w:rsidRPr="008B68A9" w:rsidRDefault="008E4573" w:rsidP="00045396">
            <w:pPr>
              <w:spacing w:line="240" w:lineRule="auto"/>
              <w:rPr>
                <w:sz w:val="18"/>
                <w:szCs w:val="18"/>
              </w:rPr>
            </w:pPr>
            <w:r w:rsidRPr="008B68A9">
              <w:rPr>
                <w:sz w:val="18"/>
                <w:szCs w:val="18"/>
              </w:rPr>
              <w:t>1 PB stopped due to misuse of funds</w:t>
            </w:r>
          </w:p>
          <w:p w14:paraId="5F837373" w14:textId="77777777" w:rsidR="008E4573" w:rsidRPr="008B68A9" w:rsidRDefault="008E4573" w:rsidP="00045396">
            <w:pPr>
              <w:spacing w:line="240" w:lineRule="auto"/>
              <w:rPr>
                <w:sz w:val="18"/>
                <w:szCs w:val="18"/>
              </w:rPr>
            </w:pPr>
          </w:p>
          <w:p w14:paraId="50F0FBD3" w14:textId="77777777" w:rsidR="008E4573" w:rsidRPr="008B68A9" w:rsidRDefault="008E4573" w:rsidP="00045396">
            <w:pPr>
              <w:spacing w:line="240" w:lineRule="auto"/>
              <w:rPr>
                <w:sz w:val="18"/>
                <w:szCs w:val="18"/>
              </w:rPr>
            </w:pPr>
            <w:r w:rsidRPr="008B68A9">
              <w:rPr>
                <w:sz w:val="18"/>
                <w:szCs w:val="18"/>
              </w:rPr>
              <w:lastRenderedPageBreak/>
              <w:t>Raises debate whether social care needs or outcome-led</w:t>
            </w:r>
          </w:p>
          <w:p w14:paraId="47F9A52B" w14:textId="77777777" w:rsidR="008E4573" w:rsidRPr="008B68A9" w:rsidRDefault="008E4573" w:rsidP="00045396">
            <w:pPr>
              <w:spacing w:line="240" w:lineRule="auto"/>
              <w:rPr>
                <w:sz w:val="18"/>
                <w:szCs w:val="18"/>
              </w:rPr>
            </w:pPr>
            <w:r w:rsidRPr="008B68A9">
              <w:rPr>
                <w:sz w:val="18"/>
                <w:szCs w:val="18"/>
              </w:rPr>
              <w:t>(*perceived as cuts to budgets)</w:t>
            </w:r>
          </w:p>
        </w:tc>
        <w:tc>
          <w:tcPr>
            <w:tcW w:w="2083" w:type="dxa"/>
          </w:tcPr>
          <w:p w14:paraId="4F424274" w14:textId="77777777" w:rsidR="008E4573" w:rsidRPr="008B68A9" w:rsidRDefault="008E4573" w:rsidP="00045396">
            <w:pPr>
              <w:spacing w:line="240" w:lineRule="auto"/>
              <w:rPr>
                <w:sz w:val="18"/>
                <w:szCs w:val="18"/>
              </w:rPr>
            </w:pPr>
            <w:r w:rsidRPr="008B68A9">
              <w:rPr>
                <w:sz w:val="18"/>
                <w:szCs w:val="18"/>
              </w:rPr>
              <w:lastRenderedPageBreak/>
              <w:t>McPin study</w:t>
            </w:r>
          </w:p>
          <w:p w14:paraId="3BFC4232" w14:textId="77777777" w:rsidR="008E4573" w:rsidRPr="008B68A9" w:rsidRDefault="008E4573" w:rsidP="00045396">
            <w:pPr>
              <w:spacing w:line="240" w:lineRule="auto"/>
              <w:rPr>
                <w:sz w:val="18"/>
                <w:szCs w:val="18"/>
              </w:rPr>
            </w:pPr>
            <w:r w:rsidRPr="008B68A9">
              <w:rPr>
                <w:sz w:val="18"/>
                <w:szCs w:val="18"/>
              </w:rPr>
              <w:t>Novel question regarding when the budget ends, conditional on reason.</w:t>
            </w:r>
          </w:p>
          <w:p w14:paraId="57843AC6" w14:textId="77777777" w:rsidR="008E4573" w:rsidRPr="008B68A9" w:rsidRDefault="008E4573" w:rsidP="00045396">
            <w:pPr>
              <w:spacing w:line="240" w:lineRule="auto"/>
              <w:rPr>
                <w:sz w:val="18"/>
                <w:szCs w:val="18"/>
              </w:rPr>
            </w:pPr>
            <w:r w:rsidRPr="008B68A9">
              <w:rPr>
                <w:sz w:val="18"/>
                <w:szCs w:val="18"/>
              </w:rPr>
              <w:t>Only able to recruit from 2 of the 3 sites that formed the McPin study.</w:t>
            </w:r>
          </w:p>
          <w:p w14:paraId="06CFAA21" w14:textId="77777777" w:rsidR="008E4573" w:rsidRPr="008B68A9" w:rsidRDefault="008E4573" w:rsidP="00045396">
            <w:pPr>
              <w:spacing w:line="240" w:lineRule="auto"/>
              <w:rPr>
                <w:sz w:val="18"/>
                <w:szCs w:val="18"/>
              </w:rPr>
            </w:pPr>
          </w:p>
          <w:p w14:paraId="67BE728D" w14:textId="77777777" w:rsidR="008E4573" w:rsidRPr="008B68A9" w:rsidRDefault="008E4573" w:rsidP="00045396">
            <w:pPr>
              <w:spacing w:line="240" w:lineRule="auto"/>
              <w:rPr>
                <w:sz w:val="18"/>
                <w:szCs w:val="18"/>
              </w:rPr>
            </w:pPr>
            <w:r w:rsidRPr="008B68A9">
              <w:rPr>
                <w:sz w:val="18"/>
                <w:szCs w:val="18"/>
              </w:rPr>
              <w:t>Only 13 PB users had experienced budget ending. Low for title</w:t>
            </w:r>
          </w:p>
          <w:p w14:paraId="103D7EC4" w14:textId="77777777" w:rsidR="008E4573" w:rsidRPr="008B68A9" w:rsidRDefault="008E4573" w:rsidP="00045396">
            <w:pPr>
              <w:spacing w:line="240" w:lineRule="auto"/>
              <w:rPr>
                <w:sz w:val="18"/>
                <w:szCs w:val="18"/>
              </w:rPr>
            </w:pPr>
          </w:p>
          <w:p w14:paraId="2234DC21" w14:textId="77777777" w:rsidR="008E4573" w:rsidRPr="008B68A9" w:rsidRDefault="008E4573" w:rsidP="00045396">
            <w:pPr>
              <w:spacing w:line="240" w:lineRule="auto"/>
              <w:rPr>
                <w:sz w:val="18"/>
                <w:szCs w:val="18"/>
              </w:rPr>
            </w:pPr>
            <w:r w:rsidRPr="008B68A9">
              <w:rPr>
                <w:sz w:val="18"/>
                <w:szCs w:val="18"/>
              </w:rPr>
              <w:lastRenderedPageBreak/>
              <w:t>Concords with care act</w:t>
            </w:r>
          </w:p>
          <w:p w14:paraId="60ED96EF" w14:textId="77777777" w:rsidR="008E4573" w:rsidRPr="008B68A9" w:rsidRDefault="008E4573" w:rsidP="00045396">
            <w:pPr>
              <w:spacing w:line="240" w:lineRule="auto"/>
              <w:rPr>
                <w:sz w:val="18"/>
                <w:szCs w:val="18"/>
              </w:rPr>
            </w:pPr>
            <w:r w:rsidRPr="008B68A9">
              <w:rPr>
                <w:sz w:val="18"/>
                <w:szCs w:val="18"/>
              </w:rPr>
              <w:t>‘prevent, delay and reduce needs’.</w:t>
            </w:r>
          </w:p>
        </w:tc>
      </w:tr>
      <w:tr w:rsidR="008E4573" w:rsidRPr="008B68A9" w14:paraId="2287527D" w14:textId="77777777" w:rsidTr="00045396">
        <w:tc>
          <w:tcPr>
            <w:tcW w:w="1922" w:type="dxa"/>
          </w:tcPr>
          <w:p w14:paraId="219DD054" w14:textId="77777777" w:rsidR="008E4573" w:rsidRPr="008B68A9" w:rsidRDefault="008E4573" w:rsidP="00045396">
            <w:pPr>
              <w:spacing w:line="240" w:lineRule="auto"/>
              <w:rPr>
                <w:b/>
                <w:sz w:val="18"/>
                <w:szCs w:val="18"/>
              </w:rPr>
            </w:pPr>
          </w:p>
        </w:tc>
        <w:tc>
          <w:tcPr>
            <w:tcW w:w="1479" w:type="dxa"/>
          </w:tcPr>
          <w:p w14:paraId="3E4DE9BA" w14:textId="77777777" w:rsidR="008E4573" w:rsidRPr="008B68A9" w:rsidRDefault="008E4573" w:rsidP="00045396">
            <w:pPr>
              <w:spacing w:line="240" w:lineRule="auto"/>
              <w:rPr>
                <w:sz w:val="18"/>
                <w:szCs w:val="18"/>
              </w:rPr>
            </w:pPr>
          </w:p>
        </w:tc>
        <w:tc>
          <w:tcPr>
            <w:tcW w:w="1526" w:type="dxa"/>
          </w:tcPr>
          <w:p w14:paraId="4E0C5BC9" w14:textId="77777777" w:rsidR="008E4573" w:rsidRPr="008B68A9" w:rsidRDefault="008E4573" w:rsidP="00045396">
            <w:pPr>
              <w:spacing w:line="240" w:lineRule="auto"/>
              <w:rPr>
                <w:sz w:val="18"/>
                <w:szCs w:val="18"/>
              </w:rPr>
            </w:pPr>
          </w:p>
        </w:tc>
        <w:tc>
          <w:tcPr>
            <w:tcW w:w="2127" w:type="dxa"/>
          </w:tcPr>
          <w:p w14:paraId="4B2A1858" w14:textId="77777777" w:rsidR="008E4573" w:rsidRPr="008B68A9" w:rsidRDefault="008E4573" w:rsidP="00045396">
            <w:pPr>
              <w:spacing w:line="240" w:lineRule="auto"/>
              <w:rPr>
                <w:sz w:val="18"/>
                <w:szCs w:val="18"/>
              </w:rPr>
            </w:pPr>
          </w:p>
        </w:tc>
        <w:tc>
          <w:tcPr>
            <w:tcW w:w="1701" w:type="dxa"/>
          </w:tcPr>
          <w:p w14:paraId="28F4B825" w14:textId="77777777" w:rsidR="008E4573" w:rsidRPr="008B68A9" w:rsidRDefault="008E4573" w:rsidP="00045396">
            <w:pPr>
              <w:spacing w:line="240" w:lineRule="auto"/>
              <w:rPr>
                <w:sz w:val="18"/>
                <w:szCs w:val="18"/>
              </w:rPr>
            </w:pPr>
          </w:p>
        </w:tc>
        <w:tc>
          <w:tcPr>
            <w:tcW w:w="3445" w:type="dxa"/>
          </w:tcPr>
          <w:p w14:paraId="4F49248E" w14:textId="77777777" w:rsidR="008E4573" w:rsidRPr="008B68A9" w:rsidRDefault="008E4573" w:rsidP="00045396">
            <w:pPr>
              <w:spacing w:line="240" w:lineRule="auto"/>
              <w:rPr>
                <w:sz w:val="18"/>
                <w:szCs w:val="18"/>
              </w:rPr>
            </w:pPr>
          </w:p>
        </w:tc>
        <w:tc>
          <w:tcPr>
            <w:tcW w:w="2083" w:type="dxa"/>
          </w:tcPr>
          <w:p w14:paraId="440C2F81" w14:textId="77777777" w:rsidR="008E4573" w:rsidRPr="008B68A9" w:rsidRDefault="008E4573" w:rsidP="00045396">
            <w:pPr>
              <w:spacing w:line="240" w:lineRule="auto"/>
              <w:rPr>
                <w:sz w:val="18"/>
                <w:szCs w:val="18"/>
              </w:rPr>
            </w:pPr>
          </w:p>
        </w:tc>
      </w:tr>
      <w:tr w:rsidR="008E4573" w:rsidRPr="008B68A9" w14:paraId="7C65FC3B" w14:textId="77777777" w:rsidTr="00045396">
        <w:tc>
          <w:tcPr>
            <w:tcW w:w="1922" w:type="dxa"/>
          </w:tcPr>
          <w:p w14:paraId="3C744B18" w14:textId="77777777" w:rsidR="008E4573" w:rsidRPr="008B68A9" w:rsidRDefault="008E4573" w:rsidP="00045396">
            <w:pPr>
              <w:spacing w:line="240" w:lineRule="auto"/>
              <w:rPr>
                <w:b/>
                <w:sz w:val="18"/>
                <w:szCs w:val="18"/>
              </w:rPr>
            </w:pPr>
            <w:r w:rsidRPr="008B68A9">
              <w:rPr>
                <w:b/>
                <w:sz w:val="18"/>
                <w:szCs w:val="18"/>
              </w:rPr>
              <w:t xml:space="preserve">*Larson </w:t>
            </w:r>
            <w:r w:rsidRPr="008B68A9">
              <w:rPr>
                <w:b/>
                <w:i/>
                <w:sz w:val="18"/>
                <w:szCs w:val="18"/>
              </w:rPr>
              <w:t>et al.</w:t>
            </w:r>
            <w:r w:rsidRPr="008B68A9">
              <w:rPr>
                <w:b/>
                <w:sz w:val="18"/>
                <w:szCs w:val="18"/>
              </w:rPr>
              <w:t xml:space="preserve"> 2013</w:t>
            </w:r>
          </w:p>
        </w:tc>
        <w:tc>
          <w:tcPr>
            <w:tcW w:w="1479" w:type="dxa"/>
          </w:tcPr>
          <w:p w14:paraId="5471AEB6" w14:textId="77777777" w:rsidR="008E4573" w:rsidRPr="008B68A9" w:rsidRDefault="008E4573" w:rsidP="00045396">
            <w:pPr>
              <w:spacing w:line="240" w:lineRule="auto"/>
              <w:rPr>
                <w:sz w:val="18"/>
                <w:szCs w:val="18"/>
              </w:rPr>
            </w:pPr>
            <w:r w:rsidRPr="008B68A9">
              <w:rPr>
                <w:sz w:val="18"/>
                <w:szCs w:val="18"/>
              </w:rPr>
              <w:t>Adults with mental health problems.</w:t>
            </w:r>
          </w:p>
          <w:p w14:paraId="2848518A" w14:textId="77777777" w:rsidR="008E4573" w:rsidRPr="008B68A9" w:rsidRDefault="008E4573" w:rsidP="00045396">
            <w:pPr>
              <w:spacing w:line="240" w:lineRule="auto"/>
              <w:rPr>
                <w:sz w:val="18"/>
                <w:szCs w:val="18"/>
              </w:rPr>
            </w:pPr>
            <w:r w:rsidRPr="008B68A9">
              <w:rPr>
                <w:sz w:val="18"/>
                <w:szCs w:val="18"/>
              </w:rPr>
              <w:t>LAs, NHS trusts and third sector</w:t>
            </w:r>
          </w:p>
          <w:p w14:paraId="796CD14E" w14:textId="77777777" w:rsidR="008E4573" w:rsidRPr="008B68A9" w:rsidRDefault="008E4573" w:rsidP="00045396">
            <w:pPr>
              <w:spacing w:line="240" w:lineRule="auto"/>
              <w:rPr>
                <w:sz w:val="18"/>
                <w:szCs w:val="18"/>
              </w:rPr>
            </w:pPr>
          </w:p>
        </w:tc>
        <w:tc>
          <w:tcPr>
            <w:tcW w:w="1526" w:type="dxa"/>
          </w:tcPr>
          <w:p w14:paraId="5EA683B0" w14:textId="77777777" w:rsidR="008E4573" w:rsidRPr="008B68A9" w:rsidRDefault="008E4573" w:rsidP="00045396">
            <w:pPr>
              <w:spacing w:line="240" w:lineRule="auto"/>
              <w:rPr>
                <w:sz w:val="18"/>
                <w:szCs w:val="18"/>
              </w:rPr>
            </w:pPr>
            <w:r w:rsidRPr="008B68A9">
              <w:rPr>
                <w:sz w:val="18"/>
                <w:szCs w:val="18"/>
              </w:rPr>
              <w:t xml:space="preserve">58 participants. </w:t>
            </w:r>
          </w:p>
          <w:p w14:paraId="3516D593" w14:textId="77777777" w:rsidR="008E4573" w:rsidRPr="008B68A9" w:rsidRDefault="008E4573" w:rsidP="00045396">
            <w:pPr>
              <w:spacing w:line="240" w:lineRule="auto"/>
              <w:rPr>
                <w:sz w:val="18"/>
                <w:szCs w:val="18"/>
              </w:rPr>
            </w:pPr>
            <w:r w:rsidRPr="008B68A9">
              <w:rPr>
                <w:sz w:val="18"/>
                <w:szCs w:val="18"/>
              </w:rPr>
              <w:t>Geographically diverse areas, (urban/rural)</w:t>
            </w:r>
          </w:p>
        </w:tc>
        <w:tc>
          <w:tcPr>
            <w:tcW w:w="2127" w:type="dxa"/>
          </w:tcPr>
          <w:p w14:paraId="480C2BB0" w14:textId="77777777" w:rsidR="008E4573" w:rsidRPr="008B68A9" w:rsidRDefault="008E4573" w:rsidP="00045396">
            <w:pPr>
              <w:spacing w:line="240" w:lineRule="auto"/>
              <w:rPr>
                <w:sz w:val="18"/>
                <w:szCs w:val="18"/>
              </w:rPr>
            </w:pPr>
            <w:r w:rsidRPr="008B68A9">
              <w:rPr>
                <w:sz w:val="18"/>
                <w:szCs w:val="18"/>
              </w:rPr>
              <w:t>Semi-structured interviews with stakeholders.</w:t>
            </w:r>
          </w:p>
        </w:tc>
        <w:tc>
          <w:tcPr>
            <w:tcW w:w="1701" w:type="dxa"/>
          </w:tcPr>
          <w:p w14:paraId="15F4DD20" w14:textId="77777777" w:rsidR="008E4573" w:rsidRPr="008B68A9" w:rsidRDefault="008E4573" w:rsidP="00045396">
            <w:pPr>
              <w:spacing w:line="240" w:lineRule="auto"/>
              <w:rPr>
                <w:sz w:val="18"/>
                <w:szCs w:val="18"/>
              </w:rPr>
            </w:pPr>
            <w:r w:rsidRPr="008B68A9">
              <w:rPr>
                <w:sz w:val="18"/>
                <w:szCs w:val="18"/>
              </w:rPr>
              <w:t>Interpretive framework analysis</w:t>
            </w:r>
          </w:p>
        </w:tc>
        <w:tc>
          <w:tcPr>
            <w:tcW w:w="3445" w:type="dxa"/>
          </w:tcPr>
          <w:p w14:paraId="6DD3D476" w14:textId="77777777" w:rsidR="008E4573" w:rsidRPr="008B68A9" w:rsidRDefault="008E4573" w:rsidP="00045396">
            <w:pPr>
              <w:spacing w:line="240" w:lineRule="auto"/>
              <w:rPr>
                <w:sz w:val="18"/>
                <w:szCs w:val="18"/>
              </w:rPr>
            </w:pPr>
            <w:r w:rsidRPr="008B68A9">
              <w:rPr>
                <w:sz w:val="18"/>
                <w:szCs w:val="18"/>
              </w:rPr>
              <w:t>Two general themes</w:t>
            </w:r>
          </w:p>
          <w:p w14:paraId="728AA9C7" w14:textId="77777777" w:rsidR="008E4573" w:rsidRPr="008B68A9" w:rsidRDefault="008E4573" w:rsidP="00045396">
            <w:pPr>
              <w:spacing w:line="240" w:lineRule="auto"/>
              <w:rPr>
                <w:sz w:val="18"/>
                <w:szCs w:val="18"/>
              </w:rPr>
            </w:pPr>
            <w:r w:rsidRPr="008B68A9">
              <w:rPr>
                <w:sz w:val="18"/>
                <w:szCs w:val="18"/>
              </w:rPr>
              <w:t>“responsibility and power” and “vision and leadership”</w:t>
            </w:r>
          </w:p>
          <w:p w14:paraId="4CA01B52" w14:textId="77777777" w:rsidR="008E4573" w:rsidRPr="008B68A9" w:rsidRDefault="008E4573" w:rsidP="00045396">
            <w:pPr>
              <w:spacing w:line="240" w:lineRule="auto"/>
              <w:rPr>
                <w:sz w:val="18"/>
                <w:szCs w:val="18"/>
              </w:rPr>
            </w:pPr>
          </w:p>
          <w:p w14:paraId="35450583" w14:textId="77777777" w:rsidR="008E4573" w:rsidRPr="008B68A9" w:rsidRDefault="008E4573" w:rsidP="00045396">
            <w:pPr>
              <w:spacing w:line="240" w:lineRule="auto"/>
              <w:rPr>
                <w:sz w:val="18"/>
                <w:szCs w:val="18"/>
              </w:rPr>
            </w:pPr>
            <w:r w:rsidRPr="008B68A9">
              <w:rPr>
                <w:sz w:val="18"/>
                <w:szCs w:val="18"/>
              </w:rPr>
              <w:t>Difficulties working across boundaries.</w:t>
            </w:r>
          </w:p>
          <w:p w14:paraId="33F13B92" w14:textId="77777777" w:rsidR="008E4573" w:rsidRPr="008B68A9" w:rsidRDefault="008E4573" w:rsidP="00045396">
            <w:pPr>
              <w:spacing w:line="240" w:lineRule="auto"/>
              <w:rPr>
                <w:sz w:val="18"/>
                <w:szCs w:val="18"/>
              </w:rPr>
            </w:pPr>
            <w:r w:rsidRPr="008B68A9">
              <w:rPr>
                <w:sz w:val="18"/>
                <w:szCs w:val="18"/>
              </w:rPr>
              <w:t>Strong leadership needed.</w:t>
            </w:r>
          </w:p>
        </w:tc>
        <w:tc>
          <w:tcPr>
            <w:tcW w:w="2083" w:type="dxa"/>
          </w:tcPr>
          <w:p w14:paraId="488726BB" w14:textId="77777777" w:rsidR="008E4573" w:rsidRPr="008B68A9" w:rsidRDefault="008E4573" w:rsidP="00045396">
            <w:pPr>
              <w:spacing w:line="240" w:lineRule="auto"/>
              <w:rPr>
                <w:sz w:val="18"/>
                <w:szCs w:val="18"/>
              </w:rPr>
            </w:pPr>
            <w:r w:rsidRPr="008B68A9">
              <w:rPr>
                <w:sz w:val="18"/>
                <w:szCs w:val="18"/>
              </w:rPr>
              <w:t>McPin study 1</w:t>
            </w:r>
          </w:p>
          <w:p w14:paraId="03E5B3D9" w14:textId="77777777" w:rsidR="008E4573" w:rsidRPr="008B68A9" w:rsidRDefault="008E4573" w:rsidP="00045396">
            <w:pPr>
              <w:spacing w:line="240" w:lineRule="auto"/>
              <w:rPr>
                <w:sz w:val="18"/>
                <w:szCs w:val="18"/>
              </w:rPr>
            </w:pPr>
          </w:p>
          <w:p w14:paraId="1E312C21" w14:textId="77777777" w:rsidR="008E4573" w:rsidRPr="008B68A9" w:rsidRDefault="008E4573" w:rsidP="00045396">
            <w:pPr>
              <w:spacing w:line="240" w:lineRule="auto"/>
              <w:rPr>
                <w:sz w:val="18"/>
                <w:szCs w:val="18"/>
              </w:rPr>
            </w:pPr>
            <w:r w:rsidRPr="008B68A9">
              <w:rPr>
                <w:sz w:val="18"/>
                <w:szCs w:val="18"/>
              </w:rPr>
              <w:t>Difficulties of interagency working and tensions between leadership and frontline staff.</w:t>
            </w:r>
          </w:p>
          <w:p w14:paraId="5F76AC7A" w14:textId="77777777" w:rsidR="008E4573" w:rsidRPr="008B68A9" w:rsidRDefault="008E4573" w:rsidP="00045396">
            <w:pPr>
              <w:spacing w:line="240" w:lineRule="auto"/>
              <w:rPr>
                <w:sz w:val="18"/>
                <w:szCs w:val="18"/>
              </w:rPr>
            </w:pPr>
            <w:r w:rsidRPr="008B68A9">
              <w:rPr>
                <w:sz w:val="18"/>
                <w:szCs w:val="18"/>
              </w:rPr>
              <w:t>No budget user perspective.</w:t>
            </w:r>
          </w:p>
          <w:p w14:paraId="66C3B0E4" w14:textId="77777777" w:rsidR="008E4573" w:rsidRPr="008B68A9" w:rsidRDefault="008E4573" w:rsidP="00045396">
            <w:pPr>
              <w:spacing w:line="240" w:lineRule="auto"/>
              <w:rPr>
                <w:sz w:val="18"/>
                <w:szCs w:val="18"/>
              </w:rPr>
            </w:pPr>
            <w:r w:rsidRPr="008B68A9">
              <w:rPr>
                <w:sz w:val="18"/>
                <w:szCs w:val="18"/>
              </w:rPr>
              <w:t>Also data collection occurred around time of Coalition government.</w:t>
            </w:r>
          </w:p>
        </w:tc>
      </w:tr>
      <w:tr w:rsidR="008E4573" w:rsidRPr="008B68A9" w14:paraId="552E989C" w14:textId="77777777" w:rsidTr="00045396">
        <w:tc>
          <w:tcPr>
            <w:tcW w:w="1922" w:type="dxa"/>
          </w:tcPr>
          <w:p w14:paraId="6F8A68BA" w14:textId="77777777" w:rsidR="008E4573" w:rsidRPr="008B68A9" w:rsidRDefault="008E4573" w:rsidP="00045396">
            <w:pPr>
              <w:spacing w:line="240" w:lineRule="auto"/>
              <w:rPr>
                <w:b/>
                <w:sz w:val="18"/>
                <w:szCs w:val="18"/>
              </w:rPr>
            </w:pPr>
          </w:p>
        </w:tc>
        <w:tc>
          <w:tcPr>
            <w:tcW w:w="1479" w:type="dxa"/>
          </w:tcPr>
          <w:p w14:paraId="2BE0AD2B" w14:textId="77777777" w:rsidR="008E4573" w:rsidRPr="008B68A9" w:rsidRDefault="008E4573" w:rsidP="00045396">
            <w:pPr>
              <w:spacing w:line="240" w:lineRule="auto"/>
              <w:rPr>
                <w:sz w:val="18"/>
                <w:szCs w:val="18"/>
              </w:rPr>
            </w:pPr>
          </w:p>
        </w:tc>
        <w:tc>
          <w:tcPr>
            <w:tcW w:w="1526" w:type="dxa"/>
          </w:tcPr>
          <w:p w14:paraId="65601F5D" w14:textId="77777777" w:rsidR="008E4573" w:rsidRPr="008B68A9" w:rsidRDefault="008E4573" w:rsidP="00045396">
            <w:pPr>
              <w:spacing w:line="240" w:lineRule="auto"/>
              <w:rPr>
                <w:sz w:val="18"/>
                <w:szCs w:val="18"/>
              </w:rPr>
            </w:pPr>
          </w:p>
        </w:tc>
        <w:tc>
          <w:tcPr>
            <w:tcW w:w="2127" w:type="dxa"/>
          </w:tcPr>
          <w:p w14:paraId="33A01D56" w14:textId="77777777" w:rsidR="008E4573" w:rsidRPr="008B68A9" w:rsidRDefault="008E4573" w:rsidP="00045396">
            <w:pPr>
              <w:spacing w:line="240" w:lineRule="auto"/>
              <w:rPr>
                <w:sz w:val="18"/>
                <w:szCs w:val="18"/>
              </w:rPr>
            </w:pPr>
          </w:p>
        </w:tc>
        <w:tc>
          <w:tcPr>
            <w:tcW w:w="1701" w:type="dxa"/>
          </w:tcPr>
          <w:p w14:paraId="20922AF6" w14:textId="77777777" w:rsidR="008E4573" w:rsidRPr="008B68A9" w:rsidRDefault="008E4573" w:rsidP="00045396">
            <w:pPr>
              <w:spacing w:line="240" w:lineRule="auto"/>
              <w:rPr>
                <w:sz w:val="18"/>
                <w:szCs w:val="18"/>
              </w:rPr>
            </w:pPr>
          </w:p>
        </w:tc>
        <w:tc>
          <w:tcPr>
            <w:tcW w:w="3445" w:type="dxa"/>
          </w:tcPr>
          <w:p w14:paraId="2286D41E" w14:textId="77777777" w:rsidR="008E4573" w:rsidRPr="008B68A9" w:rsidRDefault="008E4573" w:rsidP="00045396">
            <w:pPr>
              <w:spacing w:line="240" w:lineRule="auto"/>
              <w:rPr>
                <w:sz w:val="18"/>
                <w:szCs w:val="18"/>
              </w:rPr>
            </w:pPr>
          </w:p>
        </w:tc>
        <w:tc>
          <w:tcPr>
            <w:tcW w:w="2083" w:type="dxa"/>
          </w:tcPr>
          <w:p w14:paraId="298457F2" w14:textId="77777777" w:rsidR="008E4573" w:rsidRPr="008B68A9" w:rsidRDefault="008E4573" w:rsidP="00045396">
            <w:pPr>
              <w:spacing w:line="240" w:lineRule="auto"/>
              <w:rPr>
                <w:sz w:val="18"/>
                <w:szCs w:val="18"/>
              </w:rPr>
            </w:pPr>
          </w:p>
        </w:tc>
      </w:tr>
      <w:tr w:rsidR="008E4573" w:rsidRPr="008B68A9" w14:paraId="0BE5C51B" w14:textId="77777777" w:rsidTr="00045396">
        <w:tc>
          <w:tcPr>
            <w:tcW w:w="1922" w:type="dxa"/>
          </w:tcPr>
          <w:p w14:paraId="77A16D43" w14:textId="77777777" w:rsidR="008E4573" w:rsidRPr="008B68A9" w:rsidRDefault="008E4573" w:rsidP="00045396">
            <w:pPr>
              <w:spacing w:line="240" w:lineRule="auto"/>
              <w:rPr>
                <w:b/>
                <w:sz w:val="18"/>
                <w:szCs w:val="18"/>
              </w:rPr>
            </w:pPr>
            <w:r w:rsidRPr="008B68A9">
              <w:rPr>
                <w:b/>
                <w:sz w:val="18"/>
                <w:szCs w:val="18"/>
              </w:rPr>
              <w:t xml:space="preserve">*Larson </w:t>
            </w:r>
            <w:r w:rsidRPr="008B68A9">
              <w:rPr>
                <w:b/>
                <w:i/>
                <w:sz w:val="18"/>
                <w:szCs w:val="18"/>
              </w:rPr>
              <w:t>et al.</w:t>
            </w:r>
            <w:r w:rsidRPr="008B68A9">
              <w:rPr>
                <w:b/>
                <w:sz w:val="18"/>
                <w:szCs w:val="18"/>
              </w:rPr>
              <w:t xml:space="preserve"> 2015</w:t>
            </w:r>
          </w:p>
        </w:tc>
        <w:tc>
          <w:tcPr>
            <w:tcW w:w="1479" w:type="dxa"/>
          </w:tcPr>
          <w:p w14:paraId="06E9A651" w14:textId="77777777" w:rsidR="008E4573" w:rsidRPr="008B68A9" w:rsidRDefault="008E4573" w:rsidP="00045396">
            <w:pPr>
              <w:spacing w:line="240" w:lineRule="auto"/>
              <w:rPr>
                <w:sz w:val="18"/>
                <w:szCs w:val="18"/>
              </w:rPr>
            </w:pPr>
            <w:r w:rsidRPr="008B68A9">
              <w:rPr>
                <w:sz w:val="18"/>
                <w:szCs w:val="18"/>
              </w:rPr>
              <w:t>MH individual budget users from 3 English counties.</w:t>
            </w:r>
          </w:p>
          <w:p w14:paraId="4C9E3862" w14:textId="77777777" w:rsidR="008E4573" w:rsidRPr="008B68A9" w:rsidRDefault="008E4573" w:rsidP="00045396">
            <w:pPr>
              <w:spacing w:line="240" w:lineRule="auto"/>
              <w:rPr>
                <w:sz w:val="18"/>
                <w:szCs w:val="18"/>
              </w:rPr>
            </w:pPr>
          </w:p>
        </w:tc>
        <w:tc>
          <w:tcPr>
            <w:tcW w:w="1526" w:type="dxa"/>
          </w:tcPr>
          <w:p w14:paraId="6CE5E1F6" w14:textId="77777777" w:rsidR="008E4573" w:rsidRPr="008B68A9" w:rsidRDefault="008E4573" w:rsidP="00045396">
            <w:pPr>
              <w:spacing w:line="240" w:lineRule="auto"/>
              <w:rPr>
                <w:sz w:val="18"/>
                <w:szCs w:val="18"/>
              </w:rPr>
            </w:pPr>
            <w:r w:rsidRPr="008B68A9">
              <w:rPr>
                <w:sz w:val="18"/>
                <w:szCs w:val="18"/>
              </w:rPr>
              <w:t>Sample of convenience 47 MH PHB users, most with severe diagnosis.</w:t>
            </w:r>
          </w:p>
        </w:tc>
        <w:tc>
          <w:tcPr>
            <w:tcW w:w="2127" w:type="dxa"/>
          </w:tcPr>
          <w:p w14:paraId="4A1A9CD1" w14:textId="77777777" w:rsidR="008E4573" w:rsidRPr="008B68A9" w:rsidRDefault="008E4573" w:rsidP="00045396">
            <w:pPr>
              <w:spacing w:line="240" w:lineRule="auto"/>
              <w:rPr>
                <w:sz w:val="18"/>
                <w:szCs w:val="18"/>
              </w:rPr>
            </w:pPr>
            <w:r w:rsidRPr="008B68A9">
              <w:rPr>
                <w:sz w:val="18"/>
                <w:szCs w:val="18"/>
              </w:rPr>
              <w:t>Semi-structured in-depth interviews, (5=non consent to recording – notes taken).</w:t>
            </w:r>
          </w:p>
        </w:tc>
        <w:tc>
          <w:tcPr>
            <w:tcW w:w="1701" w:type="dxa"/>
          </w:tcPr>
          <w:p w14:paraId="79FEE0E7" w14:textId="77777777" w:rsidR="008E4573" w:rsidRPr="008B68A9" w:rsidRDefault="008E4573" w:rsidP="00045396">
            <w:pPr>
              <w:spacing w:line="240" w:lineRule="auto"/>
              <w:rPr>
                <w:sz w:val="18"/>
                <w:szCs w:val="18"/>
              </w:rPr>
            </w:pPr>
            <w:r w:rsidRPr="008B68A9">
              <w:rPr>
                <w:sz w:val="18"/>
                <w:szCs w:val="18"/>
              </w:rPr>
              <w:t>Interpretive framework analysis</w:t>
            </w:r>
          </w:p>
        </w:tc>
        <w:tc>
          <w:tcPr>
            <w:tcW w:w="3445" w:type="dxa"/>
          </w:tcPr>
          <w:p w14:paraId="4206FC19" w14:textId="77777777" w:rsidR="008E4573" w:rsidRPr="008B68A9" w:rsidRDefault="008E4573" w:rsidP="00045396">
            <w:pPr>
              <w:spacing w:line="240" w:lineRule="auto"/>
              <w:rPr>
                <w:sz w:val="18"/>
                <w:szCs w:val="18"/>
              </w:rPr>
            </w:pPr>
            <w:r w:rsidRPr="008B68A9">
              <w:rPr>
                <w:sz w:val="18"/>
                <w:szCs w:val="18"/>
              </w:rPr>
              <w:t>Focus on support for budget user during planning and outcome formation.</w:t>
            </w:r>
          </w:p>
          <w:p w14:paraId="2102206D" w14:textId="77777777" w:rsidR="008E4573" w:rsidRPr="008B68A9" w:rsidRDefault="008E4573" w:rsidP="00045396">
            <w:pPr>
              <w:spacing w:line="240" w:lineRule="auto"/>
              <w:rPr>
                <w:sz w:val="18"/>
                <w:szCs w:val="18"/>
              </w:rPr>
            </w:pPr>
            <w:r w:rsidRPr="008B68A9">
              <w:rPr>
                <w:sz w:val="18"/>
                <w:szCs w:val="18"/>
              </w:rPr>
              <w:t>Individual approach as some require more than others.</w:t>
            </w:r>
          </w:p>
          <w:p w14:paraId="69A2CB2A" w14:textId="77777777" w:rsidR="008E4573" w:rsidRPr="008B68A9" w:rsidRDefault="008E4573" w:rsidP="00045396">
            <w:pPr>
              <w:spacing w:line="240" w:lineRule="auto"/>
              <w:rPr>
                <w:sz w:val="18"/>
                <w:szCs w:val="18"/>
              </w:rPr>
            </w:pPr>
          </w:p>
          <w:p w14:paraId="2558F4BC" w14:textId="77777777" w:rsidR="008E4573" w:rsidRPr="008B68A9" w:rsidRDefault="008E4573" w:rsidP="00045396">
            <w:pPr>
              <w:spacing w:line="240" w:lineRule="auto"/>
              <w:rPr>
                <w:sz w:val="18"/>
                <w:szCs w:val="18"/>
              </w:rPr>
            </w:pPr>
            <w:r w:rsidRPr="008B68A9">
              <w:rPr>
                <w:sz w:val="18"/>
                <w:szCs w:val="18"/>
              </w:rPr>
              <w:t>‘A key finding from the personal narratives is the interconnectedness of positive outcomes achieved.’ (p. 223)</w:t>
            </w:r>
          </w:p>
        </w:tc>
        <w:tc>
          <w:tcPr>
            <w:tcW w:w="2083" w:type="dxa"/>
          </w:tcPr>
          <w:p w14:paraId="60B1880B" w14:textId="77777777" w:rsidR="008E4573" w:rsidRPr="008B68A9" w:rsidRDefault="008E4573" w:rsidP="00045396">
            <w:pPr>
              <w:spacing w:line="240" w:lineRule="auto"/>
              <w:rPr>
                <w:sz w:val="18"/>
                <w:szCs w:val="18"/>
              </w:rPr>
            </w:pPr>
            <w:r w:rsidRPr="008B68A9">
              <w:rPr>
                <w:sz w:val="18"/>
                <w:szCs w:val="18"/>
              </w:rPr>
              <w:t>McPin study.</w:t>
            </w:r>
          </w:p>
          <w:p w14:paraId="15BCED3C" w14:textId="77777777" w:rsidR="008E4573" w:rsidRPr="008B68A9" w:rsidRDefault="008E4573" w:rsidP="00045396">
            <w:pPr>
              <w:spacing w:line="240" w:lineRule="auto"/>
              <w:rPr>
                <w:sz w:val="18"/>
                <w:szCs w:val="18"/>
              </w:rPr>
            </w:pPr>
            <w:r w:rsidRPr="008B68A9">
              <w:rPr>
                <w:sz w:val="18"/>
                <w:szCs w:val="18"/>
              </w:rPr>
              <w:t xml:space="preserve">Sampling 2/3 from 1 of 3 sites due to slow implementation. </w:t>
            </w:r>
          </w:p>
        </w:tc>
      </w:tr>
      <w:tr w:rsidR="008E4573" w:rsidRPr="008B68A9" w14:paraId="75CC8449" w14:textId="77777777" w:rsidTr="00045396">
        <w:tc>
          <w:tcPr>
            <w:tcW w:w="1922" w:type="dxa"/>
          </w:tcPr>
          <w:p w14:paraId="08C75A07" w14:textId="77777777" w:rsidR="008E4573" w:rsidRPr="008B68A9" w:rsidRDefault="008E4573" w:rsidP="00045396">
            <w:pPr>
              <w:spacing w:line="240" w:lineRule="auto"/>
              <w:rPr>
                <w:b/>
                <w:sz w:val="18"/>
                <w:szCs w:val="18"/>
              </w:rPr>
            </w:pPr>
          </w:p>
        </w:tc>
        <w:tc>
          <w:tcPr>
            <w:tcW w:w="1479" w:type="dxa"/>
          </w:tcPr>
          <w:p w14:paraId="62D58161" w14:textId="77777777" w:rsidR="008E4573" w:rsidRPr="008B68A9" w:rsidRDefault="008E4573" w:rsidP="00045396">
            <w:pPr>
              <w:spacing w:line="240" w:lineRule="auto"/>
              <w:rPr>
                <w:sz w:val="18"/>
                <w:szCs w:val="18"/>
              </w:rPr>
            </w:pPr>
          </w:p>
        </w:tc>
        <w:tc>
          <w:tcPr>
            <w:tcW w:w="1526" w:type="dxa"/>
          </w:tcPr>
          <w:p w14:paraId="33D140FA" w14:textId="77777777" w:rsidR="008E4573" w:rsidRPr="008B68A9" w:rsidRDefault="008E4573" w:rsidP="00045396">
            <w:pPr>
              <w:spacing w:line="240" w:lineRule="auto"/>
              <w:rPr>
                <w:sz w:val="18"/>
                <w:szCs w:val="18"/>
              </w:rPr>
            </w:pPr>
          </w:p>
        </w:tc>
        <w:tc>
          <w:tcPr>
            <w:tcW w:w="2127" w:type="dxa"/>
          </w:tcPr>
          <w:p w14:paraId="7DB68F62" w14:textId="77777777" w:rsidR="008E4573" w:rsidRPr="008B68A9" w:rsidRDefault="008E4573" w:rsidP="00045396">
            <w:pPr>
              <w:spacing w:line="240" w:lineRule="auto"/>
              <w:rPr>
                <w:sz w:val="18"/>
                <w:szCs w:val="18"/>
              </w:rPr>
            </w:pPr>
          </w:p>
        </w:tc>
        <w:tc>
          <w:tcPr>
            <w:tcW w:w="1701" w:type="dxa"/>
          </w:tcPr>
          <w:p w14:paraId="5FA79743" w14:textId="77777777" w:rsidR="008E4573" w:rsidRPr="008B68A9" w:rsidRDefault="008E4573" w:rsidP="00045396">
            <w:pPr>
              <w:spacing w:line="240" w:lineRule="auto"/>
              <w:rPr>
                <w:sz w:val="18"/>
                <w:szCs w:val="18"/>
              </w:rPr>
            </w:pPr>
          </w:p>
        </w:tc>
        <w:tc>
          <w:tcPr>
            <w:tcW w:w="3445" w:type="dxa"/>
          </w:tcPr>
          <w:p w14:paraId="3B62DE80" w14:textId="77777777" w:rsidR="008E4573" w:rsidRPr="008B68A9" w:rsidRDefault="008E4573" w:rsidP="00045396">
            <w:pPr>
              <w:spacing w:line="240" w:lineRule="auto"/>
              <w:rPr>
                <w:sz w:val="18"/>
                <w:szCs w:val="18"/>
              </w:rPr>
            </w:pPr>
          </w:p>
        </w:tc>
        <w:tc>
          <w:tcPr>
            <w:tcW w:w="2083" w:type="dxa"/>
          </w:tcPr>
          <w:p w14:paraId="5AFEA353" w14:textId="77777777" w:rsidR="008E4573" w:rsidRPr="008B68A9" w:rsidRDefault="008E4573" w:rsidP="00045396">
            <w:pPr>
              <w:spacing w:line="240" w:lineRule="auto"/>
              <w:rPr>
                <w:sz w:val="18"/>
                <w:szCs w:val="18"/>
              </w:rPr>
            </w:pPr>
          </w:p>
        </w:tc>
      </w:tr>
      <w:tr w:rsidR="008E4573" w:rsidRPr="008B68A9" w14:paraId="0414357B" w14:textId="77777777" w:rsidTr="00045396">
        <w:trPr>
          <w:trHeight w:val="527"/>
        </w:trPr>
        <w:tc>
          <w:tcPr>
            <w:tcW w:w="1922" w:type="dxa"/>
          </w:tcPr>
          <w:p w14:paraId="41FBDC41" w14:textId="77777777" w:rsidR="008E4573" w:rsidRPr="008B68A9" w:rsidRDefault="008E4573" w:rsidP="00045396">
            <w:pPr>
              <w:spacing w:line="240" w:lineRule="auto"/>
              <w:rPr>
                <w:b/>
                <w:sz w:val="18"/>
                <w:szCs w:val="18"/>
              </w:rPr>
            </w:pPr>
            <w:r w:rsidRPr="008B68A9">
              <w:rPr>
                <w:b/>
                <w:sz w:val="18"/>
                <w:szCs w:val="18"/>
              </w:rPr>
              <w:t xml:space="preserve">*Hamilton </w:t>
            </w:r>
            <w:r w:rsidRPr="008B68A9">
              <w:rPr>
                <w:b/>
                <w:i/>
                <w:sz w:val="18"/>
                <w:szCs w:val="18"/>
              </w:rPr>
              <w:t>et al.</w:t>
            </w:r>
            <w:r w:rsidRPr="008B68A9">
              <w:rPr>
                <w:b/>
                <w:sz w:val="18"/>
                <w:szCs w:val="18"/>
              </w:rPr>
              <w:t xml:space="preserve"> 2015a</w:t>
            </w:r>
          </w:p>
        </w:tc>
        <w:tc>
          <w:tcPr>
            <w:tcW w:w="1479" w:type="dxa"/>
          </w:tcPr>
          <w:p w14:paraId="763D8DA4" w14:textId="77777777" w:rsidR="008E4573" w:rsidRPr="008B68A9" w:rsidRDefault="008E4573" w:rsidP="00045396">
            <w:pPr>
              <w:spacing w:line="240" w:lineRule="auto"/>
              <w:rPr>
                <w:sz w:val="18"/>
                <w:szCs w:val="18"/>
              </w:rPr>
            </w:pPr>
            <w:r w:rsidRPr="008B68A9">
              <w:rPr>
                <w:sz w:val="18"/>
                <w:szCs w:val="18"/>
              </w:rPr>
              <w:t xml:space="preserve">Integrated MH team members </w:t>
            </w:r>
          </w:p>
          <w:p w14:paraId="326FB93A" w14:textId="77777777" w:rsidR="008E4573" w:rsidRPr="008B68A9" w:rsidRDefault="008E4573" w:rsidP="00045396">
            <w:pPr>
              <w:spacing w:line="240" w:lineRule="auto"/>
              <w:rPr>
                <w:sz w:val="18"/>
                <w:szCs w:val="18"/>
              </w:rPr>
            </w:pPr>
          </w:p>
        </w:tc>
        <w:tc>
          <w:tcPr>
            <w:tcW w:w="1526" w:type="dxa"/>
          </w:tcPr>
          <w:p w14:paraId="0321A83C" w14:textId="77777777" w:rsidR="008E4573" w:rsidRPr="008B68A9" w:rsidRDefault="008E4573" w:rsidP="00045396">
            <w:pPr>
              <w:spacing w:line="240" w:lineRule="auto"/>
              <w:rPr>
                <w:sz w:val="18"/>
                <w:szCs w:val="18"/>
              </w:rPr>
            </w:pPr>
            <w:r w:rsidRPr="008B68A9">
              <w:rPr>
                <w:sz w:val="18"/>
                <w:szCs w:val="18"/>
              </w:rPr>
              <w:t xml:space="preserve">28 </w:t>
            </w:r>
          </w:p>
          <w:p w14:paraId="3D3FC82F" w14:textId="77777777" w:rsidR="008E4573" w:rsidRPr="008B68A9" w:rsidRDefault="008E4573" w:rsidP="00045396">
            <w:pPr>
              <w:spacing w:line="240" w:lineRule="auto"/>
              <w:rPr>
                <w:sz w:val="18"/>
                <w:szCs w:val="18"/>
              </w:rPr>
            </w:pPr>
            <w:r w:rsidRPr="008B68A9">
              <w:rPr>
                <w:sz w:val="18"/>
                <w:szCs w:val="18"/>
              </w:rPr>
              <w:t>social workers =11</w:t>
            </w:r>
          </w:p>
          <w:p w14:paraId="52EF8A5E" w14:textId="77777777" w:rsidR="008E4573" w:rsidRPr="008B68A9" w:rsidRDefault="008E4573" w:rsidP="00045396">
            <w:pPr>
              <w:spacing w:line="240" w:lineRule="auto"/>
              <w:rPr>
                <w:sz w:val="18"/>
                <w:szCs w:val="18"/>
              </w:rPr>
            </w:pPr>
            <w:r w:rsidRPr="008B68A9">
              <w:rPr>
                <w:sz w:val="18"/>
                <w:szCs w:val="18"/>
              </w:rPr>
              <w:t>CPNs =8</w:t>
            </w:r>
          </w:p>
          <w:p w14:paraId="4A9C1A14" w14:textId="77777777" w:rsidR="008E4573" w:rsidRPr="008B68A9" w:rsidRDefault="008E4573" w:rsidP="00045396">
            <w:pPr>
              <w:spacing w:line="240" w:lineRule="auto"/>
              <w:rPr>
                <w:sz w:val="18"/>
                <w:szCs w:val="18"/>
              </w:rPr>
            </w:pPr>
            <w:r w:rsidRPr="008B68A9">
              <w:rPr>
                <w:sz w:val="18"/>
                <w:szCs w:val="18"/>
              </w:rPr>
              <w:t>OTs = 9</w:t>
            </w:r>
          </w:p>
        </w:tc>
        <w:tc>
          <w:tcPr>
            <w:tcW w:w="2127" w:type="dxa"/>
          </w:tcPr>
          <w:p w14:paraId="61A15A9D" w14:textId="77777777" w:rsidR="008E4573" w:rsidRPr="008B68A9" w:rsidRDefault="008E4573" w:rsidP="00045396">
            <w:pPr>
              <w:spacing w:line="240" w:lineRule="auto"/>
              <w:rPr>
                <w:sz w:val="18"/>
                <w:szCs w:val="18"/>
              </w:rPr>
            </w:pPr>
            <w:r w:rsidRPr="008B68A9">
              <w:rPr>
                <w:sz w:val="18"/>
                <w:szCs w:val="18"/>
              </w:rPr>
              <w:t>Semi-structured interviews</w:t>
            </w:r>
          </w:p>
        </w:tc>
        <w:tc>
          <w:tcPr>
            <w:tcW w:w="1701" w:type="dxa"/>
          </w:tcPr>
          <w:p w14:paraId="061E21B7" w14:textId="77777777" w:rsidR="008E4573" w:rsidRPr="008B68A9" w:rsidRDefault="008E4573" w:rsidP="00045396">
            <w:pPr>
              <w:spacing w:line="240" w:lineRule="auto"/>
              <w:rPr>
                <w:sz w:val="18"/>
                <w:szCs w:val="18"/>
              </w:rPr>
            </w:pPr>
            <w:r w:rsidRPr="008B68A9">
              <w:rPr>
                <w:sz w:val="18"/>
                <w:szCs w:val="18"/>
              </w:rPr>
              <w:t>Interpretive framework analysis</w:t>
            </w:r>
          </w:p>
        </w:tc>
        <w:tc>
          <w:tcPr>
            <w:tcW w:w="3445" w:type="dxa"/>
          </w:tcPr>
          <w:p w14:paraId="4D001371" w14:textId="77777777" w:rsidR="008E4573" w:rsidRPr="008B68A9" w:rsidRDefault="008E4573" w:rsidP="00045396">
            <w:pPr>
              <w:spacing w:line="240" w:lineRule="auto"/>
              <w:rPr>
                <w:sz w:val="18"/>
                <w:szCs w:val="18"/>
              </w:rPr>
            </w:pPr>
            <w:r w:rsidRPr="008B68A9">
              <w:rPr>
                <w:sz w:val="18"/>
                <w:szCs w:val="18"/>
              </w:rPr>
              <w:t>Over half staff said they had always worked in patient centred ways.</w:t>
            </w:r>
          </w:p>
          <w:p w14:paraId="16F6A51A" w14:textId="77777777" w:rsidR="008E4573" w:rsidRPr="008B68A9" w:rsidRDefault="008E4573" w:rsidP="00045396">
            <w:pPr>
              <w:spacing w:line="240" w:lineRule="auto"/>
              <w:rPr>
                <w:sz w:val="18"/>
                <w:szCs w:val="18"/>
              </w:rPr>
            </w:pPr>
            <w:r w:rsidRPr="008B68A9">
              <w:rPr>
                <w:sz w:val="18"/>
                <w:szCs w:val="18"/>
              </w:rPr>
              <w:t>Nurses often expressed IBs to be social care and not nursing – preferring medication management.</w:t>
            </w:r>
          </w:p>
          <w:p w14:paraId="0F28A220" w14:textId="77777777" w:rsidR="008E4573" w:rsidRPr="008B68A9" w:rsidRDefault="008E4573" w:rsidP="00045396">
            <w:pPr>
              <w:spacing w:line="240" w:lineRule="auto"/>
              <w:rPr>
                <w:sz w:val="18"/>
                <w:szCs w:val="18"/>
              </w:rPr>
            </w:pPr>
            <w:r w:rsidRPr="008B68A9">
              <w:rPr>
                <w:sz w:val="18"/>
                <w:szCs w:val="18"/>
              </w:rPr>
              <w:t>Social workers felt there was insufficient time for IBs.</w:t>
            </w:r>
          </w:p>
          <w:p w14:paraId="24E06AA3" w14:textId="77777777" w:rsidR="008E4573" w:rsidRPr="008B68A9" w:rsidRDefault="008E4573" w:rsidP="00045396">
            <w:pPr>
              <w:spacing w:line="240" w:lineRule="auto"/>
              <w:rPr>
                <w:sz w:val="18"/>
                <w:szCs w:val="18"/>
              </w:rPr>
            </w:pPr>
            <w:r w:rsidRPr="008B68A9">
              <w:rPr>
                <w:sz w:val="18"/>
                <w:szCs w:val="18"/>
              </w:rPr>
              <w:lastRenderedPageBreak/>
              <w:t>OT’s felt IBS was their natural work and a way to reclaim their practice.</w:t>
            </w:r>
          </w:p>
          <w:p w14:paraId="5067ADDB" w14:textId="77777777" w:rsidR="008E4573" w:rsidRPr="008B68A9" w:rsidRDefault="008E4573" w:rsidP="00045396">
            <w:pPr>
              <w:spacing w:line="240" w:lineRule="auto"/>
              <w:rPr>
                <w:sz w:val="18"/>
                <w:szCs w:val="18"/>
              </w:rPr>
            </w:pPr>
            <w:r w:rsidRPr="008B68A9">
              <w:rPr>
                <w:sz w:val="18"/>
                <w:szCs w:val="18"/>
              </w:rPr>
              <w:t>Sense of strong medical model that relegated personalisation to lower level of social care.</w:t>
            </w:r>
          </w:p>
          <w:p w14:paraId="34857EB4" w14:textId="77777777" w:rsidR="008E4573" w:rsidRPr="008B68A9" w:rsidRDefault="008E4573" w:rsidP="00045396">
            <w:pPr>
              <w:spacing w:line="240" w:lineRule="auto"/>
              <w:rPr>
                <w:sz w:val="18"/>
                <w:szCs w:val="18"/>
              </w:rPr>
            </w:pPr>
          </w:p>
          <w:p w14:paraId="005A988F" w14:textId="77777777" w:rsidR="008E4573" w:rsidRPr="008B68A9" w:rsidRDefault="008E4573" w:rsidP="00045396">
            <w:pPr>
              <w:spacing w:line="240" w:lineRule="auto"/>
              <w:rPr>
                <w:sz w:val="18"/>
                <w:szCs w:val="18"/>
              </w:rPr>
            </w:pPr>
            <w:r w:rsidRPr="008B68A9">
              <w:rPr>
                <w:sz w:val="18"/>
                <w:szCs w:val="18"/>
              </w:rPr>
              <w:t>“However, our findings suggest that reluctance to engage with personal budgets is also a matter of competing professional priorities, including the medicalisation of social care practice, and resistance to new ways of working within existing role boundaries.” (p. 491)</w:t>
            </w:r>
          </w:p>
        </w:tc>
        <w:tc>
          <w:tcPr>
            <w:tcW w:w="2083" w:type="dxa"/>
          </w:tcPr>
          <w:p w14:paraId="2E9B5F45" w14:textId="77777777" w:rsidR="008E4573" w:rsidRPr="008B68A9" w:rsidRDefault="008E4573" w:rsidP="00045396">
            <w:pPr>
              <w:spacing w:line="240" w:lineRule="auto"/>
              <w:rPr>
                <w:sz w:val="18"/>
                <w:szCs w:val="18"/>
              </w:rPr>
            </w:pPr>
            <w:r w:rsidRPr="008B68A9">
              <w:rPr>
                <w:sz w:val="18"/>
                <w:szCs w:val="18"/>
              </w:rPr>
              <w:lastRenderedPageBreak/>
              <w:t>McPin study.</w:t>
            </w:r>
          </w:p>
          <w:p w14:paraId="19A2B230" w14:textId="77777777" w:rsidR="008E4573" w:rsidRPr="008B68A9" w:rsidRDefault="008E4573" w:rsidP="00045396">
            <w:pPr>
              <w:spacing w:line="240" w:lineRule="auto"/>
              <w:rPr>
                <w:sz w:val="18"/>
                <w:szCs w:val="18"/>
              </w:rPr>
            </w:pPr>
            <w:r w:rsidRPr="008B68A9">
              <w:rPr>
                <w:sz w:val="18"/>
                <w:szCs w:val="18"/>
              </w:rPr>
              <w:t>“The dominance of the medical model and the hierarchical</w:t>
            </w:r>
          </w:p>
          <w:p w14:paraId="119A8E51" w14:textId="77777777" w:rsidR="008E4573" w:rsidRPr="008B68A9" w:rsidRDefault="008E4573" w:rsidP="00045396">
            <w:pPr>
              <w:spacing w:line="240" w:lineRule="auto"/>
              <w:rPr>
                <w:sz w:val="18"/>
                <w:szCs w:val="18"/>
              </w:rPr>
            </w:pPr>
            <w:r w:rsidRPr="008B68A9">
              <w:rPr>
                <w:sz w:val="18"/>
                <w:szCs w:val="18"/>
              </w:rPr>
              <w:t>approach to addressing social needs and to personalised working</w:t>
            </w:r>
          </w:p>
          <w:p w14:paraId="715279B6" w14:textId="77777777" w:rsidR="008E4573" w:rsidRPr="008B68A9" w:rsidRDefault="008E4573" w:rsidP="00045396">
            <w:pPr>
              <w:spacing w:line="240" w:lineRule="auto"/>
              <w:rPr>
                <w:sz w:val="18"/>
                <w:szCs w:val="18"/>
              </w:rPr>
            </w:pPr>
            <w:r w:rsidRPr="008B68A9">
              <w:rPr>
                <w:sz w:val="18"/>
                <w:szCs w:val="18"/>
              </w:rPr>
              <w:lastRenderedPageBreak/>
              <w:t>have implications for person-centred care in mental health” (p. 492)</w:t>
            </w:r>
          </w:p>
        </w:tc>
      </w:tr>
      <w:tr w:rsidR="008E4573" w:rsidRPr="008B68A9" w14:paraId="7D14EBC2" w14:textId="77777777" w:rsidTr="00045396">
        <w:trPr>
          <w:trHeight w:val="213"/>
        </w:trPr>
        <w:tc>
          <w:tcPr>
            <w:tcW w:w="1922" w:type="dxa"/>
          </w:tcPr>
          <w:p w14:paraId="165454A0" w14:textId="77777777" w:rsidR="008E4573" w:rsidRPr="008B68A9" w:rsidRDefault="008E4573" w:rsidP="00045396">
            <w:pPr>
              <w:spacing w:line="240" w:lineRule="auto"/>
              <w:rPr>
                <w:b/>
                <w:sz w:val="18"/>
                <w:szCs w:val="18"/>
              </w:rPr>
            </w:pPr>
          </w:p>
        </w:tc>
        <w:tc>
          <w:tcPr>
            <w:tcW w:w="1479" w:type="dxa"/>
          </w:tcPr>
          <w:p w14:paraId="3C3F46A8" w14:textId="77777777" w:rsidR="008E4573" w:rsidRPr="008B68A9" w:rsidRDefault="008E4573" w:rsidP="00045396">
            <w:pPr>
              <w:spacing w:line="240" w:lineRule="auto"/>
              <w:rPr>
                <w:sz w:val="18"/>
                <w:szCs w:val="18"/>
              </w:rPr>
            </w:pPr>
          </w:p>
        </w:tc>
        <w:tc>
          <w:tcPr>
            <w:tcW w:w="1526" w:type="dxa"/>
          </w:tcPr>
          <w:p w14:paraId="62866E46" w14:textId="77777777" w:rsidR="008E4573" w:rsidRPr="008B68A9" w:rsidRDefault="008E4573" w:rsidP="00045396">
            <w:pPr>
              <w:spacing w:line="240" w:lineRule="auto"/>
              <w:rPr>
                <w:sz w:val="18"/>
                <w:szCs w:val="18"/>
              </w:rPr>
            </w:pPr>
          </w:p>
        </w:tc>
        <w:tc>
          <w:tcPr>
            <w:tcW w:w="2127" w:type="dxa"/>
          </w:tcPr>
          <w:p w14:paraId="5A416C10" w14:textId="77777777" w:rsidR="008E4573" w:rsidRPr="008B68A9" w:rsidRDefault="008E4573" w:rsidP="00045396">
            <w:pPr>
              <w:spacing w:line="240" w:lineRule="auto"/>
              <w:rPr>
                <w:sz w:val="18"/>
                <w:szCs w:val="18"/>
              </w:rPr>
            </w:pPr>
          </w:p>
        </w:tc>
        <w:tc>
          <w:tcPr>
            <w:tcW w:w="1701" w:type="dxa"/>
          </w:tcPr>
          <w:p w14:paraId="1ADB8C97" w14:textId="77777777" w:rsidR="008E4573" w:rsidRPr="008B68A9" w:rsidRDefault="008E4573" w:rsidP="00045396">
            <w:pPr>
              <w:spacing w:line="240" w:lineRule="auto"/>
              <w:rPr>
                <w:sz w:val="18"/>
                <w:szCs w:val="18"/>
              </w:rPr>
            </w:pPr>
          </w:p>
        </w:tc>
        <w:tc>
          <w:tcPr>
            <w:tcW w:w="3445" w:type="dxa"/>
          </w:tcPr>
          <w:p w14:paraId="73AD2A1C" w14:textId="77777777" w:rsidR="008E4573" w:rsidRPr="008B68A9" w:rsidRDefault="008E4573" w:rsidP="00045396">
            <w:pPr>
              <w:spacing w:line="240" w:lineRule="auto"/>
              <w:rPr>
                <w:sz w:val="18"/>
                <w:szCs w:val="18"/>
              </w:rPr>
            </w:pPr>
          </w:p>
        </w:tc>
        <w:tc>
          <w:tcPr>
            <w:tcW w:w="2083" w:type="dxa"/>
          </w:tcPr>
          <w:p w14:paraId="55356949" w14:textId="77777777" w:rsidR="008E4573" w:rsidRPr="008B68A9" w:rsidRDefault="008E4573" w:rsidP="00045396">
            <w:pPr>
              <w:spacing w:line="240" w:lineRule="auto"/>
              <w:rPr>
                <w:sz w:val="18"/>
                <w:szCs w:val="18"/>
              </w:rPr>
            </w:pPr>
          </w:p>
        </w:tc>
      </w:tr>
      <w:tr w:rsidR="008E4573" w:rsidRPr="008B68A9" w14:paraId="54619A17" w14:textId="77777777" w:rsidTr="00045396">
        <w:tc>
          <w:tcPr>
            <w:tcW w:w="1922" w:type="dxa"/>
          </w:tcPr>
          <w:p w14:paraId="26A5744E" w14:textId="77777777" w:rsidR="008E4573" w:rsidRPr="008B68A9" w:rsidRDefault="008E4573" w:rsidP="00045396">
            <w:pPr>
              <w:spacing w:line="240" w:lineRule="auto"/>
              <w:rPr>
                <w:b/>
                <w:sz w:val="18"/>
                <w:szCs w:val="18"/>
              </w:rPr>
            </w:pPr>
            <w:r w:rsidRPr="008B68A9">
              <w:rPr>
                <w:b/>
                <w:sz w:val="18"/>
                <w:szCs w:val="18"/>
              </w:rPr>
              <w:t xml:space="preserve">*Hamilton </w:t>
            </w:r>
            <w:r w:rsidRPr="008B68A9">
              <w:rPr>
                <w:b/>
                <w:i/>
                <w:sz w:val="18"/>
                <w:szCs w:val="18"/>
              </w:rPr>
              <w:t>et al.</w:t>
            </w:r>
            <w:r w:rsidRPr="008B68A9">
              <w:rPr>
                <w:b/>
                <w:sz w:val="18"/>
                <w:szCs w:val="18"/>
              </w:rPr>
              <w:t xml:space="preserve"> 2015b</w:t>
            </w:r>
          </w:p>
        </w:tc>
        <w:tc>
          <w:tcPr>
            <w:tcW w:w="1479" w:type="dxa"/>
          </w:tcPr>
          <w:p w14:paraId="346B8D82" w14:textId="77777777" w:rsidR="008E4573" w:rsidRPr="008B68A9" w:rsidRDefault="008E4573" w:rsidP="00045396">
            <w:pPr>
              <w:spacing w:line="240" w:lineRule="auto"/>
              <w:rPr>
                <w:sz w:val="18"/>
                <w:szCs w:val="18"/>
              </w:rPr>
            </w:pPr>
            <w:r w:rsidRPr="008B68A9">
              <w:rPr>
                <w:sz w:val="18"/>
                <w:szCs w:val="18"/>
              </w:rPr>
              <w:t>Family carers for people with IBs and relationship with professionals.</w:t>
            </w:r>
          </w:p>
        </w:tc>
        <w:tc>
          <w:tcPr>
            <w:tcW w:w="1526" w:type="dxa"/>
          </w:tcPr>
          <w:p w14:paraId="1D207E68" w14:textId="77777777" w:rsidR="008E4573" w:rsidRPr="008B68A9" w:rsidRDefault="008E4573" w:rsidP="00045396">
            <w:pPr>
              <w:spacing w:line="240" w:lineRule="auto"/>
              <w:rPr>
                <w:sz w:val="18"/>
                <w:szCs w:val="18"/>
              </w:rPr>
            </w:pPr>
            <w:r w:rsidRPr="008B68A9">
              <w:rPr>
                <w:sz w:val="18"/>
                <w:szCs w:val="18"/>
              </w:rPr>
              <w:t>18 family carers</w:t>
            </w:r>
          </w:p>
          <w:p w14:paraId="029E2EE1" w14:textId="77777777" w:rsidR="008E4573" w:rsidRPr="008B68A9" w:rsidRDefault="008E4573" w:rsidP="00045396">
            <w:pPr>
              <w:spacing w:line="240" w:lineRule="auto"/>
              <w:rPr>
                <w:sz w:val="18"/>
                <w:szCs w:val="18"/>
              </w:rPr>
            </w:pPr>
            <w:r w:rsidRPr="008B68A9">
              <w:rPr>
                <w:sz w:val="18"/>
                <w:szCs w:val="18"/>
              </w:rPr>
              <w:t>12 IB users (drawn who had unpaid carers).</w:t>
            </w:r>
          </w:p>
        </w:tc>
        <w:tc>
          <w:tcPr>
            <w:tcW w:w="2127" w:type="dxa"/>
          </w:tcPr>
          <w:p w14:paraId="09793214" w14:textId="77777777" w:rsidR="008E4573" w:rsidRPr="008B68A9" w:rsidRDefault="008E4573" w:rsidP="00045396">
            <w:pPr>
              <w:spacing w:line="240" w:lineRule="auto"/>
              <w:rPr>
                <w:sz w:val="18"/>
                <w:szCs w:val="18"/>
              </w:rPr>
            </w:pPr>
            <w:r w:rsidRPr="008B68A9">
              <w:rPr>
                <w:sz w:val="18"/>
                <w:szCs w:val="18"/>
              </w:rPr>
              <w:t>From McPin sample</w:t>
            </w:r>
          </w:p>
          <w:p w14:paraId="0982CF8F" w14:textId="77777777" w:rsidR="008E4573" w:rsidRPr="008B68A9" w:rsidRDefault="008E4573" w:rsidP="00045396">
            <w:pPr>
              <w:spacing w:line="240" w:lineRule="auto"/>
              <w:rPr>
                <w:sz w:val="18"/>
                <w:szCs w:val="18"/>
              </w:rPr>
            </w:pPr>
            <w:r w:rsidRPr="008B68A9">
              <w:rPr>
                <w:sz w:val="18"/>
                <w:szCs w:val="18"/>
              </w:rPr>
              <w:t xml:space="preserve">Hamilton/Larson/Clewett </w:t>
            </w:r>
            <w:r w:rsidRPr="008B68A9">
              <w:rPr>
                <w:i/>
                <w:sz w:val="18"/>
                <w:szCs w:val="18"/>
              </w:rPr>
              <w:t>et al.</w:t>
            </w:r>
          </w:p>
        </w:tc>
        <w:tc>
          <w:tcPr>
            <w:tcW w:w="1701" w:type="dxa"/>
          </w:tcPr>
          <w:p w14:paraId="7A616472" w14:textId="77777777" w:rsidR="008E4573" w:rsidRPr="008B68A9" w:rsidRDefault="008E4573" w:rsidP="00045396">
            <w:pPr>
              <w:spacing w:line="240" w:lineRule="auto"/>
              <w:rPr>
                <w:sz w:val="18"/>
                <w:szCs w:val="18"/>
              </w:rPr>
            </w:pPr>
            <w:r w:rsidRPr="008B68A9">
              <w:rPr>
                <w:sz w:val="18"/>
                <w:szCs w:val="18"/>
              </w:rPr>
              <w:t>Interpretive framework analysis.</w:t>
            </w:r>
          </w:p>
          <w:p w14:paraId="0557739D" w14:textId="77777777" w:rsidR="008E4573" w:rsidRPr="008B68A9" w:rsidRDefault="008E4573" w:rsidP="00045396">
            <w:pPr>
              <w:spacing w:line="240" w:lineRule="auto"/>
              <w:rPr>
                <w:sz w:val="18"/>
                <w:szCs w:val="18"/>
              </w:rPr>
            </w:pPr>
            <w:r w:rsidRPr="008B68A9">
              <w:rPr>
                <w:sz w:val="18"/>
                <w:szCs w:val="18"/>
              </w:rPr>
              <w:t>Four researchers and users too.</w:t>
            </w:r>
          </w:p>
        </w:tc>
        <w:tc>
          <w:tcPr>
            <w:tcW w:w="3445" w:type="dxa"/>
          </w:tcPr>
          <w:p w14:paraId="06FB06E9" w14:textId="77777777" w:rsidR="008E4573" w:rsidRPr="008B68A9" w:rsidRDefault="008E4573" w:rsidP="00045396">
            <w:pPr>
              <w:spacing w:line="240" w:lineRule="auto"/>
              <w:rPr>
                <w:sz w:val="18"/>
                <w:szCs w:val="18"/>
              </w:rPr>
            </w:pPr>
            <w:r w:rsidRPr="008B68A9">
              <w:rPr>
                <w:sz w:val="18"/>
                <w:szCs w:val="18"/>
              </w:rPr>
              <w:t>Themes of power, control, accessibility,</w:t>
            </w:r>
          </w:p>
          <w:p w14:paraId="6744C6F3" w14:textId="77777777" w:rsidR="008E4573" w:rsidRPr="008B68A9" w:rsidRDefault="008E4573" w:rsidP="00045396">
            <w:pPr>
              <w:spacing w:line="240" w:lineRule="auto"/>
              <w:rPr>
                <w:sz w:val="18"/>
                <w:szCs w:val="18"/>
              </w:rPr>
            </w:pPr>
            <w:r w:rsidRPr="008B68A9">
              <w:rPr>
                <w:sz w:val="18"/>
                <w:szCs w:val="18"/>
              </w:rPr>
              <w:t>Bureaucracy and complexity of administration not helpful to people with mental health problems.</w:t>
            </w:r>
          </w:p>
          <w:p w14:paraId="54913BDB" w14:textId="77777777" w:rsidR="008E4573" w:rsidRPr="008B68A9" w:rsidRDefault="008E4573" w:rsidP="00045396">
            <w:pPr>
              <w:spacing w:line="240" w:lineRule="auto"/>
              <w:rPr>
                <w:sz w:val="18"/>
                <w:szCs w:val="18"/>
              </w:rPr>
            </w:pPr>
            <w:r w:rsidRPr="008B68A9">
              <w:rPr>
                <w:sz w:val="18"/>
                <w:szCs w:val="18"/>
              </w:rPr>
              <w:t xml:space="preserve">A sense from carers that reviews were focused on budget reduction* </w:t>
            </w:r>
          </w:p>
          <w:p w14:paraId="62B229C2" w14:textId="77777777" w:rsidR="008E4573" w:rsidRPr="008B68A9" w:rsidRDefault="008E4573" w:rsidP="00045396">
            <w:pPr>
              <w:spacing w:line="240" w:lineRule="auto"/>
              <w:rPr>
                <w:sz w:val="18"/>
                <w:szCs w:val="18"/>
              </w:rPr>
            </w:pPr>
          </w:p>
          <w:p w14:paraId="67F8D236" w14:textId="77777777" w:rsidR="008E4573" w:rsidRPr="008B68A9" w:rsidRDefault="008E4573" w:rsidP="00045396">
            <w:pPr>
              <w:spacing w:line="240" w:lineRule="auto"/>
              <w:rPr>
                <w:sz w:val="18"/>
                <w:szCs w:val="18"/>
              </w:rPr>
            </w:pPr>
            <w:r w:rsidRPr="008B68A9">
              <w:rPr>
                <w:sz w:val="18"/>
                <w:szCs w:val="18"/>
              </w:rPr>
              <w:t>“…parents as overbearing, partners as supportive.” (p. 6)</w:t>
            </w:r>
          </w:p>
          <w:p w14:paraId="4FA5608C" w14:textId="77777777" w:rsidR="008E4573" w:rsidRPr="008B68A9" w:rsidRDefault="008E4573" w:rsidP="00045396">
            <w:pPr>
              <w:spacing w:line="240" w:lineRule="auto"/>
              <w:rPr>
                <w:sz w:val="18"/>
                <w:szCs w:val="18"/>
              </w:rPr>
            </w:pPr>
          </w:p>
          <w:p w14:paraId="1675A92A" w14:textId="77777777" w:rsidR="008E4573" w:rsidRPr="008B68A9" w:rsidRDefault="008E4573" w:rsidP="00045396">
            <w:pPr>
              <w:spacing w:line="240" w:lineRule="auto"/>
              <w:rPr>
                <w:sz w:val="18"/>
                <w:szCs w:val="18"/>
              </w:rPr>
            </w:pPr>
            <w:r w:rsidRPr="008B68A9">
              <w:rPr>
                <w:sz w:val="18"/>
                <w:szCs w:val="18"/>
              </w:rPr>
              <w:t>“A powerful theme to emerge from carers’ accounts was their experience of having to ‘fight’ both practitioners and the agencies for which they worked in order to secure an appropriate budget for their family member against an agenda that seemed to be dominated by an imperative to save money.” (p. 7)</w:t>
            </w:r>
          </w:p>
          <w:p w14:paraId="3AE75C9E" w14:textId="01CA45B7" w:rsidR="008E4573" w:rsidRPr="008B68A9" w:rsidRDefault="008E4573" w:rsidP="00045396">
            <w:pPr>
              <w:spacing w:line="240" w:lineRule="auto"/>
              <w:rPr>
                <w:sz w:val="18"/>
                <w:szCs w:val="18"/>
              </w:rPr>
            </w:pPr>
            <w:r w:rsidRPr="008B68A9">
              <w:rPr>
                <w:sz w:val="18"/>
                <w:szCs w:val="18"/>
              </w:rPr>
              <w:t>(*possibly staff focus on recovery = less need = less money)</w:t>
            </w:r>
          </w:p>
          <w:p w14:paraId="58D8E141" w14:textId="77777777" w:rsidR="008E4573" w:rsidRPr="008B68A9" w:rsidRDefault="008E4573" w:rsidP="00045396">
            <w:pPr>
              <w:spacing w:line="240" w:lineRule="auto"/>
              <w:rPr>
                <w:sz w:val="18"/>
                <w:szCs w:val="18"/>
              </w:rPr>
            </w:pPr>
            <w:r w:rsidRPr="008B68A9">
              <w:rPr>
                <w:sz w:val="18"/>
                <w:szCs w:val="18"/>
              </w:rPr>
              <w:lastRenderedPageBreak/>
              <w:t>“Much of the research into the involvement of carers with personal budgets has focused on people with physical or learning disabilities or older people” (p. 9)</w:t>
            </w:r>
          </w:p>
        </w:tc>
        <w:tc>
          <w:tcPr>
            <w:tcW w:w="2083" w:type="dxa"/>
          </w:tcPr>
          <w:p w14:paraId="13465BE0" w14:textId="77777777" w:rsidR="008E4573" w:rsidRPr="008B68A9" w:rsidRDefault="008E4573" w:rsidP="00045396">
            <w:pPr>
              <w:spacing w:line="240" w:lineRule="auto"/>
              <w:rPr>
                <w:sz w:val="18"/>
                <w:szCs w:val="18"/>
              </w:rPr>
            </w:pPr>
            <w:r w:rsidRPr="008B68A9">
              <w:rPr>
                <w:sz w:val="18"/>
                <w:szCs w:val="18"/>
              </w:rPr>
              <w:lastRenderedPageBreak/>
              <w:t>Diagnosis of most people accessing IBs was severe, (10)</w:t>
            </w:r>
          </w:p>
          <w:p w14:paraId="0D3F4B03" w14:textId="77777777" w:rsidR="008E4573" w:rsidRPr="008B68A9" w:rsidRDefault="008E4573" w:rsidP="00045396">
            <w:pPr>
              <w:spacing w:line="240" w:lineRule="auto"/>
              <w:rPr>
                <w:sz w:val="18"/>
                <w:szCs w:val="18"/>
              </w:rPr>
            </w:pPr>
          </w:p>
          <w:p w14:paraId="502D7320" w14:textId="77777777" w:rsidR="008E4573" w:rsidRPr="008B68A9" w:rsidRDefault="008E4573" w:rsidP="00045396">
            <w:pPr>
              <w:spacing w:line="240" w:lineRule="auto"/>
              <w:rPr>
                <w:sz w:val="18"/>
                <w:szCs w:val="18"/>
              </w:rPr>
            </w:pPr>
            <w:r w:rsidRPr="008B68A9">
              <w:rPr>
                <w:sz w:val="18"/>
                <w:szCs w:val="18"/>
              </w:rPr>
              <w:t>Selective sample, possibly positively inclined to report.</w:t>
            </w:r>
          </w:p>
          <w:p w14:paraId="7AA685F0" w14:textId="77777777" w:rsidR="008E4573" w:rsidRPr="008B68A9" w:rsidRDefault="008E4573" w:rsidP="00045396">
            <w:pPr>
              <w:spacing w:line="240" w:lineRule="auto"/>
              <w:rPr>
                <w:sz w:val="18"/>
                <w:szCs w:val="18"/>
              </w:rPr>
            </w:pPr>
            <w:r w:rsidRPr="008B68A9">
              <w:rPr>
                <w:sz w:val="18"/>
                <w:szCs w:val="18"/>
              </w:rPr>
              <w:t xml:space="preserve">Focusing on relationships and power. </w:t>
            </w:r>
          </w:p>
          <w:p w14:paraId="616D36EE" w14:textId="77777777" w:rsidR="008E4573" w:rsidRPr="008B68A9" w:rsidRDefault="008E4573" w:rsidP="00045396">
            <w:pPr>
              <w:spacing w:line="240" w:lineRule="auto"/>
              <w:rPr>
                <w:sz w:val="18"/>
                <w:szCs w:val="18"/>
              </w:rPr>
            </w:pPr>
            <w:r w:rsidRPr="008B68A9">
              <w:rPr>
                <w:sz w:val="18"/>
                <w:szCs w:val="18"/>
              </w:rPr>
              <w:t>Parents as monitors rather than family.</w:t>
            </w:r>
          </w:p>
          <w:p w14:paraId="35E13449" w14:textId="77777777" w:rsidR="008E4573" w:rsidRPr="008B68A9" w:rsidRDefault="008E4573" w:rsidP="00045396">
            <w:pPr>
              <w:spacing w:line="240" w:lineRule="auto"/>
              <w:rPr>
                <w:sz w:val="18"/>
                <w:szCs w:val="18"/>
              </w:rPr>
            </w:pPr>
            <w:r w:rsidRPr="008B68A9">
              <w:rPr>
                <w:sz w:val="18"/>
                <w:szCs w:val="18"/>
              </w:rPr>
              <w:t>Subset of wider data, no view of professional in relationship.</w:t>
            </w:r>
          </w:p>
          <w:p w14:paraId="1B9F969C" w14:textId="77777777" w:rsidR="008E4573" w:rsidRPr="008B68A9" w:rsidRDefault="008E4573" w:rsidP="00045396">
            <w:pPr>
              <w:spacing w:line="240" w:lineRule="auto"/>
              <w:rPr>
                <w:sz w:val="18"/>
                <w:szCs w:val="18"/>
              </w:rPr>
            </w:pPr>
            <w:r w:rsidRPr="008B68A9">
              <w:rPr>
                <w:sz w:val="18"/>
                <w:szCs w:val="18"/>
              </w:rPr>
              <w:t>Nor in the analysis group,</w:t>
            </w:r>
          </w:p>
        </w:tc>
      </w:tr>
      <w:tr w:rsidR="008E4573" w:rsidRPr="008B68A9" w14:paraId="5264E4E4" w14:textId="77777777" w:rsidTr="00045396">
        <w:tc>
          <w:tcPr>
            <w:tcW w:w="1922" w:type="dxa"/>
          </w:tcPr>
          <w:p w14:paraId="3F613FC5" w14:textId="77777777" w:rsidR="008E4573" w:rsidRPr="008B68A9" w:rsidRDefault="008E4573" w:rsidP="00045396">
            <w:pPr>
              <w:spacing w:line="240" w:lineRule="auto"/>
              <w:rPr>
                <w:b/>
                <w:sz w:val="18"/>
                <w:szCs w:val="18"/>
              </w:rPr>
            </w:pPr>
          </w:p>
        </w:tc>
        <w:tc>
          <w:tcPr>
            <w:tcW w:w="1479" w:type="dxa"/>
          </w:tcPr>
          <w:p w14:paraId="10D83320" w14:textId="77777777" w:rsidR="008E4573" w:rsidRPr="008B68A9" w:rsidRDefault="008E4573" w:rsidP="00045396">
            <w:pPr>
              <w:spacing w:line="240" w:lineRule="auto"/>
              <w:rPr>
                <w:sz w:val="18"/>
                <w:szCs w:val="18"/>
              </w:rPr>
            </w:pPr>
          </w:p>
        </w:tc>
        <w:tc>
          <w:tcPr>
            <w:tcW w:w="1526" w:type="dxa"/>
          </w:tcPr>
          <w:p w14:paraId="512DFBD6" w14:textId="77777777" w:rsidR="008E4573" w:rsidRPr="008B68A9" w:rsidRDefault="008E4573" w:rsidP="00045396">
            <w:pPr>
              <w:spacing w:line="240" w:lineRule="auto"/>
              <w:rPr>
                <w:sz w:val="18"/>
                <w:szCs w:val="18"/>
              </w:rPr>
            </w:pPr>
          </w:p>
        </w:tc>
        <w:tc>
          <w:tcPr>
            <w:tcW w:w="2127" w:type="dxa"/>
          </w:tcPr>
          <w:p w14:paraId="6C2316D5" w14:textId="77777777" w:rsidR="008E4573" w:rsidRPr="008B68A9" w:rsidRDefault="008E4573" w:rsidP="00045396">
            <w:pPr>
              <w:spacing w:line="240" w:lineRule="auto"/>
              <w:rPr>
                <w:sz w:val="18"/>
                <w:szCs w:val="18"/>
              </w:rPr>
            </w:pPr>
          </w:p>
        </w:tc>
        <w:tc>
          <w:tcPr>
            <w:tcW w:w="1701" w:type="dxa"/>
          </w:tcPr>
          <w:p w14:paraId="192FDE45" w14:textId="77777777" w:rsidR="008E4573" w:rsidRPr="008B68A9" w:rsidRDefault="008E4573" w:rsidP="00045396">
            <w:pPr>
              <w:spacing w:line="240" w:lineRule="auto"/>
              <w:rPr>
                <w:sz w:val="18"/>
                <w:szCs w:val="18"/>
              </w:rPr>
            </w:pPr>
          </w:p>
        </w:tc>
        <w:tc>
          <w:tcPr>
            <w:tcW w:w="3445" w:type="dxa"/>
          </w:tcPr>
          <w:p w14:paraId="5C6EBE54" w14:textId="77777777" w:rsidR="008E4573" w:rsidRPr="008B68A9" w:rsidRDefault="008E4573" w:rsidP="00045396">
            <w:pPr>
              <w:spacing w:line="240" w:lineRule="auto"/>
              <w:rPr>
                <w:sz w:val="18"/>
                <w:szCs w:val="18"/>
              </w:rPr>
            </w:pPr>
          </w:p>
        </w:tc>
        <w:tc>
          <w:tcPr>
            <w:tcW w:w="2083" w:type="dxa"/>
          </w:tcPr>
          <w:p w14:paraId="1F887E60" w14:textId="77777777" w:rsidR="008E4573" w:rsidRPr="008B68A9" w:rsidRDefault="008E4573" w:rsidP="00045396">
            <w:pPr>
              <w:spacing w:line="240" w:lineRule="auto"/>
              <w:rPr>
                <w:sz w:val="18"/>
                <w:szCs w:val="18"/>
              </w:rPr>
            </w:pPr>
          </w:p>
        </w:tc>
      </w:tr>
      <w:tr w:rsidR="008E4573" w:rsidRPr="008B68A9" w14:paraId="7F0394C4" w14:textId="77777777" w:rsidTr="00045396">
        <w:tc>
          <w:tcPr>
            <w:tcW w:w="1922" w:type="dxa"/>
          </w:tcPr>
          <w:p w14:paraId="03ADEBA1" w14:textId="77777777" w:rsidR="008E4573" w:rsidRPr="008B68A9" w:rsidRDefault="008E4573" w:rsidP="00045396">
            <w:pPr>
              <w:spacing w:line="240" w:lineRule="auto"/>
              <w:rPr>
                <w:b/>
                <w:sz w:val="18"/>
                <w:szCs w:val="18"/>
              </w:rPr>
            </w:pPr>
            <w:r w:rsidRPr="008B68A9">
              <w:rPr>
                <w:b/>
                <w:sz w:val="18"/>
                <w:szCs w:val="18"/>
              </w:rPr>
              <w:t xml:space="preserve">*Hamilton </w:t>
            </w:r>
            <w:r w:rsidRPr="008B68A9">
              <w:rPr>
                <w:b/>
                <w:i/>
                <w:sz w:val="18"/>
                <w:szCs w:val="18"/>
              </w:rPr>
              <w:t>et al.</w:t>
            </w:r>
            <w:r w:rsidRPr="008B68A9">
              <w:rPr>
                <w:b/>
                <w:sz w:val="18"/>
                <w:szCs w:val="18"/>
              </w:rPr>
              <w:t xml:space="preserve"> 2015c</w:t>
            </w:r>
          </w:p>
        </w:tc>
        <w:tc>
          <w:tcPr>
            <w:tcW w:w="1479" w:type="dxa"/>
          </w:tcPr>
          <w:p w14:paraId="42352913" w14:textId="77777777" w:rsidR="008E4573" w:rsidRPr="008B68A9" w:rsidRDefault="008E4573" w:rsidP="00045396">
            <w:pPr>
              <w:spacing w:line="240" w:lineRule="auto"/>
              <w:rPr>
                <w:sz w:val="18"/>
                <w:szCs w:val="18"/>
              </w:rPr>
            </w:pPr>
            <w:r w:rsidRPr="008B68A9">
              <w:rPr>
                <w:sz w:val="18"/>
                <w:szCs w:val="18"/>
              </w:rPr>
              <w:t>Mental health practitioners in integrated MH teams and budget users.</w:t>
            </w:r>
          </w:p>
        </w:tc>
        <w:tc>
          <w:tcPr>
            <w:tcW w:w="1526" w:type="dxa"/>
          </w:tcPr>
          <w:p w14:paraId="0C75907A" w14:textId="77777777" w:rsidR="008E4573" w:rsidRPr="008B68A9" w:rsidRDefault="008E4573" w:rsidP="00045396">
            <w:pPr>
              <w:spacing w:line="240" w:lineRule="auto"/>
              <w:rPr>
                <w:sz w:val="18"/>
                <w:szCs w:val="18"/>
              </w:rPr>
            </w:pPr>
            <w:r w:rsidRPr="008B68A9">
              <w:rPr>
                <w:sz w:val="18"/>
                <w:szCs w:val="18"/>
              </w:rPr>
              <w:t>52 budget users</w:t>
            </w:r>
          </w:p>
          <w:p w14:paraId="1534523E" w14:textId="77777777" w:rsidR="008E4573" w:rsidRPr="008B68A9" w:rsidRDefault="008E4573" w:rsidP="00045396">
            <w:pPr>
              <w:spacing w:line="240" w:lineRule="auto"/>
              <w:rPr>
                <w:sz w:val="18"/>
                <w:szCs w:val="18"/>
              </w:rPr>
            </w:pPr>
            <w:r w:rsidRPr="008B68A9">
              <w:rPr>
                <w:sz w:val="18"/>
                <w:szCs w:val="18"/>
              </w:rPr>
              <w:t>28 front line staff</w:t>
            </w:r>
          </w:p>
        </w:tc>
        <w:tc>
          <w:tcPr>
            <w:tcW w:w="2127" w:type="dxa"/>
          </w:tcPr>
          <w:p w14:paraId="1343D7AA" w14:textId="77777777" w:rsidR="008E4573" w:rsidRPr="008B68A9" w:rsidRDefault="008E4573" w:rsidP="00045396">
            <w:pPr>
              <w:spacing w:line="240" w:lineRule="auto"/>
              <w:rPr>
                <w:sz w:val="18"/>
                <w:szCs w:val="18"/>
              </w:rPr>
            </w:pPr>
            <w:r w:rsidRPr="008B68A9">
              <w:rPr>
                <w:sz w:val="18"/>
                <w:szCs w:val="18"/>
              </w:rPr>
              <w:t>From McPin sample</w:t>
            </w:r>
          </w:p>
          <w:p w14:paraId="2CB53EA5" w14:textId="77777777" w:rsidR="008E4573" w:rsidRPr="008B68A9" w:rsidRDefault="008E4573" w:rsidP="00045396">
            <w:pPr>
              <w:spacing w:line="240" w:lineRule="auto"/>
              <w:rPr>
                <w:sz w:val="18"/>
                <w:szCs w:val="18"/>
              </w:rPr>
            </w:pPr>
            <w:r w:rsidRPr="008B68A9">
              <w:rPr>
                <w:sz w:val="18"/>
                <w:szCs w:val="18"/>
              </w:rPr>
              <w:t xml:space="preserve">Hamilton/Larson/Clewett </w:t>
            </w:r>
            <w:r w:rsidRPr="008B68A9">
              <w:rPr>
                <w:i/>
                <w:sz w:val="18"/>
                <w:szCs w:val="18"/>
              </w:rPr>
              <w:t>et al.</w:t>
            </w:r>
          </w:p>
        </w:tc>
        <w:tc>
          <w:tcPr>
            <w:tcW w:w="1701" w:type="dxa"/>
          </w:tcPr>
          <w:p w14:paraId="40310806" w14:textId="77777777" w:rsidR="008E4573" w:rsidRPr="008B68A9" w:rsidRDefault="008E4573" w:rsidP="00045396">
            <w:pPr>
              <w:spacing w:line="240" w:lineRule="auto"/>
              <w:rPr>
                <w:sz w:val="18"/>
                <w:szCs w:val="18"/>
              </w:rPr>
            </w:pPr>
            <w:r w:rsidRPr="008B68A9">
              <w:rPr>
                <w:sz w:val="18"/>
                <w:szCs w:val="18"/>
              </w:rPr>
              <w:t>Ritchie Interpretive Framework Analysis</w:t>
            </w:r>
          </w:p>
          <w:p w14:paraId="340D9DFB" w14:textId="77777777" w:rsidR="008E4573" w:rsidRPr="008B68A9" w:rsidRDefault="008E4573" w:rsidP="00045396">
            <w:pPr>
              <w:spacing w:line="240" w:lineRule="auto"/>
              <w:rPr>
                <w:sz w:val="18"/>
                <w:szCs w:val="18"/>
              </w:rPr>
            </w:pPr>
            <w:r w:rsidRPr="008B68A9">
              <w:rPr>
                <w:sz w:val="18"/>
                <w:szCs w:val="18"/>
              </w:rPr>
              <w:t>Four analysts and Nvivo 9.</w:t>
            </w:r>
          </w:p>
        </w:tc>
        <w:tc>
          <w:tcPr>
            <w:tcW w:w="3445" w:type="dxa"/>
          </w:tcPr>
          <w:p w14:paraId="09726AD2" w14:textId="77777777" w:rsidR="008E4573" w:rsidRPr="008B68A9" w:rsidRDefault="008E4573" w:rsidP="00045396">
            <w:pPr>
              <w:spacing w:line="240" w:lineRule="auto"/>
              <w:rPr>
                <w:sz w:val="18"/>
                <w:szCs w:val="18"/>
              </w:rPr>
            </w:pPr>
            <w:r w:rsidRPr="008B68A9">
              <w:rPr>
                <w:sz w:val="18"/>
                <w:szCs w:val="18"/>
              </w:rPr>
              <w:t>Suggesting values of practitioners and users hinted of power, choices and control.</w:t>
            </w:r>
          </w:p>
          <w:p w14:paraId="0578BC74" w14:textId="77777777" w:rsidR="008E4573" w:rsidRPr="008B68A9" w:rsidRDefault="008E4573" w:rsidP="00045396">
            <w:pPr>
              <w:spacing w:line="240" w:lineRule="auto"/>
              <w:rPr>
                <w:sz w:val="18"/>
                <w:szCs w:val="18"/>
              </w:rPr>
            </w:pPr>
            <w:r w:rsidRPr="008B68A9">
              <w:rPr>
                <w:sz w:val="18"/>
                <w:szCs w:val="18"/>
              </w:rPr>
              <w:t>Grateful rather than entitlement</w:t>
            </w:r>
          </w:p>
          <w:p w14:paraId="03E27088" w14:textId="77777777" w:rsidR="008E4573" w:rsidRPr="008B68A9" w:rsidRDefault="008E4573" w:rsidP="00045396">
            <w:pPr>
              <w:spacing w:line="240" w:lineRule="auto"/>
              <w:rPr>
                <w:sz w:val="18"/>
                <w:szCs w:val="18"/>
              </w:rPr>
            </w:pPr>
          </w:p>
          <w:p w14:paraId="2103C256" w14:textId="77777777" w:rsidR="008E4573" w:rsidRPr="008B68A9" w:rsidRDefault="008E4573" w:rsidP="00045396">
            <w:pPr>
              <w:spacing w:line="240" w:lineRule="auto"/>
              <w:rPr>
                <w:sz w:val="18"/>
                <w:szCs w:val="18"/>
              </w:rPr>
            </w:pPr>
            <w:r w:rsidRPr="008B68A9">
              <w:rPr>
                <w:sz w:val="18"/>
                <w:szCs w:val="18"/>
              </w:rPr>
              <w:t>“However, there remains little in-depth research into how personal budgets may or may not enable people with severe and/or enduring mental health difficulties to reclaim greater power, choice and control in their lives.” (p. 5)</w:t>
            </w:r>
          </w:p>
          <w:p w14:paraId="2843282C" w14:textId="77777777" w:rsidR="008E4573" w:rsidRPr="008B68A9" w:rsidRDefault="008E4573" w:rsidP="00045396">
            <w:pPr>
              <w:spacing w:line="240" w:lineRule="auto"/>
              <w:rPr>
                <w:sz w:val="18"/>
                <w:szCs w:val="18"/>
              </w:rPr>
            </w:pPr>
          </w:p>
          <w:p w14:paraId="3368EC0A" w14:textId="77777777" w:rsidR="008E4573" w:rsidRPr="008B68A9" w:rsidRDefault="008E4573" w:rsidP="00045396">
            <w:pPr>
              <w:spacing w:line="240" w:lineRule="auto"/>
              <w:rPr>
                <w:sz w:val="18"/>
                <w:szCs w:val="18"/>
              </w:rPr>
            </w:pPr>
            <w:r w:rsidRPr="008B68A9">
              <w:rPr>
                <w:sz w:val="18"/>
                <w:szCs w:val="18"/>
              </w:rPr>
              <w:t>“In a small number of cases, practitioners were seen by service users to be opposed to personal budgets in principle and, instead of being an active support for decision making, could be seen as an obstruction. This view was supported by a minority of practitioners interviewed who said that they ‘hated’ personal budgets and were reluctant to engage with them at all.” (p. 11)</w:t>
            </w:r>
          </w:p>
          <w:p w14:paraId="5B33FD1E" w14:textId="77777777" w:rsidR="008E4573" w:rsidRPr="008B68A9" w:rsidRDefault="008E4573" w:rsidP="00045396">
            <w:pPr>
              <w:spacing w:line="240" w:lineRule="auto"/>
              <w:rPr>
                <w:sz w:val="18"/>
                <w:szCs w:val="18"/>
              </w:rPr>
            </w:pPr>
          </w:p>
          <w:p w14:paraId="74825EA8" w14:textId="77777777" w:rsidR="008E4573" w:rsidRPr="008B68A9" w:rsidRDefault="008E4573" w:rsidP="00045396">
            <w:pPr>
              <w:spacing w:line="240" w:lineRule="auto"/>
              <w:rPr>
                <w:sz w:val="18"/>
                <w:szCs w:val="18"/>
              </w:rPr>
            </w:pPr>
            <w:r w:rsidRPr="008B68A9">
              <w:rPr>
                <w:sz w:val="18"/>
                <w:szCs w:val="18"/>
              </w:rPr>
              <w:t>“Traditional paternalistic expectations of gate-keeping and ‘professional gift’ approaches were evident in the narratives of both service users and practitioners” (p. 15)</w:t>
            </w:r>
          </w:p>
        </w:tc>
        <w:tc>
          <w:tcPr>
            <w:tcW w:w="2083" w:type="dxa"/>
          </w:tcPr>
          <w:p w14:paraId="48764F69" w14:textId="77777777" w:rsidR="008E4573" w:rsidRPr="008B68A9" w:rsidRDefault="008E4573" w:rsidP="00045396">
            <w:pPr>
              <w:spacing w:line="240" w:lineRule="auto"/>
              <w:rPr>
                <w:sz w:val="18"/>
                <w:szCs w:val="18"/>
              </w:rPr>
            </w:pPr>
            <w:r w:rsidRPr="008B68A9">
              <w:rPr>
                <w:sz w:val="18"/>
                <w:szCs w:val="18"/>
              </w:rPr>
              <w:t>Power choice and control</w:t>
            </w:r>
          </w:p>
          <w:p w14:paraId="7DD15D10" w14:textId="77777777" w:rsidR="008E4573" w:rsidRPr="008B68A9" w:rsidRDefault="008E4573" w:rsidP="00045396">
            <w:pPr>
              <w:spacing w:line="240" w:lineRule="auto"/>
              <w:rPr>
                <w:sz w:val="18"/>
                <w:szCs w:val="18"/>
              </w:rPr>
            </w:pPr>
          </w:p>
          <w:p w14:paraId="63EC1A8F" w14:textId="77777777" w:rsidR="008E4573" w:rsidRPr="008B68A9" w:rsidRDefault="008E4573" w:rsidP="00045396">
            <w:pPr>
              <w:spacing w:line="240" w:lineRule="auto"/>
              <w:rPr>
                <w:sz w:val="18"/>
                <w:szCs w:val="18"/>
              </w:rPr>
            </w:pPr>
            <w:r w:rsidRPr="008B68A9">
              <w:rPr>
                <w:sz w:val="18"/>
                <w:szCs w:val="18"/>
              </w:rPr>
              <w:t>Some points re practitioners using devices of language to maintain control and authority over IB users.</w:t>
            </w:r>
          </w:p>
          <w:p w14:paraId="73C3C194" w14:textId="77777777" w:rsidR="008E4573" w:rsidRPr="008B68A9" w:rsidRDefault="008E4573" w:rsidP="00045396">
            <w:pPr>
              <w:spacing w:line="240" w:lineRule="auto"/>
              <w:rPr>
                <w:sz w:val="18"/>
                <w:szCs w:val="18"/>
              </w:rPr>
            </w:pPr>
          </w:p>
          <w:p w14:paraId="37E63E9B" w14:textId="77777777" w:rsidR="008E4573" w:rsidRPr="008B68A9" w:rsidRDefault="008E4573" w:rsidP="00045396">
            <w:pPr>
              <w:spacing w:line="240" w:lineRule="auto"/>
              <w:rPr>
                <w:sz w:val="18"/>
                <w:szCs w:val="18"/>
              </w:rPr>
            </w:pPr>
            <w:r w:rsidRPr="008B68A9">
              <w:rPr>
                <w:sz w:val="18"/>
                <w:szCs w:val="18"/>
              </w:rPr>
              <w:t>No mention of brokers or their use.</w:t>
            </w:r>
          </w:p>
          <w:p w14:paraId="16FC9342" w14:textId="77777777" w:rsidR="008E4573" w:rsidRPr="008B68A9" w:rsidRDefault="008E4573" w:rsidP="00045396">
            <w:pPr>
              <w:spacing w:line="240" w:lineRule="auto"/>
              <w:rPr>
                <w:sz w:val="18"/>
                <w:szCs w:val="18"/>
              </w:rPr>
            </w:pPr>
          </w:p>
          <w:p w14:paraId="72AA015F" w14:textId="77777777" w:rsidR="008E4573" w:rsidRPr="008B68A9" w:rsidRDefault="008E4573" w:rsidP="00045396">
            <w:pPr>
              <w:spacing w:line="240" w:lineRule="auto"/>
              <w:rPr>
                <w:sz w:val="18"/>
                <w:szCs w:val="18"/>
              </w:rPr>
            </w:pPr>
            <w:r w:rsidRPr="008B68A9">
              <w:rPr>
                <w:sz w:val="18"/>
                <w:szCs w:val="18"/>
              </w:rPr>
              <w:t>Interesting discourse, independent of my study, yet similar notion of trajectory and recognition of nuance in personalisation.</w:t>
            </w:r>
          </w:p>
        </w:tc>
      </w:tr>
      <w:tr w:rsidR="008E4573" w:rsidRPr="008B68A9" w14:paraId="741D5723" w14:textId="77777777" w:rsidTr="00045396">
        <w:tc>
          <w:tcPr>
            <w:tcW w:w="1922" w:type="dxa"/>
          </w:tcPr>
          <w:p w14:paraId="476F1BC3" w14:textId="77777777" w:rsidR="008E4573" w:rsidRPr="008B68A9" w:rsidRDefault="008E4573" w:rsidP="00045396">
            <w:pPr>
              <w:spacing w:line="240" w:lineRule="auto"/>
              <w:rPr>
                <w:b/>
                <w:sz w:val="18"/>
                <w:szCs w:val="18"/>
              </w:rPr>
            </w:pPr>
          </w:p>
        </w:tc>
        <w:tc>
          <w:tcPr>
            <w:tcW w:w="1479" w:type="dxa"/>
          </w:tcPr>
          <w:p w14:paraId="0C88EBB9" w14:textId="77777777" w:rsidR="008E4573" w:rsidRPr="008B68A9" w:rsidRDefault="008E4573" w:rsidP="00045396">
            <w:pPr>
              <w:spacing w:line="240" w:lineRule="auto"/>
              <w:rPr>
                <w:sz w:val="18"/>
                <w:szCs w:val="18"/>
              </w:rPr>
            </w:pPr>
          </w:p>
        </w:tc>
        <w:tc>
          <w:tcPr>
            <w:tcW w:w="1526" w:type="dxa"/>
          </w:tcPr>
          <w:p w14:paraId="7BC7D08D" w14:textId="77777777" w:rsidR="008E4573" w:rsidRPr="008B68A9" w:rsidRDefault="008E4573" w:rsidP="00045396">
            <w:pPr>
              <w:spacing w:line="240" w:lineRule="auto"/>
              <w:rPr>
                <w:sz w:val="18"/>
                <w:szCs w:val="18"/>
              </w:rPr>
            </w:pPr>
          </w:p>
        </w:tc>
        <w:tc>
          <w:tcPr>
            <w:tcW w:w="2127" w:type="dxa"/>
          </w:tcPr>
          <w:p w14:paraId="3B98A1D7" w14:textId="77777777" w:rsidR="008E4573" w:rsidRPr="008B68A9" w:rsidRDefault="008E4573" w:rsidP="00045396">
            <w:pPr>
              <w:spacing w:line="240" w:lineRule="auto"/>
              <w:rPr>
                <w:sz w:val="18"/>
                <w:szCs w:val="18"/>
              </w:rPr>
            </w:pPr>
          </w:p>
        </w:tc>
        <w:tc>
          <w:tcPr>
            <w:tcW w:w="1701" w:type="dxa"/>
          </w:tcPr>
          <w:p w14:paraId="69858F3E" w14:textId="77777777" w:rsidR="008E4573" w:rsidRPr="008B68A9" w:rsidRDefault="008E4573" w:rsidP="00045396">
            <w:pPr>
              <w:spacing w:line="240" w:lineRule="auto"/>
              <w:rPr>
                <w:sz w:val="18"/>
                <w:szCs w:val="18"/>
              </w:rPr>
            </w:pPr>
          </w:p>
        </w:tc>
        <w:tc>
          <w:tcPr>
            <w:tcW w:w="3445" w:type="dxa"/>
          </w:tcPr>
          <w:p w14:paraId="43D52B12" w14:textId="77777777" w:rsidR="008E4573" w:rsidRPr="008B68A9" w:rsidRDefault="008E4573" w:rsidP="00045396">
            <w:pPr>
              <w:spacing w:line="240" w:lineRule="auto"/>
              <w:rPr>
                <w:sz w:val="18"/>
                <w:szCs w:val="18"/>
              </w:rPr>
            </w:pPr>
          </w:p>
        </w:tc>
        <w:tc>
          <w:tcPr>
            <w:tcW w:w="2083" w:type="dxa"/>
          </w:tcPr>
          <w:p w14:paraId="63E21A71" w14:textId="77777777" w:rsidR="008E4573" w:rsidRPr="008B68A9" w:rsidRDefault="008E4573" w:rsidP="00045396">
            <w:pPr>
              <w:spacing w:line="240" w:lineRule="auto"/>
              <w:rPr>
                <w:sz w:val="18"/>
                <w:szCs w:val="18"/>
              </w:rPr>
            </w:pPr>
          </w:p>
        </w:tc>
      </w:tr>
      <w:tr w:rsidR="008E4573" w:rsidRPr="008B68A9" w14:paraId="2EE0F4A5" w14:textId="77777777" w:rsidTr="00045396">
        <w:tc>
          <w:tcPr>
            <w:tcW w:w="1922" w:type="dxa"/>
          </w:tcPr>
          <w:p w14:paraId="24A4BDBF" w14:textId="77777777" w:rsidR="008E4573" w:rsidRPr="008B68A9" w:rsidRDefault="008E4573" w:rsidP="00045396">
            <w:pPr>
              <w:spacing w:line="240" w:lineRule="auto"/>
              <w:rPr>
                <w:b/>
                <w:sz w:val="18"/>
                <w:szCs w:val="18"/>
              </w:rPr>
            </w:pPr>
            <w:r w:rsidRPr="008B68A9">
              <w:rPr>
                <w:b/>
                <w:sz w:val="18"/>
                <w:szCs w:val="18"/>
              </w:rPr>
              <w:lastRenderedPageBreak/>
              <w:t xml:space="preserve">Tew </w:t>
            </w:r>
            <w:r w:rsidRPr="008B68A9">
              <w:rPr>
                <w:b/>
                <w:i/>
                <w:sz w:val="18"/>
                <w:szCs w:val="18"/>
              </w:rPr>
              <w:t>et al.</w:t>
            </w:r>
            <w:r w:rsidRPr="008B68A9">
              <w:rPr>
                <w:b/>
                <w:sz w:val="18"/>
                <w:szCs w:val="18"/>
              </w:rPr>
              <w:t xml:space="preserve"> 2015</w:t>
            </w:r>
          </w:p>
        </w:tc>
        <w:tc>
          <w:tcPr>
            <w:tcW w:w="1479" w:type="dxa"/>
          </w:tcPr>
          <w:p w14:paraId="5F100EBE" w14:textId="77777777" w:rsidR="008E4573" w:rsidRPr="008B68A9" w:rsidRDefault="008E4573" w:rsidP="00045396">
            <w:pPr>
              <w:spacing w:line="240" w:lineRule="auto"/>
              <w:rPr>
                <w:sz w:val="18"/>
                <w:szCs w:val="18"/>
              </w:rPr>
            </w:pPr>
            <w:r w:rsidRPr="008B68A9">
              <w:rPr>
                <w:sz w:val="18"/>
                <w:szCs w:val="18"/>
              </w:rPr>
              <w:t>Recovery dimension of individual budgets.</w:t>
            </w:r>
          </w:p>
        </w:tc>
        <w:tc>
          <w:tcPr>
            <w:tcW w:w="1526" w:type="dxa"/>
          </w:tcPr>
          <w:p w14:paraId="06127E5F" w14:textId="77777777" w:rsidR="008E4573" w:rsidRPr="008B68A9" w:rsidRDefault="008E4573" w:rsidP="00045396">
            <w:pPr>
              <w:spacing w:line="240" w:lineRule="auto"/>
              <w:rPr>
                <w:sz w:val="18"/>
                <w:szCs w:val="18"/>
              </w:rPr>
            </w:pPr>
          </w:p>
        </w:tc>
        <w:tc>
          <w:tcPr>
            <w:tcW w:w="2127" w:type="dxa"/>
          </w:tcPr>
          <w:p w14:paraId="0E86B2D8" w14:textId="77777777" w:rsidR="008E4573" w:rsidRPr="008B68A9" w:rsidRDefault="008E4573" w:rsidP="00045396">
            <w:pPr>
              <w:spacing w:line="240" w:lineRule="auto"/>
              <w:rPr>
                <w:sz w:val="18"/>
                <w:szCs w:val="18"/>
              </w:rPr>
            </w:pPr>
            <w:r w:rsidRPr="008B68A9">
              <w:rPr>
                <w:sz w:val="18"/>
                <w:szCs w:val="18"/>
              </w:rPr>
              <w:t>From McPin sample.</w:t>
            </w:r>
          </w:p>
          <w:p w14:paraId="6087C203" w14:textId="77777777" w:rsidR="008E4573" w:rsidRPr="008B68A9" w:rsidRDefault="008E4573" w:rsidP="00045396">
            <w:pPr>
              <w:spacing w:line="240" w:lineRule="auto"/>
              <w:rPr>
                <w:sz w:val="18"/>
                <w:szCs w:val="18"/>
              </w:rPr>
            </w:pPr>
            <w:r w:rsidRPr="008B68A9">
              <w:rPr>
                <w:sz w:val="18"/>
                <w:szCs w:val="18"/>
              </w:rPr>
              <w:t xml:space="preserve">Hamilton/Larson/Clewett </w:t>
            </w:r>
            <w:r w:rsidRPr="008B68A9">
              <w:rPr>
                <w:i/>
                <w:sz w:val="18"/>
                <w:szCs w:val="18"/>
              </w:rPr>
              <w:t>et al.</w:t>
            </w:r>
          </w:p>
        </w:tc>
        <w:tc>
          <w:tcPr>
            <w:tcW w:w="1701" w:type="dxa"/>
          </w:tcPr>
          <w:p w14:paraId="532ADA1C" w14:textId="77777777" w:rsidR="008E4573" w:rsidRPr="008B68A9" w:rsidRDefault="008E4573" w:rsidP="00045396">
            <w:pPr>
              <w:spacing w:line="240" w:lineRule="auto"/>
              <w:rPr>
                <w:sz w:val="18"/>
                <w:szCs w:val="18"/>
              </w:rPr>
            </w:pPr>
            <w:r w:rsidRPr="008B68A9">
              <w:rPr>
                <w:sz w:val="18"/>
                <w:szCs w:val="18"/>
              </w:rPr>
              <w:t>Analysis</w:t>
            </w:r>
          </w:p>
          <w:p w14:paraId="2DFE4907" w14:textId="77777777" w:rsidR="008E4573" w:rsidRPr="008B68A9" w:rsidRDefault="008E4573" w:rsidP="00045396">
            <w:pPr>
              <w:spacing w:line="240" w:lineRule="auto"/>
              <w:rPr>
                <w:sz w:val="18"/>
                <w:szCs w:val="18"/>
              </w:rPr>
            </w:pPr>
            <w:r w:rsidRPr="008B68A9">
              <w:rPr>
                <w:sz w:val="18"/>
                <w:szCs w:val="18"/>
              </w:rPr>
              <w:t>Four analysts and Nvivo.</w:t>
            </w:r>
          </w:p>
        </w:tc>
        <w:tc>
          <w:tcPr>
            <w:tcW w:w="3445" w:type="dxa"/>
          </w:tcPr>
          <w:p w14:paraId="0F4457C1" w14:textId="77777777" w:rsidR="008E4573" w:rsidRPr="008B68A9" w:rsidRDefault="008E4573" w:rsidP="00045396">
            <w:pPr>
              <w:spacing w:line="240" w:lineRule="auto"/>
              <w:rPr>
                <w:sz w:val="18"/>
                <w:szCs w:val="18"/>
              </w:rPr>
            </w:pPr>
            <w:r w:rsidRPr="008B68A9">
              <w:rPr>
                <w:sz w:val="18"/>
                <w:szCs w:val="18"/>
              </w:rPr>
              <w:t>Cites only one other MH specific personal budget study, Coyle 2009, (IRB report).</w:t>
            </w:r>
          </w:p>
          <w:p w14:paraId="4BE74228" w14:textId="77777777" w:rsidR="008E4573" w:rsidRPr="008B68A9" w:rsidRDefault="008E4573" w:rsidP="00045396">
            <w:pPr>
              <w:spacing w:line="240" w:lineRule="auto"/>
              <w:rPr>
                <w:sz w:val="18"/>
                <w:szCs w:val="18"/>
              </w:rPr>
            </w:pPr>
            <w:r w:rsidRPr="008B68A9">
              <w:rPr>
                <w:sz w:val="18"/>
                <w:szCs w:val="18"/>
              </w:rPr>
              <w:t>Speculates on use of peer support as in US, to support transient nature of MH crisis.</w:t>
            </w:r>
          </w:p>
          <w:p w14:paraId="01E1D778" w14:textId="77777777" w:rsidR="008E4573" w:rsidRPr="008B68A9" w:rsidRDefault="008E4573" w:rsidP="00045396">
            <w:pPr>
              <w:spacing w:line="240" w:lineRule="auto"/>
              <w:rPr>
                <w:sz w:val="18"/>
                <w:szCs w:val="18"/>
              </w:rPr>
            </w:pPr>
            <w:r w:rsidRPr="008B68A9">
              <w:rPr>
                <w:sz w:val="18"/>
                <w:szCs w:val="18"/>
              </w:rPr>
              <w:t>Proposed ideal type recovery-oriented PBs.</w:t>
            </w:r>
          </w:p>
          <w:p w14:paraId="5013CF64" w14:textId="77777777" w:rsidR="008E4573" w:rsidRPr="008B68A9" w:rsidRDefault="008E4573" w:rsidP="00045396">
            <w:pPr>
              <w:spacing w:line="240" w:lineRule="auto"/>
              <w:rPr>
                <w:sz w:val="18"/>
                <w:szCs w:val="18"/>
              </w:rPr>
            </w:pPr>
            <w:r w:rsidRPr="008B68A9">
              <w:rPr>
                <w:sz w:val="18"/>
                <w:szCs w:val="18"/>
              </w:rPr>
              <w:t>Owing idea of SDS: Assessment recovery mind-set: Assessment planning focused on recovery: flexibility re fluctuation and crisis.</w:t>
            </w:r>
          </w:p>
        </w:tc>
        <w:tc>
          <w:tcPr>
            <w:tcW w:w="2083" w:type="dxa"/>
          </w:tcPr>
          <w:p w14:paraId="2307FD08" w14:textId="77777777" w:rsidR="008E4573" w:rsidRPr="008B68A9" w:rsidRDefault="008E4573" w:rsidP="00045396">
            <w:pPr>
              <w:spacing w:line="240" w:lineRule="auto"/>
              <w:rPr>
                <w:sz w:val="18"/>
                <w:szCs w:val="18"/>
              </w:rPr>
            </w:pPr>
            <w:r w:rsidRPr="008B68A9">
              <w:rPr>
                <w:sz w:val="18"/>
                <w:szCs w:val="18"/>
              </w:rPr>
              <w:t>Speculative and recycling Mc Pin dataset. Differentiated by examining user scripts with lens ‘ideal type’.</w:t>
            </w:r>
          </w:p>
          <w:p w14:paraId="0482F440" w14:textId="77777777" w:rsidR="008E4573" w:rsidRPr="008B68A9" w:rsidRDefault="008E4573" w:rsidP="00045396">
            <w:pPr>
              <w:spacing w:line="240" w:lineRule="auto"/>
              <w:rPr>
                <w:sz w:val="18"/>
                <w:szCs w:val="18"/>
              </w:rPr>
            </w:pPr>
          </w:p>
        </w:tc>
      </w:tr>
      <w:tr w:rsidR="008E4573" w:rsidRPr="008B68A9" w14:paraId="462FE900" w14:textId="77777777" w:rsidTr="00045396">
        <w:tc>
          <w:tcPr>
            <w:tcW w:w="1922" w:type="dxa"/>
          </w:tcPr>
          <w:p w14:paraId="07163D07" w14:textId="77777777" w:rsidR="008E4573" w:rsidRPr="008B68A9" w:rsidRDefault="008E4573" w:rsidP="00045396">
            <w:pPr>
              <w:spacing w:line="240" w:lineRule="auto"/>
              <w:rPr>
                <w:b/>
                <w:sz w:val="18"/>
                <w:szCs w:val="18"/>
              </w:rPr>
            </w:pPr>
          </w:p>
        </w:tc>
        <w:tc>
          <w:tcPr>
            <w:tcW w:w="1479" w:type="dxa"/>
          </w:tcPr>
          <w:p w14:paraId="7B2FFC46" w14:textId="77777777" w:rsidR="008E4573" w:rsidRPr="008B68A9" w:rsidRDefault="008E4573" w:rsidP="00045396">
            <w:pPr>
              <w:spacing w:line="240" w:lineRule="auto"/>
              <w:rPr>
                <w:sz w:val="18"/>
                <w:szCs w:val="18"/>
              </w:rPr>
            </w:pPr>
          </w:p>
        </w:tc>
        <w:tc>
          <w:tcPr>
            <w:tcW w:w="1526" w:type="dxa"/>
          </w:tcPr>
          <w:p w14:paraId="7AEDF540" w14:textId="77777777" w:rsidR="008E4573" w:rsidRPr="008B68A9" w:rsidRDefault="008E4573" w:rsidP="00045396">
            <w:pPr>
              <w:spacing w:line="240" w:lineRule="auto"/>
              <w:rPr>
                <w:sz w:val="18"/>
                <w:szCs w:val="18"/>
              </w:rPr>
            </w:pPr>
          </w:p>
        </w:tc>
        <w:tc>
          <w:tcPr>
            <w:tcW w:w="2127" w:type="dxa"/>
          </w:tcPr>
          <w:p w14:paraId="15E680C7" w14:textId="77777777" w:rsidR="008E4573" w:rsidRPr="008B68A9" w:rsidRDefault="008E4573" w:rsidP="00045396">
            <w:pPr>
              <w:spacing w:line="240" w:lineRule="auto"/>
              <w:rPr>
                <w:sz w:val="18"/>
                <w:szCs w:val="18"/>
              </w:rPr>
            </w:pPr>
          </w:p>
        </w:tc>
        <w:tc>
          <w:tcPr>
            <w:tcW w:w="1701" w:type="dxa"/>
          </w:tcPr>
          <w:p w14:paraId="46E714C1" w14:textId="77777777" w:rsidR="008E4573" w:rsidRPr="008B68A9" w:rsidRDefault="008E4573" w:rsidP="00045396">
            <w:pPr>
              <w:spacing w:line="240" w:lineRule="auto"/>
              <w:rPr>
                <w:sz w:val="18"/>
                <w:szCs w:val="18"/>
              </w:rPr>
            </w:pPr>
          </w:p>
        </w:tc>
        <w:tc>
          <w:tcPr>
            <w:tcW w:w="3445" w:type="dxa"/>
          </w:tcPr>
          <w:p w14:paraId="2A140E60" w14:textId="77777777" w:rsidR="008E4573" w:rsidRPr="008B68A9" w:rsidRDefault="008E4573" w:rsidP="00045396">
            <w:pPr>
              <w:spacing w:line="240" w:lineRule="auto"/>
              <w:rPr>
                <w:sz w:val="18"/>
                <w:szCs w:val="18"/>
              </w:rPr>
            </w:pPr>
          </w:p>
        </w:tc>
        <w:tc>
          <w:tcPr>
            <w:tcW w:w="2083" w:type="dxa"/>
          </w:tcPr>
          <w:p w14:paraId="5E783FAE" w14:textId="77777777" w:rsidR="008E4573" w:rsidRPr="008B68A9" w:rsidRDefault="008E4573" w:rsidP="00045396">
            <w:pPr>
              <w:spacing w:line="240" w:lineRule="auto"/>
              <w:rPr>
                <w:sz w:val="18"/>
                <w:szCs w:val="18"/>
              </w:rPr>
            </w:pPr>
          </w:p>
        </w:tc>
      </w:tr>
      <w:tr w:rsidR="008E4573" w:rsidRPr="008B68A9" w14:paraId="02037F5B" w14:textId="77777777" w:rsidTr="00045396">
        <w:tc>
          <w:tcPr>
            <w:tcW w:w="14283" w:type="dxa"/>
            <w:gridSpan w:val="7"/>
          </w:tcPr>
          <w:p w14:paraId="370A8954" w14:textId="77777777" w:rsidR="008E4573" w:rsidRPr="008B68A9" w:rsidRDefault="008E4573" w:rsidP="00045396">
            <w:pPr>
              <w:spacing w:line="240" w:lineRule="auto"/>
              <w:rPr>
                <w:sz w:val="18"/>
                <w:szCs w:val="18"/>
              </w:rPr>
            </w:pPr>
            <w:r w:rsidRPr="008B68A9">
              <w:rPr>
                <w:b/>
                <w:sz w:val="18"/>
                <w:szCs w:val="18"/>
              </w:rPr>
              <w:t>*</w:t>
            </w:r>
            <w:r w:rsidRPr="008B68A9">
              <w:rPr>
                <w:sz w:val="18"/>
                <w:szCs w:val="18"/>
              </w:rPr>
              <w:t>denotes studies derived from McPin Foundation study 2011-2012. Whilst some reviews have excluded multiple reporting of single studies, i.e. Laragy and Ottmann 2012, McPin studies have been dealt with individually. They examined related but separate aspects from a single source using the framework method in each. However, their focus is sufficiently different to treat each separately.</w:t>
            </w:r>
          </w:p>
          <w:p w14:paraId="2A433DAC" w14:textId="77777777" w:rsidR="008E4573" w:rsidRPr="008B68A9" w:rsidRDefault="008E4573" w:rsidP="00045396">
            <w:pPr>
              <w:spacing w:line="240" w:lineRule="auto"/>
              <w:rPr>
                <w:sz w:val="18"/>
                <w:szCs w:val="18"/>
              </w:rPr>
            </w:pPr>
            <w:r w:rsidRPr="008B68A9">
              <w:rPr>
                <w:sz w:val="18"/>
                <w:szCs w:val="18"/>
              </w:rPr>
              <w:t>MH = mental health</w:t>
            </w:r>
          </w:p>
          <w:p w14:paraId="70A1C75F" w14:textId="77777777" w:rsidR="008E4573" w:rsidRPr="008B68A9" w:rsidRDefault="008E4573" w:rsidP="00045396">
            <w:pPr>
              <w:spacing w:line="240" w:lineRule="auto"/>
              <w:rPr>
                <w:sz w:val="18"/>
                <w:szCs w:val="18"/>
              </w:rPr>
            </w:pPr>
            <w:r w:rsidRPr="008B68A9">
              <w:rPr>
                <w:sz w:val="18"/>
                <w:szCs w:val="18"/>
              </w:rPr>
              <w:t xml:space="preserve">PWLD = people with learning disabilities </w:t>
            </w:r>
          </w:p>
          <w:p w14:paraId="096A8A31" w14:textId="77777777" w:rsidR="008E4573" w:rsidRPr="008B68A9" w:rsidRDefault="008E4573" w:rsidP="00045396">
            <w:pPr>
              <w:spacing w:line="240" w:lineRule="auto"/>
              <w:rPr>
                <w:sz w:val="18"/>
                <w:szCs w:val="18"/>
              </w:rPr>
            </w:pPr>
            <w:r w:rsidRPr="008B68A9">
              <w:rPr>
                <w:sz w:val="18"/>
                <w:szCs w:val="18"/>
              </w:rPr>
              <w:t>IBs = individual budgets</w:t>
            </w:r>
          </w:p>
          <w:p w14:paraId="574424E2" w14:textId="77777777" w:rsidR="008E4573" w:rsidRPr="008B68A9" w:rsidRDefault="008E4573" w:rsidP="00045396">
            <w:pPr>
              <w:spacing w:line="240" w:lineRule="auto"/>
              <w:rPr>
                <w:sz w:val="18"/>
                <w:szCs w:val="18"/>
              </w:rPr>
            </w:pPr>
            <w:r w:rsidRPr="008B68A9">
              <w:rPr>
                <w:sz w:val="18"/>
                <w:szCs w:val="18"/>
              </w:rPr>
              <w:t>C&amp;C = cash and counseling</w:t>
            </w:r>
          </w:p>
          <w:p w14:paraId="6C47DCF2" w14:textId="77777777" w:rsidR="008E4573" w:rsidRPr="008B68A9" w:rsidRDefault="008E4573" w:rsidP="00045396">
            <w:pPr>
              <w:spacing w:line="240" w:lineRule="auto"/>
              <w:rPr>
                <w:sz w:val="18"/>
                <w:szCs w:val="18"/>
              </w:rPr>
            </w:pPr>
            <w:r w:rsidRPr="008B68A9">
              <w:rPr>
                <w:sz w:val="18"/>
                <w:szCs w:val="18"/>
              </w:rPr>
              <w:t>SDS = self-directed support</w:t>
            </w:r>
          </w:p>
          <w:p w14:paraId="1BF430DE" w14:textId="77777777" w:rsidR="008E4573" w:rsidRPr="008B68A9" w:rsidRDefault="008E4573" w:rsidP="00045396">
            <w:pPr>
              <w:spacing w:line="240" w:lineRule="auto"/>
              <w:rPr>
                <w:sz w:val="18"/>
                <w:szCs w:val="18"/>
              </w:rPr>
            </w:pPr>
            <w:r w:rsidRPr="008B68A9">
              <w:rPr>
                <w:sz w:val="18"/>
                <w:szCs w:val="18"/>
              </w:rPr>
              <w:t>SDC = self-directed care</w:t>
            </w:r>
          </w:p>
        </w:tc>
      </w:tr>
    </w:tbl>
    <w:p w14:paraId="5B397D34" w14:textId="77777777" w:rsidR="008E4573" w:rsidRPr="008B68A9" w:rsidRDefault="008E4573" w:rsidP="008E4573"/>
    <w:p w14:paraId="4785281B" w14:textId="77777777" w:rsidR="008E4573" w:rsidRPr="008B68A9" w:rsidRDefault="008E4573" w:rsidP="008E4573"/>
    <w:p w14:paraId="5A607A16" w14:textId="77777777" w:rsidR="008E4573" w:rsidRPr="008B68A9" w:rsidRDefault="008E4573" w:rsidP="008E4573">
      <w:pPr>
        <w:spacing w:line="276" w:lineRule="auto"/>
        <w:sectPr w:rsidR="008E4573" w:rsidRPr="008B68A9" w:rsidSect="002A6BF5">
          <w:pgSz w:w="16838" w:h="11906" w:orient="landscape"/>
          <w:pgMar w:top="1418" w:right="1440" w:bottom="2268" w:left="1440" w:header="709" w:footer="709" w:gutter="0"/>
          <w:cols w:space="708"/>
          <w:docGrid w:linePitch="360"/>
        </w:sectPr>
      </w:pPr>
    </w:p>
    <w:p w14:paraId="42387582" w14:textId="77777777" w:rsidR="008E4573" w:rsidRPr="008B68A9" w:rsidRDefault="008E4573" w:rsidP="008E4573">
      <w:pPr>
        <w:pStyle w:val="2L2header"/>
      </w:pPr>
      <w:bookmarkStart w:id="439" w:name="_Toc413607915"/>
      <w:bookmarkStart w:id="440" w:name="_Toc413827549"/>
      <w:bookmarkStart w:id="441" w:name="_Toc451185541"/>
      <w:bookmarkStart w:id="442" w:name="_Toc466800422"/>
      <w:r w:rsidRPr="008B68A9">
        <w:rPr>
          <w:szCs w:val="36"/>
        </w:rPr>
        <w:lastRenderedPageBreak/>
        <w:t>Appendix 2:</w:t>
      </w:r>
      <w:r w:rsidRPr="008B68A9">
        <w:t xml:space="preserve"> Initial MAXQDA coding set and memos:</w:t>
      </w:r>
      <w:bookmarkEnd w:id="439"/>
      <w:bookmarkEnd w:id="440"/>
      <w:bookmarkEnd w:id="441"/>
      <w:bookmarkEnd w:id="442"/>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036"/>
        <w:gridCol w:w="4178"/>
      </w:tblGrid>
      <w:tr w:rsidR="008E4573" w:rsidRPr="008B68A9" w14:paraId="3B071181" w14:textId="77777777" w:rsidTr="00045396">
        <w:trPr>
          <w:cantSplit/>
          <w:trHeight w:val="547"/>
          <w:tblHeader/>
        </w:trPr>
        <w:tc>
          <w:tcPr>
            <w:tcW w:w="9242" w:type="dxa"/>
            <w:gridSpan w:val="2"/>
            <w:shd w:val="clear" w:color="auto" w:fill="F2F2F2" w:themeFill="background1" w:themeFillShade="F2"/>
            <w:vAlign w:val="center"/>
          </w:tcPr>
          <w:p w14:paraId="0B00DC10" w14:textId="77777777" w:rsidR="008E4573" w:rsidRPr="008B68A9" w:rsidRDefault="008E4573" w:rsidP="00045396">
            <w:pPr>
              <w:widowControl w:val="0"/>
              <w:autoSpaceDE w:val="0"/>
              <w:autoSpaceDN w:val="0"/>
              <w:adjustRightInd w:val="0"/>
              <w:spacing w:after="0" w:line="240" w:lineRule="auto"/>
              <w:jc w:val="center"/>
              <w:rPr>
                <w:rFonts w:cs="Arial"/>
                <w:b/>
                <w:sz w:val="22"/>
              </w:rPr>
            </w:pPr>
            <w:r w:rsidRPr="008B68A9">
              <w:rPr>
                <w:rFonts w:cs="Arial"/>
                <w:b/>
                <w:sz w:val="22"/>
              </w:rPr>
              <w:t>Coding memo with emergent ideas and guiding parameters</w:t>
            </w:r>
          </w:p>
        </w:tc>
      </w:tr>
      <w:tr w:rsidR="008E4573" w:rsidRPr="008B68A9" w14:paraId="67073718" w14:textId="77777777" w:rsidTr="00045396">
        <w:trPr>
          <w:cantSplit/>
          <w:tblHeader/>
        </w:trPr>
        <w:tc>
          <w:tcPr>
            <w:tcW w:w="4621" w:type="dxa"/>
            <w:vAlign w:val="center"/>
          </w:tcPr>
          <w:p w14:paraId="1937447A" w14:textId="77777777" w:rsidR="008E4573" w:rsidRPr="008B68A9" w:rsidRDefault="008E4573" w:rsidP="00045396">
            <w:pPr>
              <w:spacing w:after="0" w:line="240" w:lineRule="auto"/>
              <w:rPr>
                <w:b/>
                <w:sz w:val="22"/>
              </w:rPr>
            </w:pPr>
            <w:r w:rsidRPr="008B68A9">
              <w:rPr>
                <w:b/>
                <w:sz w:val="22"/>
              </w:rPr>
              <w:t>Coding set</w:t>
            </w:r>
          </w:p>
        </w:tc>
        <w:tc>
          <w:tcPr>
            <w:tcW w:w="4621" w:type="dxa"/>
            <w:vAlign w:val="center"/>
          </w:tcPr>
          <w:p w14:paraId="784AC226" w14:textId="77777777" w:rsidR="008E4573" w:rsidRPr="008B68A9" w:rsidRDefault="008E4573" w:rsidP="00045396">
            <w:pPr>
              <w:widowControl w:val="0"/>
              <w:autoSpaceDE w:val="0"/>
              <w:autoSpaceDN w:val="0"/>
              <w:adjustRightInd w:val="0"/>
              <w:spacing w:after="0" w:line="240" w:lineRule="auto"/>
              <w:rPr>
                <w:rFonts w:cs="Arial"/>
                <w:b/>
                <w:sz w:val="22"/>
              </w:rPr>
            </w:pPr>
            <w:r w:rsidRPr="008B68A9">
              <w:rPr>
                <w:rFonts w:cs="Arial"/>
                <w:b/>
                <w:sz w:val="22"/>
              </w:rPr>
              <w:t>Memo content</w:t>
            </w:r>
          </w:p>
        </w:tc>
      </w:tr>
      <w:tr w:rsidR="008E4573" w:rsidRPr="008B68A9" w14:paraId="296CDD25" w14:textId="77777777" w:rsidTr="00045396">
        <w:trPr>
          <w:cantSplit/>
        </w:trPr>
        <w:tc>
          <w:tcPr>
            <w:tcW w:w="4621" w:type="dxa"/>
          </w:tcPr>
          <w:p w14:paraId="1AD98756" w14:textId="77777777" w:rsidR="008E4573" w:rsidRPr="008B68A9" w:rsidRDefault="008E4573" w:rsidP="00045396">
            <w:pPr>
              <w:spacing w:after="0" w:line="240" w:lineRule="auto"/>
              <w:rPr>
                <w:b/>
                <w:sz w:val="22"/>
              </w:rPr>
            </w:pPr>
            <w:r w:rsidRPr="008B68A9">
              <w:rPr>
                <w:b/>
                <w:sz w:val="22"/>
              </w:rPr>
              <w:t>Regressive narrative</w:t>
            </w:r>
          </w:p>
        </w:tc>
        <w:tc>
          <w:tcPr>
            <w:tcW w:w="4621" w:type="dxa"/>
          </w:tcPr>
          <w:p w14:paraId="2629AC2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The direction of connected narrative events is opposed to the preferred direction to a positive outcome.</w:t>
            </w:r>
          </w:p>
          <w:p w14:paraId="27BD6F8B"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This code will include users, staff and brokers understanding of regressive trajectory of narrative</w:t>
            </w:r>
          </w:p>
        </w:tc>
      </w:tr>
      <w:tr w:rsidR="008E4573" w:rsidRPr="008B68A9" w14:paraId="3225A8C3" w14:textId="77777777" w:rsidTr="00045396">
        <w:trPr>
          <w:cantSplit/>
        </w:trPr>
        <w:tc>
          <w:tcPr>
            <w:tcW w:w="4621" w:type="dxa"/>
          </w:tcPr>
          <w:p w14:paraId="506CB061" w14:textId="77777777" w:rsidR="008E4573" w:rsidRPr="008B68A9" w:rsidRDefault="008E4573" w:rsidP="00045396">
            <w:pPr>
              <w:spacing w:after="0" w:line="240" w:lineRule="auto"/>
              <w:rPr>
                <w:b/>
                <w:sz w:val="22"/>
              </w:rPr>
            </w:pPr>
            <w:r w:rsidRPr="008B68A9">
              <w:rPr>
                <w:b/>
                <w:sz w:val="22"/>
              </w:rPr>
              <w:t>Stability narrative</w:t>
            </w:r>
          </w:p>
        </w:tc>
        <w:tc>
          <w:tcPr>
            <w:tcW w:w="4621" w:type="dxa"/>
          </w:tcPr>
          <w:p w14:paraId="74B74E34"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Comprising narrative from recipients of budgets but moreover from traditional service staff (nurses, social workers).</w:t>
            </w:r>
          </w:p>
          <w:p w14:paraId="37402058"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Where appropriate, broker perception of the direction towards a positive conclusion is neither closer nor further away.</w:t>
            </w:r>
          </w:p>
        </w:tc>
      </w:tr>
      <w:tr w:rsidR="008E4573" w:rsidRPr="008B68A9" w14:paraId="3903E1CE" w14:textId="77777777" w:rsidTr="00045396">
        <w:trPr>
          <w:cantSplit/>
        </w:trPr>
        <w:tc>
          <w:tcPr>
            <w:tcW w:w="4621" w:type="dxa"/>
          </w:tcPr>
          <w:p w14:paraId="69C7FDAE" w14:textId="77777777" w:rsidR="008E4573" w:rsidRPr="008B68A9" w:rsidRDefault="008E4573" w:rsidP="00045396">
            <w:pPr>
              <w:spacing w:after="0" w:line="240" w:lineRule="auto"/>
              <w:rPr>
                <w:b/>
                <w:sz w:val="22"/>
              </w:rPr>
            </w:pPr>
            <w:r w:rsidRPr="008B68A9">
              <w:rPr>
                <w:b/>
                <w:sz w:val="22"/>
              </w:rPr>
              <w:t>Stability narrative (staff)</w:t>
            </w:r>
          </w:p>
        </w:tc>
        <w:tc>
          <w:tcPr>
            <w:tcW w:w="4621" w:type="dxa"/>
          </w:tcPr>
          <w:p w14:paraId="385BE8EF" w14:textId="77777777" w:rsidR="008E4573" w:rsidRPr="008B68A9" w:rsidRDefault="008E4573" w:rsidP="00045396">
            <w:pPr>
              <w:spacing w:after="0" w:line="240" w:lineRule="auto"/>
              <w:rPr>
                <w:sz w:val="22"/>
              </w:rPr>
            </w:pPr>
            <w:r w:rsidRPr="008B68A9">
              <w:rPr>
                <w:sz w:val="22"/>
              </w:rPr>
              <w:t>Only one coding for this subset.</w:t>
            </w:r>
          </w:p>
        </w:tc>
      </w:tr>
      <w:tr w:rsidR="008E4573" w:rsidRPr="008B68A9" w14:paraId="1CE14B4D" w14:textId="77777777" w:rsidTr="00045396">
        <w:trPr>
          <w:cantSplit/>
        </w:trPr>
        <w:tc>
          <w:tcPr>
            <w:tcW w:w="4621" w:type="dxa"/>
          </w:tcPr>
          <w:p w14:paraId="64FA7287" w14:textId="77777777" w:rsidR="008E4573" w:rsidRPr="008B68A9" w:rsidRDefault="008E4573" w:rsidP="00045396">
            <w:pPr>
              <w:spacing w:after="0" w:line="240" w:lineRule="auto"/>
              <w:rPr>
                <w:b/>
                <w:sz w:val="22"/>
              </w:rPr>
            </w:pPr>
            <w:r w:rsidRPr="008B68A9">
              <w:rPr>
                <w:b/>
                <w:sz w:val="22"/>
              </w:rPr>
              <w:t xml:space="preserve">Contingent narrative </w:t>
            </w:r>
          </w:p>
        </w:tc>
        <w:tc>
          <w:tcPr>
            <w:tcW w:w="4621" w:type="dxa"/>
          </w:tcPr>
          <w:p w14:paraId="770884F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An explanatory narrative often of blaming or deserving of place (Bury).</w:t>
            </w:r>
          </w:p>
        </w:tc>
      </w:tr>
      <w:tr w:rsidR="008E4573" w:rsidRPr="008B68A9" w14:paraId="3DBB61FC" w14:textId="77777777" w:rsidTr="00045396">
        <w:trPr>
          <w:cantSplit/>
        </w:trPr>
        <w:tc>
          <w:tcPr>
            <w:tcW w:w="4621" w:type="dxa"/>
          </w:tcPr>
          <w:p w14:paraId="0A12878B" w14:textId="77777777" w:rsidR="008E4573" w:rsidRPr="008B68A9" w:rsidRDefault="008E4573" w:rsidP="00045396">
            <w:pPr>
              <w:spacing w:after="0" w:line="240" w:lineRule="auto"/>
              <w:rPr>
                <w:b/>
                <w:sz w:val="22"/>
              </w:rPr>
            </w:pPr>
            <w:r w:rsidRPr="008B68A9">
              <w:rPr>
                <w:b/>
                <w:sz w:val="22"/>
              </w:rPr>
              <w:t>Substance misuse</w:t>
            </w:r>
          </w:p>
        </w:tc>
        <w:tc>
          <w:tcPr>
            <w:tcW w:w="4621" w:type="dxa"/>
          </w:tcPr>
          <w:p w14:paraId="03E68650"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Attributional to past drug use.</w:t>
            </w:r>
          </w:p>
        </w:tc>
      </w:tr>
      <w:tr w:rsidR="008E4573" w:rsidRPr="008B68A9" w14:paraId="68264D9F" w14:textId="77777777" w:rsidTr="00045396">
        <w:trPr>
          <w:cantSplit/>
        </w:trPr>
        <w:tc>
          <w:tcPr>
            <w:tcW w:w="4621" w:type="dxa"/>
          </w:tcPr>
          <w:p w14:paraId="58AADFDB" w14:textId="77777777" w:rsidR="008E4573" w:rsidRPr="008B68A9" w:rsidRDefault="008E4573" w:rsidP="00045396">
            <w:pPr>
              <w:spacing w:after="0" w:line="240" w:lineRule="auto"/>
              <w:rPr>
                <w:b/>
                <w:sz w:val="22"/>
              </w:rPr>
            </w:pPr>
            <w:r w:rsidRPr="008B68A9">
              <w:rPr>
                <w:b/>
                <w:sz w:val="22"/>
              </w:rPr>
              <w:t>Criminal activity</w:t>
            </w:r>
          </w:p>
        </w:tc>
        <w:tc>
          <w:tcPr>
            <w:tcW w:w="4621" w:type="dxa"/>
          </w:tcPr>
          <w:p w14:paraId="2E5AB033" w14:textId="77777777" w:rsidR="008E4573" w:rsidRPr="008B68A9" w:rsidRDefault="008E4573" w:rsidP="00045396">
            <w:pPr>
              <w:spacing w:after="0" w:line="240" w:lineRule="auto"/>
              <w:rPr>
                <w:sz w:val="22"/>
              </w:rPr>
            </w:pPr>
            <w:r w:rsidRPr="008B68A9">
              <w:rPr>
                <w:rFonts w:cs="Arial"/>
                <w:sz w:val="22"/>
              </w:rPr>
              <w:t>By past deed, narratives of regression or stable chaos are clear.</w:t>
            </w:r>
          </w:p>
        </w:tc>
      </w:tr>
      <w:tr w:rsidR="008E4573" w:rsidRPr="008B68A9" w14:paraId="235BEAD4" w14:textId="77777777" w:rsidTr="00045396">
        <w:trPr>
          <w:cantSplit/>
        </w:trPr>
        <w:tc>
          <w:tcPr>
            <w:tcW w:w="4621" w:type="dxa"/>
          </w:tcPr>
          <w:p w14:paraId="207CB657" w14:textId="77777777" w:rsidR="008E4573" w:rsidRPr="008B68A9" w:rsidRDefault="008E4573" w:rsidP="00045396">
            <w:pPr>
              <w:spacing w:after="0" w:line="240" w:lineRule="auto"/>
              <w:rPr>
                <w:b/>
                <w:sz w:val="22"/>
              </w:rPr>
            </w:pPr>
            <w:r w:rsidRPr="008B68A9">
              <w:rPr>
                <w:b/>
                <w:sz w:val="22"/>
              </w:rPr>
              <w:t xml:space="preserve">Impairment </w:t>
            </w:r>
          </w:p>
        </w:tc>
        <w:tc>
          <w:tcPr>
            <w:tcW w:w="4621" w:type="dxa"/>
          </w:tcPr>
          <w:p w14:paraId="6B6BD875" w14:textId="77777777" w:rsidR="008E4573" w:rsidRPr="008B68A9" w:rsidRDefault="008E4573" w:rsidP="00045396">
            <w:pPr>
              <w:widowControl w:val="0"/>
              <w:autoSpaceDE w:val="0"/>
              <w:autoSpaceDN w:val="0"/>
              <w:adjustRightInd w:val="0"/>
              <w:spacing w:after="0" w:line="240" w:lineRule="auto"/>
              <w:rPr>
                <w:sz w:val="22"/>
              </w:rPr>
            </w:pPr>
            <w:r w:rsidRPr="008B68A9">
              <w:rPr>
                <w:rFonts w:cs="Arial"/>
                <w:sz w:val="22"/>
              </w:rPr>
              <w:t>Where the person's situation is determined by their long standing impairment (physical or cognitive).</w:t>
            </w:r>
          </w:p>
        </w:tc>
      </w:tr>
      <w:tr w:rsidR="008E4573" w:rsidRPr="008B68A9" w14:paraId="23F095D2" w14:textId="77777777" w:rsidTr="00045396">
        <w:trPr>
          <w:cantSplit/>
        </w:trPr>
        <w:tc>
          <w:tcPr>
            <w:tcW w:w="4621" w:type="dxa"/>
          </w:tcPr>
          <w:p w14:paraId="184C9744" w14:textId="77777777" w:rsidR="008E4573" w:rsidRPr="008B68A9" w:rsidRDefault="008E4573" w:rsidP="00045396">
            <w:pPr>
              <w:spacing w:after="0" w:line="240" w:lineRule="auto"/>
              <w:rPr>
                <w:b/>
                <w:sz w:val="22"/>
              </w:rPr>
            </w:pPr>
            <w:r w:rsidRPr="008B68A9">
              <w:rPr>
                <w:b/>
                <w:sz w:val="22"/>
              </w:rPr>
              <w:t>Progressive narrative</w:t>
            </w:r>
          </w:p>
        </w:tc>
        <w:tc>
          <w:tcPr>
            <w:tcW w:w="4621" w:type="dxa"/>
          </w:tcPr>
          <w:p w14:paraId="4D53D3C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As per Gergen and Gergen, sequence of events have coherent association towards a positive conclusion.</w:t>
            </w:r>
          </w:p>
        </w:tc>
      </w:tr>
      <w:tr w:rsidR="008E4573" w:rsidRPr="008B68A9" w14:paraId="5F263FBA" w14:textId="77777777" w:rsidTr="00045396">
        <w:trPr>
          <w:cantSplit/>
        </w:trPr>
        <w:tc>
          <w:tcPr>
            <w:tcW w:w="4621" w:type="dxa"/>
          </w:tcPr>
          <w:p w14:paraId="5FB05DEC" w14:textId="77777777" w:rsidR="008E4573" w:rsidRPr="008B68A9" w:rsidRDefault="008E4573" w:rsidP="00045396">
            <w:pPr>
              <w:spacing w:after="0" w:line="240" w:lineRule="auto"/>
              <w:rPr>
                <w:b/>
                <w:sz w:val="22"/>
              </w:rPr>
            </w:pPr>
            <w:r w:rsidRPr="008B68A9">
              <w:rPr>
                <w:b/>
                <w:sz w:val="22"/>
              </w:rPr>
              <w:t xml:space="preserve">Physically better </w:t>
            </w:r>
          </w:p>
        </w:tc>
        <w:tc>
          <w:tcPr>
            <w:tcW w:w="4621" w:type="dxa"/>
          </w:tcPr>
          <w:p w14:paraId="0C100F4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Part of progressive narrative but focusing on physical attributes of wellness - perceived or actual.</w:t>
            </w:r>
          </w:p>
        </w:tc>
      </w:tr>
      <w:tr w:rsidR="008E4573" w:rsidRPr="008B68A9" w14:paraId="6DCDAAD4" w14:textId="77777777" w:rsidTr="00045396">
        <w:trPr>
          <w:cantSplit/>
        </w:trPr>
        <w:tc>
          <w:tcPr>
            <w:tcW w:w="4621" w:type="dxa"/>
          </w:tcPr>
          <w:p w14:paraId="596799DC" w14:textId="77777777" w:rsidR="008E4573" w:rsidRPr="008B68A9" w:rsidRDefault="008E4573" w:rsidP="00045396">
            <w:pPr>
              <w:spacing w:after="0" w:line="240" w:lineRule="auto"/>
              <w:rPr>
                <w:rFonts w:cs="Arial"/>
                <w:b/>
                <w:sz w:val="22"/>
              </w:rPr>
            </w:pPr>
            <w:r w:rsidRPr="008B68A9">
              <w:rPr>
                <w:b/>
                <w:sz w:val="22"/>
              </w:rPr>
              <w:t>Direction and goals</w:t>
            </w:r>
            <w:r w:rsidRPr="008B68A9">
              <w:rPr>
                <w:rFonts w:cs="Arial"/>
                <w:b/>
                <w:sz w:val="22"/>
              </w:rPr>
              <w:t xml:space="preserve"> </w:t>
            </w:r>
          </w:p>
          <w:p w14:paraId="76867E36" w14:textId="77777777" w:rsidR="008E4573" w:rsidRPr="008B68A9" w:rsidRDefault="008E4573" w:rsidP="00045396">
            <w:pPr>
              <w:spacing w:after="0" w:line="240" w:lineRule="auto"/>
              <w:rPr>
                <w:b/>
                <w:sz w:val="22"/>
              </w:rPr>
            </w:pPr>
          </w:p>
        </w:tc>
        <w:tc>
          <w:tcPr>
            <w:tcW w:w="4621" w:type="dxa"/>
          </w:tcPr>
          <w:p w14:paraId="20A4D00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Part of the progressive arc resulting from the budget.</w:t>
            </w:r>
          </w:p>
        </w:tc>
      </w:tr>
      <w:tr w:rsidR="008E4573" w:rsidRPr="008B68A9" w14:paraId="194D1CCA" w14:textId="77777777" w:rsidTr="00045396">
        <w:trPr>
          <w:cantSplit/>
        </w:trPr>
        <w:tc>
          <w:tcPr>
            <w:tcW w:w="4621" w:type="dxa"/>
          </w:tcPr>
          <w:p w14:paraId="061F84C0" w14:textId="77777777" w:rsidR="008E4573" w:rsidRPr="008B68A9" w:rsidRDefault="008E4573" w:rsidP="00045396">
            <w:pPr>
              <w:spacing w:after="0" w:line="240" w:lineRule="auto"/>
              <w:rPr>
                <w:b/>
                <w:sz w:val="22"/>
              </w:rPr>
            </w:pPr>
            <w:r w:rsidRPr="008B68A9">
              <w:rPr>
                <w:b/>
                <w:sz w:val="22"/>
              </w:rPr>
              <w:t>Connecting</w:t>
            </w:r>
          </w:p>
        </w:tc>
        <w:tc>
          <w:tcPr>
            <w:tcW w:w="4621" w:type="dxa"/>
          </w:tcPr>
          <w:p w14:paraId="02346570"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Connecting with past skills, hobbies, community or family.</w:t>
            </w:r>
          </w:p>
          <w:p w14:paraId="2F242932"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NB may intersect with Social Capital coding</w:t>
            </w:r>
          </w:p>
        </w:tc>
      </w:tr>
      <w:tr w:rsidR="008E4573" w:rsidRPr="008B68A9" w14:paraId="66E8F118" w14:textId="77777777" w:rsidTr="00045396">
        <w:trPr>
          <w:cantSplit/>
        </w:trPr>
        <w:tc>
          <w:tcPr>
            <w:tcW w:w="4621" w:type="dxa"/>
          </w:tcPr>
          <w:p w14:paraId="3E562FA6" w14:textId="77777777" w:rsidR="008E4573" w:rsidRPr="008B68A9" w:rsidRDefault="008E4573" w:rsidP="00045396">
            <w:pPr>
              <w:spacing w:after="0" w:line="240" w:lineRule="auto"/>
              <w:rPr>
                <w:b/>
                <w:sz w:val="22"/>
              </w:rPr>
            </w:pPr>
            <w:r w:rsidRPr="008B68A9">
              <w:rPr>
                <w:b/>
                <w:sz w:val="22"/>
              </w:rPr>
              <w:t>Traditional services</w:t>
            </w:r>
          </w:p>
        </w:tc>
        <w:tc>
          <w:tcPr>
            <w:tcW w:w="4621" w:type="dxa"/>
          </w:tcPr>
          <w:p w14:paraId="0B6ECAF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All services without individual budgets/ personalisation</w:t>
            </w:r>
          </w:p>
          <w:p w14:paraId="346D79DD"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Also features of current or traditional services that are at odds with personalisation or IB pilot.</w:t>
            </w:r>
          </w:p>
        </w:tc>
      </w:tr>
      <w:tr w:rsidR="008E4573" w:rsidRPr="008B68A9" w14:paraId="14714265" w14:textId="77777777" w:rsidTr="00045396">
        <w:trPr>
          <w:cantSplit/>
        </w:trPr>
        <w:tc>
          <w:tcPr>
            <w:tcW w:w="4621" w:type="dxa"/>
          </w:tcPr>
          <w:p w14:paraId="11760F72" w14:textId="77777777" w:rsidR="008E4573" w:rsidRPr="008B68A9" w:rsidRDefault="008E4573" w:rsidP="00045396">
            <w:pPr>
              <w:spacing w:after="0" w:line="240" w:lineRule="auto"/>
              <w:rPr>
                <w:b/>
                <w:sz w:val="22"/>
              </w:rPr>
            </w:pPr>
            <w:r w:rsidRPr="008B68A9">
              <w:rPr>
                <w:rFonts w:cs="Arial"/>
                <w:b/>
                <w:sz w:val="22"/>
              </w:rPr>
              <w:t>Limitations of traditional services</w:t>
            </w:r>
          </w:p>
        </w:tc>
        <w:tc>
          <w:tcPr>
            <w:tcW w:w="4621" w:type="dxa"/>
          </w:tcPr>
          <w:p w14:paraId="793B473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Limitations of time, options, access.</w:t>
            </w:r>
          </w:p>
          <w:p w14:paraId="722777F8"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Limitation may be actual, i.e. resources, location, in other words physical.</w:t>
            </w:r>
          </w:p>
          <w:p w14:paraId="6F325C74"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Or may be relational to the staff action whether oppositional to IB or in favour. Maintenance of asymmetrical services and traditional service delivery.</w:t>
            </w:r>
          </w:p>
          <w:p w14:paraId="7A11B59D" w14:textId="77777777" w:rsidR="008E4573" w:rsidRPr="008B68A9" w:rsidRDefault="008E4573" w:rsidP="00045396">
            <w:pPr>
              <w:spacing w:after="0" w:line="240" w:lineRule="auto"/>
              <w:rPr>
                <w:sz w:val="22"/>
              </w:rPr>
            </w:pPr>
            <w:r w:rsidRPr="008B68A9">
              <w:rPr>
                <w:rFonts w:cs="Arial"/>
                <w:sz w:val="22"/>
              </w:rPr>
              <w:t xml:space="preserve">NB may overlap with tropes </w:t>
            </w:r>
            <w:r w:rsidRPr="008B68A9">
              <w:rPr>
                <w:rFonts w:cs="Arial"/>
                <w:i/>
                <w:sz w:val="22"/>
              </w:rPr>
              <w:t>Time</w:t>
            </w:r>
            <w:r w:rsidRPr="008B68A9">
              <w:rPr>
                <w:rFonts w:cs="Arial"/>
                <w:sz w:val="22"/>
              </w:rPr>
              <w:t xml:space="preserve"> and </w:t>
            </w:r>
            <w:r w:rsidRPr="008B68A9">
              <w:rPr>
                <w:rFonts w:cs="Arial"/>
                <w:i/>
                <w:sz w:val="22"/>
              </w:rPr>
              <w:t>Bureaucracy.</w:t>
            </w:r>
          </w:p>
        </w:tc>
      </w:tr>
      <w:tr w:rsidR="008E4573" w:rsidRPr="008B68A9" w14:paraId="09372D27" w14:textId="77777777" w:rsidTr="00045396">
        <w:trPr>
          <w:cantSplit/>
        </w:trPr>
        <w:tc>
          <w:tcPr>
            <w:tcW w:w="4621" w:type="dxa"/>
          </w:tcPr>
          <w:p w14:paraId="580CE7FE" w14:textId="77777777" w:rsidR="008E4573" w:rsidRPr="008B68A9" w:rsidRDefault="008E4573" w:rsidP="00045396">
            <w:pPr>
              <w:spacing w:after="0" w:line="240" w:lineRule="auto"/>
              <w:rPr>
                <w:b/>
                <w:sz w:val="22"/>
              </w:rPr>
            </w:pPr>
            <w:r w:rsidRPr="008B68A9">
              <w:rPr>
                <w:b/>
                <w:sz w:val="22"/>
              </w:rPr>
              <w:lastRenderedPageBreak/>
              <w:t xml:space="preserve">Brokerage actions </w:t>
            </w:r>
          </w:p>
        </w:tc>
        <w:tc>
          <w:tcPr>
            <w:tcW w:w="4621" w:type="dxa"/>
          </w:tcPr>
          <w:p w14:paraId="022CEA2C"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Overall code for action, role, and positioning of brokers, whether peer, self, independent or care staff.</w:t>
            </w:r>
          </w:p>
          <w:p w14:paraId="102046DF"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Highlights what the broker did.</w:t>
            </w:r>
          </w:p>
          <w:p w14:paraId="414B84EC"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Comments derive from all actors, brokers themselves, recipients or carers, as well as from staff attributing action from broker.</w:t>
            </w:r>
          </w:p>
        </w:tc>
      </w:tr>
      <w:tr w:rsidR="008E4573" w:rsidRPr="008B68A9" w14:paraId="4ABCBD21" w14:textId="77777777" w:rsidTr="00045396">
        <w:trPr>
          <w:cantSplit/>
        </w:trPr>
        <w:tc>
          <w:tcPr>
            <w:tcW w:w="4621" w:type="dxa"/>
          </w:tcPr>
          <w:p w14:paraId="24CBD55C" w14:textId="77777777" w:rsidR="008E4573" w:rsidRPr="008B68A9" w:rsidRDefault="008E4573" w:rsidP="00045396">
            <w:pPr>
              <w:spacing w:after="0" w:line="240" w:lineRule="auto"/>
              <w:rPr>
                <w:b/>
                <w:sz w:val="22"/>
              </w:rPr>
            </w:pPr>
            <w:r w:rsidRPr="008B68A9">
              <w:rPr>
                <w:b/>
                <w:sz w:val="22"/>
              </w:rPr>
              <w:t>Positioning</w:t>
            </w:r>
          </w:p>
        </w:tc>
        <w:tc>
          <w:tcPr>
            <w:tcW w:w="4621" w:type="dxa"/>
          </w:tcPr>
          <w:p w14:paraId="3AC4F9FF"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Occupying a space within the trajectory of the consumer's narrative and staff's narrative.</w:t>
            </w:r>
          </w:p>
          <w:p w14:paraId="31B781BB"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Positioning relates to the actual and metaphorical relationships of role and action between services and broker.</w:t>
            </w:r>
          </w:p>
          <w:p w14:paraId="67F8B175"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NB Where conflict arises in relation to the actions of the broker, most coding from staff narratives, (i.e. "they were more like an advocate", not one of us anymore), these are coded within limitation of traditional services.</w:t>
            </w:r>
          </w:p>
        </w:tc>
      </w:tr>
      <w:tr w:rsidR="008E4573" w:rsidRPr="008B68A9" w14:paraId="43047592" w14:textId="77777777" w:rsidTr="00045396">
        <w:trPr>
          <w:cantSplit/>
        </w:trPr>
        <w:tc>
          <w:tcPr>
            <w:tcW w:w="4621" w:type="dxa"/>
          </w:tcPr>
          <w:p w14:paraId="45B07CD8" w14:textId="77777777" w:rsidR="008E4573" w:rsidRPr="008B68A9" w:rsidRDefault="008E4573" w:rsidP="00045396">
            <w:pPr>
              <w:spacing w:after="0" w:line="240" w:lineRule="auto"/>
              <w:rPr>
                <w:b/>
                <w:sz w:val="22"/>
              </w:rPr>
            </w:pPr>
            <w:r w:rsidRPr="008B68A9">
              <w:rPr>
                <w:b/>
                <w:sz w:val="22"/>
              </w:rPr>
              <w:t>Dramatic engagement</w:t>
            </w:r>
          </w:p>
        </w:tc>
        <w:tc>
          <w:tcPr>
            <w:tcW w:w="4621" w:type="dxa"/>
          </w:tcPr>
          <w:p w14:paraId="1EB24CDA"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 xml:space="preserve">The action within a narrative that gains the attention to the narrative of the observer. </w:t>
            </w:r>
          </w:p>
          <w:p w14:paraId="393B0DA1"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This may be the person at the centre or observers.</w:t>
            </w:r>
          </w:p>
          <w:p w14:paraId="2986A970"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The moment of change or where narrative trajectory is attributed to directional change.</w:t>
            </w:r>
          </w:p>
          <w:p w14:paraId="2E1F004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Also a feature in critique of personalisation - Beresford</w:t>
            </w:r>
          </w:p>
          <w:p w14:paraId="7659C442"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(Gavin Croft football ticket</w:t>
            </w:r>
          </w:p>
          <w:p w14:paraId="6CCB017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Julia Winter double glazing)</w:t>
            </w:r>
          </w:p>
        </w:tc>
      </w:tr>
      <w:tr w:rsidR="008E4573" w:rsidRPr="008B68A9" w14:paraId="33CA6CA4" w14:textId="77777777" w:rsidTr="00045396">
        <w:trPr>
          <w:cantSplit/>
        </w:trPr>
        <w:tc>
          <w:tcPr>
            <w:tcW w:w="4621" w:type="dxa"/>
          </w:tcPr>
          <w:p w14:paraId="1D1F2A33" w14:textId="77777777" w:rsidR="008E4573" w:rsidRPr="008B68A9" w:rsidRDefault="008E4573" w:rsidP="00045396">
            <w:pPr>
              <w:spacing w:after="0" w:line="240" w:lineRule="auto"/>
              <w:rPr>
                <w:b/>
                <w:sz w:val="22"/>
              </w:rPr>
            </w:pPr>
            <w:r w:rsidRPr="008B68A9">
              <w:rPr>
                <w:b/>
                <w:sz w:val="22"/>
              </w:rPr>
              <w:lastRenderedPageBreak/>
              <w:t>Story-lines</w:t>
            </w:r>
          </w:p>
        </w:tc>
        <w:tc>
          <w:tcPr>
            <w:tcW w:w="4621" w:type="dxa"/>
          </w:tcPr>
          <w:p w14:paraId="4FA296EE"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Story-lines according to Maarten Hajer</w:t>
            </w:r>
          </w:p>
          <w:p w14:paraId="2B850F57"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A large category where the contested nature of account and construction are placed, allowing attributions and tropes to emerge.</w:t>
            </w:r>
          </w:p>
          <w:p w14:paraId="2AAA3F25"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Within this category confluent/convergent or oppositional/ divergent sub-groups will be identified.</w:t>
            </w:r>
          </w:p>
          <w:p w14:paraId="60452D4E"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 xml:space="preserve">Story-lines particularly within the managers and staff transcripts focus on the tropes of </w:t>
            </w:r>
            <w:r w:rsidRPr="008B68A9">
              <w:rPr>
                <w:rFonts w:cs="Arial"/>
                <w:i/>
                <w:sz w:val="22"/>
              </w:rPr>
              <w:t>risk</w:t>
            </w:r>
            <w:r w:rsidRPr="008B68A9">
              <w:rPr>
                <w:rFonts w:cs="Arial"/>
                <w:sz w:val="22"/>
              </w:rPr>
              <w:t xml:space="preserve">, </w:t>
            </w:r>
            <w:r w:rsidRPr="008B68A9">
              <w:rPr>
                <w:rFonts w:cs="Arial"/>
                <w:i/>
                <w:sz w:val="22"/>
              </w:rPr>
              <w:t>shared risk</w:t>
            </w:r>
            <w:r w:rsidRPr="008B68A9">
              <w:rPr>
                <w:rFonts w:cs="Arial"/>
                <w:sz w:val="22"/>
              </w:rPr>
              <w:t xml:space="preserve">, </w:t>
            </w:r>
            <w:r w:rsidRPr="008B68A9">
              <w:rPr>
                <w:rFonts w:cs="Arial"/>
                <w:i/>
                <w:sz w:val="22"/>
              </w:rPr>
              <w:t>time</w:t>
            </w:r>
            <w:r w:rsidRPr="008B68A9">
              <w:rPr>
                <w:rFonts w:cs="Arial"/>
                <w:sz w:val="22"/>
              </w:rPr>
              <w:t xml:space="preserve"> and </w:t>
            </w:r>
            <w:r w:rsidRPr="008B68A9">
              <w:rPr>
                <w:rFonts w:cs="Arial"/>
                <w:i/>
                <w:sz w:val="22"/>
              </w:rPr>
              <w:t>resource</w:t>
            </w:r>
            <w:r w:rsidRPr="008B68A9">
              <w:rPr>
                <w:rFonts w:cs="Arial"/>
                <w:sz w:val="22"/>
              </w:rPr>
              <w:t xml:space="preserve">, </w:t>
            </w:r>
          </w:p>
          <w:p w14:paraId="58E7F262"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Perhaps need a separate code for professional asymmetry, but for now, nested within story-line.</w:t>
            </w:r>
          </w:p>
          <w:p w14:paraId="554A8CC4"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Subjects around story-lines encompass trope including person centred training</w:t>
            </w:r>
          </w:p>
          <w:p w14:paraId="28071C0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Story-lines are not consistent within actor's narrative accounts. Contradictory and oppositional excerpts are present, allowing for the complex interactions around IBs and personalisation.</w:t>
            </w:r>
          </w:p>
        </w:tc>
      </w:tr>
      <w:tr w:rsidR="008E4573" w:rsidRPr="008B68A9" w14:paraId="2D243E94" w14:textId="77777777" w:rsidTr="00045396">
        <w:trPr>
          <w:cantSplit/>
        </w:trPr>
        <w:tc>
          <w:tcPr>
            <w:tcW w:w="4621" w:type="dxa"/>
          </w:tcPr>
          <w:p w14:paraId="77B6A957" w14:textId="77777777" w:rsidR="008E4573" w:rsidRPr="008B68A9" w:rsidRDefault="008E4573" w:rsidP="00045396">
            <w:pPr>
              <w:spacing w:after="0" w:line="240" w:lineRule="auto"/>
              <w:rPr>
                <w:b/>
                <w:sz w:val="22"/>
              </w:rPr>
            </w:pPr>
            <w:r w:rsidRPr="008B68A9">
              <w:rPr>
                <w:b/>
                <w:sz w:val="22"/>
              </w:rPr>
              <w:t>Receptive</w:t>
            </w:r>
          </w:p>
        </w:tc>
        <w:tc>
          <w:tcPr>
            <w:tcW w:w="4621" w:type="dxa"/>
          </w:tcPr>
          <w:p w14:paraId="358B5FAC"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Where story-lines move from different juncture towards a shared or negotiated story-line.</w:t>
            </w:r>
          </w:p>
          <w:p w14:paraId="3EE22712"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Where story-lines move towards direction of personalisation.</w:t>
            </w:r>
          </w:p>
          <w:p w14:paraId="0501B25D"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Elements of narrative concordant with principle or practice towards personalisation idea.</w:t>
            </w:r>
          </w:p>
        </w:tc>
      </w:tr>
      <w:tr w:rsidR="008E4573" w:rsidRPr="008B68A9" w14:paraId="5F10E583" w14:textId="77777777" w:rsidTr="00045396">
        <w:trPr>
          <w:cantSplit/>
          <w:trHeight w:val="2857"/>
        </w:trPr>
        <w:tc>
          <w:tcPr>
            <w:tcW w:w="4621" w:type="dxa"/>
          </w:tcPr>
          <w:p w14:paraId="62816E5C" w14:textId="77777777" w:rsidR="008E4573" w:rsidRPr="008B68A9" w:rsidRDefault="008E4573" w:rsidP="00045396">
            <w:pPr>
              <w:spacing w:after="0" w:line="240" w:lineRule="auto"/>
              <w:rPr>
                <w:b/>
                <w:sz w:val="22"/>
              </w:rPr>
            </w:pPr>
            <w:r w:rsidRPr="008B68A9">
              <w:rPr>
                <w:b/>
                <w:sz w:val="22"/>
              </w:rPr>
              <w:t>Oppositional</w:t>
            </w:r>
          </w:p>
        </w:tc>
        <w:tc>
          <w:tcPr>
            <w:tcW w:w="4621" w:type="dxa"/>
          </w:tcPr>
          <w:p w14:paraId="1A739AE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Here the story-lines form in similar ways to traditional story-line construction, though their trajectory moves the constructions away from IB and personalisation direction.</w:t>
            </w:r>
          </w:p>
          <w:p w14:paraId="600AAE2A"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Issues such as role delineation between brokers’ role and professional - theirs not mine.</w:t>
            </w:r>
          </w:p>
          <w:p w14:paraId="14C87314"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The code can identify where staff groups position themselves in relation to steering group decisions around risk.</w:t>
            </w:r>
          </w:p>
          <w:p w14:paraId="68F3765E"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Oppositional in staff groups in S1 in relation to choice as story-line, though mandated by central government.</w:t>
            </w:r>
          </w:p>
        </w:tc>
      </w:tr>
      <w:tr w:rsidR="008E4573" w:rsidRPr="008B68A9" w14:paraId="01904937" w14:textId="77777777" w:rsidTr="00045396">
        <w:trPr>
          <w:cantSplit/>
        </w:trPr>
        <w:tc>
          <w:tcPr>
            <w:tcW w:w="4621" w:type="dxa"/>
          </w:tcPr>
          <w:p w14:paraId="2641CBFA" w14:textId="77777777" w:rsidR="008E4573" w:rsidRPr="008B68A9" w:rsidRDefault="008E4573" w:rsidP="00045396">
            <w:pPr>
              <w:spacing w:after="0" w:line="240" w:lineRule="auto"/>
              <w:rPr>
                <w:b/>
                <w:sz w:val="22"/>
              </w:rPr>
            </w:pPr>
            <w:r w:rsidRPr="008B68A9">
              <w:rPr>
                <w:b/>
                <w:sz w:val="22"/>
              </w:rPr>
              <w:t>Tropes</w:t>
            </w:r>
          </w:p>
        </w:tc>
        <w:tc>
          <w:tcPr>
            <w:tcW w:w="4621" w:type="dxa"/>
          </w:tcPr>
          <w:p w14:paraId="453AF330"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Taken from Story-lines shows category</w:t>
            </w:r>
          </w:p>
        </w:tc>
      </w:tr>
      <w:tr w:rsidR="008E4573" w:rsidRPr="008B68A9" w14:paraId="2D3E3AA3" w14:textId="77777777" w:rsidTr="00045396">
        <w:trPr>
          <w:cantSplit/>
        </w:trPr>
        <w:tc>
          <w:tcPr>
            <w:tcW w:w="4621" w:type="dxa"/>
          </w:tcPr>
          <w:p w14:paraId="17556F1E" w14:textId="77777777" w:rsidR="008E4573" w:rsidRPr="008B68A9" w:rsidRDefault="008E4573" w:rsidP="00045396">
            <w:pPr>
              <w:spacing w:after="0" w:line="240" w:lineRule="auto"/>
              <w:rPr>
                <w:b/>
                <w:sz w:val="22"/>
              </w:rPr>
            </w:pPr>
            <w:r w:rsidRPr="008B68A9">
              <w:rPr>
                <w:b/>
                <w:sz w:val="22"/>
              </w:rPr>
              <w:lastRenderedPageBreak/>
              <w:t>Nuanced</w:t>
            </w:r>
          </w:p>
        </w:tc>
        <w:tc>
          <w:tcPr>
            <w:tcW w:w="4621" w:type="dxa"/>
          </w:tcPr>
          <w:p w14:paraId="439484DA"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Relating to shades of meaning, or delicate difference.</w:t>
            </w:r>
          </w:p>
          <w:p w14:paraId="33B971F4"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Referring to the relationship between consumer and provider.</w:t>
            </w:r>
          </w:p>
          <w:p w14:paraId="6C557C3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May be part of a regressive or positive narrative trajectory.</w:t>
            </w:r>
          </w:p>
          <w:p w14:paraId="268A9336"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The code predominates a balanced or subtle construction of IB, allowing both acceptance and caution.</w:t>
            </w:r>
          </w:p>
        </w:tc>
      </w:tr>
      <w:tr w:rsidR="008E4573" w:rsidRPr="008B68A9" w14:paraId="4E93C08F" w14:textId="77777777" w:rsidTr="00045396">
        <w:trPr>
          <w:cantSplit/>
        </w:trPr>
        <w:tc>
          <w:tcPr>
            <w:tcW w:w="4621" w:type="dxa"/>
          </w:tcPr>
          <w:p w14:paraId="475C45A6" w14:textId="77777777" w:rsidR="008E4573" w:rsidRPr="008B68A9" w:rsidRDefault="008E4573" w:rsidP="00045396">
            <w:pPr>
              <w:spacing w:after="0" w:line="240" w:lineRule="auto"/>
              <w:rPr>
                <w:b/>
                <w:sz w:val="22"/>
              </w:rPr>
            </w:pPr>
            <w:r w:rsidRPr="008B68A9">
              <w:rPr>
                <w:b/>
                <w:sz w:val="22"/>
              </w:rPr>
              <w:t>Binary</w:t>
            </w:r>
          </w:p>
        </w:tc>
        <w:tc>
          <w:tcPr>
            <w:tcW w:w="4621" w:type="dxa"/>
          </w:tcPr>
          <w:p w14:paraId="39E8C141"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 xml:space="preserve">Binary conceptualisation. </w:t>
            </w:r>
            <w:r w:rsidRPr="008B68A9">
              <w:rPr>
                <w:rFonts w:cs="Arial"/>
                <w:i/>
                <w:sz w:val="22"/>
              </w:rPr>
              <w:t>Sub-code</w:t>
            </w:r>
            <w:r w:rsidRPr="008B68A9">
              <w:rPr>
                <w:rFonts w:cs="Arial"/>
                <w:sz w:val="22"/>
              </w:rPr>
              <w:t>s will conform to trajectory of narrative.</w:t>
            </w:r>
          </w:p>
          <w:p w14:paraId="314AAD2F"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On or off - good/bad</w:t>
            </w:r>
          </w:p>
          <w:p w14:paraId="18E2C45C"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The code seeks to capture where possibilities to construct shared story-lines with differently positioned others or idea is self-limiting.</w:t>
            </w:r>
          </w:p>
        </w:tc>
      </w:tr>
      <w:tr w:rsidR="008E4573" w:rsidRPr="008B68A9" w14:paraId="4FD04161" w14:textId="77777777" w:rsidTr="00045396">
        <w:trPr>
          <w:cantSplit/>
        </w:trPr>
        <w:tc>
          <w:tcPr>
            <w:tcW w:w="4621" w:type="dxa"/>
          </w:tcPr>
          <w:p w14:paraId="154EFE33" w14:textId="77777777" w:rsidR="008E4573" w:rsidRPr="008B68A9" w:rsidRDefault="008E4573" w:rsidP="00045396">
            <w:pPr>
              <w:spacing w:after="0" w:line="240" w:lineRule="auto"/>
              <w:rPr>
                <w:b/>
                <w:sz w:val="22"/>
              </w:rPr>
            </w:pPr>
            <w:r w:rsidRPr="008B68A9">
              <w:rPr>
                <w:b/>
                <w:sz w:val="22"/>
              </w:rPr>
              <w:t xml:space="preserve">Negative </w:t>
            </w:r>
          </w:p>
        </w:tc>
        <w:tc>
          <w:tcPr>
            <w:tcW w:w="4621" w:type="dxa"/>
          </w:tcPr>
          <w:p w14:paraId="127AB29D"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Usually a dismissive narrative redolent of closing possibility to nuanced or receptive story-lines.</w:t>
            </w:r>
          </w:p>
          <w:p w14:paraId="0822DA79"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Reinforcing current constructions of work, role, reduced opportunity for change in staff.</w:t>
            </w:r>
          </w:p>
          <w:p w14:paraId="3C241898"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Negative construction of experience from actors, irrespective of position - staff – recipients.</w:t>
            </w:r>
          </w:p>
        </w:tc>
      </w:tr>
      <w:tr w:rsidR="008E4573" w:rsidRPr="008B68A9" w14:paraId="3B9CD575" w14:textId="77777777" w:rsidTr="00045396">
        <w:trPr>
          <w:cantSplit/>
        </w:trPr>
        <w:tc>
          <w:tcPr>
            <w:tcW w:w="4621" w:type="dxa"/>
          </w:tcPr>
          <w:p w14:paraId="03690EFE" w14:textId="77777777" w:rsidR="008E4573" w:rsidRPr="008B68A9" w:rsidRDefault="008E4573" w:rsidP="00045396">
            <w:pPr>
              <w:spacing w:after="0" w:line="240" w:lineRule="auto"/>
              <w:rPr>
                <w:b/>
                <w:sz w:val="22"/>
              </w:rPr>
            </w:pPr>
            <w:r w:rsidRPr="008B68A9">
              <w:rPr>
                <w:b/>
                <w:sz w:val="22"/>
              </w:rPr>
              <w:t xml:space="preserve">Positive </w:t>
            </w:r>
          </w:p>
        </w:tc>
        <w:tc>
          <w:tcPr>
            <w:tcW w:w="4621" w:type="dxa"/>
          </w:tcPr>
          <w:p w14:paraId="7070D733"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Binary in simplistic terms.</w:t>
            </w:r>
          </w:p>
          <w:p w14:paraId="33FCB0D2" w14:textId="77777777" w:rsidR="008E4573" w:rsidRPr="008B68A9" w:rsidRDefault="008E4573" w:rsidP="00045396">
            <w:pPr>
              <w:widowControl w:val="0"/>
              <w:autoSpaceDE w:val="0"/>
              <w:autoSpaceDN w:val="0"/>
              <w:adjustRightInd w:val="0"/>
              <w:spacing w:after="0" w:line="240" w:lineRule="auto"/>
              <w:rPr>
                <w:rFonts w:cs="Arial"/>
                <w:sz w:val="22"/>
              </w:rPr>
            </w:pPr>
            <w:r w:rsidRPr="008B68A9">
              <w:rPr>
                <w:rFonts w:cs="Arial"/>
                <w:sz w:val="22"/>
              </w:rPr>
              <w:t>Positive construction without nuance or room for story-line generation.</w:t>
            </w:r>
          </w:p>
          <w:p w14:paraId="00183458" w14:textId="77777777" w:rsidR="008E4573" w:rsidRPr="008B68A9" w:rsidRDefault="008E4573" w:rsidP="00045396">
            <w:pPr>
              <w:widowControl w:val="0"/>
              <w:autoSpaceDE w:val="0"/>
              <w:autoSpaceDN w:val="0"/>
              <w:adjustRightInd w:val="0"/>
              <w:spacing w:after="0" w:line="240" w:lineRule="auto"/>
              <w:rPr>
                <w:rFonts w:cs="Arial"/>
                <w:sz w:val="22"/>
                <w:lang w:val="de-DE"/>
              </w:rPr>
            </w:pPr>
            <w:r w:rsidRPr="008B68A9">
              <w:rPr>
                <w:rFonts w:cs="Arial"/>
                <w:sz w:val="22"/>
              </w:rPr>
              <w:t>Positive constructions from actors are also located within Story-line codes, though binary is clear, simplistic and easily recognisable as it is good.</w:t>
            </w:r>
          </w:p>
        </w:tc>
      </w:tr>
    </w:tbl>
    <w:p w14:paraId="0AB5B9E8" w14:textId="77777777" w:rsidR="008E4573" w:rsidRPr="008B68A9" w:rsidRDefault="008E4573" w:rsidP="008E4573">
      <w:pPr>
        <w:spacing w:line="360" w:lineRule="auto"/>
        <w:jc w:val="both"/>
        <w:rPr>
          <w:szCs w:val="24"/>
        </w:rPr>
      </w:pPr>
      <w:r w:rsidRPr="008B68A9">
        <w:rPr>
          <w:szCs w:val="24"/>
        </w:rPr>
        <w:br w:type="page"/>
      </w:r>
    </w:p>
    <w:p w14:paraId="78A9B692" w14:textId="77777777" w:rsidR="008E4573" w:rsidRPr="008B68A9" w:rsidRDefault="008E4573" w:rsidP="008E4573">
      <w:pPr>
        <w:pStyle w:val="2L2header"/>
      </w:pPr>
      <w:bookmarkStart w:id="443" w:name="_Toc451185542"/>
      <w:bookmarkStart w:id="444" w:name="_Toc466800423"/>
      <w:r w:rsidRPr="008B68A9">
        <w:lastRenderedPageBreak/>
        <w:t>Appendix 3: Thematic Coding guideline</w:t>
      </w:r>
      <w:bookmarkEnd w:id="443"/>
      <w:bookmarkEnd w:id="444"/>
    </w:p>
    <w:p w14:paraId="21CDEF35"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line="360" w:lineRule="auto"/>
        <w:jc w:val="center"/>
        <w:rPr>
          <w:b/>
          <w:szCs w:val="24"/>
        </w:rPr>
      </w:pPr>
      <w:r w:rsidRPr="008B68A9">
        <w:rPr>
          <w:b/>
          <w:szCs w:val="24"/>
        </w:rPr>
        <w:t>A 15-point checklist of criteria for good thematic analysis</w:t>
      </w:r>
    </w:p>
    <w:p w14:paraId="745E9AF1"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w:t>
      </w:r>
      <w:r w:rsidRPr="008B68A9">
        <w:rPr>
          <w:szCs w:val="24"/>
        </w:rPr>
        <w:tab/>
        <w:t>The data have been transcribed to an appropriate level of detail and the transcripts have been checked against the tapes for 'accuracy'.</w:t>
      </w:r>
    </w:p>
    <w:p w14:paraId="6C6B15D2"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 xml:space="preserve">Coding </w:t>
      </w:r>
    </w:p>
    <w:p w14:paraId="6331064F"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2</w:t>
      </w:r>
      <w:r w:rsidRPr="008B68A9">
        <w:rPr>
          <w:szCs w:val="24"/>
        </w:rPr>
        <w:tab/>
        <w:t>Each data item has been given equal attention in the coding process.</w:t>
      </w:r>
    </w:p>
    <w:p w14:paraId="6ACBE9A0"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3</w:t>
      </w:r>
      <w:r w:rsidRPr="008B68A9">
        <w:rPr>
          <w:szCs w:val="24"/>
        </w:rPr>
        <w:tab/>
        <w:t>Themes have not been generated from a few vivid examples (an anecdotal approach), but instead the coding process has been thorough, inclusive and comprehensive.</w:t>
      </w:r>
    </w:p>
    <w:p w14:paraId="2BCE92AA"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4</w:t>
      </w:r>
      <w:r w:rsidRPr="008B68A9">
        <w:rPr>
          <w:szCs w:val="24"/>
        </w:rPr>
        <w:tab/>
        <w:t>All relevant extracts for all each theme have been collated.</w:t>
      </w:r>
    </w:p>
    <w:p w14:paraId="2EDD6132"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5</w:t>
      </w:r>
      <w:r w:rsidRPr="008B68A9">
        <w:rPr>
          <w:szCs w:val="24"/>
        </w:rPr>
        <w:tab/>
        <w:t>Themes have been checked against each other and back to the original data set.</w:t>
      </w:r>
    </w:p>
    <w:p w14:paraId="7DE6820B"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6</w:t>
      </w:r>
      <w:r w:rsidRPr="008B68A9">
        <w:rPr>
          <w:szCs w:val="24"/>
        </w:rPr>
        <w:tab/>
        <w:t>Themes are internal coherent, consistent, and distinctive.</w:t>
      </w:r>
    </w:p>
    <w:p w14:paraId="0F17D9C2"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7</w:t>
      </w:r>
      <w:r w:rsidRPr="008B68A9">
        <w:rPr>
          <w:szCs w:val="24"/>
        </w:rPr>
        <w:tab/>
        <w:t>Data have been analysed - interpreted, made sense of - rather than just paraphrased or described.</w:t>
      </w:r>
    </w:p>
    <w:p w14:paraId="2109A166"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8</w:t>
      </w:r>
      <w:r w:rsidRPr="008B68A9">
        <w:rPr>
          <w:szCs w:val="24"/>
        </w:rPr>
        <w:tab/>
        <w:t>Analysis and data match each other - the extracts illustrate the analytic claims.</w:t>
      </w:r>
    </w:p>
    <w:p w14:paraId="09818932"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9</w:t>
      </w:r>
      <w:r w:rsidRPr="008B68A9">
        <w:rPr>
          <w:szCs w:val="24"/>
        </w:rPr>
        <w:tab/>
        <w:t>Analysis tells a convincing and well-organised story about the data and topic.</w:t>
      </w:r>
    </w:p>
    <w:p w14:paraId="4978ED0C"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10</w:t>
      </w:r>
      <w:r w:rsidRPr="008B68A9">
        <w:rPr>
          <w:szCs w:val="24"/>
        </w:rPr>
        <w:tab/>
        <w:t>A good balance between analytic narrative and illustrative extracts is provided.</w:t>
      </w:r>
    </w:p>
    <w:p w14:paraId="3F2AD3CE"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11</w:t>
      </w:r>
      <w:r w:rsidRPr="008B68A9">
        <w:rPr>
          <w:szCs w:val="24"/>
        </w:rPr>
        <w:tab/>
        <w:t>Enough time has been allocated to complete all phases of the analysis adequately, without rushing a phase or giving it a once-over lightly.</w:t>
      </w:r>
    </w:p>
    <w:p w14:paraId="690C55A2"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12</w:t>
      </w:r>
      <w:r w:rsidRPr="008B68A9">
        <w:rPr>
          <w:szCs w:val="24"/>
        </w:rPr>
        <w:tab/>
        <w:t>The assumptions about, and specific approach to, thematic analysis are clearly explicated.</w:t>
      </w:r>
    </w:p>
    <w:p w14:paraId="193E12DA"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13</w:t>
      </w:r>
      <w:r w:rsidRPr="008B68A9">
        <w:rPr>
          <w:szCs w:val="24"/>
        </w:rPr>
        <w:tab/>
        <w:t>There is a good fit between what you claim you do, and what you show you have done - i.e., described method and reported analysis are consistent.</w:t>
      </w:r>
    </w:p>
    <w:p w14:paraId="7D65F75B"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14</w:t>
      </w:r>
      <w:r w:rsidRPr="008B68A9">
        <w:rPr>
          <w:szCs w:val="24"/>
        </w:rPr>
        <w:tab/>
        <w:t>The language and concepts used in the report are consistent with the epistemological position of the analysis.</w:t>
      </w:r>
    </w:p>
    <w:p w14:paraId="4BCF46CF"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ind w:left="425" w:hanging="425"/>
        <w:jc w:val="both"/>
        <w:rPr>
          <w:szCs w:val="24"/>
        </w:rPr>
      </w:pPr>
      <w:r w:rsidRPr="008B68A9">
        <w:rPr>
          <w:szCs w:val="24"/>
        </w:rPr>
        <w:t>15</w:t>
      </w:r>
      <w:r w:rsidRPr="008B68A9">
        <w:rPr>
          <w:szCs w:val="24"/>
        </w:rPr>
        <w:tab/>
        <w:t>The research is positioned as active in the research process; themes do not just 'emerge'."</w:t>
      </w:r>
    </w:p>
    <w:p w14:paraId="69DC4AA3" w14:textId="77777777" w:rsidR="008E4573" w:rsidRPr="008B68A9" w:rsidRDefault="008E4573" w:rsidP="008E4573">
      <w:pPr>
        <w:pBdr>
          <w:top w:val="single" w:sz="4" w:space="1" w:color="auto"/>
          <w:left w:val="single" w:sz="4" w:space="4" w:color="auto"/>
          <w:bottom w:val="single" w:sz="4" w:space="1" w:color="auto"/>
          <w:right w:val="single" w:sz="4" w:space="4" w:color="auto"/>
        </w:pBdr>
        <w:spacing w:after="0" w:line="360" w:lineRule="auto"/>
        <w:jc w:val="right"/>
        <w:rPr>
          <w:szCs w:val="24"/>
        </w:rPr>
      </w:pPr>
      <w:r w:rsidRPr="008B68A9">
        <w:rPr>
          <w:szCs w:val="24"/>
        </w:rPr>
        <w:t>(From Braun and Clarke 2006 p.96)</w:t>
      </w:r>
    </w:p>
    <w:p w14:paraId="43284E71" w14:textId="77777777" w:rsidR="008E4573" w:rsidRPr="008B68A9" w:rsidRDefault="008E4573" w:rsidP="008E4573">
      <w:pPr>
        <w:spacing w:after="0" w:line="360" w:lineRule="auto"/>
        <w:jc w:val="right"/>
        <w:rPr>
          <w:szCs w:val="24"/>
        </w:rPr>
      </w:pPr>
    </w:p>
    <w:p w14:paraId="7C562F39" w14:textId="77777777" w:rsidR="008E4573" w:rsidRPr="008B68A9" w:rsidRDefault="008E4573" w:rsidP="008E4573">
      <w:pPr>
        <w:spacing w:line="360" w:lineRule="auto"/>
        <w:jc w:val="both"/>
        <w:rPr>
          <w:szCs w:val="24"/>
        </w:rPr>
      </w:pPr>
    </w:p>
    <w:p w14:paraId="115E864F" w14:textId="77777777" w:rsidR="008E4573" w:rsidRPr="008B68A9" w:rsidRDefault="008E4573" w:rsidP="008E4573">
      <w:pPr>
        <w:spacing w:line="360" w:lineRule="auto"/>
        <w:jc w:val="both"/>
        <w:rPr>
          <w:szCs w:val="24"/>
        </w:rPr>
        <w:sectPr w:rsidR="008E4573" w:rsidRPr="008B68A9" w:rsidSect="00D03E0A">
          <w:pgSz w:w="11906" w:h="16838"/>
          <w:pgMar w:top="1440" w:right="1418" w:bottom="1440" w:left="2268" w:header="709" w:footer="709" w:gutter="0"/>
          <w:cols w:space="708"/>
          <w:docGrid w:linePitch="360"/>
        </w:sectPr>
      </w:pPr>
    </w:p>
    <w:p w14:paraId="72534E0D" w14:textId="77777777" w:rsidR="008E4573" w:rsidRPr="008B68A9" w:rsidRDefault="008E4573" w:rsidP="000A3FCB">
      <w:pPr>
        <w:pStyle w:val="2L2header"/>
      </w:pPr>
      <w:bookmarkStart w:id="445" w:name="_Toc466800424"/>
      <w:r w:rsidRPr="008B68A9">
        <w:lastRenderedPageBreak/>
        <w:t>Appendix 4: Visual coding of data and initial framework</w:t>
      </w:r>
      <w:bookmarkEnd w:id="445"/>
      <w:r w:rsidRPr="008B68A9">
        <w:t xml:space="preserve"> </w:t>
      </w:r>
    </w:p>
    <w:p w14:paraId="00E64243" w14:textId="77777777" w:rsidR="008E4573" w:rsidRPr="008B68A9" w:rsidRDefault="008E4573" w:rsidP="008E4573">
      <w:pPr>
        <w:spacing w:line="360" w:lineRule="auto"/>
        <w:jc w:val="both"/>
        <w:rPr>
          <w:szCs w:val="24"/>
        </w:rPr>
      </w:pPr>
      <w:r w:rsidRPr="008B68A9">
        <w:rPr>
          <w:noProof/>
          <w:lang w:eastAsia="en-GB"/>
        </w:rPr>
        <w:drawing>
          <wp:inline distT="0" distB="0" distL="0" distR="0" wp14:anchorId="02E93500" wp14:editId="47A2E018">
            <wp:extent cx="7974419" cy="4253024"/>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974419" cy="4253024"/>
                    </a:xfrm>
                    <a:prstGeom prst="rect">
                      <a:avLst/>
                    </a:prstGeom>
                  </pic:spPr>
                </pic:pic>
              </a:graphicData>
            </a:graphic>
          </wp:inline>
        </w:drawing>
      </w:r>
    </w:p>
    <w:p w14:paraId="1C88A96F" w14:textId="77777777" w:rsidR="008E4573" w:rsidRPr="008B68A9" w:rsidRDefault="008E4573" w:rsidP="008E4573">
      <w:pPr>
        <w:spacing w:line="360" w:lineRule="auto"/>
        <w:jc w:val="both"/>
        <w:rPr>
          <w:szCs w:val="24"/>
        </w:rPr>
      </w:pPr>
    </w:p>
    <w:p w14:paraId="41D8B76E" w14:textId="77777777" w:rsidR="008E4573" w:rsidRPr="008B68A9" w:rsidRDefault="008E4573" w:rsidP="008E4573">
      <w:pPr>
        <w:spacing w:line="360" w:lineRule="auto"/>
        <w:jc w:val="both"/>
        <w:rPr>
          <w:szCs w:val="24"/>
        </w:rPr>
        <w:sectPr w:rsidR="008E4573" w:rsidRPr="008B68A9" w:rsidSect="001E2710">
          <w:pgSz w:w="16838" w:h="11906" w:orient="landscape"/>
          <w:pgMar w:top="2268" w:right="1418" w:bottom="1247" w:left="2268" w:header="709" w:footer="709" w:gutter="0"/>
          <w:cols w:space="708"/>
          <w:docGrid w:linePitch="360"/>
        </w:sectPr>
      </w:pPr>
    </w:p>
    <w:p w14:paraId="3201CD78" w14:textId="4631B577" w:rsidR="008E4573" w:rsidRPr="008B68A9" w:rsidRDefault="008E4573" w:rsidP="008E4573">
      <w:pPr>
        <w:pStyle w:val="2L2header"/>
      </w:pPr>
      <w:bookmarkStart w:id="446" w:name="_Toc451185543"/>
      <w:bookmarkStart w:id="447" w:name="_Toc466800425"/>
      <w:r w:rsidRPr="008B68A9">
        <w:rPr>
          <w:sz w:val="36"/>
        </w:rPr>
        <w:lastRenderedPageBreak/>
        <w:t>Appendix 5:</w:t>
      </w:r>
      <w:r w:rsidRPr="008B68A9">
        <w:t xml:space="preserve"> Example participant information sheet:</w:t>
      </w:r>
      <w:bookmarkEnd w:id="437"/>
      <w:bookmarkEnd w:id="438"/>
      <w:bookmarkEnd w:id="446"/>
      <w:bookmarkEnd w:id="447"/>
    </w:p>
    <w:p w14:paraId="0A342FF1" w14:textId="77777777" w:rsidR="008E4573" w:rsidRPr="008B68A9" w:rsidRDefault="008E4573" w:rsidP="008E4573">
      <w:pPr>
        <w:spacing w:after="0" w:line="276" w:lineRule="auto"/>
        <w:jc w:val="both"/>
        <w:rPr>
          <w:rFonts w:cs="Arial"/>
          <w:b/>
          <w:szCs w:val="24"/>
          <w:u w:val="single"/>
        </w:rPr>
      </w:pPr>
      <w:r w:rsidRPr="008B68A9">
        <w:rPr>
          <w:rFonts w:cs="Arial"/>
          <w:b/>
          <w:szCs w:val="24"/>
          <w:u w:val="single"/>
        </w:rPr>
        <w:t>Evaluating service commissioning individual budgets in a mental health service within North West England</w:t>
      </w:r>
    </w:p>
    <w:p w14:paraId="0F1FDEA3" w14:textId="77777777" w:rsidR="008E4573" w:rsidRPr="008B68A9" w:rsidRDefault="008E4573" w:rsidP="008E4573">
      <w:pPr>
        <w:spacing w:after="0" w:line="276" w:lineRule="auto"/>
        <w:jc w:val="both"/>
        <w:rPr>
          <w:rFonts w:cs="Arial"/>
          <w:b/>
          <w:szCs w:val="24"/>
          <w:u w:val="single"/>
        </w:rPr>
      </w:pPr>
      <w:r w:rsidRPr="008B68A9">
        <w:rPr>
          <w:rFonts w:cs="Arial"/>
          <w:b/>
          <w:szCs w:val="24"/>
          <w:u w:val="single"/>
        </w:rPr>
        <w:t>Participant information sheet</w:t>
      </w:r>
    </w:p>
    <w:p w14:paraId="54ACBB86" w14:textId="77777777" w:rsidR="008E4573" w:rsidRPr="008B68A9" w:rsidRDefault="008E4573" w:rsidP="008E4573">
      <w:pPr>
        <w:spacing w:after="0" w:line="276" w:lineRule="auto"/>
        <w:jc w:val="both"/>
        <w:rPr>
          <w:rFonts w:cs="Arial"/>
          <w:szCs w:val="24"/>
        </w:rPr>
      </w:pPr>
      <w:r w:rsidRPr="008B68A9">
        <w:rPr>
          <w:rFonts w:cs="Arial"/>
          <w:szCs w:val="24"/>
        </w:rPr>
        <w:t xml:space="preserve">You are being invited to take part in an evaluation of a new part of the Mental Health Services. Before you decide, it is important for you to understand why the evaluation is being done and what it will involve. </w:t>
      </w:r>
    </w:p>
    <w:p w14:paraId="01A2F93F" w14:textId="77777777" w:rsidR="008E4573" w:rsidRPr="008B68A9" w:rsidRDefault="008E4573" w:rsidP="008E4573">
      <w:pPr>
        <w:spacing w:after="0" w:line="276" w:lineRule="auto"/>
        <w:jc w:val="both"/>
        <w:rPr>
          <w:rFonts w:cs="Arial"/>
          <w:szCs w:val="24"/>
        </w:rPr>
      </w:pPr>
      <w:r w:rsidRPr="008B68A9">
        <w:rPr>
          <w:rFonts w:cs="Arial"/>
          <w:szCs w:val="24"/>
        </w:rPr>
        <w:t xml:space="preserve">Please take time to read the following information carefully and discuss it with others if you wish. Contact me to ask if there is anything that is not clear or if you would like more information. Take time to decide whether or not you wish to take part. </w:t>
      </w:r>
    </w:p>
    <w:p w14:paraId="64409923" w14:textId="77777777" w:rsidR="008E4573" w:rsidRPr="008B68A9" w:rsidRDefault="008E4573" w:rsidP="008E4573">
      <w:pPr>
        <w:spacing w:after="0" w:line="276" w:lineRule="auto"/>
        <w:jc w:val="both"/>
        <w:rPr>
          <w:rFonts w:cs="Arial"/>
          <w:b/>
          <w:szCs w:val="24"/>
        </w:rPr>
      </w:pPr>
      <w:r w:rsidRPr="008B68A9">
        <w:rPr>
          <w:rFonts w:cs="Arial"/>
          <w:b/>
          <w:szCs w:val="24"/>
        </w:rPr>
        <w:t>What is the evaluation?</w:t>
      </w:r>
    </w:p>
    <w:p w14:paraId="1D3FB6D9" w14:textId="77777777" w:rsidR="008E4573" w:rsidRPr="008B68A9" w:rsidRDefault="008E4573" w:rsidP="008E4573">
      <w:pPr>
        <w:spacing w:after="0" w:line="276" w:lineRule="auto"/>
        <w:jc w:val="both"/>
        <w:rPr>
          <w:rFonts w:cs="Arial"/>
          <w:szCs w:val="24"/>
        </w:rPr>
      </w:pPr>
      <w:r w:rsidRPr="008B68A9">
        <w:rPr>
          <w:rFonts w:cs="Arial"/>
          <w:szCs w:val="24"/>
        </w:rPr>
        <w:t xml:space="preserve">The evaluation aims to find out what people who use the Early Intervention and mental health services experience and satisfaction is of receiving individual budgets. This evaluation wishes to find out how the process of identifying the budget and using the broker, what the experience was like for you, and in what ways, if any, getting the budgets or process have made a difference to you. </w:t>
      </w:r>
    </w:p>
    <w:p w14:paraId="30566DB0" w14:textId="77777777" w:rsidR="008E4573" w:rsidRPr="008B68A9" w:rsidRDefault="008E4573" w:rsidP="008E4573">
      <w:pPr>
        <w:pStyle w:val="Header"/>
        <w:spacing w:line="276" w:lineRule="auto"/>
        <w:jc w:val="both"/>
        <w:rPr>
          <w:rFonts w:cs="Arial"/>
          <w:szCs w:val="24"/>
        </w:rPr>
      </w:pPr>
      <w:r w:rsidRPr="008B68A9">
        <w:rPr>
          <w:rFonts w:cs="Arial"/>
          <w:szCs w:val="24"/>
        </w:rPr>
        <w:t>We shall ask you to email a diary of your experiences to our research assistant which will specifically ask you your satisfaction in the following areas.</w:t>
      </w:r>
    </w:p>
    <w:p w14:paraId="7EBABE05" w14:textId="77777777" w:rsidR="008E4573" w:rsidRPr="008B68A9" w:rsidRDefault="008E4573" w:rsidP="008E4573">
      <w:pPr>
        <w:numPr>
          <w:ilvl w:val="0"/>
          <w:numId w:val="20"/>
        </w:numPr>
        <w:autoSpaceDE w:val="0"/>
        <w:autoSpaceDN w:val="0"/>
        <w:adjustRightInd w:val="0"/>
        <w:spacing w:after="0" w:line="276" w:lineRule="auto"/>
        <w:jc w:val="both"/>
        <w:rPr>
          <w:rFonts w:cs="Arial"/>
          <w:szCs w:val="24"/>
          <w:lang w:eastAsia="en-GB"/>
        </w:rPr>
      </w:pPr>
      <w:r w:rsidRPr="008B68A9">
        <w:rPr>
          <w:rFonts w:cs="Arial"/>
          <w:szCs w:val="24"/>
          <w:lang w:eastAsia="en-GB"/>
        </w:rPr>
        <w:t>Whether you feel you have had a real choice in service options.</w:t>
      </w:r>
    </w:p>
    <w:p w14:paraId="5D18B1C9" w14:textId="77777777" w:rsidR="008E4573" w:rsidRPr="008B68A9" w:rsidRDefault="008E4573" w:rsidP="008E4573">
      <w:pPr>
        <w:numPr>
          <w:ilvl w:val="0"/>
          <w:numId w:val="20"/>
        </w:numPr>
        <w:autoSpaceDE w:val="0"/>
        <w:autoSpaceDN w:val="0"/>
        <w:adjustRightInd w:val="0"/>
        <w:spacing w:after="0" w:line="276" w:lineRule="auto"/>
        <w:jc w:val="both"/>
        <w:rPr>
          <w:rFonts w:cs="Arial"/>
          <w:szCs w:val="24"/>
          <w:lang w:eastAsia="en-GB"/>
        </w:rPr>
      </w:pPr>
      <w:r w:rsidRPr="008B68A9">
        <w:rPr>
          <w:rFonts w:cs="Arial"/>
          <w:szCs w:val="24"/>
          <w:lang w:eastAsia="en-GB"/>
        </w:rPr>
        <w:t>Whether you are satisfied with your broker.</w:t>
      </w:r>
    </w:p>
    <w:p w14:paraId="1769627C" w14:textId="77777777" w:rsidR="008E4573" w:rsidRPr="008B68A9" w:rsidRDefault="008E4573" w:rsidP="008E4573">
      <w:pPr>
        <w:numPr>
          <w:ilvl w:val="0"/>
          <w:numId w:val="20"/>
        </w:numPr>
        <w:autoSpaceDE w:val="0"/>
        <w:autoSpaceDN w:val="0"/>
        <w:adjustRightInd w:val="0"/>
        <w:spacing w:after="0" w:line="276" w:lineRule="auto"/>
        <w:jc w:val="both"/>
        <w:rPr>
          <w:rFonts w:cs="Arial"/>
          <w:szCs w:val="24"/>
          <w:lang w:eastAsia="en-GB"/>
        </w:rPr>
      </w:pPr>
      <w:r w:rsidRPr="008B68A9">
        <w:rPr>
          <w:rFonts w:cs="Arial"/>
          <w:szCs w:val="24"/>
          <w:lang w:eastAsia="en-GB"/>
        </w:rPr>
        <w:t>Whether you feel your views were listened to.</w:t>
      </w:r>
    </w:p>
    <w:p w14:paraId="40F3E931" w14:textId="77777777" w:rsidR="008E4573" w:rsidRPr="008B68A9" w:rsidRDefault="008E4573" w:rsidP="008E4573">
      <w:pPr>
        <w:numPr>
          <w:ilvl w:val="0"/>
          <w:numId w:val="20"/>
        </w:numPr>
        <w:spacing w:after="0" w:line="276" w:lineRule="auto"/>
        <w:jc w:val="both"/>
        <w:rPr>
          <w:rFonts w:cs="Arial"/>
          <w:szCs w:val="24"/>
          <w:lang w:eastAsia="en-GB"/>
        </w:rPr>
      </w:pPr>
      <w:r w:rsidRPr="008B68A9">
        <w:rPr>
          <w:rFonts w:cs="Arial"/>
          <w:szCs w:val="24"/>
          <w:lang w:eastAsia="en-GB"/>
        </w:rPr>
        <w:t>Whether the goals you identified, and the ways in which you would have liked to reach those goals, were accurately reflected in your individual support plan.</w:t>
      </w:r>
    </w:p>
    <w:p w14:paraId="6845D4D7" w14:textId="77777777" w:rsidR="008E4573" w:rsidRPr="008B68A9" w:rsidRDefault="008E4573" w:rsidP="008E4573">
      <w:pPr>
        <w:numPr>
          <w:ilvl w:val="0"/>
          <w:numId w:val="20"/>
        </w:numPr>
        <w:spacing w:after="0" w:line="276" w:lineRule="auto"/>
        <w:jc w:val="both"/>
        <w:rPr>
          <w:rFonts w:cs="Arial"/>
          <w:szCs w:val="24"/>
          <w:lang w:eastAsia="en-GB"/>
        </w:rPr>
      </w:pPr>
      <w:r w:rsidRPr="008B68A9">
        <w:rPr>
          <w:rFonts w:cs="Arial"/>
          <w:szCs w:val="24"/>
          <w:lang w:eastAsia="en-GB"/>
        </w:rPr>
        <w:t>What do you think you have learned from writing the support plan and using the individual budget?</w:t>
      </w:r>
    </w:p>
    <w:p w14:paraId="5A03265A" w14:textId="77777777" w:rsidR="008E4573" w:rsidRPr="008B68A9" w:rsidRDefault="008E4573" w:rsidP="008E4573">
      <w:pPr>
        <w:numPr>
          <w:ilvl w:val="0"/>
          <w:numId w:val="20"/>
        </w:numPr>
        <w:spacing w:after="0" w:line="276" w:lineRule="auto"/>
        <w:jc w:val="both"/>
        <w:rPr>
          <w:rFonts w:cs="Arial"/>
          <w:szCs w:val="24"/>
          <w:lang w:eastAsia="en-GB"/>
        </w:rPr>
      </w:pPr>
      <w:r w:rsidRPr="008B68A9">
        <w:rPr>
          <w:rFonts w:cs="Arial"/>
          <w:szCs w:val="24"/>
          <w:lang w:eastAsia="en-GB"/>
        </w:rPr>
        <w:t>What areas do you think you still have to grow in?</w:t>
      </w:r>
    </w:p>
    <w:p w14:paraId="45E33A43" w14:textId="77777777" w:rsidR="008E4573" w:rsidRPr="008B68A9" w:rsidRDefault="008E4573" w:rsidP="008E4573">
      <w:pPr>
        <w:spacing w:after="0" w:line="276" w:lineRule="auto"/>
        <w:ind w:left="360"/>
        <w:jc w:val="both"/>
        <w:rPr>
          <w:rFonts w:cs="Arial"/>
          <w:szCs w:val="24"/>
          <w:lang w:eastAsia="en-GB"/>
        </w:rPr>
      </w:pPr>
    </w:p>
    <w:p w14:paraId="393F07F0" w14:textId="77777777" w:rsidR="008E4573" w:rsidRPr="008B68A9" w:rsidRDefault="008E4573" w:rsidP="008E4573">
      <w:pPr>
        <w:spacing w:after="0" w:line="276" w:lineRule="auto"/>
        <w:jc w:val="both"/>
        <w:rPr>
          <w:rFonts w:cs="Arial"/>
          <w:szCs w:val="24"/>
        </w:rPr>
      </w:pPr>
      <w:r w:rsidRPr="008B68A9">
        <w:rPr>
          <w:rFonts w:cs="Arial"/>
          <w:szCs w:val="24"/>
        </w:rPr>
        <w:t>If you are happy to participate we shall email you asking for you to tell us a little about yourself and tell you what the diaries might look like. We do not think the diaries would take you more than an hour a week, though you might like to tell us more – but this is up to you.</w:t>
      </w:r>
    </w:p>
    <w:p w14:paraId="422055BC" w14:textId="77777777" w:rsidR="008E4573" w:rsidRPr="008B68A9" w:rsidRDefault="008E4573" w:rsidP="008E4573">
      <w:pPr>
        <w:spacing w:after="0" w:line="276" w:lineRule="auto"/>
        <w:jc w:val="both"/>
        <w:rPr>
          <w:rFonts w:cs="Arial"/>
          <w:b/>
          <w:szCs w:val="24"/>
        </w:rPr>
      </w:pPr>
      <w:r w:rsidRPr="008B68A9">
        <w:rPr>
          <w:rFonts w:cs="Arial"/>
          <w:b/>
          <w:szCs w:val="24"/>
        </w:rPr>
        <w:t>Why have you been invited to take part?</w:t>
      </w:r>
    </w:p>
    <w:p w14:paraId="6D85D513" w14:textId="77777777" w:rsidR="008E4573" w:rsidRPr="008B68A9" w:rsidRDefault="008E4573" w:rsidP="008E4573">
      <w:pPr>
        <w:spacing w:after="0" w:line="276" w:lineRule="auto"/>
        <w:jc w:val="both"/>
        <w:rPr>
          <w:rFonts w:cs="Arial"/>
          <w:szCs w:val="24"/>
        </w:rPr>
      </w:pPr>
      <w:r w:rsidRPr="008B68A9">
        <w:rPr>
          <w:rFonts w:cs="Arial"/>
          <w:szCs w:val="24"/>
        </w:rPr>
        <w:t>You have been approached because you are in contact with Mental Health Services and are applying for the individual budget component. This evaluation is initially only open to people using the Early Intervention Team’s service and who have been part of the individual budget process between February 2009 and February 2010, however the project is being expanded to all existing recipients of mental health services.</w:t>
      </w:r>
    </w:p>
    <w:p w14:paraId="424C3A8E" w14:textId="77777777" w:rsidR="008E4573" w:rsidRPr="008B68A9" w:rsidRDefault="008E4573" w:rsidP="008E4573">
      <w:pPr>
        <w:spacing w:after="0" w:line="276" w:lineRule="auto"/>
        <w:jc w:val="both"/>
        <w:rPr>
          <w:rFonts w:cs="Arial"/>
          <w:b/>
          <w:szCs w:val="24"/>
        </w:rPr>
      </w:pPr>
      <w:r w:rsidRPr="008B68A9">
        <w:rPr>
          <w:rFonts w:cs="Arial"/>
          <w:b/>
          <w:szCs w:val="24"/>
        </w:rPr>
        <w:t>Do I have to take part?</w:t>
      </w:r>
    </w:p>
    <w:p w14:paraId="016F2EC9" w14:textId="77777777" w:rsidR="008E4573" w:rsidRPr="008B68A9" w:rsidRDefault="008E4573" w:rsidP="008E4573">
      <w:pPr>
        <w:spacing w:after="0" w:line="276" w:lineRule="auto"/>
        <w:jc w:val="both"/>
        <w:rPr>
          <w:rFonts w:cs="Arial"/>
          <w:szCs w:val="24"/>
        </w:rPr>
      </w:pPr>
      <w:r w:rsidRPr="008B68A9">
        <w:rPr>
          <w:rFonts w:cs="Arial"/>
          <w:szCs w:val="24"/>
        </w:rPr>
        <w:lastRenderedPageBreak/>
        <w:t xml:space="preserve">No, participation within this evaluation is completely voluntary. If you do choose to be a part of the evaluation you will be contacted by an experienced researcher who will provide you with a diary for you to keep your experiences about the individual budgets in. </w:t>
      </w:r>
    </w:p>
    <w:p w14:paraId="2162764A" w14:textId="77777777" w:rsidR="008E4573" w:rsidRPr="008B68A9" w:rsidRDefault="008E4573" w:rsidP="008E4573">
      <w:pPr>
        <w:spacing w:after="0" w:line="276" w:lineRule="auto"/>
        <w:jc w:val="both"/>
        <w:rPr>
          <w:rFonts w:cs="Arial"/>
          <w:b/>
          <w:szCs w:val="24"/>
        </w:rPr>
      </w:pPr>
      <w:r w:rsidRPr="008B68A9">
        <w:rPr>
          <w:rFonts w:cs="Arial"/>
          <w:b/>
          <w:szCs w:val="24"/>
        </w:rPr>
        <w:t>Are there any risks or disadvantages to participating?</w:t>
      </w:r>
    </w:p>
    <w:p w14:paraId="5960C13C" w14:textId="77777777" w:rsidR="008E4573" w:rsidRPr="008B68A9" w:rsidRDefault="008E4573" w:rsidP="008E4573">
      <w:pPr>
        <w:spacing w:after="0" w:line="276" w:lineRule="auto"/>
        <w:jc w:val="both"/>
        <w:rPr>
          <w:rFonts w:cs="Arial"/>
          <w:szCs w:val="24"/>
        </w:rPr>
      </w:pPr>
      <w:r w:rsidRPr="008B68A9">
        <w:rPr>
          <w:rFonts w:cs="Arial"/>
          <w:szCs w:val="24"/>
        </w:rPr>
        <w:t>No, there should be no risks or disadvantages to participating; rather we hope the things we learn will help other services listen better to what people want and to provide more individual services.</w:t>
      </w:r>
    </w:p>
    <w:p w14:paraId="6FE203A8" w14:textId="77777777" w:rsidR="008E4573" w:rsidRPr="008B68A9" w:rsidRDefault="008E4573" w:rsidP="008E4573">
      <w:pPr>
        <w:spacing w:after="0" w:line="276" w:lineRule="auto"/>
        <w:jc w:val="both"/>
        <w:rPr>
          <w:rFonts w:cs="Arial"/>
          <w:b/>
          <w:szCs w:val="24"/>
        </w:rPr>
      </w:pPr>
      <w:r w:rsidRPr="008B68A9">
        <w:rPr>
          <w:rFonts w:cs="Arial"/>
          <w:b/>
          <w:szCs w:val="24"/>
        </w:rPr>
        <w:t>Will the evaluation be confidential and anonymous?</w:t>
      </w:r>
    </w:p>
    <w:p w14:paraId="4CB338EB" w14:textId="77777777" w:rsidR="008E4573" w:rsidRPr="008B68A9" w:rsidRDefault="008E4573" w:rsidP="008E4573">
      <w:pPr>
        <w:pStyle w:val="NormalWeb"/>
        <w:spacing w:after="0" w:line="276" w:lineRule="auto"/>
        <w:jc w:val="both"/>
        <w:rPr>
          <w:rFonts w:asciiTheme="minorHAnsi" w:hAnsiTheme="minorHAnsi" w:cs="Arial"/>
          <w:b/>
        </w:rPr>
      </w:pPr>
      <w:r w:rsidRPr="008B68A9">
        <w:rPr>
          <w:rFonts w:asciiTheme="minorHAnsi" w:hAnsiTheme="minorHAnsi" w:cs="Arial"/>
        </w:rPr>
        <w:t>Yes, the information will be confidential. We will store the diary information at the University. You will not be identifiable in this or any written report. The only time your identity could be disclosed is it meant yours or another persons' safety was at risk. The researcher would talk to you should this happen.</w:t>
      </w:r>
    </w:p>
    <w:p w14:paraId="129B7700" w14:textId="77777777" w:rsidR="008E4573" w:rsidRPr="008B68A9" w:rsidRDefault="008E4573" w:rsidP="008E4573">
      <w:pPr>
        <w:spacing w:after="0" w:line="276" w:lineRule="auto"/>
        <w:jc w:val="both"/>
        <w:rPr>
          <w:rFonts w:cs="Arial"/>
          <w:szCs w:val="24"/>
        </w:rPr>
      </w:pPr>
      <w:r w:rsidRPr="008B68A9">
        <w:rPr>
          <w:rFonts w:cs="Arial"/>
          <w:szCs w:val="24"/>
        </w:rPr>
        <w:t>All data will be stored in accordance with the Data Protection Act and kept within a locked facility within the University, accessible to only the research assistant and lead researcher. All information you provide will be destroyed after 3 years (2012)</w:t>
      </w:r>
    </w:p>
    <w:p w14:paraId="7130F67E" w14:textId="77777777" w:rsidR="008E4573" w:rsidRPr="008B68A9" w:rsidRDefault="008E4573" w:rsidP="008E4573">
      <w:pPr>
        <w:spacing w:after="0" w:line="276" w:lineRule="auto"/>
        <w:jc w:val="both"/>
        <w:rPr>
          <w:rFonts w:cs="Arial"/>
          <w:b/>
          <w:szCs w:val="24"/>
        </w:rPr>
      </w:pPr>
      <w:r w:rsidRPr="008B68A9">
        <w:rPr>
          <w:rFonts w:cs="Arial"/>
          <w:b/>
          <w:szCs w:val="24"/>
        </w:rPr>
        <w:t>What will be the benefit of participating?</w:t>
      </w:r>
    </w:p>
    <w:p w14:paraId="7E6D2227" w14:textId="77777777" w:rsidR="008E4573" w:rsidRPr="008B68A9" w:rsidRDefault="008E4573" w:rsidP="008E4573">
      <w:pPr>
        <w:spacing w:after="0" w:line="276" w:lineRule="auto"/>
        <w:jc w:val="both"/>
        <w:rPr>
          <w:rFonts w:cs="Arial"/>
          <w:szCs w:val="24"/>
        </w:rPr>
      </w:pPr>
      <w:r w:rsidRPr="008B68A9">
        <w:rPr>
          <w:rFonts w:cs="Arial"/>
          <w:szCs w:val="24"/>
        </w:rPr>
        <w:t>We hope that the results of the evaluation will be published and that the lessons learned by services will be shared with a wider audience through conferences. We hope this might help more people use self-directed support more easily and provide the opportunity to get things from mental health services that really help the person.</w:t>
      </w:r>
    </w:p>
    <w:p w14:paraId="3BC41F0A" w14:textId="77777777" w:rsidR="008E4573" w:rsidRPr="008B68A9" w:rsidRDefault="008E4573" w:rsidP="008E4573">
      <w:pPr>
        <w:spacing w:after="0" w:line="276" w:lineRule="auto"/>
        <w:jc w:val="both"/>
        <w:rPr>
          <w:rFonts w:cs="Arial"/>
          <w:b/>
          <w:szCs w:val="24"/>
        </w:rPr>
      </w:pPr>
      <w:r w:rsidRPr="008B68A9">
        <w:rPr>
          <w:rFonts w:cs="Arial"/>
          <w:b/>
          <w:szCs w:val="24"/>
        </w:rPr>
        <w:t>Who is paying for this evaluation?</w:t>
      </w:r>
    </w:p>
    <w:p w14:paraId="6DE7999F" w14:textId="77777777" w:rsidR="008E4573" w:rsidRPr="008B68A9" w:rsidRDefault="008E4573" w:rsidP="008E4573">
      <w:pPr>
        <w:spacing w:after="0" w:line="276" w:lineRule="auto"/>
        <w:jc w:val="both"/>
        <w:rPr>
          <w:rFonts w:cs="Arial"/>
          <w:szCs w:val="24"/>
        </w:rPr>
      </w:pPr>
      <w:r w:rsidRPr="008B68A9">
        <w:rPr>
          <w:rFonts w:cs="Arial"/>
          <w:szCs w:val="24"/>
        </w:rPr>
        <w:t>This evaluation is being funded by Stockport Commissioning and The Centre for Service Improvement Partnership and will run between February 2009 and February 2010.</w:t>
      </w:r>
    </w:p>
    <w:p w14:paraId="68FD648B" w14:textId="77777777" w:rsidR="008E4573" w:rsidRPr="008B68A9" w:rsidRDefault="008E4573" w:rsidP="008E4573">
      <w:pPr>
        <w:spacing w:after="0" w:line="276" w:lineRule="auto"/>
        <w:jc w:val="both"/>
        <w:rPr>
          <w:rFonts w:cs="Arial"/>
          <w:b/>
          <w:szCs w:val="24"/>
        </w:rPr>
      </w:pPr>
      <w:r w:rsidRPr="008B68A9">
        <w:rPr>
          <w:rFonts w:cs="Arial"/>
          <w:b/>
          <w:szCs w:val="24"/>
        </w:rPr>
        <w:t>How can I find out more?</w:t>
      </w:r>
    </w:p>
    <w:p w14:paraId="5C070508" w14:textId="77777777" w:rsidR="008E4573" w:rsidRPr="008B68A9" w:rsidRDefault="008E4573" w:rsidP="008E4573">
      <w:pPr>
        <w:spacing w:after="0" w:line="276" w:lineRule="auto"/>
        <w:jc w:val="both"/>
        <w:rPr>
          <w:rFonts w:cs="Arial"/>
          <w:szCs w:val="24"/>
        </w:rPr>
      </w:pPr>
      <w:r w:rsidRPr="008B68A9">
        <w:rPr>
          <w:rFonts w:cs="Arial"/>
          <w:szCs w:val="24"/>
        </w:rPr>
        <w:t>If you would like more information or have any questions please contact:</w:t>
      </w:r>
    </w:p>
    <w:p w14:paraId="1458EA43" w14:textId="77777777" w:rsidR="008E4573" w:rsidRPr="008B68A9" w:rsidRDefault="008E4573" w:rsidP="008E4573">
      <w:pPr>
        <w:spacing w:after="0" w:line="276" w:lineRule="auto"/>
        <w:jc w:val="both"/>
        <w:rPr>
          <w:rFonts w:cs="Arial"/>
          <w:szCs w:val="24"/>
        </w:rPr>
      </w:pPr>
    </w:p>
    <w:p w14:paraId="321FC476" w14:textId="77777777" w:rsidR="008E4573" w:rsidRPr="008B68A9" w:rsidRDefault="008E4573" w:rsidP="008E4573">
      <w:pPr>
        <w:spacing w:after="0" w:line="276" w:lineRule="auto"/>
        <w:jc w:val="both"/>
        <w:rPr>
          <w:rFonts w:cs="Arial"/>
          <w:szCs w:val="24"/>
        </w:rPr>
      </w:pPr>
      <w:r w:rsidRPr="008B68A9">
        <w:rPr>
          <w:rFonts w:cs="Arial"/>
          <w:szCs w:val="24"/>
        </w:rPr>
        <w:t xml:space="preserve">David Coyle </w:t>
      </w:r>
    </w:p>
    <w:p w14:paraId="07C0BE95" w14:textId="77777777" w:rsidR="008E4573" w:rsidRPr="008B68A9" w:rsidRDefault="008E4573" w:rsidP="008E4573">
      <w:pPr>
        <w:spacing w:after="0" w:line="276" w:lineRule="auto"/>
        <w:jc w:val="both"/>
        <w:rPr>
          <w:rFonts w:cs="Arial"/>
          <w:szCs w:val="24"/>
        </w:rPr>
      </w:pPr>
      <w:r w:rsidRPr="008B68A9">
        <w:rPr>
          <w:rFonts w:cs="Arial"/>
          <w:szCs w:val="24"/>
        </w:rPr>
        <w:t xml:space="preserve">Department of Mental Health and Learning Disability, Faculty of Health and Social Care University of Chester </w:t>
      </w:r>
    </w:p>
    <w:p w14:paraId="085C1A32" w14:textId="77777777" w:rsidR="008E4573" w:rsidRPr="008B68A9" w:rsidRDefault="008E4573" w:rsidP="008E4573">
      <w:pPr>
        <w:spacing w:after="0" w:line="276" w:lineRule="auto"/>
        <w:jc w:val="both"/>
        <w:rPr>
          <w:rFonts w:cs="Arial"/>
          <w:szCs w:val="24"/>
        </w:rPr>
      </w:pPr>
      <w:r w:rsidRPr="008B68A9">
        <w:rPr>
          <w:rFonts w:cs="Arial"/>
          <w:szCs w:val="24"/>
        </w:rPr>
        <w:t>Tel:</w:t>
      </w:r>
      <w:r w:rsidRPr="008B68A9">
        <w:rPr>
          <w:rFonts w:cs="Arial"/>
          <w:szCs w:val="24"/>
        </w:rPr>
        <w:tab/>
      </w:r>
      <w:r w:rsidRPr="008B68A9">
        <w:rPr>
          <w:rFonts w:cs="Arial"/>
          <w:szCs w:val="24"/>
        </w:rPr>
        <w:tab/>
        <w:t>01244 511652</w:t>
      </w:r>
    </w:p>
    <w:p w14:paraId="5065AF41" w14:textId="77777777" w:rsidR="008E4573" w:rsidRPr="008B68A9" w:rsidRDefault="008E4573" w:rsidP="008E4573">
      <w:pPr>
        <w:spacing w:after="0" w:line="276" w:lineRule="auto"/>
        <w:jc w:val="both"/>
        <w:rPr>
          <w:rFonts w:cs="Arial"/>
          <w:szCs w:val="24"/>
        </w:rPr>
      </w:pPr>
      <w:r w:rsidRPr="008B68A9">
        <w:rPr>
          <w:rFonts w:cs="Arial"/>
          <w:szCs w:val="24"/>
        </w:rPr>
        <w:t>e-mail:</w:t>
      </w:r>
      <w:r w:rsidRPr="008B68A9">
        <w:rPr>
          <w:rFonts w:cs="Arial"/>
          <w:szCs w:val="24"/>
        </w:rPr>
        <w:tab/>
        <w:t>d.coyle@chester.ac.uk</w:t>
      </w:r>
    </w:p>
    <w:p w14:paraId="68012834" w14:textId="77777777" w:rsidR="008E4573" w:rsidRPr="008B68A9" w:rsidRDefault="008E4573" w:rsidP="008E4573">
      <w:pPr>
        <w:spacing w:after="0" w:line="276" w:lineRule="auto"/>
        <w:jc w:val="both"/>
        <w:rPr>
          <w:rFonts w:cs="Arial"/>
          <w:szCs w:val="24"/>
        </w:rPr>
      </w:pPr>
      <w:r w:rsidRPr="008B68A9">
        <w:rPr>
          <w:rFonts w:cs="Arial"/>
          <w:szCs w:val="24"/>
        </w:rPr>
        <w:t>Should you wish to complain please contact:</w:t>
      </w:r>
    </w:p>
    <w:p w14:paraId="0F7039B2" w14:textId="77777777" w:rsidR="008E4573" w:rsidRPr="008B68A9" w:rsidRDefault="008E4573" w:rsidP="008E4573">
      <w:pPr>
        <w:spacing w:after="0" w:line="276" w:lineRule="auto"/>
        <w:jc w:val="both"/>
        <w:rPr>
          <w:rFonts w:cs="Arial"/>
          <w:szCs w:val="24"/>
        </w:rPr>
      </w:pPr>
      <w:r w:rsidRPr="008B68A9">
        <w:rPr>
          <w:rFonts w:cs="Arial"/>
          <w:szCs w:val="24"/>
        </w:rPr>
        <w:t>Professor Mike Thomas</w:t>
      </w:r>
    </w:p>
    <w:p w14:paraId="5F621D3B" w14:textId="77777777" w:rsidR="008E4573" w:rsidRPr="008B68A9" w:rsidRDefault="008E4573" w:rsidP="008E4573">
      <w:pPr>
        <w:spacing w:after="0" w:line="276" w:lineRule="auto"/>
        <w:jc w:val="both"/>
        <w:rPr>
          <w:rFonts w:cs="Arial"/>
          <w:szCs w:val="24"/>
        </w:rPr>
      </w:pPr>
      <w:r w:rsidRPr="008B68A9">
        <w:rPr>
          <w:rFonts w:cs="Arial"/>
          <w:szCs w:val="24"/>
        </w:rPr>
        <w:t>Dean Faculty of Health and Social Care University of Chester</w:t>
      </w:r>
    </w:p>
    <w:p w14:paraId="520849C8" w14:textId="77777777" w:rsidR="008E4573" w:rsidRPr="008B68A9" w:rsidRDefault="008E4573" w:rsidP="008E4573">
      <w:pPr>
        <w:spacing w:after="0" w:line="276" w:lineRule="auto"/>
        <w:jc w:val="both"/>
        <w:rPr>
          <w:rFonts w:cs="Arial"/>
          <w:szCs w:val="24"/>
        </w:rPr>
      </w:pPr>
      <w:r w:rsidRPr="008B68A9">
        <w:rPr>
          <w:rFonts w:cs="Arial"/>
          <w:szCs w:val="24"/>
        </w:rPr>
        <w:t xml:space="preserve">Tel: 01244 513380 </w:t>
      </w:r>
    </w:p>
    <w:p w14:paraId="23036655" w14:textId="77777777" w:rsidR="008E4573" w:rsidRPr="008B68A9" w:rsidRDefault="008E4573" w:rsidP="008E4573">
      <w:pPr>
        <w:spacing w:after="0" w:line="276" w:lineRule="auto"/>
        <w:jc w:val="both"/>
        <w:rPr>
          <w:rFonts w:cs="Arial"/>
          <w:szCs w:val="24"/>
        </w:rPr>
      </w:pPr>
      <w:r w:rsidRPr="008B68A9">
        <w:rPr>
          <w:rFonts w:cs="Arial"/>
          <w:szCs w:val="24"/>
        </w:rPr>
        <w:t>Email: m.thomas@chester.ac.uk</w:t>
      </w:r>
    </w:p>
    <w:p w14:paraId="54799B33" w14:textId="77777777" w:rsidR="008E4573" w:rsidRPr="008B68A9" w:rsidRDefault="008E4573" w:rsidP="008E4573">
      <w:pPr>
        <w:spacing w:after="0" w:line="276" w:lineRule="auto"/>
        <w:jc w:val="both"/>
        <w:rPr>
          <w:rFonts w:cs="Arial"/>
          <w:szCs w:val="24"/>
        </w:rPr>
      </w:pPr>
      <w:r w:rsidRPr="008B68A9">
        <w:rPr>
          <w:rFonts w:cs="Arial"/>
          <w:szCs w:val="24"/>
        </w:rPr>
        <w:t>Thank you for your interest in this evaluation</w:t>
      </w:r>
      <w:r w:rsidRPr="008B68A9">
        <w:rPr>
          <w:rFonts w:cs="Arial"/>
          <w:szCs w:val="24"/>
        </w:rPr>
        <w:br w:type="page"/>
      </w:r>
    </w:p>
    <w:p w14:paraId="5843E8F0" w14:textId="77777777" w:rsidR="008E4573" w:rsidRPr="008B68A9" w:rsidRDefault="008E4573" w:rsidP="008E4573">
      <w:pPr>
        <w:pStyle w:val="2L2header"/>
      </w:pPr>
      <w:bookmarkStart w:id="448" w:name="_Toc451185544"/>
      <w:bookmarkStart w:id="449" w:name="_Toc413607912"/>
      <w:bookmarkStart w:id="450" w:name="_Toc413827546"/>
      <w:bookmarkStart w:id="451" w:name="_Toc466800426"/>
      <w:r w:rsidRPr="008B68A9">
        <w:lastRenderedPageBreak/>
        <w:t>Appendix 6: Example participant consent form</w:t>
      </w:r>
      <w:bookmarkEnd w:id="448"/>
      <w:bookmarkEnd w:id="449"/>
      <w:bookmarkEnd w:id="450"/>
      <w:bookmarkEnd w:id="451"/>
    </w:p>
    <w:p w14:paraId="404C313B" w14:textId="77777777" w:rsidR="008E4573" w:rsidRPr="008B68A9" w:rsidRDefault="008E4573" w:rsidP="008E4573">
      <w:pPr>
        <w:spacing w:after="0" w:line="276" w:lineRule="auto"/>
        <w:jc w:val="center"/>
        <w:rPr>
          <w:rFonts w:cs="Arial"/>
          <w:sz w:val="32"/>
          <w:szCs w:val="32"/>
        </w:rPr>
      </w:pPr>
      <w:r w:rsidRPr="008B68A9">
        <w:rPr>
          <w:rFonts w:cs="Arial"/>
          <w:sz w:val="32"/>
          <w:szCs w:val="32"/>
        </w:rPr>
        <w:t>Consent form</w:t>
      </w:r>
    </w:p>
    <w:p w14:paraId="46096971" w14:textId="77777777" w:rsidR="008E4573" w:rsidRPr="008B68A9" w:rsidRDefault="008E4573" w:rsidP="008E4573">
      <w:pPr>
        <w:spacing w:after="0" w:line="276" w:lineRule="auto"/>
        <w:jc w:val="both"/>
        <w:rPr>
          <w:rFonts w:cs="Arial"/>
          <w:szCs w:val="24"/>
        </w:rPr>
      </w:pPr>
    </w:p>
    <w:p w14:paraId="721EF90D" w14:textId="77777777" w:rsidR="008E4573" w:rsidRPr="008B68A9" w:rsidRDefault="008E4573" w:rsidP="008E4573">
      <w:pPr>
        <w:spacing w:after="0" w:line="276" w:lineRule="auto"/>
        <w:jc w:val="both"/>
        <w:rPr>
          <w:rFonts w:cs="Arial"/>
          <w:szCs w:val="24"/>
        </w:rPr>
      </w:pPr>
      <w:r w:rsidRPr="008B68A9">
        <w:rPr>
          <w:rFonts w:cs="Arial"/>
          <w:szCs w:val="24"/>
        </w:rPr>
        <w:t>Title of Project:  Personalised budgets for substance misusers in site 4: a pilot study</w:t>
      </w:r>
    </w:p>
    <w:p w14:paraId="2945623B" w14:textId="77777777" w:rsidR="008E4573" w:rsidRPr="008B68A9" w:rsidRDefault="008E4573" w:rsidP="008E4573">
      <w:pPr>
        <w:spacing w:after="0" w:line="276" w:lineRule="auto"/>
        <w:jc w:val="both"/>
        <w:rPr>
          <w:rFonts w:cs="Arial"/>
          <w:szCs w:val="24"/>
        </w:rPr>
      </w:pPr>
      <w:r w:rsidRPr="008B68A9">
        <w:rPr>
          <w:rFonts w:cs="Arial"/>
          <w:szCs w:val="24"/>
        </w:rPr>
        <w:t>Name of Researcher</w:t>
      </w:r>
      <w:r w:rsidRPr="008B68A9">
        <w:rPr>
          <w:rFonts w:cs="Arial"/>
          <w:b/>
          <w:szCs w:val="24"/>
        </w:rPr>
        <w:t xml:space="preserve">: </w:t>
      </w:r>
      <w:r w:rsidRPr="008B68A9">
        <w:rPr>
          <w:rFonts w:cs="Arial"/>
          <w:szCs w:val="24"/>
        </w:rPr>
        <w:t xml:space="preserve">David Coyle </w:t>
      </w:r>
    </w:p>
    <w:p w14:paraId="65D64AAC" w14:textId="77777777" w:rsidR="008E4573" w:rsidRPr="008B68A9" w:rsidRDefault="008E4573" w:rsidP="008E4573">
      <w:pPr>
        <w:spacing w:after="0" w:line="276" w:lineRule="auto"/>
        <w:jc w:val="both"/>
        <w:rPr>
          <w:rFonts w:cs="Arial"/>
          <w:b/>
          <w:szCs w:val="24"/>
        </w:rPr>
      </w:pPr>
      <w:r w:rsidRPr="008B68A9">
        <w:rPr>
          <w:rFonts w:cs="Arial"/>
          <w:szCs w:val="24"/>
        </w:rPr>
        <w:t>Senior Lecturer: Faculty of Health and Social Care; University of Chester</w:t>
      </w:r>
    </w:p>
    <w:p w14:paraId="68FB8F22" w14:textId="77777777" w:rsidR="008E4573" w:rsidRPr="008B68A9" w:rsidRDefault="008E4573" w:rsidP="008E4573">
      <w:pPr>
        <w:spacing w:after="0" w:line="276" w:lineRule="auto"/>
        <w:jc w:val="both"/>
        <w:rPr>
          <w:rFonts w:cs="Arial"/>
          <w:szCs w:val="24"/>
        </w:rPr>
      </w:pPr>
      <w:r w:rsidRPr="008B68A9">
        <w:rPr>
          <w:rFonts w:cs="Arial"/>
          <w:szCs w:val="24"/>
        </w:rPr>
        <w:t>Research assistant: [name of research assistant]</w:t>
      </w:r>
    </w:p>
    <w:p w14:paraId="15AF05B6" w14:textId="77777777" w:rsidR="008E4573" w:rsidRPr="008B68A9" w:rsidRDefault="008E4573" w:rsidP="008E4573">
      <w:pPr>
        <w:spacing w:after="0" w:line="276" w:lineRule="auto"/>
        <w:jc w:val="both"/>
        <w:rPr>
          <w:rFonts w:cs="Arial"/>
          <w:szCs w:val="24"/>
        </w:rPr>
      </w:pPr>
      <w:r w:rsidRPr="008B68A9">
        <w:rPr>
          <w:rFonts w:cs="Arial"/>
          <w:szCs w:val="24"/>
        </w:rPr>
        <w:t>Faculty of Health and Social Care; University of Chester</w:t>
      </w:r>
    </w:p>
    <w:p w14:paraId="767AE258" w14:textId="77777777" w:rsidR="008E4573" w:rsidRPr="008B68A9" w:rsidRDefault="008E4573" w:rsidP="008E4573">
      <w:pPr>
        <w:spacing w:after="0" w:line="276" w:lineRule="auto"/>
        <w:jc w:val="both"/>
        <w:rPr>
          <w:szCs w:val="24"/>
        </w:rPr>
      </w:pPr>
      <w:r w:rsidRPr="008B68A9">
        <w:rPr>
          <w:szCs w:val="24"/>
        </w:rPr>
        <w:t>Please initial box</w:t>
      </w:r>
    </w:p>
    <w:p w14:paraId="634A31E4" w14:textId="77777777" w:rsidR="008E4573" w:rsidRPr="008B68A9" w:rsidRDefault="008E4573" w:rsidP="008E4573">
      <w:pPr>
        <w:numPr>
          <w:ilvl w:val="0"/>
          <w:numId w:val="22"/>
        </w:numPr>
        <w:spacing w:after="0" w:line="276" w:lineRule="auto"/>
        <w:jc w:val="both"/>
        <w:rPr>
          <w:rFonts w:cs="Arial"/>
          <w:szCs w:val="24"/>
        </w:rPr>
      </w:pPr>
      <w:r w:rsidRPr="008B68A9">
        <w:rPr>
          <w:noProof/>
          <w:szCs w:val="24"/>
          <w:lang w:eastAsia="en-GB"/>
        </w:rPr>
        <mc:AlternateContent>
          <mc:Choice Requires="wps">
            <w:drawing>
              <wp:anchor distT="0" distB="0" distL="114300" distR="114300" simplePos="0" relativeHeight="251720192" behindDoc="0" locked="0" layoutInCell="0" allowOverlap="1" wp14:anchorId="4E7BE12C" wp14:editId="017A2769">
                <wp:simplePos x="0" y="0"/>
                <wp:positionH relativeFrom="column">
                  <wp:posOffset>5001895</wp:posOffset>
                </wp:positionH>
                <wp:positionV relativeFrom="paragraph">
                  <wp:posOffset>262890</wp:posOffset>
                </wp:positionV>
                <wp:extent cx="304800" cy="304800"/>
                <wp:effectExtent l="0" t="0" r="19050" b="1905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txbx>
                        <w:txbxContent>
                          <w:p w14:paraId="2201A9B1" w14:textId="77777777" w:rsidR="00330D5F" w:rsidRDefault="00330D5F" w:rsidP="008E457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BE12C" id="Rectangle 21" o:spid="_x0000_s1082" style="position:absolute;left:0;text-align:left;margin-left:393.85pt;margin-top:20.7pt;width:24pt;height:24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KNWKQIAAFAEAAAOAAAAZHJzL2Uyb0RvYy54bWysVFFv0zAQfkfiP1h+p0m7dmxR02nqKEIa&#10;MDH4AY7jJBa2z5zdpuPX7+K0pQOeEHmwfL7z5+++u8vyZm8N2ykMGlzJp5OcM+Uk1Nq1Jf/2dfPm&#10;irMQhauFAadK/qQCv1m9frXsfaFm0IGpFTICcaHofcm7GH2RZUF2yoowAa8cORtAKyKZ2GY1ip7Q&#10;rclmeX6Z9YC1R5AqBDq9G518lfCbRsn4uWmCisyUnLjFtGJaq2HNVktRtCh8p+WBhvgHFlZoR4+e&#10;oO5EFGyL+g8oqyVCgCZOJNgMmkZLlXKgbKb5b9k8dsKrlAuJE/xJpvD/YOWn3QMyXZd8NuXMCUs1&#10;+kKqCdcaxeiMBOp9KCju0T/gkGLw9yC/B+Zg3VGYukWEvlOiJlopPntxYTACXWVV/xFqghfbCEmr&#10;fYN2ACQV2D6V5OlUErWPTNLhRT6/yqlwklyHPTHKRHG87DHE9wosGzYlR+KewMXuPsQx9BiSyIPR&#10;9UYbkwxsq7VBthPUHZv0DfkSejgPM471Jb9ezBYJ+YUvnEPk6fsbhNWR2txoW3JKh76x8QbV3rma&#10;3hRFFNqMe3rfOKJxVG6sQNxX+1Soi8tjUSqon0hYhLGtaQxp0wH+5Kynli55+LEVqDgzHxwV53o6&#10;nw8zkIz54u2MDDz3VOce4SRBlTxyNm7XcZybrUfddvTSNMnh4JYK2ugk9kB5ZHXgT22bBD2M2DAX&#10;53aK+vUjWD0DAAD//wMAUEsDBBQABgAIAAAAIQBqLR0O3gAAAAkBAAAPAAAAZHJzL2Rvd25yZXYu&#10;eG1sTI9NT4NAEIbvJv6HzZh4s0tbFIosjdHUxGNLL94WdgSUnSXs0qK/3vFUb/Px5J1n8u1se3HC&#10;0XeOFCwXEQik2pmOGgXHcneXgvBBk9G9I1TwjR62xfVVrjPjzrTH0yE0gkPIZ1pBG8KQSenrFq32&#10;Czcg8e7DjVYHbsdGmlGfOdz2chVFD9LqjvhCqwd8brH+OkxWQdWtjvpnX75GdrNbh7e5/JzeX5S6&#10;vZmfHkEEnMMFhj99VoeCnSo3kfGiV5CkScKogngZg2AgXd/zoOJiE4Mscvn/g+IXAAD//wMAUEsB&#10;Ai0AFAAGAAgAAAAhALaDOJL+AAAA4QEAABMAAAAAAAAAAAAAAAAAAAAAAFtDb250ZW50X1R5cGVz&#10;XS54bWxQSwECLQAUAAYACAAAACEAOP0h/9YAAACUAQAACwAAAAAAAAAAAAAAAAAvAQAAX3JlbHMv&#10;LnJlbHNQSwECLQAUAAYACAAAACEAQayjVikCAABQBAAADgAAAAAAAAAAAAAAAAAuAgAAZHJzL2Uy&#10;b0RvYy54bWxQSwECLQAUAAYACAAAACEAai0dDt4AAAAJAQAADwAAAAAAAAAAAAAAAACDBAAAZHJz&#10;L2Rvd25yZXYueG1sUEsFBgAAAAAEAAQA8wAAAI4FAAAAAA==&#10;" o:allowincell="f">
                <v:textbox>
                  <w:txbxContent>
                    <w:p w14:paraId="2201A9B1" w14:textId="77777777" w:rsidR="00330D5F" w:rsidRDefault="00330D5F" w:rsidP="008E4573">
                      <w:pPr>
                        <w:jc w:val="center"/>
                      </w:pPr>
                    </w:p>
                  </w:txbxContent>
                </v:textbox>
              </v:rect>
            </w:pict>
          </mc:Fallback>
        </mc:AlternateContent>
      </w:r>
      <w:r w:rsidRPr="008B68A9">
        <w:rPr>
          <w:rFonts w:cs="Arial"/>
          <w:szCs w:val="24"/>
        </w:rPr>
        <w:t>I confirm that I have read and understand the information sheet for the above study and have had the opportunity to ask questions.</w:t>
      </w:r>
    </w:p>
    <w:p w14:paraId="3068F5A2" w14:textId="77777777" w:rsidR="008E4573" w:rsidRPr="008B68A9" w:rsidRDefault="008E4573" w:rsidP="008E4573">
      <w:pPr>
        <w:spacing w:after="0" w:line="276" w:lineRule="auto"/>
        <w:ind w:left="360"/>
        <w:jc w:val="both"/>
        <w:rPr>
          <w:rFonts w:cs="Arial"/>
          <w:szCs w:val="24"/>
        </w:rPr>
      </w:pPr>
    </w:p>
    <w:p w14:paraId="45A420B7" w14:textId="77777777" w:rsidR="008E4573" w:rsidRPr="008B68A9" w:rsidRDefault="008E4573" w:rsidP="008E4573">
      <w:pPr>
        <w:spacing w:after="0" w:line="276" w:lineRule="auto"/>
        <w:ind w:left="360"/>
        <w:jc w:val="both"/>
        <w:rPr>
          <w:rFonts w:cs="Arial"/>
          <w:szCs w:val="24"/>
        </w:rPr>
      </w:pPr>
    </w:p>
    <w:p w14:paraId="4487F6A7" w14:textId="77777777" w:rsidR="008E4573" w:rsidRPr="008B68A9" w:rsidRDefault="008E4573" w:rsidP="008E4573">
      <w:pPr>
        <w:numPr>
          <w:ilvl w:val="0"/>
          <w:numId w:val="21"/>
        </w:numPr>
        <w:spacing w:after="0" w:line="276" w:lineRule="auto"/>
        <w:jc w:val="both"/>
        <w:rPr>
          <w:rFonts w:cs="Arial"/>
          <w:szCs w:val="24"/>
        </w:rPr>
      </w:pPr>
      <w:r w:rsidRPr="008B68A9">
        <w:rPr>
          <w:rFonts w:cs="Arial"/>
          <w:szCs w:val="24"/>
        </w:rPr>
        <w:t>I understand that my participation is voluntary and that I am free to withdraw at any time, without giving any reason or legal rights being affected.</w:t>
      </w:r>
    </w:p>
    <w:p w14:paraId="2F0E4D45" w14:textId="77777777" w:rsidR="008E4573" w:rsidRPr="008B68A9" w:rsidRDefault="008E4573" w:rsidP="008E4573">
      <w:pPr>
        <w:spacing w:after="0" w:line="276" w:lineRule="auto"/>
        <w:ind w:left="360"/>
        <w:jc w:val="both"/>
        <w:rPr>
          <w:rFonts w:cs="Arial"/>
          <w:szCs w:val="24"/>
        </w:rPr>
      </w:pPr>
      <w:r w:rsidRPr="008B68A9">
        <w:rPr>
          <w:rFonts w:cs="Arial"/>
          <w:noProof/>
          <w:szCs w:val="24"/>
          <w:lang w:eastAsia="en-GB"/>
        </w:rPr>
        <mc:AlternateContent>
          <mc:Choice Requires="wps">
            <w:drawing>
              <wp:anchor distT="0" distB="0" distL="114300" distR="114300" simplePos="0" relativeHeight="251721216" behindDoc="0" locked="0" layoutInCell="0" allowOverlap="1" wp14:anchorId="46469321" wp14:editId="1C87245F">
                <wp:simplePos x="0" y="0"/>
                <wp:positionH relativeFrom="rightMargin">
                  <wp:posOffset>-365760</wp:posOffset>
                </wp:positionH>
                <wp:positionV relativeFrom="paragraph">
                  <wp:posOffset>20955</wp:posOffset>
                </wp:positionV>
                <wp:extent cx="304800" cy="304800"/>
                <wp:effectExtent l="0" t="0" r="19050"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txbx>
                        <w:txbxContent>
                          <w:p w14:paraId="537695FA" w14:textId="77777777" w:rsidR="00330D5F" w:rsidRDefault="00330D5F" w:rsidP="008E457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469321" id="Rectangle 14" o:spid="_x0000_s1083" style="position:absolute;left:0;text-align:left;margin-left:-28.8pt;margin-top:1.65pt;width:24pt;height:24pt;z-index:25172121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UdDKAIAAFAEAAAOAAAAZHJzL2Uyb0RvYy54bWysVFFv0zAQfkfiP1h+p0m7lm1R02nqKEIa&#10;MDH4AY7jJBaOz5zdpuXXc3a6rgOeEHmw7nznz3ff58vyZt8btlPoNdiSTyc5Z8pKqLVtS/7t6+bN&#10;FWc+CFsLA1aV/KA8v1m9frUcXKFm0IGpFTICsb4YXMm7EFyRZV52qhd+Ak5ZCjaAvQjkYpvVKAZC&#10;7002y/O32QBYOwSpvKfduzHIVwm/aZQMn5vGq8BMyam2kFZMaxXXbLUURYvCdVoeyxD/UEUvtKVL&#10;T1B3Igi2Rf0HVK8lgocmTCT0GTSNlir1QN1M89+6eeyEU6kXIse7E03+/8HKT7sHZLom7eacWdGT&#10;Rl+INWFboxjtEUGD8wXlPboHjC16dw/yu2cW1h2lqVtEGDolaiprGvOzFwei4+koq4aPUBO82AZI&#10;XO0b7CMgscD2SZLDSRK1D0zS5kU+v8pJOEmhox1vEMXTYYc+vFfQs2iUHKn2BC529z6MqU8pqXgw&#10;ut5oY5KDbbU2yHaCXscmfal+6vE8zVg2lPx6MVsk5Bcxfw6Rp+9vEL0O9MyN7ktO7dAXk0QRWXtn&#10;62QHoc1oU3fGHmmMzI0KhH21T0JdXMbDkdYK6gMRizA+axpDMjrAn5wN9KRL7n9sBSrOzAdL4lxP&#10;5/M4A8mZLy5n5OB5pDqPCCsJquSBs9Fch3Futg5129FN00SHhVsStNGJ7OeqjvXTs01yHUcszsW5&#10;n7KefwSrXwAAAP//AwBQSwMEFAAGAAgAAAAhAM5SkqHcAAAABwEAAA8AAABkcnMvZG93bnJldi54&#10;bWxMjkFPg0AQhe8m/ofNmHijS0taLbI0RlMTjy29eBtgBJSdJezSor/e8aTHl/fyvS/bzbZXZxp9&#10;59jAchGDIq5c3XFj4FTso3tQPiDX2DsmA1/kYZdfX2WY1u7CBzofQ6MEwj5FA20IQ6q1r1qy6Bdu&#10;IJbu3Y0Wg8Sx0fWIF4HbXq/ieKMtdiwPLQ701FL1eZysgbJbnfD7ULzEdrtPwutcfExvz8bc3syP&#10;D6ACzeFvDL/6og65OJVu4tqr3kC0vtvI1ECSgJI+2kosDayXCeg80//98x8AAAD//wMAUEsBAi0A&#10;FAAGAAgAAAAhALaDOJL+AAAA4QEAABMAAAAAAAAAAAAAAAAAAAAAAFtDb250ZW50X1R5cGVzXS54&#10;bWxQSwECLQAUAAYACAAAACEAOP0h/9YAAACUAQAACwAAAAAAAAAAAAAAAAAvAQAAX3JlbHMvLnJl&#10;bHNQSwECLQAUAAYACAAAACEAtz1HQygCAABQBAAADgAAAAAAAAAAAAAAAAAuAgAAZHJzL2Uyb0Rv&#10;Yy54bWxQSwECLQAUAAYACAAAACEAzlKSodwAAAAHAQAADwAAAAAAAAAAAAAAAACCBAAAZHJzL2Rv&#10;d25yZXYueG1sUEsFBgAAAAAEAAQA8wAAAIsFAAAAAA==&#10;" o:allowincell="f">
                <v:textbox>
                  <w:txbxContent>
                    <w:p w14:paraId="537695FA" w14:textId="77777777" w:rsidR="00330D5F" w:rsidRDefault="00330D5F" w:rsidP="008E4573">
                      <w:pPr>
                        <w:jc w:val="center"/>
                      </w:pPr>
                    </w:p>
                  </w:txbxContent>
                </v:textbox>
                <w10:wrap anchorx="margin"/>
              </v:rect>
            </w:pict>
          </mc:Fallback>
        </mc:AlternateContent>
      </w:r>
    </w:p>
    <w:p w14:paraId="52B7196C" w14:textId="77777777" w:rsidR="008E4573" w:rsidRPr="008B68A9" w:rsidRDefault="008E4573" w:rsidP="008E4573">
      <w:pPr>
        <w:spacing w:after="0" w:line="276" w:lineRule="auto"/>
        <w:ind w:left="360"/>
        <w:jc w:val="both"/>
        <w:rPr>
          <w:rFonts w:cs="Arial"/>
          <w:szCs w:val="24"/>
        </w:rPr>
      </w:pPr>
    </w:p>
    <w:p w14:paraId="55571767" w14:textId="77777777" w:rsidR="008E4573" w:rsidRPr="008B68A9" w:rsidRDefault="008E4573" w:rsidP="008E4573">
      <w:pPr>
        <w:spacing w:after="0" w:line="276" w:lineRule="auto"/>
        <w:ind w:left="360"/>
        <w:jc w:val="both"/>
        <w:rPr>
          <w:rFonts w:cs="Arial"/>
          <w:szCs w:val="24"/>
        </w:rPr>
      </w:pPr>
      <w:r w:rsidRPr="008B68A9">
        <w:rPr>
          <w:rFonts w:cs="Arial"/>
          <w:noProof/>
          <w:szCs w:val="24"/>
          <w:lang w:eastAsia="en-GB"/>
        </w:rPr>
        <mc:AlternateContent>
          <mc:Choice Requires="wps">
            <w:drawing>
              <wp:anchor distT="0" distB="0" distL="114300" distR="114300" simplePos="0" relativeHeight="251722240" behindDoc="0" locked="0" layoutInCell="0" allowOverlap="1" wp14:anchorId="078B051D" wp14:editId="7B4FF0A4">
                <wp:simplePos x="0" y="0"/>
                <wp:positionH relativeFrom="margin">
                  <wp:align>right</wp:align>
                </wp:positionH>
                <wp:positionV relativeFrom="paragraph">
                  <wp:posOffset>687705</wp:posOffset>
                </wp:positionV>
                <wp:extent cx="304800" cy="3048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304800"/>
                        </a:xfrm>
                        <a:prstGeom prst="rect">
                          <a:avLst/>
                        </a:prstGeom>
                        <a:solidFill>
                          <a:srgbClr val="FFFFFF"/>
                        </a:solidFill>
                        <a:ln w="9525">
                          <a:solidFill>
                            <a:srgbClr val="000000"/>
                          </a:solidFill>
                          <a:miter lim="800000"/>
                          <a:headEnd/>
                          <a:tailEnd/>
                        </a:ln>
                      </wps:spPr>
                      <wps:txbx>
                        <w:txbxContent>
                          <w:p w14:paraId="3249BF00" w14:textId="77777777" w:rsidR="00330D5F" w:rsidRDefault="00330D5F" w:rsidP="008E4573">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8B051D" id="Rectangle 8" o:spid="_x0000_s1084" style="position:absolute;left:0;text-align:left;margin-left:-27.2pt;margin-top:54.15pt;width:24pt;height:24pt;z-index:251722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brWJQIAAE4EAAAOAAAAZHJzL2Uyb0RvYy54bWysVMGO0zAQvSPxD5bvNGm3hW7UdLXqUoS0&#10;wIqFD3AcJ7FwPGbsNi1fz9jpli5wQuRgeTzj55n3ZrK6OfSG7RV6Dbbk00nOmbISam3bkn/9sn21&#10;5MwHYWthwKqSH5XnN+uXL1aDK9QMOjC1QkYg1heDK3kXgiuyzMtO9cJPwClLzgawF4FMbLMaxUDo&#10;vclmef46GwBrhyCV93R6Nzr5OuE3jZLhU9N4FZgpOeUW0oppreKarVeiaFG4TstTGuIfsuiFtvTo&#10;GepOBMF2qP+A6rVE8NCEiYQ+g6bRUqUaqJpp/ls1j51wKtVC5Hh3psn/P1j5cf+ATNclJ6Gs6Emi&#10;z0SasK1RbBnpGZwvKOrRPWAs0Lt7kN88s7DpKErdIsLQKVFTUtMYnz27EA1PV1k1fICa0MUuQGLq&#10;0GAfAYkDdkiCHM+CqENgkg6v8vkyJ9kkuU77+IIoni479OGdgp7FTcmRUk/gYn/vwxj6FJKSB6Pr&#10;rTYmGdhWG4NsL6g3tulL+VONl2HGsqHk14vZIiE/8/lLiDx9f4PodaAmN7onls9BooisvbU1pSmK&#10;ILQZ91SdsScaI3OjAuFQHZJMV2dRKqiPRCzC2NQ0hLTpAH9wNlBDl9x/3wlUnJn3lsS5ns7ncQKS&#10;MV+8mZGBl57q0iOsJKiSB87G7SaMU7NzqNuOXpomOizckqCNTmRHscesTvlT0ya5TgMWp+LSTlG/&#10;fgPrnwAAAP//AwBQSwMEFAAGAAgAAAAhAM4/nQbbAAAABwEAAA8AAABkcnMvZG93bnJldi54bWxM&#10;j8FOwzAMhu9IvENkJG4sYYWpdE0nBBoSx627cEsb03Y0TtWkW+HpMadx9Pdbvz/nm9n14oRj6Dxp&#10;uF8oEEi1tx01Gg7l9i4FEaIha3pPqOEbA2yK66vcZNafaYenfWwEl1DIjIY2xiGTMtQtOhMWfkDi&#10;7NOPzkQex0ba0Zy53PVyqdRKOtMRX2jNgC8t1l/7yWmouuXB/OzKN+Wetkl8n8vj9PGq9e3N/LwG&#10;EXGOl2X402d1KNip8hPZIHoN/EhkqtIEBMcPKYOKweMqAVnk8r9/8QsAAP//AwBQSwECLQAUAAYA&#10;CAAAACEAtoM4kv4AAADhAQAAEwAAAAAAAAAAAAAAAAAAAAAAW0NvbnRlbnRfVHlwZXNdLnhtbFBL&#10;AQItABQABgAIAAAAIQA4/SH/1gAAAJQBAAALAAAAAAAAAAAAAAAAAC8BAABfcmVscy8ucmVsc1BL&#10;AQItABQABgAIAAAAIQBXgbrWJQIAAE4EAAAOAAAAAAAAAAAAAAAAAC4CAABkcnMvZTJvRG9jLnht&#10;bFBLAQItABQABgAIAAAAIQDOP50G2wAAAAcBAAAPAAAAAAAAAAAAAAAAAH8EAABkcnMvZG93bnJl&#10;di54bWxQSwUGAAAAAAQABADzAAAAhwUAAAAA&#10;" o:allowincell="f">
                <v:textbox>
                  <w:txbxContent>
                    <w:p w14:paraId="3249BF00" w14:textId="77777777" w:rsidR="00330D5F" w:rsidRDefault="00330D5F" w:rsidP="008E4573">
                      <w:pPr>
                        <w:jc w:val="center"/>
                      </w:pPr>
                    </w:p>
                  </w:txbxContent>
                </v:textbox>
                <w10:wrap anchorx="margin"/>
              </v:rect>
            </w:pict>
          </mc:Fallback>
        </mc:AlternateContent>
      </w:r>
      <w:r w:rsidRPr="008B68A9">
        <w:rPr>
          <w:rFonts w:cs="Arial"/>
          <w:szCs w:val="24"/>
          <w:lang w:val="en-US"/>
        </w:rPr>
        <w:t>I agree that the University of Chester can use the information I give (apart from my personal details) to determine how well support is working locally, and to share the information with</w:t>
      </w:r>
      <w:r w:rsidRPr="008B68A9">
        <w:rPr>
          <w:rFonts w:cs="Arial"/>
          <w:szCs w:val="24"/>
        </w:rPr>
        <w:t xml:space="preserve"> </w:t>
      </w:r>
      <w:r w:rsidRPr="008B68A9">
        <w:rPr>
          <w:rFonts w:cs="Arial"/>
          <w:szCs w:val="24"/>
          <w:lang w:val="en-US"/>
        </w:rPr>
        <w:t>others in order to see how well support is working nationally.</w:t>
      </w:r>
      <w:r w:rsidRPr="008B68A9">
        <w:rPr>
          <w:rFonts w:cs="Arial"/>
          <w:szCs w:val="24"/>
          <w:lang w:val="en-US"/>
        </w:rPr>
        <w:tab/>
      </w:r>
      <w:r w:rsidRPr="008B68A9">
        <w:rPr>
          <w:rFonts w:cs="Arial"/>
          <w:szCs w:val="24"/>
          <w:lang w:val="en-US"/>
        </w:rPr>
        <w:tab/>
      </w:r>
      <w:r w:rsidRPr="008B68A9">
        <w:rPr>
          <w:rFonts w:cs="Arial"/>
          <w:szCs w:val="24"/>
          <w:lang w:val="en-US"/>
        </w:rPr>
        <w:tab/>
      </w:r>
    </w:p>
    <w:p w14:paraId="0929BC16" w14:textId="77777777" w:rsidR="008E4573" w:rsidRPr="008B68A9" w:rsidRDefault="008E4573" w:rsidP="008E4573">
      <w:pPr>
        <w:spacing w:after="0" w:line="276" w:lineRule="auto"/>
        <w:ind w:left="360"/>
        <w:jc w:val="both"/>
        <w:rPr>
          <w:rFonts w:cs="Arial"/>
          <w:szCs w:val="24"/>
        </w:rPr>
      </w:pPr>
    </w:p>
    <w:p w14:paraId="21216086" w14:textId="77777777" w:rsidR="008E4573" w:rsidRPr="008B68A9" w:rsidRDefault="008E4573" w:rsidP="008E4573">
      <w:pPr>
        <w:spacing w:after="0" w:line="276" w:lineRule="auto"/>
        <w:ind w:left="360"/>
        <w:jc w:val="both"/>
        <w:rPr>
          <w:rFonts w:cs="Arial"/>
          <w:szCs w:val="24"/>
        </w:rPr>
      </w:pPr>
    </w:p>
    <w:p w14:paraId="1880C7EE"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___________________  _____________         ____________</w:t>
      </w:r>
    </w:p>
    <w:p w14:paraId="1F82A15F" w14:textId="77777777" w:rsidR="008E4573" w:rsidRPr="008B68A9" w:rsidRDefault="008E4573" w:rsidP="008E4573">
      <w:pPr>
        <w:tabs>
          <w:tab w:val="left" w:pos="3600"/>
          <w:tab w:val="left" w:pos="5812"/>
        </w:tabs>
        <w:spacing w:after="0" w:line="276" w:lineRule="auto"/>
        <w:jc w:val="both"/>
        <w:rPr>
          <w:rFonts w:cs="Arial"/>
          <w:szCs w:val="24"/>
        </w:rPr>
      </w:pPr>
      <w:r w:rsidRPr="008B68A9">
        <w:rPr>
          <w:rFonts w:cs="Arial"/>
          <w:szCs w:val="24"/>
        </w:rPr>
        <w:t>Name of Participant</w:t>
      </w:r>
      <w:r w:rsidRPr="008B68A9">
        <w:rPr>
          <w:rFonts w:cs="Arial"/>
          <w:szCs w:val="24"/>
        </w:rPr>
        <w:tab/>
        <w:t>Date</w:t>
      </w:r>
      <w:r w:rsidRPr="008B68A9">
        <w:rPr>
          <w:rFonts w:cs="Arial"/>
          <w:szCs w:val="24"/>
        </w:rPr>
        <w:tab/>
      </w:r>
      <w:r w:rsidRPr="008B68A9">
        <w:rPr>
          <w:rFonts w:cs="Arial"/>
          <w:szCs w:val="24"/>
        </w:rPr>
        <w:tab/>
        <w:t>Signature</w:t>
      </w:r>
    </w:p>
    <w:p w14:paraId="71757DEB" w14:textId="77777777" w:rsidR="008E4573" w:rsidRPr="008B68A9" w:rsidRDefault="008E4573" w:rsidP="008E4573">
      <w:pPr>
        <w:tabs>
          <w:tab w:val="left" w:pos="3686"/>
        </w:tabs>
        <w:spacing w:after="0" w:line="276" w:lineRule="auto"/>
        <w:jc w:val="both"/>
        <w:rPr>
          <w:rFonts w:cs="Arial"/>
          <w:szCs w:val="24"/>
        </w:rPr>
      </w:pPr>
    </w:p>
    <w:p w14:paraId="436C9A5B" w14:textId="77777777" w:rsidR="008E4573" w:rsidRPr="008B68A9" w:rsidRDefault="008E4573" w:rsidP="008E4573">
      <w:pPr>
        <w:tabs>
          <w:tab w:val="left" w:pos="3686"/>
        </w:tabs>
        <w:spacing w:after="0" w:line="276" w:lineRule="auto"/>
        <w:jc w:val="both"/>
        <w:rPr>
          <w:rFonts w:cs="Arial"/>
          <w:szCs w:val="24"/>
        </w:rPr>
      </w:pPr>
    </w:p>
    <w:p w14:paraId="386A63CF" w14:textId="77777777" w:rsidR="008E4573" w:rsidRPr="008B68A9" w:rsidRDefault="008E4573" w:rsidP="008E4573">
      <w:pPr>
        <w:tabs>
          <w:tab w:val="left" w:pos="3686"/>
        </w:tabs>
        <w:spacing w:after="0" w:line="276" w:lineRule="auto"/>
        <w:jc w:val="both"/>
        <w:rPr>
          <w:rFonts w:cs="Arial"/>
          <w:szCs w:val="24"/>
        </w:rPr>
      </w:pPr>
      <w:r w:rsidRPr="008B68A9">
        <w:rPr>
          <w:rFonts w:cs="Arial"/>
          <w:szCs w:val="24"/>
        </w:rPr>
        <w:t>___________________  ______________        _____________</w:t>
      </w:r>
    </w:p>
    <w:p w14:paraId="6483D25D"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Name of person taking consent</w:t>
      </w:r>
      <w:r w:rsidRPr="008B68A9">
        <w:rPr>
          <w:rFonts w:cs="Arial"/>
          <w:szCs w:val="24"/>
        </w:rPr>
        <w:tab/>
        <w:t>Date</w:t>
      </w:r>
      <w:r w:rsidRPr="008B68A9">
        <w:rPr>
          <w:rFonts w:cs="Arial"/>
          <w:szCs w:val="24"/>
        </w:rPr>
        <w:tab/>
        <w:t>Signature</w:t>
      </w:r>
    </w:p>
    <w:p w14:paraId="302A35A5"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(If different from researcher)</w:t>
      </w:r>
    </w:p>
    <w:p w14:paraId="5E58B815" w14:textId="77777777" w:rsidR="008E4573" w:rsidRPr="008B68A9" w:rsidRDefault="008E4573" w:rsidP="008E4573">
      <w:pPr>
        <w:tabs>
          <w:tab w:val="left" w:pos="3600"/>
          <w:tab w:val="left" w:pos="6480"/>
        </w:tabs>
        <w:spacing w:after="0" w:line="276" w:lineRule="auto"/>
        <w:jc w:val="both"/>
        <w:rPr>
          <w:rFonts w:cs="Arial"/>
          <w:szCs w:val="24"/>
        </w:rPr>
      </w:pPr>
    </w:p>
    <w:p w14:paraId="0C9ADFDD"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___________________   ______________        ____________</w:t>
      </w:r>
    </w:p>
    <w:p w14:paraId="2C8AD9C8"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Researcher</w:t>
      </w:r>
      <w:r w:rsidRPr="008B68A9">
        <w:rPr>
          <w:rFonts w:cs="Arial"/>
          <w:szCs w:val="24"/>
        </w:rPr>
        <w:tab/>
        <w:t>Date</w:t>
      </w:r>
      <w:r w:rsidRPr="008B68A9">
        <w:rPr>
          <w:rFonts w:cs="Arial"/>
          <w:szCs w:val="24"/>
        </w:rPr>
        <w:tab/>
        <w:t>Signature</w:t>
      </w:r>
    </w:p>
    <w:p w14:paraId="65D1A5D8" w14:textId="77777777" w:rsidR="008E4573" w:rsidRPr="008B68A9" w:rsidRDefault="008E4573" w:rsidP="008E4573">
      <w:pPr>
        <w:tabs>
          <w:tab w:val="left" w:pos="3600"/>
          <w:tab w:val="left" w:pos="6480"/>
        </w:tabs>
        <w:spacing w:after="0" w:line="276" w:lineRule="auto"/>
        <w:jc w:val="both"/>
        <w:rPr>
          <w:rFonts w:cs="Arial"/>
          <w:szCs w:val="24"/>
        </w:rPr>
      </w:pPr>
      <w:r w:rsidRPr="008B68A9">
        <w:rPr>
          <w:rFonts w:cs="Arial"/>
          <w:szCs w:val="24"/>
        </w:rPr>
        <w:t>(If present)</w:t>
      </w:r>
    </w:p>
    <w:p w14:paraId="36D447A8" w14:textId="77777777" w:rsidR="008E4573" w:rsidRPr="008B68A9" w:rsidRDefault="008E4573" w:rsidP="008E4573">
      <w:pPr>
        <w:spacing w:after="0" w:line="276" w:lineRule="auto"/>
        <w:jc w:val="both"/>
        <w:rPr>
          <w:rFonts w:cs="Arial"/>
          <w:i/>
          <w:szCs w:val="24"/>
        </w:rPr>
      </w:pPr>
    </w:p>
    <w:p w14:paraId="08CDB8FF" w14:textId="77777777" w:rsidR="008E4573" w:rsidRPr="008B68A9" w:rsidRDefault="008E4573" w:rsidP="008E4573">
      <w:pPr>
        <w:spacing w:after="0" w:line="276" w:lineRule="auto"/>
        <w:jc w:val="both"/>
        <w:rPr>
          <w:rFonts w:cs="Arial"/>
          <w:i/>
          <w:szCs w:val="24"/>
        </w:rPr>
      </w:pPr>
      <w:r w:rsidRPr="008B68A9">
        <w:rPr>
          <w:rFonts w:cs="Arial"/>
          <w:i/>
          <w:szCs w:val="24"/>
        </w:rPr>
        <w:t xml:space="preserve">Please return in stamped address envelope or hand to support worker/researcher </w:t>
      </w:r>
    </w:p>
    <w:p w14:paraId="573ED49E" w14:textId="77777777" w:rsidR="008E4573" w:rsidRPr="00FA59C1" w:rsidRDefault="008E4573" w:rsidP="008E4573">
      <w:pPr>
        <w:tabs>
          <w:tab w:val="left" w:pos="1170"/>
          <w:tab w:val="left" w:pos="1620"/>
        </w:tabs>
        <w:spacing w:after="0" w:line="276" w:lineRule="auto"/>
        <w:jc w:val="both"/>
      </w:pPr>
      <w:r w:rsidRPr="008B68A9">
        <w:rPr>
          <w:rFonts w:cs="Arial"/>
          <w:szCs w:val="24"/>
        </w:rPr>
        <w:t>(</w:t>
      </w:r>
      <w:r w:rsidRPr="008B68A9">
        <w:rPr>
          <w:rFonts w:cs="Arial"/>
          <w:i/>
          <w:szCs w:val="24"/>
        </w:rPr>
        <w:t>1 copy for participant; 1 copy for support worker/researcher</w:t>
      </w:r>
      <w:r w:rsidRPr="008B68A9">
        <w:rPr>
          <w:rFonts w:cs="Arial"/>
          <w:szCs w:val="24"/>
        </w:rPr>
        <w:t>)</w:t>
      </w:r>
    </w:p>
    <w:p w14:paraId="2B1D1279" w14:textId="77777777" w:rsidR="00792AC2" w:rsidRPr="000A11DD" w:rsidRDefault="00792AC2" w:rsidP="00792AC2"/>
    <w:p w14:paraId="7C4D165C" w14:textId="77777777" w:rsidR="00792AC2" w:rsidRPr="00FA59C1" w:rsidRDefault="00792AC2" w:rsidP="002F0FD7">
      <w:pPr>
        <w:pStyle w:val="5arangedleft"/>
      </w:pPr>
    </w:p>
    <w:sectPr w:rsidR="00792AC2" w:rsidRPr="00FA59C1" w:rsidSect="00EF65CA">
      <w:footerReference w:type="default" r:id="rId23"/>
      <w:pgSz w:w="11906" w:h="16838"/>
      <w:pgMar w:top="1440" w:right="1418" w:bottom="1440"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2F2F0A" w14:textId="77777777" w:rsidR="00330D5F" w:rsidRDefault="00330D5F">
      <w:pPr>
        <w:spacing w:after="0" w:line="240" w:lineRule="auto"/>
      </w:pPr>
      <w:r>
        <w:separator/>
      </w:r>
    </w:p>
    <w:p w14:paraId="192C67AE" w14:textId="77777777" w:rsidR="00330D5F" w:rsidRDefault="00330D5F"/>
  </w:endnote>
  <w:endnote w:type="continuationSeparator" w:id="0">
    <w:p w14:paraId="1F7793E1" w14:textId="77777777" w:rsidR="00330D5F" w:rsidRDefault="00330D5F">
      <w:pPr>
        <w:spacing w:after="0" w:line="240" w:lineRule="auto"/>
      </w:pPr>
      <w:r>
        <w:continuationSeparator/>
      </w:r>
    </w:p>
    <w:p w14:paraId="4970D4FC" w14:textId="77777777" w:rsidR="00330D5F" w:rsidRDefault="00330D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AdvBasBE-R">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etaBook-Roman">
    <w:panose1 w:val="00000000000000000000"/>
    <w:charset w:val="00"/>
    <w:family w:val="auto"/>
    <w:notTrueType/>
    <w:pitch w:val="default"/>
    <w:sig w:usb0="00000003" w:usb1="00000000" w:usb2="00000000" w:usb3="00000000" w:csb0="00000001" w:csb1="00000000"/>
  </w:font>
  <w:font w:name="ArialUnicodeMS">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5309510"/>
      <w:docPartObj>
        <w:docPartGallery w:val="Page Numbers (Bottom of Page)"/>
        <w:docPartUnique/>
      </w:docPartObj>
    </w:sdtPr>
    <w:sdtEndPr>
      <w:rPr>
        <w:noProof/>
      </w:rPr>
    </w:sdtEndPr>
    <w:sdtContent>
      <w:p w14:paraId="265EE364" w14:textId="2F2DF1C0" w:rsidR="00330D5F" w:rsidRDefault="00330D5F" w:rsidP="003C39F8">
        <w:pPr>
          <w:pStyle w:val="Footer"/>
          <w:jc w:val="center"/>
        </w:pPr>
        <w:r>
          <w:fldChar w:fldCharType="begin"/>
        </w:r>
        <w:r>
          <w:instrText xml:space="preserve"> PAGE   \* MERGEFORMAT </w:instrText>
        </w:r>
        <w:r>
          <w:fldChar w:fldCharType="separate"/>
        </w:r>
        <w:r w:rsidR="008B68A9">
          <w:rPr>
            <w:noProof/>
          </w:rPr>
          <w:t>55</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7886165"/>
      <w:docPartObj>
        <w:docPartGallery w:val="Page Numbers (Bottom of Page)"/>
        <w:docPartUnique/>
      </w:docPartObj>
    </w:sdtPr>
    <w:sdtEndPr>
      <w:rPr>
        <w:noProof/>
      </w:rPr>
    </w:sdtEndPr>
    <w:sdtContent>
      <w:p w14:paraId="6351E2A6" w14:textId="77777777" w:rsidR="00330D5F" w:rsidRDefault="00330D5F" w:rsidP="003C39F8">
        <w:pPr>
          <w:pStyle w:val="Footer"/>
          <w:jc w:val="center"/>
        </w:pPr>
        <w:r>
          <w:fldChar w:fldCharType="begin"/>
        </w:r>
        <w:r>
          <w:instrText xml:space="preserve"> PAGE   \* MERGEFORMAT </w:instrText>
        </w:r>
        <w:r>
          <w:fldChar w:fldCharType="separate"/>
        </w:r>
        <w:r w:rsidR="008B68A9">
          <w:rPr>
            <w:noProof/>
          </w:rPr>
          <w:t>70</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832098"/>
      <w:docPartObj>
        <w:docPartGallery w:val="Page Numbers (Bottom of Page)"/>
        <w:docPartUnique/>
      </w:docPartObj>
    </w:sdtPr>
    <w:sdtEndPr>
      <w:rPr>
        <w:noProof/>
      </w:rPr>
    </w:sdtEndPr>
    <w:sdtContent>
      <w:p w14:paraId="02B89A02" w14:textId="77777777" w:rsidR="00330D5F" w:rsidRDefault="00330D5F" w:rsidP="003C39F8">
        <w:pPr>
          <w:pStyle w:val="Footer"/>
          <w:jc w:val="center"/>
        </w:pPr>
        <w:r>
          <w:fldChar w:fldCharType="begin"/>
        </w:r>
        <w:r>
          <w:instrText xml:space="preserve"> PAGE   \* MERGEFORMAT </w:instrText>
        </w:r>
        <w:r>
          <w:fldChar w:fldCharType="separate"/>
        </w:r>
        <w:r w:rsidR="008B68A9">
          <w:rPr>
            <w:noProof/>
          </w:rPr>
          <w:t>211</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9915898"/>
      <w:docPartObj>
        <w:docPartGallery w:val="Page Numbers (Bottom of Page)"/>
        <w:docPartUnique/>
      </w:docPartObj>
    </w:sdtPr>
    <w:sdtEndPr>
      <w:rPr>
        <w:noProof/>
      </w:rPr>
    </w:sdtEndPr>
    <w:sdtContent>
      <w:p w14:paraId="20F05DFA" w14:textId="77777777" w:rsidR="00330D5F" w:rsidRDefault="00330D5F" w:rsidP="003C39F8">
        <w:pPr>
          <w:pStyle w:val="Footer"/>
          <w:jc w:val="center"/>
        </w:pPr>
        <w:r>
          <w:fldChar w:fldCharType="begin"/>
        </w:r>
        <w:r>
          <w:instrText xml:space="preserve"> PAGE   \* MERGEFORMAT </w:instrText>
        </w:r>
        <w:r>
          <w:fldChar w:fldCharType="separate"/>
        </w:r>
        <w:r w:rsidR="008B68A9">
          <w:rPr>
            <w:noProof/>
          </w:rPr>
          <w:t>308</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362987"/>
      <w:docPartObj>
        <w:docPartGallery w:val="Page Numbers (Bottom of Page)"/>
        <w:docPartUnique/>
      </w:docPartObj>
    </w:sdtPr>
    <w:sdtEndPr>
      <w:rPr>
        <w:noProof/>
      </w:rPr>
    </w:sdtEndPr>
    <w:sdtContent>
      <w:p w14:paraId="7A4BDE34" w14:textId="5953F6CF" w:rsidR="00330D5F" w:rsidRDefault="00330D5F" w:rsidP="000A3FCB">
        <w:pPr>
          <w:pStyle w:val="Footer"/>
          <w:jc w:val="center"/>
        </w:pPr>
        <w:r>
          <w:fldChar w:fldCharType="begin"/>
        </w:r>
        <w:r>
          <w:instrText xml:space="preserve"> PAGE   \* MERGEFORMAT </w:instrText>
        </w:r>
        <w:r>
          <w:fldChar w:fldCharType="separate"/>
        </w:r>
        <w:r w:rsidR="008B68A9">
          <w:rPr>
            <w:noProof/>
          </w:rPr>
          <w:t>311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CF1326" w14:textId="77777777" w:rsidR="00330D5F" w:rsidRDefault="00330D5F">
      <w:pPr>
        <w:spacing w:after="0" w:line="240" w:lineRule="auto"/>
      </w:pPr>
      <w:r>
        <w:separator/>
      </w:r>
    </w:p>
    <w:p w14:paraId="551E80F4" w14:textId="77777777" w:rsidR="00330D5F" w:rsidRDefault="00330D5F"/>
  </w:footnote>
  <w:footnote w:type="continuationSeparator" w:id="0">
    <w:p w14:paraId="2E04628B" w14:textId="77777777" w:rsidR="00330D5F" w:rsidRDefault="00330D5F">
      <w:pPr>
        <w:spacing w:after="0" w:line="240" w:lineRule="auto"/>
      </w:pPr>
      <w:r>
        <w:continuationSeparator/>
      </w:r>
    </w:p>
    <w:p w14:paraId="7945378C" w14:textId="77777777" w:rsidR="00330D5F" w:rsidRDefault="00330D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809A3C" w14:textId="77777777" w:rsidR="00330D5F" w:rsidRDefault="00330D5F" w:rsidP="00726CE1">
    <w:pPr>
      <w:pStyle w:val="Header"/>
      <w:tabs>
        <w:tab w:val="clear" w:pos="4513"/>
        <w:tab w:val="clear" w:pos="9026"/>
        <w:tab w:val="left" w:pos="6928"/>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B7CF2"/>
    <w:multiLevelType w:val="multilevel"/>
    <w:tmpl w:val="6052B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CA3567"/>
    <w:multiLevelType w:val="hybridMultilevel"/>
    <w:tmpl w:val="FBA0E346"/>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F94AF8"/>
    <w:multiLevelType w:val="hybridMultilevel"/>
    <w:tmpl w:val="93B04F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F3B061C"/>
    <w:multiLevelType w:val="multilevel"/>
    <w:tmpl w:val="264A2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D74C88"/>
    <w:multiLevelType w:val="hybridMultilevel"/>
    <w:tmpl w:val="64045ADC"/>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22A1B7D"/>
    <w:multiLevelType w:val="multilevel"/>
    <w:tmpl w:val="585A115E"/>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080" w:hanging="720"/>
      </w:pPr>
      <w:rPr>
        <w:rFonts w:hint="default"/>
        <w:color w:val="4F6228" w:themeColor="accent3" w:themeShade="80"/>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12EA4158"/>
    <w:multiLevelType w:val="hybridMultilevel"/>
    <w:tmpl w:val="DB3AF552"/>
    <w:lvl w:ilvl="0" w:tplc="0809000B">
      <w:start w:val="1"/>
      <w:numFmt w:val="bullet"/>
      <w:lvlText w:val=""/>
      <w:lvlJc w:val="left"/>
      <w:pPr>
        <w:ind w:left="720" w:hanging="360"/>
      </w:pPr>
      <w:rPr>
        <w:rFonts w:ascii="Wingdings" w:hAnsi="Wingdings"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780820"/>
    <w:multiLevelType w:val="hybridMultilevel"/>
    <w:tmpl w:val="CD70F31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FBC3797"/>
    <w:multiLevelType w:val="hybridMultilevel"/>
    <w:tmpl w:val="3B904E30"/>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17F2A3B"/>
    <w:multiLevelType w:val="hybridMultilevel"/>
    <w:tmpl w:val="48A8CD2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762FD1"/>
    <w:multiLevelType w:val="hybridMultilevel"/>
    <w:tmpl w:val="47DEA4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12" w15:restartNumberingAfterBreak="0">
    <w:nsid w:val="31750B52"/>
    <w:multiLevelType w:val="hybridMultilevel"/>
    <w:tmpl w:val="7B2CB876"/>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647DB9"/>
    <w:multiLevelType w:val="hybridMultilevel"/>
    <w:tmpl w:val="03540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CF084A"/>
    <w:multiLevelType w:val="hybridMultilevel"/>
    <w:tmpl w:val="8458A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761592"/>
    <w:multiLevelType w:val="hybridMultilevel"/>
    <w:tmpl w:val="64A44B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A9B62E3"/>
    <w:multiLevelType w:val="hybridMultilevel"/>
    <w:tmpl w:val="B74A3630"/>
    <w:lvl w:ilvl="0" w:tplc="215C4718">
      <w:start w:val="1"/>
      <w:numFmt w:val="bullet"/>
      <w:lvlText w:val="•"/>
      <w:lvlJc w:val="left"/>
      <w:pPr>
        <w:tabs>
          <w:tab w:val="num" w:pos="720"/>
        </w:tabs>
        <w:ind w:left="720" w:hanging="360"/>
      </w:pPr>
      <w:rPr>
        <w:rFonts w:ascii="Times New Roman" w:hAnsi="Times New Roman" w:hint="default"/>
      </w:rPr>
    </w:lvl>
    <w:lvl w:ilvl="1" w:tplc="CCE886A4" w:tentative="1">
      <w:start w:val="1"/>
      <w:numFmt w:val="bullet"/>
      <w:lvlText w:val="•"/>
      <w:lvlJc w:val="left"/>
      <w:pPr>
        <w:tabs>
          <w:tab w:val="num" w:pos="1440"/>
        </w:tabs>
        <w:ind w:left="1440" w:hanging="360"/>
      </w:pPr>
      <w:rPr>
        <w:rFonts w:ascii="Times New Roman" w:hAnsi="Times New Roman" w:hint="default"/>
      </w:rPr>
    </w:lvl>
    <w:lvl w:ilvl="2" w:tplc="A2309DF8" w:tentative="1">
      <w:start w:val="1"/>
      <w:numFmt w:val="bullet"/>
      <w:lvlText w:val="•"/>
      <w:lvlJc w:val="left"/>
      <w:pPr>
        <w:tabs>
          <w:tab w:val="num" w:pos="2160"/>
        </w:tabs>
        <w:ind w:left="2160" w:hanging="360"/>
      </w:pPr>
      <w:rPr>
        <w:rFonts w:ascii="Times New Roman" w:hAnsi="Times New Roman" w:hint="default"/>
      </w:rPr>
    </w:lvl>
    <w:lvl w:ilvl="3" w:tplc="ADB45112" w:tentative="1">
      <w:start w:val="1"/>
      <w:numFmt w:val="bullet"/>
      <w:lvlText w:val="•"/>
      <w:lvlJc w:val="left"/>
      <w:pPr>
        <w:tabs>
          <w:tab w:val="num" w:pos="2880"/>
        </w:tabs>
        <w:ind w:left="2880" w:hanging="360"/>
      </w:pPr>
      <w:rPr>
        <w:rFonts w:ascii="Times New Roman" w:hAnsi="Times New Roman" w:hint="default"/>
      </w:rPr>
    </w:lvl>
    <w:lvl w:ilvl="4" w:tplc="A09ACE28" w:tentative="1">
      <w:start w:val="1"/>
      <w:numFmt w:val="bullet"/>
      <w:lvlText w:val="•"/>
      <w:lvlJc w:val="left"/>
      <w:pPr>
        <w:tabs>
          <w:tab w:val="num" w:pos="3600"/>
        </w:tabs>
        <w:ind w:left="3600" w:hanging="360"/>
      </w:pPr>
      <w:rPr>
        <w:rFonts w:ascii="Times New Roman" w:hAnsi="Times New Roman" w:hint="default"/>
      </w:rPr>
    </w:lvl>
    <w:lvl w:ilvl="5" w:tplc="78C6BBB6" w:tentative="1">
      <w:start w:val="1"/>
      <w:numFmt w:val="bullet"/>
      <w:lvlText w:val="•"/>
      <w:lvlJc w:val="left"/>
      <w:pPr>
        <w:tabs>
          <w:tab w:val="num" w:pos="4320"/>
        </w:tabs>
        <w:ind w:left="4320" w:hanging="360"/>
      </w:pPr>
      <w:rPr>
        <w:rFonts w:ascii="Times New Roman" w:hAnsi="Times New Roman" w:hint="default"/>
      </w:rPr>
    </w:lvl>
    <w:lvl w:ilvl="6" w:tplc="A8D8F578" w:tentative="1">
      <w:start w:val="1"/>
      <w:numFmt w:val="bullet"/>
      <w:lvlText w:val="•"/>
      <w:lvlJc w:val="left"/>
      <w:pPr>
        <w:tabs>
          <w:tab w:val="num" w:pos="5040"/>
        </w:tabs>
        <w:ind w:left="5040" w:hanging="360"/>
      </w:pPr>
      <w:rPr>
        <w:rFonts w:ascii="Times New Roman" w:hAnsi="Times New Roman" w:hint="default"/>
      </w:rPr>
    </w:lvl>
    <w:lvl w:ilvl="7" w:tplc="A2D8C40C" w:tentative="1">
      <w:start w:val="1"/>
      <w:numFmt w:val="bullet"/>
      <w:lvlText w:val="•"/>
      <w:lvlJc w:val="left"/>
      <w:pPr>
        <w:tabs>
          <w:tab w:val="num" w:pos="5760"/>
        </w:tabs>
        <w:ind w:left="5760" w:hanging="360"/>
      </w:pPr>
      <w:rPr>
        <w:rFonts w:ascii="Times New Roman" w:hAnsi="Times New Roman" w:hint="default"/>
      </w:rPr>
    </w:lvl>
    <w:lvl w:ilvl="8" w:tplc="98766D04"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4B066A22"/>
    <w:multiLevelType w:val="hybridMultilevel"/>
    <w:tmpl w:val="D46817A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D160AE7"/>
    <w:multiLevelType w:val="hybridMultilevel"/>
    <w:tmpl w:val="06E26C1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549B0A33"/>
    <w:multiLevelType w:val="multilevel"/>
    <w:tmpl w:val="C9C2C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EE681A"/>
    <w:multiLevelType w:val="multilevel"/>
    <w:tmpl w:val="EC342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2410DB"/>
    <w:multiLevelType w:val="hybridMultilevel"/>
    <w:tmpl w:val="90E2C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485BE5"/>
    <w:multiLevelType w:val="hybridMultilevel"/>
    <w:tmpl w:val="356A75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9EA65AF"/>
    <w:multiLevelType w:val="hybridMultilevel"/>
    <w:tmpl w:val="84FAEADA"/>
    <w:lvl w:ilvl="0" w:tplc="66FE88AA">
      <w:start w:val="1"/>
      <w:numFmt w:val="bullet"/>
      <w:lvlText w:val="•"/>
      <w:lvlJc w:val="left"/>
      <w:pPr>
        <w:tabs>
          <w:tab w:val="num" w:pos="720"/>
        </w:tabs>
        <w:ind w:left="720" w:hanging="360"/>
      </w:pPr>
      <w:rPr>
        <w:rFonts w:ascii="Times New Roman" w:hAnsi="Times New Roman" w:hint="default"/>
      </w:rPr>
    </w:lvl>
    <w:lvl w:ilvl="1" w:tplc="44A6DF02" w:tentative="1">
      <w:start w:val="1"/>
      <w:numFmt w:val="bullet"/>
      <w:lvlText w:val="•"/>
      <w:lvlJc w:val="left"/>
      <w:pPr>
        <w:tabs>
          <w:tab w:val="num" w:pos="1440"/>
        </w:tabs>
        <w:ind w:left="1440" w:hanging="360"/>
      </w:pPr>
      <w:rPr>
        <w:rFonts w:ascii="Times New Roman" w:hAnsi="Times New Roman" w:hint="default"/>
      </w:rPr>
    </w:lvl>
    <w:lvl w:ilvl="2" w:tplc="F0B4C012" w:tentative="1">
      <w:start w:val="1"/>
      <w:numFmt w:val="bullet"/>
      <w:lvlText w:val="•"/>
      <w:lvlJc w:val="left"/>
      <w:pPr>
        <w:tabs>
          <w:tab w:val="num" w:pos="2160"/>
        </w:tabs>
        <w:ind w:left="2160" w:hanging="360"/>
      </w:pPr>
      <w:rPr>
        <w:rFonts w:ascii="Times New Roman" w:hAnsi="Times New Roman" w:hint="default"/>
      </w:rPr>
    </w:lvl>
    <w:lvl w:ilvl="3" w:tplc="F176E2CC" w:tentative="1">
      <w:start w:val="1"/>
      <w:numFmt w:val="bullet"/>
      <w:lvlText w:val="•"/>
      <w:lvlJc w:val="left"/>
      <w:pPr>
        <w:tabs>
          <w:tab w:val="num" w:pos="2880"/>
        </w:tabs>
        <w:ind w:left="2880" w:hanging="360"/>
      </w:pPr>
      <w:rPr>
        <w:rFonts w:ascii="Times New Roman" w:hAnsi="Times New Roman" w:hint="default"/>
      </w:rPr>
    </w:lvl>
    <w:lvl w:ilvl="4" w:tplc="6E02C6F8" w:tentative="1">
      <w:start w:val="1"/>
      <w:numFmt w:val="bullet"/>
      <w:lvlText w:val="•"/>
      <w:lvlJc w:val="left"/>
      <w:pPr>
        <w:tabs>
          <w:tab w:val="num" w:pos="3600"/>
        </w:tabs>
        <w:ind w:left="3600" w:hanging="360"/>
      </w:pPr>
      <w:rPr>
        <w:rFonts w:ascii="Times New Roman" w:hAnsi="Times New Roman" w:hint="default"/>
      </w:rPr>
    </w:lvl>
    <w:lvl w:ilvl="5" w:tplc="B9380CD4" w:tentative="1">
      <w:start w:val="1"/>
      <w:numFmt w:val="bullet"/>
      <w:lvlText w:val="•"/>
      <w:lvlJc w:val="left"/>
      <w:pPr>
        <w:tabs>
          <w:tab w:val="num" w:pos="4320"/>
        </w:tabs>
        <w:ind w:left="4320" w:hanging="360"/>
      </w:pPr>
      <w:rPr>
        <w:rFonts w:ascii="Times New Roman" w:hAnsi="Times New Roman" w:hint="default"/>
      </w:rPr>
    </w:lvl>
    <w:lvl w:ilvl="6" w:tplc="796A7C8A" w:tentative="1">
      <w:start w:val="1"/>
      <w:numFmt w:val="bullet"/>
      <w:lvlText w:val="•"/>
      <w:lvlJc w:val="left"/>
      <w:pPr>
        <w:tabs>
          <w:tab w:val="num" w:pos="5040"/>
        </w:tabs>
        <w:ind w:left="5040" w:hanging="360"/>
      </w:pPr>
      <w:rPr>
        <w:rFonts w:ascii="Times New Roman" w:hAnsi="Times New Roman" w:hint="default"/>
      </w:rPr>
    </w:lvl>
    <w:lvl w:ilvl="7" w:tplc="598E3930" w:tentative="1">
      <w:start w:val="1"/>
      <w:numFmt w:val="bullet"/>
      <w:lvlText w:val="•"/>
      <w:lvlJc w:val="left"/>
      <w:pPr>
        <w:tabs>
          <w:tab w:val="num" w:pos="5760"/>
        </w:tabs>
        <w:ind w:left="5760" w:hanging="360"/>
      </w:pPr>
      <w:rPr>
        <w:rFonts w:ascii="Times New Roman" w:hAnsi="Times New Roman" w:hint="default"/>
      </w:rPr>
    </w:lvl>
    <w:lvl w:ilvl="8" w:tplc="32BA5714"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7AD33746"/>
    <w:multiLevelType w:val="singleLevel"/>
    <w:tmpl w:val="0809000F"/>
    <w:lvl w:ilvl="0">
      <w:start w:val="2"/>
      <w:numFmt w:val="decimal"/>
      <w:lvlText w:val="%1."/>
      <w:lvlJc w:val="left"/>
      <w:pPr>
        <w:tabs>
          <w:tab w:val="num" w:pos="360"/>
        </w:tabs>
        <w:ind w:left="360" w:hanging="360"/>
      </w:pPr>
      <w:rPr>
        <w:rFonts w:hint="default"/>
      </w:rPr>
    </w:lvl>
  </w:abstractNum>
  <w:num w:numId="1">
    <w:abstractNumId w:val="3"/>
  </w:num>
  <w:num w:numId="2">
    <w:abstractNumId w:val="0"/>
  </w:num>
  <w:num w:numId="3">
    <w:abstractNumId w:val="16"/>
  </w:num>
  <w:num w:numId="4">
    <w:abstractNumId w:val="5"/>
  </w:num>
  <w:num w:numId="5">
    <w:abstractNumId w:val="23"/>
  </w:num>
  <w:num w:numId="6">
    <w:abstractNumId w:val="19"/>
  </w:num>
  <w:num w:numId="7">
    <w:abstractNumId w:val="13"/>
  </w:num>
  <w:num w:numId="8">
    <w:abstractNumId w:val="22"/>
  </w:num>
  <w:num w:numId="9">
    <w:abstractNumId w:val="2"/>
  </w:num>
  <w:num w:numId="10">
    <w:abstractNumId w:val="17"/>
  </w:num>
  <w:num w:numId="11">
    <w:abstractNumId w:val="4"/>
  </w:num>
  <w:num w:numId="12">
    <w:abstractNumId w:val="8"/>
  </w:num>
  <w:num w:numId="13">
    <w:abstractNumId w:val="7"/>
  </w:num>
  <w:num w:numId="14">
    <w:abstractNumId w:val="12"/>
  </w:num>
  <w:num w:numId="15">
    <w:abstractNumId w:val="15"/>
  </w:num>
  <w:num w:numId="16">
    <w:abstractNumId w:val="6"/>
  </w:num>
  <w:num w:numId="17">
    <w:abstractNumId w:val="18"/>
  </w:num>
  <w:num w:numId="18">
    <w:abstractNumId w:val="14"/>
  </w:num>
  <w:num w:numId="19">
    <w:abstractNumId w:val="21"/>
  </w:num>
  <w:num w:numId="20">
    <w:abstractNumId w:val="10"/>
  </w:num>
  <w:num w:numId="21">
    <w:abstractNumId w:val="24"/>
  </w:num>
  <w:num w:numId="22">
    <w:abstractNumId w:val="11"/>
  </w:num>
  <w:num w:numId="23">
    <w:abstractNumId w:val="20"/>
  </w:num>
  <w:num w:numId="24">
    <w:abstractNumId w:val="9"/>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A76"/>
    <w:rsid w:val="000021B6"/>
    <w:rsid w:val="000022FC"/>
    <w:rsid w:val="0000302E"/>
    <w:rsid w:val="000030BE"/>
    <w:rsid w:val="00003243"/>
    <w:rsid w:val="000032BD"/>
    <w:rsid w:val="00003D3C"/>
    <w:rsid w:val="00004345"/>
    <w:rsid w:val="000044C1"/>
    <w:rsid w:val="00004985"/>
    <w:rsid w:val="00004AE2"/>
    <w:rsid w:val="000051AE"/>
    <w:rsid w:val="000057EE"/>
    <w:rsid w:val="000058CA"/>
    <w:rsid w:val="00005AC7"/>
    <w:rsid w:val="00005C6C"/>
    <w:rsid w:val="000065E2"/>
    <w:rsid w:val="0000666F"/>
    <w:rsid w:val="000071D0"/>
    <w:rsid w:val="00007C8D"/>
    <w:rsid w:val="000105A6"/>
    <w:rsid w:val="000106C0"/>
    <w:rsid w:val="000108F5"/>
    <w:rsid w:val="00010B7F"/>
    <w:rsid w:val="00010F7F"/>
    <w:rsid w:val="00011047"/>
    <w:rsid w:val="000112C9"/>
    <w:rsid w:val="00011516"/>
    <w:rsid w:val="00011A1E"/>
    <w:rsid w:val="00011B5E"/>
    <w:rsid w:val="00011D56"/>
    <w:rsid w:val="00011FCC"/>
    <w:rsid w:val="0001200B"/>
    <w:rsid w:val="000122B5"/>
    <w:rsid w:val="00012697"/>
    <w:rsid w:val="00012BFC"/>
    <w:rsid w:val="00012E8E"/>
    <w:rsid w:val="00012F75"/>
    <w:rsid w:val="000132A3"/>
    <w:rsid w:val="00013E20"/>
    <w:rsid w:val="00014662"/>
    <w:rsid w:val="00014967"/>
    <w:rsid w:val="0001519B"/>
    <w:rsid w:val="000154FC"/>
    <w:rsid w:val="000161E5"/>
    <w:rsid w:val="000169BB"/>
    <w:rsid w:val="000169EE"/>
    <w:rsid w:val="00016B03"/>
    <w:rsid w:val="00016FEB"/>
    <w:rsid w:val="00017111"/>
    <w:rsid w:val="00020B1C"/>
    <w:rsid w:val="00020C7D"/>
    <w:rsid w:val="0002151D"/>
    <w:rsid w:val="0002223D"/>
    <w:rsid w:val="00022314"/>
    <w:rsid w:val="00022575"/>
    <w:rsid w:val="00022AC3"/>
    <w:rsid w:val="00022B2E"/>
    <w:rsid w:val="0002332F"/>
    <w:rsid w:val="00023F77"/>
    <w:rsid w:val="00024173"/>
    <w:rsid w:val="0002435A"/>
    <w:rsid w:val="0002441E"/>
    <w:rsid w:val="00025045"/>
    <w:rsid w:val="00025126"/>
    <w:rsid w:val="000251B8"/>
    <w:rsid w:val="00025214"/>
    <w:rsid w:val="00025BE5"/>
    <w:rsid w:val="00025CC8"/>
    <w:rsid w:val="00025E76"/>
    <w:rsid w:val="00026323"/>
    <w:rsid w:val="00026EE0"/>
    <w:rsid w:val="00026F4D"/>
    <w:rsid w:val="00027292"/>
    <w:rsid w:val="000276A5"/>
    <w:rsid w:val="00027CB2"/>
    <w:rsid w:val="000301DD"/>
    <w:rsid w:val="00030277"/>
    <w:rsid w:val="000304A3"/>
    <w:rsid w:val="0003062C"/>
    <w:rsid w:val="000306E8"/>
    <w:rsid w:val="000316F6"/>
    <w:rsid w:val="00031837"/>
    <w:rsid w:val="00032515"/>
    <w:rsid w:val="00032BD8"/>
    <w:rsid w:val="00032C0B"/>
    <w:rsid w:val="00032F09"/>
    <w:rsid w:val="000332C3"/>
    <w:rsid w:val="00033AAC"/>
    <w:rsid w:val="00033B9B"/>
    <w:rsid w:val="00033C74"/>
    <w:rsid w:val="0003468A"/>
    <w:rsid w:val="00034872"/>
    <w:rsid w:val="00034CEA"/>
    <w:rsid w:val="00034ED6"/>
    <w:rsid w:val="000350B8"/>
    <w:rsid w:val="000354E1"/>
    <w:rsid w:val="00035BA2"/>
    <w:rsid w:val="00036182"/>
    <w:rsid w:val="000362EE"/>
    <w:rsid w:val="00036C8C"/>
    <w:rsid w:val="00037580"/>
    <w:rsid w:val="00037588"/>
    <w:rsid w:val="00037F28"/>
    <w:rsid w:val="000403F4"/>
    <w:rsid w:val="00040E51"/>
    <w:rsid w:val="0004134E"/>
    <w:rsid w:val="000414EB"/>
    <w:rsid w:val="00041A7E"/>
    <w:rsid w:val="00041CDB"/>
    <w:rsid w:val="00041D82"/>
    <w:rsid w:val="0004202E"/>
    <w:rsid w:val="000429AB"/>
    <w:rsid w:val="000429B3"/>
    <w:rsid w:val="00042BC3"/>
    <w:rsid w:val="00042E66"/>
    <w:rsid w:val="000436CE"/>
    <w:rsid w:val="00043A53"/>
    <w:rsid w:val="00043D08"/>
    <w:rsid w:val="00044C99"/>
    <w:rsid w:val="00044E67"/>
    <w:rsid w:val="00045396"/>
    <w:rsid w:val="00045887"/>
    <w:rsid w:val="000461E3"/>
    <w:rsid w:val="00046275"/>
    <w:rsid w:val="000464FF"/>
    <w:rsid w:val="00046A44"/>
    <w:rsid w:val="000478EF"/>
    <w:rsid w:val="000479F2"/>
    <w:rsid w:val="00047B15"/>
    <w:rsid w:val="0005038C"/>
    <w:rsid w:val="00050AB3"/>
    <w:rsid w:val="00050C8B"/>
    <w:rsid w:val="000516DA"/>
    <w:rsid w:val="00051D3A"/>
    <w:rsid w:val="00052291"/>
    <w:rsid w:val="0005282A"/>
    <w:rsid w:val="0005285A"/>
    <w:rsid w:val="00052B91"/>
    <w:rsid w:val="00052DDB"/>
    <w:rsid w:val="00052E4B"/>
    <w:rsid w:val="000533A8"/>
    <w:rsid w:val="000540D2"/>
    <w:rsid w:val="00055286"/>
    <w:rsid w:val="000553EB"/>
    <w:rsid w:val="000555DC"/>
    <w:rsid w:val="00055A18"/>
    <w:rsid w:val="00055C85"/>
    <w:rsid w:val="00056122"/>
    <w:rsid w:val="0005650E"/>
    <w:rsid w:val="0005659F"/>
    <w:rsid w:val="000565D6"/>
    <w:rsid w:val="00056A3F"/>
    <w:rsid w:val="00056BC1"/>
    <w:rsid w:val="00057CBB"/>
    <w:rsid w:val="00057CE3"/>
    <w:rsid w:val="00057DF7"/>
    <w:rsid w:val="0006048D"/>
    <w:rsid w:val="00060760"/>
    <w:rsid w:val="00061282"/>
    <w:rsid w:val="000619DB"/>
    <w:rsid w:val="00061B7A"/>
    <w:rsid w:val="00062D4D"/>
    <w:rsid w:val="00063074"/>
    <w:rsid w:val="000630A4"/>
    <w:rsid w:val="0006314D"/>
    <w:rsid w:val="000633E9"/>
    <w:rsid w:val="00063A88"/>
    <w:rsid w:val="00063A8A"/>
    <w:rsid w:val="00064A2A"/>
    <w:rsid w:val="00064A99"/>
    <w:rsid w:val="00065262"/>
    <w:rsid w:val="000652AF"/>
    <w:rsid w:val="0006534B"/>
    <w:rsid w:val="00065539"/>
    <w:rsid w:val="00065AB6"/>
    <w:rsid w:val="00065E8E"/>
    <w:rsid w:val="00066281"/>
    <w:rsid w:val="000668CA"/>
    <w:rsid w:val="00066910"/>
    <w:rsid w:val="0006734B"/>
    <w:rsid w:val="0006750B"/>
    <w:rsid w:val="00067B10"/>
    <w:rsid w:val="00067DD0"/>
    <w:rsid w:val="0007009C"/>
    <w:rsid w:val="00070203"/>
    <w:rsid w:val="00070913"/>
    <w:rsid w:val="00070E8F"/>
    <w:rsid w:val="00071862"/>
    <w:rsid w:val="00071946"/>
    <w:rsid w:val="00071A59"/>
    <w:rsid w:val="00071CB3"/>
    <w:rsid w:val="00072D5E"/>
    <w:rsid w:val="000732B2"/>
    <w:rsid w:val="000735AF"/>
    <w:rsid w:val="00073778"/>
    <w:rsid w:val="00073B48"/>
    <w:rsid w:val="00074A20"/>
    <w:rsid w:val="00074FC2"/>
    <w:rsid w:val="00075481"/>
    <w:rsid w:val="00076212"/>
    <w:rsid w:val="000766EA"/>
    <w:rsid w:val="00076999"/>
    <w:rsid w:val="00076C42"/>
    <w:rsid w:val="00076EDD"/>
    <w:rsid w:val="00077C8B"/>
    <w:rsid w:val="00077F75"/>
    <w:rsid w:val="00080C7B"/>
    <w:rsid w:val="000815A0"/>
    <w:rsid w:val="00082146"/>
    <w:rsid w:val="000822D3"/>
    <w:rsid w:val="00082F36"/>
    <w:rsid w:val="00083BF7"/>
    <w:rsid w:val="00083C00"/>
    <w:rsid w:val="0008529B"/>
    <w:rsid w:val="00085491"/>
    <w:rsid w:val="00085627"/>
    <w:rsid w:val="00086164"/>
    <w:rsid w:val="000868B4"/>
    <w:rsid w:val="00086C57"/>
    <w:rsid w:val="0008750A"/>
    <w:rsid w:val="00087846"/>
    <w:rsid w:val="000878CD"/>
    <w:rsid w:val="000902B3"/>
    <w:rsid w:val="000908A0"/>
    <w:rsid w:val="00090AA0"/>
    <w:rsid w:val="00091088"/>
    <w:rsid w:val="00091809"/>
    <w:rsid w:val="000919E4"/>
    <w:rsid w:val="00091BFF"/>
    <w:rsid w:val="00091F3D"/>
    <w:rsid w:val="00092179"/>
    <w:rsid w:val="000921DB"/>
    <w:rsid w:val="00093E78"/>
    <w:rsid w:val="0009444A"/>
    <w:rsid w:val="00094956"/>
    <w:rsid w:val="00094DDF"/>
    <w:rsid w:val="00095039"/>
    <w:rsid w:val="0009518C"/>
    <w:rsid w:val="00095843"/>
    <w:rsid w:val="00096334"/>
    <w:rsid w:val="000963CB"/>
    <w:rsid w:val="000966EC"/>
    <w:rsid w:val="00096A5C"/>
    <w:rsid w:val="00096C1E"/>
    <w:rsid w:val="00096DD1"/>
    <w:rsid w:val="00097073"/>
    <w:rsid w:val="0009717A"/>
    <w:rsid w:val="000973B1"/>
    <w:rsid w:val="000974D2"/>
    <w:rsid w:val="00097CFD"/>
    <w:rsid w:val="000A0345"/>
    <w:rsid w:val="000A03D1"/>
    <w:rsid w:val="000A052E"/>
    <w:rsid w:val="000A0C53"/>
    <w:rsid w:val="000A15FC"/>
    <w:rsid w:val="000A1E2A"/>
    <w:rsid w:val="000A2057"/>
    <w:rsid w:val="000A293E"/>
    <w:rsid w:val="000A2C90"/>
    <w:rsid w:val="000A2C9D"/>
    <w:rsid w:val="000A38F2"/>
    <w:rsid w:val="000A3FCB"/>
    <w:rsid w:val="000A4168"/>
    <w:rsid w:val="000A43D4"/>
    <w:rsid w:val="000A46C7"/>
    <w:rsid w:val="000A49E6"/>
    <w:rsid w:val="000A4D17"/>
    <w:rsid w:val="000A551D"/>
    <w:rsid w:val="000A5881"/>
    <w:rsid w:val="000A5BC6"/>
    <w:rsid w:val="000A60F4"/>
    <w:rsid w:val="000A645C"/>
    <w:rsid w:val="000A660B"/>
    <w:rsid w:val="000A78D9"/>
    <w:rsid w:val="000A7D78"/>
    <w:rsid w:val="000B234E"/>
    <w:rsid w:val="000B293F"/>
    <w:rsid w:val="000B38F0"/>
    <w:rsid w:val="000B395B"/>
    <w:rsid w:val="000B3AB2"/>
    <w:rsid w:val="000B3BDF"/>
    <w:rsid w:val="000B4608"/>
    <w:rsid w:val="000B483B"/>
    <w:rsid w:val="000B50A9"/>
    <w:rsid w:val="000B637F"/>
    <w:rsid w:val="000B66FC"/>
    <w:rsid w:val="000B6800"/>
    <w:rsid w:val="000B6D7A"/>
    <w:rsid w:val="000B73ED"/>
    <w:rsid w:val="000B768A"/>
    <w:rsid w:val="000B7870"/>
    <w:rsid w:val="000B78A0"/>
    <w:rsid w:val="000B7A8D"/>
    <w:rsid w:val="000B7AE2"/>
    <w:rsid w:val="000B7C37"/>
    <w:rsid w:val="000C09B1"/>
    <w:rsid w:val="000C0A1A"/>
    <w:rsid w:val="000C0B16"/>
    <w:rsid w:val="000C11D8"/>
    <w:rsid w:val="000C164F"/>
    <w:rsid w:val="000C1924"/>
    <w:rsid w:val="000C1A65"/>
    <w:rsid w:val="000C2248"/>
    <w:rsid w:val="000C2639"/>
    <w:rsid w:val="000C2903"/>
    <w:rsid w:val="000C2F76"/>
    <w:rsid w:val="000C34A7"/>
    <w:rsid w:val="000C36F7"/>
    <w:rsid w:val="000C3F36"/>
    <w:rsid w:val="000C4492"/>
    <w:rsid w:val="000C457C"/>
    <w:rsid w:val="000C4AC9"/>
    <w:rsid w:val="000C4DD5"/>
    <w:rsid w:val="000C508F"/>
    <w:rsid w:val="000C566C"/>
    <w:rsid w:val="000C5867"/>
    <w:rsid w:val="000C5B7D"/>
    <w:rsid w:val="000C5D7C"/>
    <w:rsid w:val="000C5EB8"/>
    <w:rsid w:val="000C5FBB"/>
    <w:rsid w:val="000C6436"/>
    <w:rsid w:val="000C67C2"/>
    <w:rsid w:val="000C6898"/>
    <w:rsid w:val="000C6D35"/>
    <w:rsid w:val="000C6E12"/>
    <w:rsid w:val="000C7738"/>
    <w:rsid w:val="000C7811"/>
    <w:rsid w:val="000C7DF7"/>
    <w:rsid w:val="000D0392"/>
    <w:rsid w:val="000D0497"/>
    <w:rsid w:val="000D04CF"/>
    <w:rsid w:val="000D08B4"/>
    <w:rsid w:val="000D0D97"/>
    <w:rsid w:val="000D0E93"/>
    <w:rsid w:val="000D135C"/>
    <w:rsid w:val="000D1ECD"/>
    <w:rsid w:val="000D1EDF"/>
    <w:rsid w:val="000D22D8"/>
    <w:rsid w:val="000D2897"/>
    <w:rsid w:val="000D4393"/>
    <w:rsid w:val="000D46B7"/>
    <w:rsid w:val="000D4DCA"/>
    <w:rsid w:val="000D55A3"/>
    <w:rsid w:val="000D5BFD"/>
    <w:rsid w:val="000D609F"/>
    <w:rsid w:val="000D63D5"/>
    <w:rsid w:val="000D68D0"/>
    <w:rsid w:val="000D6DEF"/>
    <w:rsid w:val="000D7831"/>
    <w:rsid w:val="000D7840"/>
    <w:rsid w:val="000D79B2"/>
    <w:rsid w:val="000D7FCC"/>
    <w:rsid w:val="000E0113"/>
    <w:rsid w:val="000E04EB"/>
    <w:rsid w:val="000E0578"/>
    <w:rsid w:val="000E07DF"/>
    <w:rsid w:val="000E11FF"/>
    <w:rsid w:val="000E2016"/>
    <w:rsid w:val="000E2146"/>
    <w:rsid w:val="000E29A9"/>
    <w:rsid w:val="000E2BEE"/>
    <w:rsid w:val="000E2CD6"/>
    <w:rsid w:val="000E3998"/>
    <w:rsid w:val="000E3999"/>
    <w:rsid w:val="000E3D15"/>
    <w:rsid w:val="000E3FCE"/>
    <w:rsid w:val="000E4968"/>
    <w:rsid w:val="000E4A19"/>
    <w:rsid w:val="000E4B5B"/>
    <w:rsid w:val="000E5044"/>
    <w:rsid w:val="000E54E5"/>
    <w:rsid w:val="000E5867"/>
    <w:rsid w:val="000E5A71"/>
    <w:rsid w:val="000E5D76"/>
    <w:rsid w:val="000E659A"/>
    <w:rsid w:val="000E69CE"/>
    <w:rsid w:val="000E6C1C"/>
    <w:rsid w:val="000E71F4"/>
    <w:rsid w:val="000E7AD5"/>
    <w:rsid w:val="000E7ADA"/>
    <w:rsid w:val="000F0743"/>
    <w:rsid w:val="000F08FF"/>
    <w:rsid w:val="000F09CD"/>
    <w:rsid w:val="000F0BCC"/>
    <w:rsid w:val="000F164A"/>
    <w:rsid w:val="000F18DD"/>
    <w:rsid w:val="000F1FEA"/>
    <w:rsid w:val="000F2123"/>
    <w:rsid w:val="000F214A"/>
    <w:rsid w:val="000F219C"/>
    <w:rsid w:val="000F27F1"/>
    <w:rsid w:val="000F43E5"/>
    <w:rsid w:val="000F4641"/>
    <w:rsid w:val="000F4761"/>
    <w:rsid w:val="000F4C21"/>
    <w:rsid w:val="000F5195"/>
    <w:rsid w:val="000F51E8"/>
    <w:rsid w:val="000F67A8"/>
    <w:rsid w:val="000F7239"/>
    <w:rsid w:val="000F7527"/>
    <w:rsid w:val="000F7F55"/>
    <w:rsid w:val="000F7F77"/>
    <w:rsid w:val="00101765"/>
    <w:rsid w:val="0010208B"/>
    <w:rsid w:val="001022C2"/>
    <w:rsid w:val="001027F9"/>
    <w:rsid w:val="0010296B"/>
    <w:rsid w:val="00103359"/>
    <w:rsid w:val="0010357F"/>
    <w:rsid w:val="0010358B"/>
    <w:rsid w:val="00103B65"/>
    <w:rsid w:val="00103DAE"/>
    <w:rsid w:val="001044A2"/>
    <w:rsid w:val="00104F8A"/>
    <w:rsid w:val="001053E3"/>
    <w:rsid w:val="00105697"/>
    <w:rsid w:val="00105A10"/>
    <w:rsid w:val="00105C23"/>
    <w:rsid w:val="00106193"/>
    <w:rsid w:val="001064A2"/>
    <w:rsid w:val="001066B7"/>
    <w:rsid w:val="00106EC7"/>
    <w:rsid w:val="00107B4B"/>
    <w:rsid w:val="00107D2D"/>
    <w:rsid w:val="00107F1D"/>
    <w:rsid w:val="001102D6"/>
    <w:rsid w:val="001106B1"/>
    <w:rsid w:val="00110B1D"/>
    <w:rsid w:val="00110E0D"/>
    <w:rsid w:val="001112EA"/>
    <w:rsid w:val="00111472"/>
    <w:rsid w:val="00112713"/>
    <w:rsid w:val="00112C32"/>
    <w:rsid w:val="00112C86"/>
    <w:rsid w:val="00112D7F"/>
    <w:rsid w:val="00113CB3"/>
    <w:rsid w:val="0011412B"/>
    <w:rsid w:val="00114CC8"/>
    <w:rsid w:val="00114CED"/>
    <w:rsid w:val="001153F2"/>
    <w:rsid w:val="0011579D"/>
    <w:rsid w:val="001157AC"/>
    <w:rsid w:val="0011614D"/>
    <w:rsid w:val="001167C4"/>
    <w:rsid w:val="00116ECB"/>
    <w:rsid w:val="00116EDE"/>
    <w:rsid w:val="0011735D"/>
    <w:rsid w:val="00117468"/>
    <w:rsid w:val="001177E9"/>
    <w:rsid w:val="00117B6F"/>
    <w:rsid w:val="001219C0"/>
    <w:rsid w:val="00121ADA"/>
    <w:rsid w:val="00121B07"/>
    <w:rsid w:val="00121C49"/>
    <w:rsid w:val="00121E52"/>
    <w:rsid w:val="00121EA8"/>
    <w:rsid w:val="00121EAB"/>
    <w:rsid w:val="00122533"/>
    <w:rsid w:val="0012265C"/>
    <w:rsid w:val="00122782"/>
    <w:rsid w:val="00122EB5"/>
    <w:rsid w:val="00122EFE"/>
    <w:rsid w:val="00123C84"/>
    <w:rsid w:val="0012401B"/>
    <w:rsid w:val="001244C8"/>
    <w:rsid w:val="0012501E"/>
    <w:rsid w:val="00125331"/>
    <w:rsid w:val="0012534A"/>
    <w:rsid w:val="001256C2"/>
    <w:rsid w:val="00125BF4"/>
    <w:rsid w:val="00125CB9"/>
    <w:rsid w:val="00126018"/>
    <w:rsid w:val="001260EC"/>
    <w:rsid w:val="001269E5"/>
    <w:rsid w:val="00126F8B"/>
    <w:rsid w:val="001278F1"/>
    <w:rsid w:val="00127EC0"/>
    <w:rsid w:val="001300F5"/>
    <w:rsid w:val="0013059D"/>
    <w:rsid w:val="00130910"/>
    <w:rsid w:val="00131623"/>
    <w:rsid w:val="00132DFD"/>
    <w:rsid w:val="001330C5"/>
    <w:rsid w:val="00133C39"/>
    <w:rsid w:val="00133D2F"/>
    <w:rsid w:val="00133DE0"/>
    <w:rsid w:val="001344F8"/>
    <w:rsid w:val="00134878"/>
    <w:rsid w:val="00134A02"/>
    <w:rsid w:val="00134B76"/>
    <w:rsid w:val="00134BFC"/>
    <w:rsid w:val="0013511D"/>
    <w:rsid w:val="00135776"/>
    <w:rsid w:val="0013587C"/>
    <w:rsid w:val="00136407"/>
    <w:rsid w:val="0013658B"/>
    <w:rsid w:val="001368D2"/>
    <w:rsid w:val="00136997"/>
    <w:rsid w:val="001376F3"/>
    <w:rsid w:val="001376FF"/>
    <w:rsid w:val="00137777"/>
    <w:rsid w:val="00137C14"/>
    <w:rsid w:val="001401DE"/>
    <w:rsid w:val="00141154"/>
    <w:rsid w:val="00141482"/>
    <w:rsid w:val="00141CC7"/>
    <w:rsid w:val="0014230C"/>
    <w:rsid w:val="001424DD"/>
    <w:rsid w:val="001431C2"/>
    <w:rsid w:val="001439FD"/>
    <w:rsid w:val="00143C7F"/>
    <w:rsid w:val="00144D1D"/>
    <w:rsid w:val="00145F98"/>
    <w:rsid w:val="0014602A"/>
    <w:rsid w:val="001463F7"/>
    <w:rsid w:val="0014642D"/>
    <w:rsid w:val="001464F6"/>
    <w:rsid w:val="00146EB8"/>
    <w:rsid w:val="0014737D"/>
    <w:rsid w:val="00147B0D"/>
    <w:rsid w:val="0015041B"/>
    <w:rsid w:val="00150437"/>
    <w:rsid w:val="00150568"/>
    <w:rsid w:val="001513F2"/>
    <w:rsid w:val="00151C40"/>
    <w:rsid w:val="00151F74"/>
    <w:rsid w:val="00152507"/>
    <w:rsid w:val="00152C12"/>
    <w:rsid w:val="00153D17"/>
    <w:rsid w:val="0015460D"/>
    <w:rsid w:val="00154AE2"/>
    <w:rsid w:val="00154BD1"/>
    <w:rsid w:val="00154E15"/>
    <w:rsid w:val="00154E31"/>
    <w:rsid w:val="00155188"/>
    <w:rsid w:val="00155319"/>
    <w:rsid w:val="00155368"/>
    <w:rsid w:val="0015585A"/>
    <w:rsid w:val="00155F7A"/>
    <w:rsid w:val="00155FC6"/>
    <w:rsid w:val="00156B7F"/>
    <w:rsid w:val="00156BD2"/>
    <w:rsid w:val="00156CF3"/>
    <w:rsid w:val="00156F47"/>
    <w:rsid w:val="001571FF"/>
    <w:rsid w:val="001573D9"/>
    <w:rsid w:val="001575CA"/>
    <w:rsid w:val="00157C7F"/>
    <w:rsid w:val="00160261"/>
    <w:rsid w:val="00160DC5"/>
    <w:rsid w:val="001611A8"/>
    <w:rsid w:val="0016136B"/>
    <w:rsid w:val="00161D53"/>
    <w:rsid w:val="00162124"/>
    <w:rsid w:val="00162F91"/>
    <w:rsid w:val="00162FFE"/>
    <w:rsid w:val="00163612"/>
    <w:rsid w:val="0016386D"/>
    <w:rsid w:val="00163D9E"/>
    <w:rsid w:val="00164373"/>
    <w:rsid w:val="001648F6"/>
    <w:rsid w:val="00164B1F"/>
    <w:rsid w:val="00164DA1"/>
    <w:rsid w:val="001653AE"/>
    <w:rsid w:val="001656D7"/>
    <w:rsid w:val="00165C02"/>
    <w:rsid w:val="001660F1"/>
    <w:rsid w:val="001663C6"/>
    <w:rsid w:val="001665F2"/>
    <w:rsid w:val="00166A37"/>
    <w:rsid w:val="00166CA5"/>
    <w:rsid w:val="00167B7D"/>
    <w:rsid w:val="0017018F"/>
    <w:rsid w:val="001701D8"/>
    <w:rsid w:val="00170219"/>
    <w:rsid w:val="0017040F"/>
    <w:rsid w:val="0017041B"/>
    <w:rsid w:val="00170B01"/>
    <w:rsid w:val="00170C04"/>
    <w:rsid w:val="001710C3"/>
    <w:rsid w:val="00171276"/>
    <w:rsid w:val="0017145F"/>
    <w:rsid w:val="001714EC"/>
    <w:rsid w:val="00171503"/>
    <w:rsid w:val="001716BF"/>
    <w:rsid w:val="00171A8C"/>
    <w:rsid w:val="00171AB1"/>
    <w:rsid w:val="00171CEB"/>
    <w:rsid w:val="00171F29"/>
    <w:rsid w:val="001726D9"/>
    <w:rsid w:val="00172D3A"/>
    <w:rsid w:val="00172F93"/>
    <w:rsid w:val="0017322B"/>
    <w:rsid w:val="001732D4"/>
    <w:rsid w:val="001735CA"/>
    <w:rsid w:val="001741B7"/>
    <w:rsid w:val="001749B5"/>
    <w:rsid w:val="00174B11"/>
    <w:rsid w:val="00174F0E"/>
    <w:rsid w:val="00174F41"/>
    <w:rsid w:val="00174F92"/>
    <w:rsid w:val="0017509A"/>
    <w:rsid w:val="001750E7"/>
    <w:rsid w:val="001752D0"/>
    <w:rsid w:val="001757A3"/>
    <w:rsid w:val="00176485"/>
    <w:rsid w:val="001768FC"/>
    <w:rsid w:val="00176C40"/>
    <w:rsid w:val="00177199"/>
    <w:rsid w:val="00177678"/>
    <w:rsid w:val="001776EA"/>
    <w:rsid w:val="00177785"/>
    <w:rsid w:val="00180E00"/>
    <w:rsid w:val="0018148A"/>
    <w:rsid w:val="0018226A"/>
    <w:rsid w:val="00182A5E"/>
    <w:rsid w:val="00182C0C"/>
    <w:rsid w:val="00182EF2"/>
    <w:rsid w:val="00183712"/>
    <w:rsid w:val="001838CD"/>
    <w:rsid w:val="0018439E"/>
    <w:rsid w:val="00185504"/>
    <w:rsid w:val="001857F1"/>
    <w:rsid w:val="00186019"/>
    <w:rsid w:val="001864FA"/>
    <w:rsid w:val="001866AA"/>
    <w:rsid w:val="00186802"/>
    <w:rsid w:val="00186C90"/>
    <w:rsid w:val="00186EBA"/>
    <w:rsid w:val="00187909"/>
    <w:rsid w:val="0018799A"/>
    <w:rsid w:val="00187A50"/>
    <w:rsid w:val="00187ADA"/>
    <w:rsid w:val="001903E1"/>
    <w:rsid w:val="00190B61"/>
    <w:rsid w:val="00191457"/>
    <w:rsid w:val="00191DBD"/>
    <w:rsid w:val="00192288"/>
    <w:rsid w:val="001922B5"/>
    <w:rsid w:val="00193821"/>
    <w:rsid w:val="00193D87"/>
    <w:rsid w:val="00194352"/>
    <w:rsid w:val="00194A24"/>
    <w:rsid w:val="00195040"/>
    <w:rsid w:val="001953EB"/>
    <w:rsid w:val="00196BA1"/>
    <w:rsid w:val="00196C53"/>
    <w:rsid w:val="00196D80"/>
    <w:rsid w:val="00197013"/>
    <w:rsid w:val="001972FA"/>
    <w:rsid w:val="00197864"/>
    <w:rsid w:val="00197A57"/>
    <w:rsid w:val="00197A7D"/>
    <w:rsid w:val="00197BE8"/>
    <w:rsid w:val="00197D6E"/>
    <w:rsid w:val="00197DE7"/>
    <w:rsid w:val="001A089F"/>
    <w:rsid w:val="001A0A83"/>
    <w:rsid w:val="001A0F2E"/>
    <w:rsid w:val="001A271C"/>
    <w:rsid w:val="001A34B6"/>
    <w:rsid w:val="001A3571"/>
    <w:rsid w:val="001A3CCF"/>
    <w:rsid w:val="001A3ECE"/>
    <w:rsid w:val="001A45D0"/>
    <w:rsid w:val="001A4C37"/>
    <w:rsid w:val="001A5B84"/>
    <w:rsid w:val="001A5ED8"/>
    <w:rsid w:val="001A618F"/>
    <w:rsid w:val="001A6535"/>
    <w:rsid w:val="001A6578"/>
    <w:rsid w:val="001A685E"/>
    <w:rsid w:val="001A6D26"/>
    <w:rsid w:val="001A72C3"/>
    <w:rsid w:val="001B0821"/>
    <w:rsid w:val="001B1280"/>
    <w:rsid w:val="001B18E9"/>
    <w:rsid w:val="001B1BD3"/>
    <w:rsid w:val="001B2164"/>
    <w:rsid w:val="001B2592"/>
    <w:rsid w:val="001B38D1"/>
    <w:rsid w:val="001B3B21"/>
    <w:rsid w:val="001B3BF6"/>
    <w:rsid w:val="001B430E"/>
    <w:rsid w:val="001B4700"/>
    <w:rsid w:val="001B4942"/>
    <w:rsid w:val="001B49CF"/>
    <w:rsid w:val="001B57EE"/>
    <w:rsid w:val="001B5DF2"/>
    <w:rsid w:val="001B5E84"/>
    <w:rsid w:val="001B6167"/>
    <w:rsid w:val="001B63DD"/>
    <w:rsid w:val="001B6768"/>
    <w:rsid w:val="001B67D0"/>
    <w:rsid w:val="001B6CFA"/>
    <w:rsid w:val="001B6DFA"/>
    <w:rsid w:val="001B7320"/>
    <w:rsid w:val="001B7360"/>
    <w:rsid w:val="001B7878"/>
    <w:rsid w:val="001C0140"/>
    <w:rsid w:val="001C038A"/>
    <w:rsid w:val="001C052C"/>
    <w:rsid w:val="001C073F"/>
    <w:rsid w:val="001C1039"/>
    <w:rsid w:val="001C19B5"/>
    <w:rsid w:val="001C1B07"/>
    <w:rsid w:val="001C1E13"/>
    <w:rsid w:val="001C1F62"/>
    <w:rsid w:val="001C2512"/>
    <w:rsid w:val="001C2E7B"/>
    <w:rsid w:val="001C3122"/>
    <w:rsid w:val="001C3617"/>
    <w:rsid w:val="001C39CB"/>
    <w:rsid w:val="001C3C2C"/>
    <w:rsid w:val="001C3E27"/>
    <w:rsid w:val="001C4DEC"/>
    <w:rsid w:val="001C50C4"/>
    <w:rsid w:val="001C542D"/>
    <w:rsid w:val="001C6883"/>
    <w:rsid w:val="001C6F5F"/>
    <w:rsid w:val="001C76CD"/>
    <w:rsid w:val="001C79F9"/>
    <w:rsid w:val="001C7AED"/>
    <w:rsid w:val="001D0157"/>
    <w:rsid w:val="001D05C1"/>
    <w:rsid w:val="001D0B79"/>
    <w:rsid w:val="001D0C72"/>
    <w:rsid w:val="001D0F54"/>
    <w:rsid w:val="001D1247"/>
    <w:rsid w:val="001D15C8"/>
    <w:rsid w:val="001D1847"/>
    <w:rsid w:val="001D1B55"/>
    <w:rsid w:val="001D1F22"/>
    <w:rsid w:val="001D20DC"/>
    <w:rsid w:val="001D2253"/>
    <w:rsid w:val="001D3223"/>
    <w:rsid w:val="001D35A3"/>
    <w:rsid w:val="001D3D43"/>
    <w:rsid w:val="001D3EFE"/>
    <w:rsid w:val="001D4047"/>
    <w:rsid w:val="001D511B"/>
    <w:rsid w:val="001D5241"/>
    <w:rsid w:val="001D5285"/>
    <w:rsid w:val="001D528C"/>
    <w:rsid w:val="001D5859"/>
    <w:rsid w:val="001D5D96"/>
    <w:rsid w:val="001D6111"/>
    <w:rsid w:val="001D62BE"/>
    <w:rsid w:val="001D77CC"/>
    <w:rsid w:val="001D7B85"/>
    <w:rsid w:val="001D7EFB"/>
    <w:rsid w:val="001E01F0"/>
    <w:rsid w:val="001E0952"/>
    <w:rsid w:val="001E1114"/>
    <w:rsid w:val="001E111A"/>
    <w:rsid w:val="001E11C3"/>
    <w:rsid w:val="001E138A"/>
    <w:rsid w:val="001E1A03"/>
    <w:rsid w:val="001E228E"/>
    <w:rsid w:val="001E25C6"/>
    <w:rsid w:val="001E26D8"/>
    <w:rsid w:val="001E2710"/>
    <w:rsid w:val="001E2B13"/>
    <w:rsid w:val="001E31F4"/>
    <w:rsid w:val="001E3CEE"/>
    <w:rsid w:val="001E3E7D"/>
    <w:rsid w:val="001E4627"/>
    <w:rsid w:val="001E472C"/>
    <w:rsid w:val="001E4B7F"/>
    <w:rsid w:val="001E4B8F"/>
    <w:rsid w:val="001E525F"/>
    <w:rsid w:val="001E5C60"/>
    <w:rsid w:val="001E5F0E"/>
    <w:rsid w:val="001E6AB8"/>
    <w:rsid w:val="001E77EE"/>
    <w:rsid w:val="001E7F14"/>
    <w:rsid w:val="001F04CF"/>
    <w:rsid w:val="001F06E0"/>
    <w:rsid w:val="001F09A4"/>
    <w:rsid w:val="001F0AB1"/>
    <w:rsid w:val="001F0DFD"/>
    <w:rsid w:val="001F125A"/>
    <w:rsid w:val="001F20CD"/>
    <w:rsid w:val="001F2668"/>
    <w:rsid w:val="001F2B8B"/>
    <w:rsid w:val="001F2CEC"/>
    <w:rsid w:val="001F2F2A"/>
    <w:rsid w:val="001F409B"/>
    <w:rsid w:val="001F4189"/>
    <w:rsid w:val="001F445B"/>
    <w:rsid w:val="001F4AAC"/>
    <w:rsid w:val="001F4CF8"/>
    <w:rsid w:val="001F4F77"/>
    <w:rsid w:val="001F559B"/>
    <w:rsid w:val="001F60EE"/>
    <w:rsid w:val="001F7296"/>
    <w:rsid w:val="001F73BA"/>
    <w:rsid w:val="001F7553"/>
    <w:rsid w:val="001F78F8"/>
    <w:rsid w:val="002005CE"/>
    <w:rsid w:val="002007C4"/>
    <w:rsid w:val="00201098"/>
    <w:rsid w:val="0020169A"/>
    <w:rsid w:val="002028AE"/>
    <w:rsid w:val="00202C89"/>
    <w:rsid w:val="00203836"/>
    <w:rsid w:val="00203B73"/>
    <w:rsid w:val="00203DDA"/>
    <w:rsid w:val="002043D6"/>
    <w:rsid w:val="002045CF"/>
    <w:rsid w:val="00204731"/>
    <w:rsid w:val="00204915"/>
    <w:rsid w:val="00204B73"/>
    <w:rsid w:val="00204D27"/>
    <w:rsid w:val="00204E4E"/>
    <w:rsid w:val="00205047"/>
    <w:rsid w:val="002057C9"/>
    <w:rsid w:val="0020593A"/>
    <w:rsid w:val="00205F29"/>
    <w:rsid w:val="00206314"/>
    <w:rsid w:val="00206795"/>
    <w:rsid w:val="002068DE"/>
    <w:rsid w:val="00206C07"/>
    <w:rsid w:val="00206D8B"/>
    <w:rsid w:val="00206F06"/>
    <w:rsid w:val="00207887"/>
    <w:rsid w:val="00210BB1"/>
    <w:rsid w:val="00210C53"/>
    <w:rsid w:val="002111FE"/>
    <w:rsid w:val="002112E3"/>
    <w:rsid w:val="002117B1"/>
    <w:rsid w:val="00212837"/>
    <w:rsid w:val="00213C5F"/>
    <w:rsid w:val="00213CF4"/>
    <w:rsid w:val="00213CFC"/>
    <w:rsid w:val="002143EF"/>
    <w:rsid w:val="002154B8"/>
    <w:rsid w:val="002157C9"/>
    <w:rsid w:val="00215B70"/>
    <w:rsid w:val="00215D21"/>
    <w:rsid w:val="002160D3"/>
    <w:rsid w:val="002160D6"/>
    <w:rsid w:val="00216129"/>
    <w:rsid w:val="0021627F"/>
    <w:rsid w:val="0021648F"/>
    <w:rsid w:val="00216AE3"/>
    <w:rsid w:val="0021708B"/>
    <w:rsid w:val="00217142"/>
    <w:rsid w:val="00220043"/>
    <w:rsid w:val="00220A25"/>
    <w:rsid w:val="00220FEA"/>
    <w:rsid w:val="00221487"/>
    <w:rsid w:val="0022159C"/>
    <w:rsid w:val="002219B3"/>
    <w:rsid w:val="00221A0F"/>
    <w:rsid w:val="00221CBE"/>
    <w:rsid w:val="00222129"/>
    <w:rsid w:val="00222AE2"/>
    <w:rsid w:val="00222D2F"/>
    <w:rsid w:val="0022392F"/>
    <w:rsid w:val="00223A42"/>
    <w:rsid w:val="002245C1"/>
    <w:rsid w:val="00224736"/>
    <w:rsid w:val="00224DFF"/>
    <w:rsid w:val="00225711"/>
    <w:rsid w:val="00225AAF"/>
    <w:rsid w:val="00225CBA"/>
    <w:rsid w:val="00226219"/>
    <w:rsid w:val="00226BE2"/>
    <w:rsid w:val="002270B7"/>
    <w:rsid w:val="00227251"/>
    <w:rsid w:val="00227E4F"/>
    <w:rsid w:val="00230C7F"/>
    <w:rsid w:val="00230CE4"/>
    <w:rsid w:val="00230D10"/>
    <w:rsid w:val="00230E2A"/>
    <w:rsid w:val="002313EB"/>
    <w:rsid w:val="00231534"/>
    <w:rsid w:val="00231723"/>
    <w:rsid w:val="00232096"/>
    <w:rsid w:val="0023283B"/>
    <w:rsid w:val="002328C1"/>
    <w:rsid w:val="00232941"/>
    <w:rsid w:val="00232B1E"/>
    <w:rsid w:val="00232C7C"/>
    <w:rsid w:val="00233A12"/>
    <w:rsid w:val="00233E48"/>
    <w:rsid w:val="002343D8"/>
    <w:rsid w:val="00234522"/>
    <w:rsid w:val="00234AC4"/>
    <w:rsid w:val="00234B81"/>
    <w:rsid w:val="00234D02"/>
    <w:rsid w:val="002354BC"/>
    <w:rsid w:val="002359F2"/>
    <w:rsid w:val="00235C28"/>
    <w:rsid w:val="00235F82"/>
    <w:rsid w:val="0023683C"/>
    <w:rsid w:val="00236BE4"/>
    <w:rsid w:val="00236F3F"/>
    <w:rsid w:val="00237FF1"/>
    <w:rsid w:val="00240542"/>
    <w:rsid w:val="002405B0"/>
    <w:rsid w:val="00240739"/>
    <w:rsid w:val="00240B96"/>
    <w:rsid w:val="0024105B"/>
    <w:rsid w:val="00241154"/>
    <w:rsid w:val="00241D20"/>
    <w:rsid w:val="00241F1D"/>
    <w:rsid w:val="0024295B"/>
    <w:rsid w:val="00242988"/>
    <w:rsid w:val="00242A38"/>
    <w:rsid w:val="00242AE0"/>
    <w:rsid w:val="00242BB1"/>
    <w:rsid w:val="002436B1"/>
    <w:rsid w:val="00243731"/>
    <w:rsid w:val="002446AF"/>
    <w:rsid w:val="00244B85"/>
    <w:rsid w:val="00244FAB"/>
    <w:rsid w:val="002451B0"/>
    <w:rsid w:val="0024615A"/>
    <w:rsid w:val="00247553"/>
    <w:rsid w:val="00247773"/>
    <w:rsid w:val="00247B92"/>
    <w:rsid w:val="002503A7"/>
    <w:rsid w:val="00250699"/>
    <w:rsid w:val="00250946"/>
    <w:rsid w:val="002512B4"/>
    <w:rsid w:val="002531E7"/>
    <w:rsid w:val="0025444A"/>
    <w:rsid w:val="0025472D"/>
    <w:rsid w:val="00254B89"/>
    <w:rsid w:val="00257802"/>
    <w:rsid w:val="00257971"/>
    <w:rsid w:val="00257A9B"/>
    <w:rsid w:val="0026040E"/>
    <w:rsid w:val="00260874"/>
    <w:rsid w:val="00260D9A"/>
    <w:rsid w:val="002618C9"/>
    <w:rsid w:val="00262012"/>
    <w:rsid w:val="00263396"/>
    <w:rsid w:val="00263E3D"/>
    <w:rsid w:val="00264572"/>
    <w:rsid w:val="002647AF"/>
    <w:rsid w:val="00265815"/>
    <w:rsid w:val="00265EDC"/>
    <w:rsid w:val="00265EE5"/>
    <w:rsid w:val="00266867"/>
    <w:rsid w:val="00266EC9"/>
    <w:rsid w:val="00266F60"/>
    <w:rsid w:val="002676DA"/>
    <w:rsid w:val="00267A21"/>
    <w:rsid w:val="00267C6C"/>
    <w:rsid w:val="00267D03"/>
    <w:rsid w:val="00267E5F"/>
    <w:rsid w:val="00270312"/>
    <w:rsid w:val="00270337"/>
    <w:rsid w:val="002707D3"/>
    <w:rsid w:val="00270DC9"/>
    <w:rsid w:val="00270F7B"/>
    <w:rsid w:val="002710B2"/>
    <w:rsid w:val="002718A4"/>
    <w:rsid w:val="002724EB"/>
    <w:rsid w:val="002726EF"/>
    <w:rsid w:val="00272930"/>
    <w:rsid w:val="0027295B"/>
    <w:rsid w:val="00273598"/>
    <w:rsid w:val="00273C2F"/>
    <w:rsid w:val="00273F00"/>
    <w:rsid w:val="00274497"/>
    <w:rsid w:val="002747C7"/>
    <w:rsid w:val="00274971"/>
    <w:rsid w:val="00274F22"/>
    <w:rsid w:val="002756A3"/>
    <w:rsid w:val="00276B44"/>
    <w:rsid w:val="00276BDD"/>
    <w:rsid w:val="00276C17"/>
    <w:rsid w:val="00277299"/>
    <w:rsid w:val="0027735C"/>
    <w:rsid w:val="00280394"/>
    <w:rsid w:val="002811A0"/>
    <w:rsid w:val="00281311"/>
    <w:rsid w:val="0028132C"/>
    <w:rsid w:val="00281378"/>
    <w:rsid w:val="002816CB"/>
    <w:rsid w:val="002818FF"/>
    <w:rsid w:val="00281BAB"/>
    <w:rsid w:val="00281EE7"/>
    <w:rsid w:val="00281F53"/>
    <w:rsid w:val="00282703"/>
    <w:rsid w:val="00282B4B"/>
    <w:rsid w:val="00282D6F"/>
    <w:rsid w:val="00282DA4"/>
    <w:rsid w:val="00283276"/>
    <w:rsid w:val="00283558"/>
    <w:rsid w:val="002839E0"/>
    <w:rsid w:val="00284A8B"/>
    <w:rsid w:val="00284AD2"/>
    <w:rsid w:val="00284CA4"/>
    <w:rsid w:val="00284E9C"/>
    <w:rsid w:val="00285160"/>
    <w:rsid w:val="00285B4C"/>
    <w:rsid w:val="00285FBD"/>
    <w:rsid w:val="0028616B"/>
    <w:rsid w:val="00286214"/>
    <w:rsid w:val="0028628A"/>
    <w:rsid w:val="0028669D"/>
    <w:rsid w:val="002866F1"/>
    <w:rsid w:val="0028682D"/>
    <w:rsid w:val="00286D8A"/>
    <w:rsid w:val="0028700E"/>
    <w:rsid w:val="0028788F"/>
    <w:rsid w:val="00287A7C"/>
    <w:rsid w:val="00287AB2"/>
    <w:rsid w:val="00290A7E"/>
    <w:rsid w:val="002911AC"/>
    <w:rsid w:val="00291800"/>
    <w:rsid w:val="0029190E"/>
    <w:rsid w:val="00291AD2"/>
    <w:rsid w:val="00291BD4"/>
    <w:rsid w:val="0029282D"/>
    <w:rsid w:val="00292D14"/>
    <w:rsid w:val="00293131"/>
    <w:rsid w:val="002933ED"/>
    <w:rsid w:val="002937AB"/>
    <w:rsid w:val="002937BD"/>
    <w:rsid w:val="002938CC"/>
    <w:rsid w:val="00293A39"/>
    <w:rsid w:val="00293F36"/>
    <w:rsid w:val="002943C1"/>
    <w:rsid w:val="002944C6"/>
    <w:rsid w:val="00294A7A"/>
    <w:rsid w:val="00294BAC"/>
    <w:rsid w:val="00295316"/>
    <w:rsid w:val="00295BE8"/>
    <w:rsid w:val="00296631"/>
    <w:rsid w:val="00296C4B"/>
    <w:rsid w:val="002971CD"/>
    <w:rsid w:val="00297554"/>
    <w:rsid w:val="002977C1"/>
    <w:rsid w:val="00297CB8"/>
    <w:rsid w:val="00297F35"/>
    <w:rsid w:val="002A0CC3"/>
    <w:rsid w:val="002A100D"/>
    <w:rsid w:val="002A1197"/>
    <w:rsid w:val="002A1577"/>
    <w:rsid w:val="002A19D0"/>
    <w:rsid w:val="002A1B86"/>
    <w:rsid w:val="002A1C19"/>
    <w:rsid w:val="002A1E5A"/>
    <w:rsid w:val="002A2D3F"/>
    <w:rsid w:val="002A33F0"/>
    <w:rsid w:val="002A345A"/>
    <w:rsid w:val="002A34BB"/>
    <w:rsid w:val="002A3638"/>
    <w:rsid w:val="002A4062"/>
    <w:rsid w:val="002A439F"/>
    <w:rsid w:val="002A48C7"/>
    <w:rsid w:val="002A4E32"/>
    <w:rsid w:val="002A591A"/>
    <w:rsid w:val="002A591C"/>
    <w:rsid w:val="002A62D4"/>
    <w:rsid w:val="002A635C"/>
    <w:rsid w:val="002A63CD"/>
    <w:rsid w:val="002A6622"/>
    <w:rsid w:val="002A6735"/>
    <w:rsid w:val="002A6BEF"/>
    <w:rsid w:val="002A6BF5"/>
    <w:rsid w:val="002A6EC4"/>
    <w:rsid w:val="002A6FCB"/>
    <w:rsid w:val="002A733C"/>
    <w:rsid w:val="002A7527"/>
    <w:rsid w:val="002A7560"/>
    <w:rsid w:val="002A75D7"/>
    <w:rsid w:val="002A7837"/>
    <w:rsid w:val="002A7958"/>
    <w:rsid w:val="002B007D"/>
    <w:rsid w:val="002B00EB"/>
    <w:rsid w:val="002B299C"/>
    <w:rsid w:val="002B2C17"/>
    <w:rsid w:val="002B31BF"/>
    <w:rsid w:val="002B3F92"/>
    <w:rsid w:val="002B3FB0"/>
    <w:rsid w:val="002B42BB"/>
    <w:rsid w:val="002B4B5C"/>
    <w:rsid w:val="002B4E9F"/>
    <w:rsid w:val="002B6A35"/>
    <w:rsid w:val="002B6B9B"/>
    <w:rsid w:val="002B70D9"/>
    <w:rsid w:val="002B75A9"/>
    <w:rsid w:val="002B78D4"/>
    <w:rsid w:val="002B7FB5"/>
    <w:rsid w:val="002C03C4"/>
    <w:rsid w:val="002C052C"/>
    <w:rsid w:val="002C06EF"/>
    <w:rsid w:val="002C075C"/>
    <w:rsid w:val="002C0A3D"/>
    <w:rsid w:val="002C0B40"/>
    <w:rsid w:val="002C0BE8"/>
    <w:rsid w:val="002C14D4"/>
    <w:rsid w:val="002C1778"/>
    <w:rsid w:val="002C1AA9"/>
    <w:rsid w:val="002C23C7"/>
    <w:rsid w:val="002C2497"/>
    <w:rsid w:val="002C24B6"/>
    <w:rsid w:val="002C29DD"/>
    <w:rsid w:val="002C3598"/>
    <w:rsid w:val="002C3A44"/>
    <w:rsid w:val="002C3F59"/>
    <w:rsid w:val="002C457B"/>
    <w:rsid w:val="002C4AF4"/>
    <w:rsid w:val="002C4B03"/>
    <w:rsid w:val="002C4C63"/>
    <w:rsid w:val="002C4C9F"/>
    <w:rsid w:val="002C4E9C"/>
    <w:rsid w:val="002C4F4D"/>
    <w:rsid w:val="002C5242"/>
    <w:rsid w:val="002C5776"/>
    <w:rsid w:val="002C5CA1"/>
    <w:rsid w:val="002C5CD0"/>
    <w:rsid w:val="002C702C"/>
    <w:rsid w:val="002C73D1"/>
    <w:rsid w:val="002C7923"/>
    <w:rsid w:val="002D00DF"/>
    <w:rsid w:val="002D06D1"/>
    <w:rsid w:val="002D13C7"/>
    <w:rsid w:val="002D1826"/>
    <w:rsid w:val="002D184E"/>
    <w:rsid w:val="002D20A3"/>
    <w:rsid w:val="002D459F"/>
    <w:rsid w:val="002D4BD4"/>
    <w:rsid w:val="002D50F4"/>
    <w:rsid w:val="002D5675"/>
    <w:rsid w:val="002D56B5"/>
    <w:rsid w:val="002D5DDE"/>
    <w:rsid w:val="002D61B4"/>
    <w:rsid w:val="002D6B21"/>
    <w:rsid w:val="002D6F89"/>
    <w:rsid w:val="002D7092"/>
    <w:rsid w:val="002D75E4"/>
    <w:rsid w:val="002D795F"/>
    <w:rsid w:val="002E06BA"/>
    <w:rsid w:val="002E07B5"/>
    <w:rsid w:val="002E092A"/>
    <w:rsid w:val="002E0DB1"/>
    <w:rsid w:val="002E1265"/>
    <w:rsid w:val="002E139C"/>
    <w:rsid w:val="002E1D79"/>
    <w:rsid w:val="002E21F6"/>
    <w:rsid w:val="002E24F3"/>
    <w:rsid w:val="002E271A"/>
    <w:rsid w:val="002E2AA9"/>
    <w:rsid w:val="002E2DBB"/>
    <w:rsid w:val="002E2DCE"/>
    <w:rsid w:val="002E3244"/>
    <w:rsid w:val="002E35FE"/>
    <w:rsid w:val="002E3F14"/>
    <w:rsid w:val="002E4481"/>
    <w:rsid w:val="002E4AF3"/>
    <w:rsid w:val="002E4DCE"/>
    <w:rsid w:val="002E5A24"/>
    <w:rsid w:val="002E5B00"/>
    <w:rsid w:val="002E67A1"/>
    <w:rsid w:val="002E6869"/>
    <w:rsid w:val="002E6958"/>
    <w:rsid w:val="002E6E5B"/>
    <w:rsid w:val="002E76CB"/>
    <w:rsid w:val="002E77DF"/>
    <w:rsid w:val="002F019C"/>
    <w:rsid w:val="002F04A9"/>
    <w:rsid w:val="002F0A2D"/>
    <w:rsid w:val="002F0BBA"/>
    <w:rsid w:val="002F0FD7"/>
    <w:rsid w:val="002F1125"/>
    <w:rsid w:val="002F191E"/>
    <w:rsid w:val="002F198C"/>
    <w:rsid w:val="002F1A74"/>
    <w:rsid w:val="002F1BB2"/>
    <w:rsid w:val="002F1C9C"/>
    <w:rsid w:val="002F1DCA"/>
    <w:rsid w:val="002F2391"/>
    <w:rsid w:val="002F2BD2"/>
    <w:rsid w:val="002F324E"/>
    <w:rsid w:val="002F3629"/>
    <w:rsid w:val="002F3701"/>
    <w:rsid w:val="002F37C0"/>
    <w:rsid w:val="002F3979"/>
    <w:rsid w:val="002F3EE7"/>
    <w:rsid w:val="002F4676"/>
    <w:rsid w:val="002F4F29"/>
    <w:rsid w:val="002F592C"/>
    <w:rsid w:val="002F602D"/>
    <w:rsid w:val="002F60C4"/>
    <w:rsid w:val="002F6ADC"/>
    <w:rsid w:val="002F74DB"/>
    <w:rsid w:val="002F7A1C"/>
    <w:rsid w:val="002F7C89"/>
    <w:rsid w:val="002F7DE4"/>
    <w:rsid w:val="002F7FE6"/>
    <w:rsid w:val="0030027B"/>
    <w:rsid w:val="003014E1"/>
    <w:rsid w:val="003017C7"/>
    <w:rsid w:val="00301857"/>
    <w:rsid w:val="00301C3B"/>
    <w:rsid w:val="003026E8"/>
    <w:rsid w:val="0030292F"/>
    <w:rsid w:val="00303143"/>
    <w:rsid w:val="00303164"/>
    <w:rsid w:val="003031E0"/>
    <w:rsid w:val="0030403B"/>
    <w:rsid w:val="0030416F"/>
    <w:rsid w:val="00304311"/>
    <w:rsid w:val="003045AD"/>
    <w:rsid w:val="00304A94"/>
    <w:rsid w:val="00304C49"/>
    <w:rsid w:val="00305037"/>
    <w:rsid w:val="0030528E"/>
    <w:rsid w:val="00306102"/>
    <w:rsid w:val="0030653F"/>
    <w:rsid w:val="00306824"/>
    <w:rsid w:val="003076AD"/>
    <w:rsid w:val="003078DF"/>
    <w:rsid w:val="00307B67"/>
    <w:rsid w:val="00307D18"/>
    <w:rsid w:val="003108B8"/>
    <w:rsid w:val="00310980"/>
    <w:rsid w:val="00310AF6"/>
    <w:rsid w:val="00310EDC"/>
    <w:rsid w:val="003110C2"/>
    <w:rsid w:val="00311238"/>
    <w:rsid w:val="003112E3"/>
    <w:rsid w:val="0031160F"/>
    <w:rsid w:val="0031174E"/>
    <w:rsid w:val="00311A50"/>
    <w:rsid w:val="00312343"/>
    <w:rsid w:val="00312B7B"/>
    <w:rsid w:val="00312FBF"/>
    <w:rsid w:val="0031315D"/>
    <w:rsid w:val="00313325"/>
    <w:rsid w:val="00314127"/>
    <w:rsid w:val="003149E0"/>
    <w:rsid w:val="003152EA"/>
    <w:rsid w:val="00315460"/>
    <w:rsid w:val="0031554C"/>
    <w:rsid w:val="003156EF"/>
    <w:rsid w:val="003159F2"/>
    <w:rsid w:val="00316132"/>
    <w:rsid w:val="0031639E"/>
    <w:rsid w:val="00316686"/>
    <w:rsid w:val="003168DB"/>
    <w:rsid w:val="00317235"/>
    <w:rsid w:val="003174EE"/>
    <w:rsid w:val="00320231"/>
    <w:rsid w:val="00320617"/>
    <w:rsid w:val="003216F7"/>
    <w:rsid w:val="00321BA4"/>
    <w:rsid w:val="00321BB9"/>
    <w:rsid w:val="00321D6E"/>
    <w:rsid w:val="00321FBD"/>
    <w:rsid w:val="00322826"/>
    <w:rsid w:val="00322A6A"/>
    <w:rsid w:val="00322ABC"/>
    <w:rsid w:val="00323221"/>
    <w:rsid w:val="0032399E"/>
    <w:rsid w:val="00324073"/>
    <w:rsid w:val="0032428A"/>
    <w:rsid w:val="00324B30"/>
    <w:rsid w:val="00324B3E"/>
    <w:rsid w:val="0032510A"/>
    <w:rsid w:val="00325F53"/>
    <w:rsid w:val="003260E6"/>
    <w:rsid w:val="003267F6"/>
    <w:rsid w:val="00326D09"/>
    <w:rsid w:val="00326E1F"/>
    <w:rsid w:val="00327250"/>
    <w:rsid w:val="0032774D"/>
    <w:rsid w:val="0032789C"/>
    <w:rsid w:val="00327E58"/>
    <w:rsid w:val="00327E93"/>
    <w:rsid w:val="00327FCC"/>
    <w:rsid w:val="003309BB"/>
    <w:rsid w:val="00330D5F"/>
    <w:rsid w:val="003314DB"/>
    <w:rsid w:val="003316F0"/>
    <w:rsid w:val="00331914"/>
    <w:rsid w:val="00331B1C"/>
    <w:rsid w:val="00331C3E"/>
    <w:rsid w:val="003323C3"/>
    <w:rsid w:val="003326FF"/>
    <w:rsid w:val="00332951"/>
    <w:rsid w:val="00332A45"/>
    <w:rsid w:val="00332EEB"/>
    <w:rsid w:val="003335FF"/>
    <w:rsid w:val="00333EEA"/>
    <w:rsid w:val="00334437"/>
    <w:rsid w:val="00334A60"/>
    <w:rsid w:val="003355E3"/>
    <w:rsid w:val="00335B19"/>
    <w:rsid w:val="00335E1E"/>
    <w:rsid w:val="00336457"/>
    <w:rsid w:val="00336628"/>
    <w:rsid w:val="003366B0"/>
    <w:rsid w:val="00336C4E"/>
    <w:rsid w:val="003371FF"/>
    <w:rsid w:val="003376C2"/>
    <w:rsid w:val="00337CD6"/>
    <w:rsid w:val="003400F9"/>
    <w:rsid w:val="003401C1"/>
    <w:rsid w:val="003405A6"/>
    <w:rsid w:val="00340E97"/>
    <w:rsid w:val="003419F5"/>
    <w:rsid w:val="00342136"/>
    <w:rsid w:val="0034227C"/>
    <w:rsid w:val="003428CA"/>
    <w:rsid w:val="003430D9"/>
    <w:rsid w:val="003430EA"/>
    <w:rsid w:val="0034382D"/>
    <w:rsid w:val="003438AA"/>
    <w:rsid w:val="003445E4"/>
    <w:rsid w:val="0034514B"/>
    <w:rsid w:val="0034536B"/>
    <w:rsid w:val="003454E3"/>
    <w:rsid w:val="00345C03"/>
    <w:rsid w:val="003461F7"/>
    <w:rsid w:val="00346243"/>
    <w:rsid w:val="0034629C"/>
    <w:rsid w:val="0034652D"/>
    <w:rsid w:val="003476F6"/>
    <w:rsid w:val="00347912"/>
    <w:rsid w:val="00347B0B"/>
    <w:rsid w:val="00347C81"/>
    <w:rsid w:val="00350D68"/>
    <w:rsid w:val="003517CB"/>
    <w:rsid w:val="00352CC3"/>
    <w:rsid w:val="00353504"/>
    <w:rsid w:val="00353D60"/>
    <w:rsid w:val="003548BB"/>
    <w:rsid w:val="0035499A"/>
    <w:rsid w:val="00354CAC"/>
    <w:rsid w:val="00354F6C"/>
    <w:rsid w:val="003558A7"/>
    <w:rsid w:val="00355FC6"/>
    <w:rsid w:val="00356422"/>
    <w:rsid w:val="00356547"/>
    <w:rsid w:val="00356AFC"/>
    <w:rsid w:val="00356D81"/>
    <w:rsid w:val="00356F8B"/>
    <w:rsid w:val="00357086"/>
    <w:rsid w:val="00357689"/>
    <w:rsid w:val="00357F70"/>
    <w:rsid w:val="00360138"/>
    <w:rsid w:val="003605B7"/>
    <w:rsid w:val="003605CE"/>
    <w:rsid w:val="003609A1"/>
    <w:rsid w:val="00360C9C"/>
    <w:rsid w:val="00360D31"/>
    <w:rsid w:val="0036116F"/>
    <w:rsid w:val="00361810"/>
    <w:rsid w:val="00361B12"/>
    <w:rsid w:val="00361B55"/>
    <w:rsid w:val="00361B59"/>
    <w:rsid w:val="00362505"/>
    <w:rsid w:val="00362E47"/>
    <w:rsid w:val="0036376E"/>
    <w:rsid w:val="00363C41"/>
    <w:rsid w:val="003643CE"/>
    <w:rsid w:val="00364F16"/>
    <w:rsid w:val="00365873"/>
    <w:rsid w:val="00365B78"/>
    <w:rsid w:val="00366957"/>
    <w:rsid w:val="003679A3"/>
    <w:rsid w:val="00367C0B"/>
    <w:rsid w:val="00367DC1"/>
    <w:rsid w:val="00370840"/>
    <w:rsid w:val="00370EEC"/>
    <w:rsid w:val="003717DB"/>
    <w:rsid w:val="00371B44"/>
    <w:rsid w:val="00372155"/>
    <w:rsid w:val="003726AA"/>
    <w:rsid w:val="00372905"/>
    <w:rsid w:val="00372AB6"/>
    <w:rsid w:val="00372B0B"/>
    <w:rsid w:val="00372CBD"/>
    <w:rsid w:val="00373286"/>
    <w:rsid w:val="00373AE5"/>
    <w:rsid w:val="00373BCD"/>
    <w:rsid w:val="00373F17"/>
    <w:rsid w:val="003741A0"/>
    <w:rsid w:val="003742B7"/>
    <w:rsid w:val="0037458F"/>
    <w:rsid w:val="00374E29"/>
    <w:rsid w:val="00375BB6"/>
    <w:rsid w:val="00375E4F"/>
    <w:rsid w:val="00375FCC"/>
    <w:rsid w:val="00375FD0"/>
    <w:rsid w:val="003761D4"/>
    <w:rsid w:val="003763ED"/>
    <w:rsid w:val="00376517"/>
    <w:rsid w:val="00376618"/>
    <w:rsid w:val="00377089"/>
    <w:rsid w:val="003800A2"/>
    <w:rsid w:val="00380118"/>
    <w:rsid w:val="00380CA3"/>
    <w:rsid w:val="0038159E"/>
    <w:rsid w:val="00381616"/>
    <w:rsid w:val="00382037"/>
    <w:rsid w:val="00382366"/>
    <w:rsid w:val="003825CE"/>
    <w:rsid w:val="00383427"/>
    <w:rsid w:val="0038351C"/>
    <w:rsid w:val="00383755"/>
    <w:rsid w:val="00383D33"/>
    <w:rsid w:val="00384734"/>
    <w:rsid w:val="00384CBB"/>
    <w:rsid w:val="00386097"/>
    <w:rsid w:val="0038651B"/>
    <w:rsid w:val="0038653A"/>
    <w:rsid w:val="0038661A"/>
    <w:rsid w:val="00387CE0"/>
    <w:rsid w:val="0039011A"/>
    <w:rsid w:val="00390F88"/>
    <w:rsid w:val="003911CB"/>
    <w:rsid w:val="003911FB"/>
    <w:rsid w:val="0039146E"/>
    <w:rsid w:val="00392B16"/>
    <w:rsid w:val="003934D4"/>
    <w:rsid w:val="00393685"/>
    <w:rsid w:val="0039375C"/>
    <w:rsid w:val="00393A3F"/>
    <w:rsid w:val="00393E22"/>
    <w:rsid w:val="00393E9D"/>
    <w:rsid w:val="0039437A"/>
    <w:rsid w:val="003949BA"/>
    <w:rsid w:val="00395603"/>
    <w:rsid w:val="0039562A"/>
    <w:rsid w:val="0039593E"/>
    <w:rsid w:val="00395DBF"/>
    <w:rsid w:val="0039618F"/>
    <w:rsid w:val="0039693D"/>
    <w:rsid w:val="0039698C"/>
    <w:rsid w:val="00396A2B"/>
    <w:rsid w:val="00396B9B"/>
    <w:rsid w:val="00396C8B"/>
    <w:rsid w:val="00397101"/>
    <w:rsid w:val="003977CC"/>
    <w:rsid w:val="003A0225"/>
    <w:rsid w:val="003A083A"/>
    <w:rsid w:val="003A0D50"/>
    <w:rsid w:val="003A11E6"/>
    <w:rsid w:val="003A156B"/>
    <w:rsid w:val="003A1EF3"/>
    <w:rsid w:val="003A22B6"/>
    <w:rsid w:val="003A28C2"/>
    <w:rsid w:val="003A2B00"/>
    <w:rsid w:val="003A2CF1"/>
    <w:rsid w:val="003A2DF7"/>
    <w:rsid w:val="003A3E8E"/>
    <w:rsid w:val="003A3F44"/>
    <w:rsid w:val="003A449D"/>
    <w:rsid w:val="003A47A7"/>
    <w:rsid w:val="003A49B5"/>
    <w:rsid w:val="003A4E7B"/>
    <w:rsid w:val="003A5656"/>
    <w:rsid w:val="003A6376"/>
    <w:rsid w:val="003A6437"/>
    <w:rsid w:val="003A6893"/>
    <w:rsid w:val="003A7784"/>
    <w:rsid w:val="003A79BE"/>
    <w:rsid w:val="003A7C30"/>
    <w:rsid w:val="003B07AD"/>
    <w:rsid w:val="003B0983"/>
    <w:rsid w:val="003B0DB3"/>
    <w:rsid w:val="003B1084"/>
    <w:rsid w:val="003B1307"/>
    <w:rsid w:val="003B1DAB"/>
    <w:rsid w:val="003B21E9"/>
    <w:rsid w:val="003B24A8"/>
    <w:rsid w:val="003B2879"/>
    <w:rsid w:val="003B2CCC"/>
    <w:rsid w:val="003B2E50"/>
    <w:rsid w:val="003B3420"/>
    <w:rsid w:val="003B3472"/>
    <w:rsid w:val="003B3E9A"/>
    <w:rsid w:val="003B487E"/>
    <w:rsid w:val="003B4AA9"/>
    <w:rsid w:val="003B4B27"/>
    <w:rsid w:val="003B4B5B"/>
    <w:rsid w:val="003B4ECA"/>
    <w:rsid w:val="003B5961"/>
    <w:rsid w:val="003B5DB8"/>
    <w:rsid w:val="003B6085"/>
    <w:rsid w:val="003B624B"/>
    <w:rsid w:val="003B6396"/>
    <w:rsid w:val="003B6BDA"/>
    <w:rsid w:val="003B7067"/>
    <w:rsid w:val="003B70A1"/>
    <w:rsid w:val="003B7272"/>
    <w:rsid w:val="003B72E8"/>
    <w:rsid w:val="003C01BD"/>
    <w:rsid w:val="003C0FFB"/>
    <w:rsid w:val="003C1001"/>
    <w:rsid w:val="003C111C"/>
    <w:rsid w:val="003C146F"/>
    <w:rsid w:val="003C18A6"/>
    <w:rsid w:val="003C3475"/>
    <w:rsid w:val="003C3871"/>
    <w:rsid w:val="003C39F8"/>
    <w:rsid w:val="003C3C08"/>
    <w:rsid w:val="003C3D90"/>
    <w:rsid w:val="003C4396"/>
    <w:rsid w:val="003C46F5"/>
    <w:rsid w:val="003C5394"/>
    <w:rsid w:val="003C5AD2"/>
    <w:rsid w:val="003C5D1F"/>
    <w:rsid w:val="003C660F"/>
    <w:rsid w:val="003C6D31"/>
    <w:rsid w:val="003C7649"/>
    <w:rsid w:val="003C76DC"/>
    <w:rsid w:val="003C780F"/>
    <w:rsid w:val="003C79C1"/>
    <w:rsid w:val="003C7A5B"/>
    <w:rsid w:val="003D0791"/>
    <w:rsid w:val="003D0D99"/>
    <w:rsid w:val="003D108A"/>
    <w:rsid w:val="003D121A"/>
    <w:rsid w:val="003D12AF"/>
    <w:rsid w:val="003D142D"/>
    <w:rsid w:val="003D144A"/>
    <w:rsid w:val="003D1C61"/>
    <w:rsid w:val="003D1E44"/>
    <w:rsid w:val="003D1F90"/>
    <w:rsid w:val="003D24C4"/>
    <w:rsid w:val="003D256D"/>
    <w:rsid w:val="003D2A9F"/>
    <w:rsid w:val="003D34B6"/>
    <w:rsid w:val="003D397B"/>
    <w:rsid w:val="003D4110"/>
    <w:rsid w:val="003D4500"/>
    <w:rsid w:val="003D450F"/>
    <w:rsid w:val="003D49DF"/>
    <w:rsid w:val="003D4BAF"/>
    <w:rsid w:val="003D4F5C"/>
    <w:rsid w:val="003D5088"/>
    <w:rsid w:val="003D50CF"/>
    <w:rsid w:val="003D52F0"/>
    <w:rsid w:val="003D5945"/>
    <w:rsid w:val="003D6252"/>
    <w:rsid w:val="003D658F"/>
    <w:rsid w:val="003D6761"/>
    <w:rsid w:val="003D69C0"/>
    <w:rsid w:val="003D72DA"/>
    <w:rsid w:val="003D7E25"/>
    <w:rsid w:val="003E0216"/>
    <w:rsid w:val="003E0857"/>
    <w:rsid w:val="003E0923"/>
    <w:rsid w:val="003E0A08"/>
    <w:rsid w:val="003E1221"/>
    <w:rsid w:val="003E1D58"/>
    <w:rsid w:val="003E2028"/>
    <w:rsid w:val="003E21FE"/>
    <w:rsid w:val="003E2CE5"/>
    <w:rsid w:val="003E3C03"/>
    <w:rsid w:val="003E4503"/>
    <w:rsid w:val="003E46C3"/>
    <w:rsid w:val="003E4D5F"/>
    <w:rsid w:val="003E503A"/>
    <w:rsid w:val="003E5127"/>
    <w:rsid w:val="003E5173"/>
    <w:rsid w:val="003E52F9"/>
    <w:rsid w:val="003E5434"/>
    <w:rsid w:val="003E5472"/>
    <w:rsid w:val="003E5595"/>
    <w:rsid w:val="003E5A9A"/>
    <w:rsid w:val="003E5BA1"/>
    <w:rsid w:val="003E662D"/>
    <w:rsid w:val="003E6833"/>
    <w:rsid w:val="003E6CFE"/>
    <w:rsid w:val="003E6FB8"/>
    <w:rsid w:val="003E766E"/>
    <w:rsid w:val="003E7A23"/>
    <w:rsid w:val="003E7B91"/>
    <w:rsid w:val="003F064F"/>
    <w:rsid w:val="003F0D61"/>
    <w:rsid w:val="003F111E"/>
    <w:rsid w:val="003F175C"/>
    <w:rsid w:val="003F2178"/>
    <w:rsid w:val="003F2803"/>
    <w:rsid w:val="003F2833"/>
    <w:rsid w:val="003F2885"/>
    <w:rsid w:val="003F2B00"/>
    <w:rsid w:val="003F2E4F"/>
    <w:rsid w:val="003F3931"/>
    <w:rsid w:val="003F3BB4"/>
    <w:rsid w:val="003F3D56"/>
    <w:rsid w:val="003F3DEE"/>
    <w:rsid w:val="003F49ED"/>
    <w:rsid w:val="003F4DA7"/>
    <w:rsid w:val="003F5510"/>
    <w:rsid w:val="003F557D"/>
    <w:rsid w:val="003F5736"/>
    <w:rsid w:val="003F5E04"/>
    <w:rsid w:val="003F6094"/>
    <w:rsid w:val="003F63C4"/>
    <w:rsid w:val="003F658D"/>
    <w:rsid w:val="003F6606"/>
    <w:rsid w:val="003F6E7A"/>
    <w:rsid w:val="003F6EE7"/>
    <w:rsid w:val="003F7038"/>
    <w:rsid w:val="003F76DD"/>
    <w:rsid w:val="003F779D"/>
    <w:rsid w:val="004008FE"/>
    <w:rsid w:val="00400B31"/>
    <w:rsid w:val="00400D8D"/>
    <w:rsid w:val="00400FFD"/>
    <w:rsid w:val="004014CB"/>
    <w:rsid w:val="00401649"/>
    <w:rsid w:val="004019F3"/>
    <w:rsid w:val="00401EC1"/>
    <w:rsid w:val="0040288A"/>
    <w:rsid w:val="00402B8C"/>
    <w:rsid w:val="00402D66"/>
    <w:rsid w:val="00403F85"/>
    <w:rsid w:val="0040404C"/>
    <w:rsid w:val="00404154"/>
    <w:rsid w:val="004044BB"/>
    <w:rsid w:val="004044E0"/>
    <w:rsid w:val="0040456A"/>
    <w:rsid w:val="00404E34"/>
    <w:rsid w:val="0040560D"/>
    <w:rsid w:val="00405694"/>
    <w:rsid w:val="00405814"/>
    <w:rsid w:val="00405995"/>
    <w:rsid w:val="00405D97"/>
    <w:rsid w:val="00405F67"/>
    <w:rsid w:val="004062EB"/>
    <w:rsid w:val="004067AA"/>
    <w:rsid w:val="00406982"/>
    <w:rsid w:val="00406FCD"/>
    <w:rsid w:val="00407100"/>
    <w:rsid w:val="00407667"/>
    <w:rsid w:val="00407C12"/>
    <w:rsid w:val="00407DF5"/>
    <w:rsid w:val="00407F55"/>
    <w:rsid w:val="0041054E"/>
    <w:rsid w:val="0041080D"/>
    <w:rsid w:val="00410AAD"/>
    <w:rsid w:val="00410B19"/>
    <w:rsid w:val="00410C13"/>
    <w:rsid w:val="00410F98"/>
    <w:rsid w:val="0041115B"/>
    <w:rsid w:val="004116AB"/>
    <w:rsid w:val="00411EDA"/>
    <w:rsid w:val="00412175"/>
    <w:rsid w:val="00412434"/>
    <w:rsid w:val="004124AE"/>
    <w:rsid w:val="00412578"/>
    <w:rsid w:val="00412750"/>
    <w:rsid w:val="00412A5B"/>
    <w:rsid w:val="00413B99"/>
    <w:rsid w:val="0041426E"/>
    <w:rsid w:val="00415183"/>
    <w:rsid w:val="004153C1"/>
    <w:rsid w:val="00415741"/>
    <w:rsid w:val="004157C6"/>
    <w:rsid w:val="004159CB"/>
    <w:rsid w:val="004164FE"/>
    <w:rsid w:val="00416870"/>
    <w:rsid w:val="004171BE"/>
    <w:rsid w:val="00417B9B"/>
    <w:rsid w:val="00420515"/>
    <w:rsid w:val="0042089A"/>
    <w:rsid w:val="004209B6"/>
    <w:rsid w:val="00420AD9"/>
    <w:rsid w:val="00421228"/>
    <w:rsid w:val="00421D0D"/>
    <w:rsid w:val="004223A4"/>
    <w:rsid w:val="00422578"/>
    <w:rsid w:val="0042269C"/>
    <w:rsid w:val="00422A94"/>
    <w:rsid w:val="00422D29"/>
    <w:rsid w:val="00422D37"/>
    <w:rsid w:val="004232F3"/>
    <w:rsid w:val="0042331B"/>
    <w:rsid w:val="004234DF"/>
    <w:rsid w:val="00423A4A"/>
    <w:rsid w:val="00423BA3"/>
    <w:rsid w:val="004244E9"/>
    <w:rsid w:val="004244ED"/>
    <w:rsid w:val="0042455E"/>
    <w:rsid w:val="0042479D"/>
    <w:rsid w:val="00424B85"/>
    <w:rsid w:val="004250E6"/>
    <w:rsid w:val="004255D2"/>
    <w:rsid w:val="00425647"/>
    <w:rsid w:val="004262DF"/>
    <w:rsid w:val="00426495"/>
    <w:rsid w:val="004264D6"/>
    <w:rsid w:val="00426695"/>
    <w:rsid w:val="004269F7"/>
    <w:rsid w:val="00426C65"/>
    <w:rsid w:val="00426E4F"/>
    <w:rsid w:val="004270D7"/>
    <w:rsid w:val="0042781F"/>
    <w:rsid w:val="00427CDE"/>
    <w:rsid w:val="004303D5"/>
    <w:rsid w:val="00430CD6"/>
    <w:rsid w:val="00431971"/>
    <w:rsid w:val="00432B63"/>
    <w:rsid w:val="00432C6B"/>
    <w:rsid w:val="00432DBD"/>
    <w:rsid w:val="004339B5"/>
    <w:rsid w:val="00433A3F"/>
    <w:rsid w:val="00434108"/>
    <w:rsid w:val="004349DA"/>
    <w:rsid w:val="0043518A"/>
    <w:rsid w:val="004352D7"/>
    <w:rsid w:val="004352E4"/>
    <w:rsid w:val="004357B4"/>
    <w:rsid w:val="00435959"/>
    <w:rsid w:val="00435B86"/>
    <w:rsid w:val="00436204"/>
    <w:rsid w:val="004365F9"/>
    <w:rsid w:val="004369B3"/>
    <w:rsid w:val="0043709F"/>
    <w:rsid w:val="004377F6"/>
    <w:rsid w:val="00437A5C"/>
    <w:rsid w:val="00440374"/>
    <w:rsid w:val="004403BE"/>
    <w:rsid w:val="00440B77"/>
    <w:rsid w:val="00441003"/>
    <w:rsid w:val="00441152"/>
    <w:rsid w:val="00441246"/>
    <w:rsid w:val="004433E2"/>
    <w:rsid w:val="00443D96"/>
    <w:rsid w:val="004446C8"/>
    <w:rsid w:val="00444AE6"/>
    <w:rsid w:val="00444CE5"/>
    <w:rsid w:val="00444DB6"/>
    <w:rsid w:val="00444FD0"/>
    <w:rsid w:val="004452A3"/>
    <w:rsid w:val="00445303"/>
    <w:rsid w:val="00445A47"/>
    <w:rsid w:val="004475CE"/>
    <w:rsid w:val="00447819"/>
    <w:rsid w:val="00447EE0"/>
    <w:rsid w:val="00447FDE"/>
    <w:rsid w:val="004500B8"/>
    <w:rsid w:val="004504FA"/>
    <w:rsid w:val="0045050C"/>
    <w:rsid w:val="00450670"/>
    <w:rsid w:val="0045072B"/>
    <w:rsid w:val="004507B0"/>
    <w:rsid w:val="00450C96"/>
    <w:rsid w:val="0045127E"/>
    <w:rsid w:val="0045184F"/>
    <w:rsid w:val="00451B46"/>
    <w:rsid w:val="00451DEF"/>
    <w:rsid w:val="004521FF"/>
    <w:rsid w:val="00452391"/>
    <w:rsid w:val="004531C8"/>
    <w:rsid w:val="00453A3F"/>
    <w:rsid w:val="00453C88"/>
    <w:rsid w:val="00453F68"/>
    <w:rsid w:val="00453FDD"/>
    <w:rsid w:val="0045451A"/>
    <w:rsid w:val="0045455C"/>
    <w:rsid w:val="00454858"/>
    <w:rsid w:val="004548BF"/>
    <w:rsid w:val="0045518A"/>
    <w:rsid w:val="004551DA"/>
    <w:rsid w:val="00455703"/>
    <w:rsid w:val="00456C97"/>
    <w:rsid w:val="00456F02"/>
    <w:rsid w:val="00456FE8"/>
    <w:rsid w:val="004573DA"/>
    <w:rsid w:val="00457F15"/>
    <w:rsid w:val="0046002C"/>
    <w:rsid w:val="00460E65"/>
    <w:rsid w:val="00462162"/>
    <w:rsid w:val="00462457"/>
    <w:rsid w:val="004628D1"/>
    <w:rsid w:val="0046318B"/>
    <w:rsid w:val="004634A3"/>
    <w:rsid w:val="00464121"/>
    <w:rsid w:val="004652C3"/>
    <w:rsid w:val="00465BB5"/>
    <w:rsid w:val="00465F61"/>
    <w:rsid w:val="0046635A"/>
    <w:rsid w:val="00466CAD"/>
    <w:rsid w:val="00466E68"/>
    <w:rsid w:val="00466F8D"/>
    <w:rsid w:val="004673B4"/>
    <w:rsid w:val="004673B9"/>
    <w:rsid w:val="00467B3A"/>
    <w:rsid w:val="00467CCC"/>
    <w:rsid w:val="00470571"/>
    <w:rsid w:val="00471470"/>
    <w:rsid w:val="004718E7"/>
    <w:rsid w:val="00471AC1"/>
    <w:rsid w:val="00471D7B"/>
    <w:rsid w:val="00471F73"/>
    <w:rsid w:val="00472A71"/>
    <w:rsid w:val="00472E0D"/>
    <w:rsid w:val="00472E57"/>
    <w:rsid w:val="00474435"/>
    <w:rsid w:val="00474779"/>
    <w:rsid w:val="00474BF9"/>
    <w:rsid w:val="00475320"/>
    <w:rsid w:val="0047582C"/>
    <w:rsid w:val="004759EA"/>
    <w:rsid w:val="00475DB3"/>
    <w:rsid w:val="004765CB"/>
    <w:rsid w:val="00476A96"/>
    <w:rsid w:val="00476AC5"/>
    <w:rsid w:val="004775F0"/>
    <w:rsid w:val="00477DC6"/>
    <w:rsid w:val="0048039C"/>
    <w:rsid w:val="00480412"/>
    <w:rsid w:val="004805FD"/>
    <w:rsid w:val="0048096D"/>
    <w:rsid w:val="0048105B"/>
    <w:rsid w:val="004812BF"/>
    <w:rsid w:val="004815F2"/>
    <w:rsid w:val="00481DE9"/>
    <w:rsid w:val="00482BDE"/>
    <w:rsid w:val="00483F22"/>
    <w:rsid w:val="00484BEE"/>
    <w:rsid w:val="004852D1"/>
    <w:rsid w:val="004856A5"/>
    <w:rsid w:val="00485A47"/>
    <w:rsid w:val="00485B4E"/>
    <w:rsid w:val="00485F39"/>
    <w:rsid w:val="00486231"/>
    <w:rsid w:val="00486967"/>
    <w:rsid w:val="0048718D"/>
    <w:rsid w:val="0048722F"/>
    <w:rsid w:val="00490531"/>
    <w:rsid w:val="004912B3"/>
    <w:rsid w:val="004919D7"/>
    <w:rsid w:val="00491A41"/>
    <w:rsid w:val="00491B40"/>
    <w:rsid w:val="00491D47"/>
    <w:rsid w:val="00491F15"/>
    <w:rsid w:val="00492448"/>
    <w:rsid w:val="004924A3"/>
    <w:rsid w:val="0049251E"/>
    <w:rsid w:val="00492551"/>
    <w:rsid w:val="00492831"/>
    <w:rsid w:val="004933E3"/>
    <w:rsid w:val="00494536"/>
    <w:rsid w:val="004948B3"/>
    <w:rsid w:val="00494B32"/>
    <w:rsid w:val="00494E33"/>
    <w:rsid w:val="00494E43"/>
    <w:rsid w:val="0049529A"/>
    <w:rsid w:val="00495DB5"/>
    <w:rsid w:val="00495E23"/>
    <w:rsid w:val="00495E53"/>
    <w:rsid w:val="004963F8"/>
    <w:rsid w:val="00496B13"/>
    <w:rsid w:val="004973A3"/>
    <w:rsid w:val="004974DA"/>
    <w:rsid w:val="004978AB"/>
    <w:rsid w:val="00497A13"/>
    <w:rsid w:val="004A000D"/>
    <w:rsid w:val="004A0041"/>
    <w:rsid w:val="004A06BE"/>
    <w:rsid w:val="004A138E"/>
    <w:rsid w:val="004A1A65"/>
    <w:rsid w:val="004A1CC1"/>
    <w:rsid w:val="004A1DEB"/>
    <w:rsid w:val="004A2308"/>
    <w:rsid w:val="004A2464"/>
    <w:rsid w:val="004A272C"/>
    <w:rsid w:val="004A3163"/>
    <w:rsid w:val="004A388D"/>
    <w:rsid w:val="004A38A9"/>
    <w:rsid w:val="004A38C5"/>
    <w:rsid w:val="004A3DBF"/>
    <w:rsid w:val="004A3E24"/>
    <w:rsid w:val="004A4B42"/>
    <w:rsid w:val="004A50FF"/>
    <w:rsid w:val="004A5885"/>
    <w:rsid w:val="004A590C"/>
    <w:rsid w:val="004A5A76"/>
    <w:rsid w:val="004A5CEC"/>
    <w:rsid w:val="004A629A"/>
    <w:rsid w:val="004A62D9"/>
    <w:rsid w:val="004A6BE3"/>
    <w:rsid w:val="004A6C7E"/>
    <w:rsid w:val="004A7198"/>
    <w:rsid w:val="004A73B6"/>
    <w:rsid w:val="004A7671"/>
    <w:rsid w:val="004A7822"/>
    <w:rsid w:val="004A789B"/>
    <w:rsid w:val="004A78E9"/>
    <w:rsid w:val="004B00B5"/>
    <w:rsid w:val="004B024E"/>
    <w:rsid w:val="004B0643"/>
    <w:rsid w:val="004B11B8"/>
    <w:rsid w:val="004B11C7"/>
    <w:rsid w:val="004B1685"/>
    <w:rsid w:val="004B1B2B"/>
    <w:rsid w:val="004B207E"/>
    <w:rsid w:val="004B21F0"/>
    <w:rsid w:val="004B231B"/>
    <w:rsid w:val="004B2C06"/>
    <w:rsid w:val="004B2D54"/>
    <w:rsid w:val="004B3179"/>
    <w:rsid w:val="004B3519"/>
    <w:rsid w:val="004B35CF"/>
    <w:rsid w:val="004B3AE3"/>
    <w:rsid w:val="004B40EC"/>
    <w:rsid w:val="004B4768"/>
    <w:rsid w:val="004B4818"/>
    <w:rsid w:val="004B4C4B"/>
    <w:rsid w:val="004B4D4D"/>
    <w:rsid w:val="004B5203"/>
    <w:rsid w:val="004B6274"/>
    <w:rsid w:val="004B6921"/>
    <w:rsid w:val="004B710D"/>
    <w:rsid w:val="004B7763"/>
    <w:rsid w:val="004B7952"/>
    <w:rsid w:val="004B7B3B"/>
    <w:rsid w:val="004C096D"/>
    <w:rsid w:val="004C0DD6"/>
    <w:rsid w:val="004C0EAD"/>
    <w:rsid w:val="004C0F75"/>
    <w:rsid w:val="004C18C7"/>
    <w:rsid w:val="004C1F47"/>
    <w:rsid w:val="004C20A9"/>
    <w:rsid w:val="004C225C"/>
    <w:rsid w:val="004C2268"/>
    <w:rsid w:val="004C277C"/>
    <w:rsid w:val="004C2C6B"/>
    <w:rsid w:val="004C2DC7"/>
    <w:rsid w:val="004C3805"/>
    <w:rsid w:val="004C3910"/>
    <w:rsid w:val="004C39FB"/>
    <w:rsid w:val="004C49E9"/>
    <w:rsid w:val="004C4B7A"/>
    <w:rsid w:val="004C4BCF"/>
    <w:rsid w:val="004C4CAE"/>
    <w:rsid w:val="004C4FB4"/>
    <w:rsid w:val="004C5101"/>
    <w:rsid w:val="004C519E"/>
    <w:rsid w:val="004C56FC"/>
    <w:rsid w:val="004C5E0E"/>
    <w:rsid w:val="004C62B0"/>
    <w:rsid w:val="004C6EA9"/>
    <w:rsid w:val="004C7147"/>
    <w:rsid w:val="004C7600"/>
    <w:rsid w:val="004C789F"/>
    <w:rsid w:val="004C7BF2"/>
    <w:rsid w:val="004C7FB8"/>
    <w:rsid w:val="004D042E"/>
    <w:rsid w:val="004D0EA2"/>
    <w:rsid w:val="004D1A46"/>
    <w:rsid w:val="004D1B00"/>
    <w:rsid w:val="004D22B0"/>
    <w:rsid w:val="004D26B8"/>
    <w:rsid w:val="004D2B0D"/>
    <w:rsid w:val="004D2D56"/>
    <w:rsid w:val="004D3188"/>
    <w:rsid w:val="004D3B60"/>
    <w:rsid w:val="004D5309"/>
    <w:rsid w:val="004D5479"/>
    <w:rsid w:val="004D57B1"/>
    <w:rsid w:val="004D5976"/>
    <w:rsid w:val="004D6F74"/>
    <w:rsid w:val="004D79F6"/>
    <w:rsid w:val="004E0411"/>
    <w:rsid w:val="004E0627"/>
    <w:rsid w:val="004E0671"/>
    <w:rsid w:val="004E0929"/>
    <w:rsid w:val="004E0B3C"/>
    <w:rsid w:val="004E0DBF"/>
    <w:rsid w:val="004E1E34"/>
    <w:rsid w:val="004E1F95"/>
    <w:rsid w:val="004E2064"/>
    <w:rsid w:val="004E235E"/>
    <w:rsid w:val="004E239C"/>
    <w:rsid w:val="004E27F4"/>
    <w:rsid w:val="004E2849"/>
    <w:rsid w:val="004E2ABE"/>
    <w:rsid w:val="004E30B5"/>
    <w:rsid w:val="004E3CE7"/>
    <w:rsid w:val="004E4655"/>
    <w:rsid w:val="004E4C27"/>
    <w:rsid w:val="004E511F"/>
    <w:rsid w:val="004E55B4"/>
    <w:rsid w:val="004E61E8"/>
    <w:rsid w:val="004E66F3"/>
    <w:rsid w:val="004E680D"/>
    <w:rsid w:val="004E6A01"/>
    <w:rsid w:val="004E6D1B"/>
    <w:rsid w:val="004E7053"/>
    <w:rsid w:val="004E744D"/>
    <w:rsid w:val="004E7A33"/>
    <w:rsid w:val="004E7C87"/>
    <w:rsid w:val="004F039F"/>
    <w:rsid w:val="004F0998"/>
    <w:rsid w:val="004F1094"/>
    <w:rsid w:val="004F12AB"/>
    <w:rsid w:val="004F163D"/>
    <w:rsid w:val="004F1E9B"/>
    <w:rsid w:val="004F2132"/>
    <w:rsid w:val="004F296A"/>
    <w:rsid w:val="004F2E20"/>
    <w:rsid w:val="004F300F"/>
    <w:rsid w:val="004F36C4"/>
    <w:rsid w:val="004F42C6"/>
    <w:rsid w:val="004F5634"/>
    <w:rsid w:val="004F5947"/>
    <w:rsid w:val="004F644C"/>
    <w:rsid w:val="004F64E7"/>
    <w:rsid w:val="004F68C4"/>
    <w:rsid w:val="004F6D55"/>
    <w:rsid w:val="004F7180"/>
    <w:rsid w:val="004F7B9A"/>
    <w:rsid w:val="00500447"/>
    <w:rsid w:val="005009BA"/>
    <w:rsid w:val="005009D7"/>
    <w:rsid w:val="00500DF0"/>
    <w:rsid w:val="005014AB"/>
    <w:rsid w:val="00501528"/>
    <w:rsid w:val="005017F1"/>
    <w:rsid w:val="00501A36"/>
    <w:rsid w:val="005020AE"/>
    <w:rsid w:val="00502857"/>
    <w:rsid w:val="00502C30"/>
    <w:rsid w:val="00503D8E"/>
    <w:rsid w:val="00503E21"/>
    <w:rsid w:val="005042CD"/>
    <w:rsid w:val="00505023"/>
    <w:rsid w:val="00505D52"/>
    <w:rsid w:val="00506DE6"/>
    <w:rsid w:val="005072C9"/>
    <w:rsid w:val="00507646"/>
    <w:rsid w:val="00507A79"/>
    <w:rsid w:val="005107C2"/>
    <w:rsid w:val="00510B54"/>
    <w:rsid w:val="005112C7"/>
    <w:rsid w:val="005114F7"/>
    <w:rsid w:val="00512240"/>
    <w:rsid w:val="00512308"/>
    <w:rsid w:val="00512324"/>
    <w:rsid w:val="0051267F"/>
    <w:rsid w:val="005127DD"/>
    <w:rsid w:val="005132D5"/>
    <w:rsid w:val="005132E0"/>
    <w:rsid w:val="0051349D"/>
    <w:rsid w:val="00513B29"/>
    <w:rsid w:val="00514451"/>
    <w:rsid w:val="005147E0"/>
    <w:rsid w:val="005148A1"/>
    <w:rsid w:val="005148E4"/>
    <w:rsid w:val="00514A6E"/>
    <w:rsid w:val="00514DEA"/>
    <w:rsid w:val="00514F41"/>
    <w:rsid w:val="00514F4F"/>
    <w:rsid w:val="00514FF1"/>
    <w:rsid w:val="00515A2C"/>
    <w:rsid w:val="00515A40"/>
    <w:rsid w:val="00515DC8"/>
    <w:rsid w:val="00516521"/>
    <w:rsid w:val="00516891"/>
    <w:rsid w:val="00516D73"/>
    <w:rsid w:val="005175C9"/>
    <w:rsid w:val="00520227"/>
    <w:rsid w:val="00520401"/>
    <w:rsid w:val="005206E0"/>
    <w:rsid w:val="00520C33"/>
    <w:rsid w:val="005212F3"/>
    <w:rsid w:val="0052183E"/>
    <w:rsid w:val="00521C1C"/>
    <w:rsid w:val="00521CCB"/>
    <w:rsid w:val="00521E6F"/>
    <w:rsid w:val="00522992"/>
    <w:rsid w:val="00522EDE"/>
    <w:rsid w:val="005230B4"/>
    <w:rsid w:val="00523AB4"/>
    <w:rsid w:val="00524293"/>
    <w:rsid w:val="005243D5"/>
    <w:rsid w:val="00524E91"/>
    <w:rsid w:val="005250E4"/>
    <w:rsid w:val="00525763"/>
    <w:rsid w:val="00525F4B"/>
    <w:rsid w:val="005260AF"/>
    <w:rsid w:val="005265CC"/>
    <w:rsid w:val="005269B2"/>
    <w:rsid w:val="00526CD2"/>
    <w:rsid w:val="005273AE"/>
    <w:rsid w:val="00527A6E"/>
    <w:rsid w:val="005300B2"/>
    <w:rsid w:val="00530238"/>
    <w:rsid w:val="00530902"/>
    <w:rsid w:val="00531C3B"/>
    <w:rsid w:val="0053250F"/>
    <w:rsid w:val="00532971"/>
    <w:rsid w:val="00532F2A"/>
    <w:rsid w:val="00532FF8"/>
    <w:rsid w:val="005334D8"/>
    <w:rsid w:val="00533650"/>
    <w:rsid w:val="00533B47"/>
    <w:rsid w:val="00534065"/>
    <w:rsid w:val="0053411F"/>
    <w:rsid w:val="0053497E"/>
    <w:rsid w:val="00534AC1"/>
    <w:rsid w:val="00534CA1"/>
    <w:rsid w:val="005350E2"/>
    <w:rsid w:val="005355AB"/>
    <w:rsid w:val="00535A16"/>
    <w:rsid w:val="00536EB0"/>
    <w:rsid w:val="0053726D"/>
    <w:rsid w:val="00537354"/>
    <w:rsid w:val="00537B9E"/>
    <w:rsid w:val="00537E97"/>
    <w:rsid w:val="00540775"/>
    <w:rsid w:val="0054079A"/>
    <w:rsid w:val="00540CD8"/>
    <w:rsid w:val="0054156B"/>
    <w:rsid w:val="0054183C"/>
    <w:rsid w:val="00541B01"/>
    <w:rsid w:val="005428A4"/>
    <w:rsid w:val="00543231"/>
    <w:rsid w:val="00543C26"/>
    <w:rsid w:val="0054483C"/>
    <w:rsid w:val="00544EE3"/>
    <w:rsid w:val="005451B4"/>
    <w:rsid w:val="005451BF"/>
    <w:rsid w:val="00545D3C"/>
    <w:rsid w:val="005460E4"/>
    <w:rsid w:val="005466F4"/>
    <w:rsid w:val="00546AFB"/>
    <w:rsid w:val="00547AE8"/>
    <w:rsid w:val="00547C8A"/>
    <w:rsid w:val="00550121"/>
    <w:rsid w:val="00550291"/>
    <w:rsid w:val="00550A34"/>
    <w:rsid w:val="00550AE2"/>
    <w:rsid w:val="00551B77"/>
    <w:rsid w:val="00551EC4"/>
    <w:rsid w:val="00552373"/>
    <w:rsid w:val="00552378"/>
    <w:rsid w:val="00552EE0"/>
    <w:rsid w:val="00553556"/>
    <w:rsid w:val="0055364C"/>
    <w:rsid w:val="005538D1"/>
    <w:rsid w:val="00554261"/>
    <w:rsid w:val="00554B95"/>
    <w:rsid w:val="0055571A"/>
    <w:rsid w:val="00555E84"/>
    <w:rsid w:val="00556C3B"/>
    <w:rsid w:val="00556C51"/>
    <w:rsid w:val="005571D2"/>
    <w:rsid w:val="0055728D"/>
    <w:rsid w:val="005579D5"/>
    <w:rsid w:val="00557A1C"/>
    <w:rsid w:val="005603E0"/>
    <w:rsid w:val="005613FF"/>
    <w:rsid w:val="00561989"/>
    <w:rsid w:val="00561C1A"/>
    <w:rsid w:val="00561D6F"/>
    <w:rsid w:val="0056210B"/>
    <w:rsid w:val="00562309"/>
    <w:rsid w:val="005629D9"/>
    <w:rsid w:val="0056374D"/>
    <w:rsid w:val="005637D5"/>
    <w:rsid w:val="00563E78"/>
    <w:rsid w:val="00564153"/>
    <w:rsid w:val="005643E2"/>
    <w:rsid w:val="005645F2"/>
    <w:rsid w:val="00564A59"/>
    <w:rsid w:val="00564CF3"/>
    <w:rsid w:val="005653BC"/>
    <w:rsid w:val="005656D3"/>
    <w:rsid w:val="00565910"/>
    <w:rsid w:val="0056676C"/>
    <w:rsid w:val="00566C4D"/>
    <w:rsid w:val="0056730B"/>
    <w:rsid w:val="00570269"/>
    <w:rsid w:val="0057060D"/>
    <w:rsid w:val="0057097E"/>
    <w:rsid w:val="005713D2"/>
    <w:rsid w:val="005718AC"/>
    <w:rsid w:val="00572252"/>
    <w:rsid w:val="005722CA"/>
    <w:rsid w:val="00572776"/>
    <w:rsid w:val="00572C8F"/>
    <w:rsid w:val="005733BD"/>
    <w:rsid w:val="00573478"/>
    <w:rsid w:val="0057372E"/>
    <w:rsid w:val="005741AF"/>
    <w:rsid w:val="005749A8"/>
    <w:rsid w:val="00574AA1"/>
    <w:rsid w:val="00574FCB"/>
    <w:rsid w:val="0057586E"/>
    <w:rsid w:val="0057619E"/>
    <w:rsid w:val="005761D7"/>
    <w:rsid w:val="00576815"/>
    <w:rsid w:val="00577420"/>
    <w:rsid w:val="00577999"/>
    <w:rsid w:val="00577D95"/>
    <w:rsid w:val="005805DE"/>
    <w:rsid w:val="00580B92"/>
    <w:rsid w:val="005816CF"/>
    <w:rsid w:val="00581D63"/>
    <w:rsid w:val="00581F6E"/>
    <w:rsid w:val="005827C9"/>
    <w:rsid w:val="00582DFC"/>
    <w:rsid w:val="00583BE5"/>
    <w:rsid w:val="00583CFF"/>
    <w:rsid w:val="00584093"/>
    <w:rsid w:val="00584F54"/>
    <w:rsid w:val="005857B6"/>
    <w:rsid w:val="00586155"/>
    <w:rsid w:val="0058653B"/>
    <w:rsid w:val="005867E3"/>
    <w:rsid w:val="0059027C"/>
    <w:rsid w:val="005909A6"/>
    <w:rsid w:val="00590B23"/>
    <w:rsid w:val="00590D59"/>
    <w:rsid w:val="005910B9"/>
    <w:rsid w:val="005918A9"/>
    <w:rsid w:val="00591A10"/>
    <w:rsid w:val="00591C77"/>
    <w:rsid w:val="005920ED"/>
    <w:rsid w:val="0059229A"/>
    <w:rsid w:val="005922B8"/>
    <w:rsid w:val="00592738"/>
    <w:rsid w:val="00592B94"/>
    <w:rsid w:val="00592D68"/>
    <w:rsid w:val="00593AEC"/>
    <w:rsid w:val="00593D5F"/>
    <w:rsid w:val="00594005"/>
    <w:rsid w:val="005942AA"/>
    <w:rsid w:val="00594A80"/>
    <w:rsid w:val="00594B9A"/>
    <w:rsid w:val="00594E4F"/>
    <w:rsid w:val="00595A02"/>
    <w:rsid w:val="00595B8D"/>
    <w:rsid w:val="005968B2"/>
    <w:rsid w:val="005968CC"/>
    <w:rsid w:val="005971C6"/>
    <w:rsid w:val="00597648"/>
    <w:rsid w:val="0059782F"/>
    <w:rsid w:val="00597B66"/>
    <w:rsid w:val="00597C26"/>
    <w:rsid w:val="00597F86"/>
    <w:rsid w:val="005A018A"/>
    <w:rsid w:val="005A0AA5"/>
    <w:rsid w:val="005A0EE0"/>
    <w:rsid w:val="005A1399"/>
    <w:rsid w:val="005A14FE"/>
    <w:rsid w:val="005A1A72"/>
    <w:rsid w:val="005A1F33"/>
    <w:rsid w:val="005A2F81"/>
    <w:rsid w:val="005A357E"/>
    <w:rsid w:val="005A3808"/>
    <w:rsid w:val="005A3D81"/>
    <w:rsid w:val="005A4124"/>
    <w:rsid w:val="005A437B"/>
    <w:rsid w:val="005A52FA"/>
    <w:rsid w:val="005A5341"/>
    <w:rsid w:val="005A547D"/>
    <w:rsid w:val="005A55E4"/>
    <w:rsid w:val="005A6446"/>
    <w:rsid w:val="005A658F"/>
    <w:rsid w:val="005A6875"/>
    <w:rsid w:val="005A6ED1"/>
    <w:rsid w:val="005A6F43"/>
    <w:rsid w:val="005A77F9"/>
    <w:rsid w:val="005B0397"/>
    <w:rsid w:val="005B0944"/>
    <w:rsid w:val="005B09BB"/>
    <w:rsid w:val="005B17D3"/>
    <w:rsid w:val="005B1816"/>
    <w:rsid w:val="005B1820"/>
    <w:rsid w:val="005B1C42"/>
    <w:rsid w:val="005B2054"/>
    <w:rsid w:val="005B2274"/>
    <w:rsid w:val="005B2310"/>
    <w:rsid w:val="005B240A"/>
    <w:rsid w:val="005B24B4"/>
    <w:rsid w:val="005B2CAB"/>
    <w:rsid w:val="005B2CDD"/>
    <w:rsid w:val="005B2DD0"/>
    <w:rsid w:val="005B385E"/>
    <w:rsid w:val="005B39B5"/>
    <w:rsid w:val="005B3A83"/>
    <w:rsid w:val="005B3ABA"/>
    <w:rsid w:val="005B3BDD"/>
    <w:rsid w:val="005B437C"/>
    <w:rsid w:val="005B45C3"/>
    <w:rsid w:val="005B471D"/>
    <w:rsid w:val="005B4D6F"/>
    <w:rsid w:val="005B56A9"/>
    <w:rsid w:val="005B57DF"/>
    <w:rsid w:val="005B5B27"/>
    <w:rsid w:val="005B5EA4"/>
    <w:rsid w:val="005B68AE"/>
    <w:rsid w:val="005B6C61"/>
    <w:rsid w:val="005B6E9F"/>
    <w:rsid w:val="005B6ECD"/>
    <w:rsid w:val="005B77D5"/>
    <w:rsid w:val="005B7850"/>
    <w:rsid w:val="005B7B1F"/>
    <w:rsid w:val="005B7DA4"/>
    <w:rsid w:val="005B7E68"/>
    <w:rsid w:val="005C06D3"/>
    <w:rsid w:val="005C08BF"/>
    <w:rsid w:val="005C0B55"/>
    <w:rsid w:val="005C1558"/>
    <w:rsid w:val="005C196B"/>
    <w:rsid w:val="005C1A64"/>
    <w:rsid w:val="005C2AE4"/>
    <w:rsid w:val="005C33E9"/>
    <w:rsid w:val="005C342D"/>
    <w:rsid w:val="005C36FE"/>
    <w:rsid w:val="005C3C45"/>
    <w:rsid w:val="005C3D07"/>
    <w:rsid w:val="005C41AA"/>
    <w:rsid w:val="005C432E"/>
    <w:rsid w:val="005C4A63"/>
    <w:rsid w:val="005C4AB3"/>
    <w:rsid w:val="005C4C05"/>
    <w:rsid w:val="005C4C22"/>
    <w:rsid w:val="005C5F46"/>
    <w:rsid w:val="005C622B"/>
    <w:rsid w:val="005C6BBD"/>
    <w:rsid w:val="005C6CA3"/>
    <w:rsid w:val="005C7448"/>
    <w:rsid w:val="005C74F1"/>
    <w:rsid w:val="005D032E"/>
    <w:rsid w:val="005D066F"/>
    <w:rsid w:val="005D0C88"/>
    <w:rsid w:val="005D1EB4"/>
    <w:rsid w:val="005D21E1"/>
    <w:rsid w:val="005D3DEB"/>
    <w:rsid w:val="005D5227"/>
    <w:rsid w:val="005D53BD"/>
    <w:rsid w:val="005D5C97"/>
    <w:rsid w:val="005D63FF"/>
    <w:rsid w:val="005D6A21"/>
    <w:rsid w:val="005D6B92"/>
    <w:rsid w:val="005D73B0"/>
    <w:rsid w:val="005D7F43"/>
    <w:rsid w:val="005E08DB"/>
    <w:rsid w:val="005E0A20"/>
    <w:rsid w:val="005E13BB"/>
    <w:rsid w:val="005E19DF"/>
    <w:rsid w:val="005E1C0A"/>
    <w:rsid w:val="005E202B"/>
    <w:rsid w:val="005E21B3"/>
    <w:rsid w:val="005E2546"/>
    <w:rsid w:val="005E28D1"/>
    <w:rsid w:val="005E3271"/>
    <w:rsid w:val="005E3457"/>
    <w:rsid w:val="005E363D"/>
    <w:rsid w:val="005E3A1E"/>
    <w:rsid w:val="005E3CF3"/>
    <w:rsid w:val="005E3F40"/>
    <w:rsid w:val="005E4CA1"/>
    <w:rsid w:val="005E4CBD"/>
    <w:rsid w:val="005E51FD"/>
    <w:rsid w:val="005E5395"/>
    <w:rsid w:val="005E5465"/>
    <w:rsid w:val="005E5A05"/>
    <w:rsid w:val="005E5DE9"/>
    <w:rsid w:val="005E6911"/>
    <w:rsid w:val="005E7A65"/>
    <w:rsid w:val="005E7DAC"/>
    <w:rsid w:val="005F03DE"/>
    <w:rsid w:val="005F07AE"/>
    <w:rsid w:val="005F08AE"/>
    <w:rsid w:val="005F0B6B"/>
    <w:rsid w:val="005F0D82"/>
    <w:rsid w:val="005F0DFB"/>
    <w:rsid w:val="005F102F"/>
    <w:rsid w:val="005F105A"/>
    <w:rsid w:val="005F110D"/>
    <w:rsid w:val="005F1794"/>
    <w:rsid w:val="005F22B4"/>
    <w:rsid w:val="005F2B36"/>
    <w:rsid w:val="005F2E07"/>
    <w:rsid w:val="005F2FE9"/>
    <w:rsid w:val="005F4003"/>
    <w:rsid w:val="005F4572"/>
    <w:rsid w:val="005F48A1"/>
    <w:rsid w:val="005F4B23"/>
    <w:rsid w:val="005F561F"/>
    <w:rsid w:val="005F596D"/>
    <w:rsid w:val="005F657E"/>
    <w:rsid w:val="005F66D6"/>
    <w:rsid w:val="005F6834"/>
    <w:rsid w:val="005F6BC1"/>
    <w:rsid w:val="005F7266"/>
    <w:rsid w:val="00600693"/>
    <w:rsid w:val="006006CC"/>
    <w:rsid w:val="0060088B"/>
    <w:rsid w:val="00600CF7"/>
    <w:rsid w:val="006013E4"/>
    <w:rsid w:val="006015DD"/>
    <w:rsid w:val="00601DC8"/>
    <w:rsid w:val="00601F19"/>
    <w:rsid w:val="00601FCD"/>
    <w:rsid w:val="006025DC"/>
    <w:rsid w:val="006036A2"/>
    <w:rsid w:val="00604014"/>
    <w:rsid w:val="0060411D"/>
    <w:rsid w:val="00605022"/>
    <w:rsid w:val="006050D5"/>
    <w:rsid w:val="00605480"/>
    <w:rsid w:val="00605B7C"/>
    <w:rsid w:val="0060615F"/>
    <w:rsid w:val="00606593"/>
    <w:rsid w:val="006074B3"/>
    <w:rsid w:val="00607549"/>
    <w:rsid w:val="00607CB8"/>
    <w:rsid w:val="00607F0F"/>
    <w:rsid w:val="006106D0"/>
    <w:rsid w:val="00610F52"/>
    <w:rsid w:val="006111D0"/>
    <w:rsid w:val="006118AA"/>
    <w:rsid w:val="00611A7F"/>
    <w:rsid w:val="00611AFC"/>
    <w:rsid w:val="00611F1B"/>
    <w:rsid w:val="0061213E"/>
    <w:rsid w:val="0061217F"/>
    <w:rsid w:val="0061248D"/>
    <w:rsid w:val="006124E8"/>
    <w:rsid w:val="00612D3A"/>
    <w:rsid w:val="0061397E"/>
    <w:rsid w:val="0061446B"/>
    <w:rsid w:val="00614D7A"/>
    <w:rsid w:val="006151E3"/>
    <w:rsid w:val="006153AD"/>
    <w:rsid w:val="0061587F"/>
    <w:rsid w:val="006168AB"/>
    <w:rsid w:val="0061703A"/>
    <w:rsid w:val="00617552"/>
    <w:rsid w:val="006176FF"/>
    <w:rsid w:val="006178DC"/>
    <w:rsid w:val="00617B20"/>
    <w:rsid w:val="00617E93"/>
    <w:rsid w:val="0062084A"/>
    <w:rsid w:val="00620B80"/>
    <w:rsid w:val="00620D5A"/>
    <w:rsid w:val="006210D9"/>
    <w:rsid w:val="006212EF"/>
    <w:rsid w:val="006213D4"/>
    <w:rsid w:val="00621A13"/>
    <w:rsid w:val="00621A4C"/>
    <w:rsid w:val="006228FE"/>
    <w:rsid w:val="00622DF1"/>
    <w:rsid w:val="00623739"/>
    <w:rsid w:val="00624080"/>
    <w:rsid w:val="006243C5"/>
    <w:rsid w:val="0062455C"/>
    <w:rsid w:val="0062491D"/>
    <w:rsid w:val="00624942"/>
    <w:rsid w:val="00624A12"/>
    <w:rsid w:val="00624F3A"/>
    <w:rsid w:val="00625003"/>
    <w:rsid w:val="006254AB"/>
    <w:rsid w:val="00625A0A"/>
    <w:rsid w:val="00626084"/>
    <w:rsid w:val="0062620C"/>
    <w:rsid w:val="0062714B"/>
    <w:rsid w:val="006273DB"/>
    <w:rsid w:val="00627458"/>
    <w:rsid w:val="006276A5"/>
    <w:rsid w:val="006304E3"/>
    <w:rsid w:val="00630BFF"/>
    <w:rsid w:val="00630F10"/>
    <w:rsid w:val="00632122"/>
    <w:rsid w:val="00632432"/>
    <w:rsid w:val="006329BE"/>
    <w:rsid w:val="00632A6C"/>
    <w:rsid w:val="00633E17"/>
    <w:rsid w:val="00633E65"/>
    <w:rsid w:val="00633EC9"/>
    <w:rsid w:val="006350C6"/>
    <w:rsid w:val="00635519"/>
    <w:rsid w:val="00635BED"/>
    <w:rsid w:val="00636218"/>
    <w:rsid w:val="00636386"/>
    <w:rsid w:val="00637545"/>
    <w:rsid w:val="006400A3"/>
    <w:rsid w:val="0064044C"/>
    <w:rsid w:val="0064075A"/>
    <w:rsid w:val="00640B33"/>
    <w:rsid w:val="00640F71"/>
    <w:rsid w:val="006415EF"/>
    <w:rsid w:val="00641CF9"/>
    <w:rsid w:val="006424AB"/>
    <w:rsid w:val="00642759"/>
    <w:rsid w:val="00643114"/>
    <w:rsid w:val="00643692"/>
    <w:rsid w:val="00643C4C"/>
    <w:rsid w:val="00644335"/>
    <w:rsid w:val="0064440D"/>
    <w:rsid w:val="00645063"/>
    <w:rsid w:val="006454A3"/>
    <w:rsid w:val="006458DC"/>
    <w:rsid w:val="00645A93"/>
    <w:rsid w:val="00645C75"/>
    <w:rsid w:val="00645EB8"/>
    <w:rsid w:val="0064652E"/>
    <w:rsid w:val="00646B7D"/>
    <w:rsid w:val="00647BDD"/>
    <w:rsid w:val="00647EC1"/>
    <w:rsid w:val="006512E0"/>
    <w:rsid w:val="00651DBA"/>
    <w:rsid w:val="00651F25"/>
    <w:rsid w:val="00651F82"/>
    <w:rsid w:val="00652451"/>
    <w:rsid w:val="00652E52"/>
    <w:rsid w:val="00653145"/>
    <w:rsid w:val="00653394"/>
    <w:rsid w:val="006535AB"/>
    <w:rsid w:val="0065375E"/>
    <w:rsid w:val="00653BE8"/>
    <w:rsid w:val="006540AD"/>
    <w:rsid w:val="00655386"/>
    <w:rsid w:val="00655B9F"/>
    <w:rsid w:val="00655D6A"/>
    <w:rsid w:val="0065628C"/>
    <w:rsid w:val="0065665A"/>
    <w:rsid w:val="00656A8E"/>
    <w:rsid w:val="00656BA8"/>
    <w:rsid w:val="0065741E"/>
    <w:rsid w:val="00657948"/>
    <w:rsid w:val="00660B8D"/>
    <w:rsid w:val="00660D49"/>
    <w:rsid w:val="00660EF8"/>
    <w:rsid w:val="0066141B"/>
    <w:rsid w:val="006616E0"/>
    <w:rsid w:val="00662335"/>
    <w:rsid w:val="0066281D"/>
    <w:rsid w:val="00664A5C"/>
    <w:rsid w:val="00664D05"/>
    <w:rsid w:val="006652E6"/>
    <w:rsid w:val="006656AB"/>
    <w:rsid w:val="00665838"/>
    <w:rsid w:val="00665AFB"/>
    <w:rsid w:val="00665DA1"/>
    <w:rsid w:val="00665E55"/>
    <w:rsid w:val="00665E63"/>
    <w:rsid w:val="00665EFB"/>
    <w:rsid w:val="00666455"/>
    <w:rsid w:val="006666C4"/>
    <w:rsid w:val="006672EA"/>
    <w:rsid w:val="0066778D"/>
    <w:rsid w:val="00667ABA"/>
    <w:rsid w:val="00667DF2"/>
    <w:rsid w:val="00670254"/>
    <w:rsid w:val="0067056A"/>
    <w:rsid w:val="00670697"/>
    <w:rsid w:val="006709BE"/>
    <w:rsid w:val="00670E8A"/>
    <w:rsid w:val="00670F14"/>
    <w:rsid w:val="0067127B"/>
    <w:rsid w:val="00671840"/>
    <w:rsid w:val="00671FDB"/>
    <w:rsid w:val="00671FDC"/>
    <w:rsid w:val="00672793"/>
    <w:rsid w:val="006733C4"/>
    <w:rsid w:val="00673A01"/>
    <w:rsid w:val="00674861"/>
    <w:rsid w:val="00674904"/>
    <w:rsid w:val="00674E0B"/>
    <w:rsid w:val="0067632B"/>
    <w:rsid w:val="00676A8D"/>
    <w:rsid w:val="00680219"/>
    <w:rsid w:val="006805A0"/>
    <w:rsid w:val="00680F41"/>
    <w:rsid w:val="006814A5"/>
    <w:rsid w:val="00681A64"/>
    <w:rsid w:val="00681F59"/>
    <w:rsid w:val="006820E7"/>
    <w:rsid w:val="00682680"/>
    <w:rsid w:val="00682955"/>
    <w:rsid w:val="00683032"/>
    <w:rsid w:val="006844F8"/>
    <w:rsid w:val="00684E3A"/>
    <w:rsid w:val="00685446"/>
    <w:rsid w:val="00685618"/>
    <w:rsid w:val="006861EF"/>
    <w:rsid w:val="006863F8"/>
    <w:rsid w:val="00686458"/>
    <w:rsid w:val="006864AA"/>
    <w:rsid w:val="00686B3A"/>
    <w:rsid w:val="00686C96"/>
    <w:rsid w:val="00686ECC"/>
    <w:rsid w:val="006874CE"/>
    <w:rsid w:val="00690046"/>
    <w:rsid w:val="006904EE"/>
    <w:rsid w:val="00690A63"/>
    <w:rsid w:val="00690AD3"/>
    <w:rsid w:val="0069148E"/>
    <w:rsid w:val="00691B9D"/>
    <w:rsid w:val="00691E55"/>
    <w:rsid w:val="00692490"/>
    <w:rsid w:val="00692B20"/>
    <w:rsid w:val="0069335F"/>
    <w:rsid w:val="00693621"/>
    <w:rsid w:val="006939A0"/>
    <w:rsid w:val="00693F72"/>
    <w:rsid w:val="0069437D"/>
    <w:rsid w:val="0069438F"/>
    <w:rsid w:val="00694759"/>
    <w:rsid w:val="00695792"/>
    <w:rsid w:val="00695D34"/>
    <w:rsid w:val="006961DC"/>
    <w:rsid w:val="00696979"/>
    <w:rsid w:val="00696D73"/>
    <w:rsid w:val="00696D90"/>
    <w:rsid w:val="00696E27"/>
    <w:rsid w:val="00696E8C"/>
    <w:rsid w:val="0069707C"/>
    <w:rsid w:val="00697109"/>
    <w:rsid w:val="00697275"/>
    <w:rsid w:val="00697524"/>
    <w:rsid w:val="006978B4"/>
    <w:rsid w:val="00697F0E"/>
    <w:rsid w:val="006A05D2"/>
    <w:rsid w:val="006A06E9"/>
    <w:rsid w:val="006A08C5"/>
    <w:rsid w:val="006A0D31"/>
    <w:rsid w:val="006A0E0B"/>
    <w:rsid w:val="006A2E69"/>
    <w:rsid w:val="006A2EAB"/>
    <w:rsid w:val="006A34EE"/>
    <w:rsid w:val="006A3532"/>
    <w:rsid w:val="006A3938"/>
    <w:rsid w:val="006A3BBF"/>
    <w:rsid w:val="006A40EB"/>
    <w:rsid w:val="006A4B40"/>
    <w:rsid w:val="006A5E4A"/>
    <w:rsid w:val="006A62D3"/>
    <w:rsid w:val="006A63CC"/>
    <w:rsid w:val="006A65D4"/>
    <w:rsid w:val="006A6A74"/>
    <w:rsid w:val="006A73DC"/>
    <w:rsid w:val="006A795D"/>
    <w:rsid w:val="006A79C7"/>
    <w:rsid w:val="006A7C0C"/>
    <w:rsid w:val="006A7D08"/>
    <w:rsid w:val="006A7FB8"/>
    <w:rsid w:val="006B0048"/>
    <w:rsid w:val="006B0AFE"/>
    <w:rsid w:val="006B126C"/>
    <w:rsid w:val="006B1344"/>
    <w:rsid w:val="006B1389"/>
    <w:rsid w:val="006B1696"/>
    <w:rsid w:val="006B181A"/>
    <w:rsid w:val="006B19F3"/>
    <w:rsid w:val="006B1B7D"/>
    <w:rsid w:val="006B2548"/>
    <w:rsid w:val="006B2766"/>
    <w:rsid w:val="006B2BAA"/>
    <w:rsid w:val="006B319F"/>
    <w:rsid w:val="006B4701"/>
    <w:rsid w:val="006B47EE"/>
    <w:rsid w:val="006B4AD5"/>
    <w:rsid w:val="006B4D96"/>
    <w:rsid w:val="006B503A"/>
    <w:rsid w:val="006B591E"/>
    <w:rsid w:val="006B7A19"/>
    <w:rsid w:val="006B7EF2"/>
    <w:rsid w:val="006C07D6"/>
    <w:rsid w:val="006C0988"/>
    <w:rsid w:val="006C0D8F"/>
    <w:rsid w:val="006C1320"/>
    <w:rsid w:val="006C1C8A"/>
    <w:rsid w:val="006C245F"/>
    <w:rsid w:val="006C255A"/>
    <w:rsid w:val="006C25D6"/>
    <w:rsid w:val="006C2AD5"/>
    <w:rsid w:val="006C2B5D"/>
    <w:rsid w:val="006C2BF2"/>
    <w:rsid w:val="006C2D3C"/>
    <w:rsid w:val="006C38D2"/>
    <w:rsid w:val="006C3C6E"/>
    <w:rsid w:val="006C3DA4"/>
    <w:rsid w:val="006C4589"/>
    <w:rsid w:val="006C4DF1"/>
    <w:rsid w:val="006C525E"/>
    <w:rsid w:val="006C5C1D"/>
    <w:rsid w:val="006C62F0"/>
    <w:rsid w:val="006C65C6"/>
    <w:rsid w:val="006C6691"/>
    <w:rsid w:val="006C730F"/>
    <w:rsid w:val="006C7501"/>
    <w:rsid w:val="006C7539"/>
    <w:rsid w:val="006C791D"/>
    <w:rsid w:val="006C7B37"/>
    <w:rsid w:val="006D040A"/>
    <w:rsid w:val="006D0D89"/>
    <w:rsid w:val="006D1B35"/>
    <w:rsid w:val="006D1D7B"/>
    <w:rsid w:val="006D2535"/>
    <w:rsid w:val="006D2A52"/>
    <w:rsid w:val="006D36F5"/>
    <w:rsid w:val="006D3FB5"/>
    <w:rsid w:val="006D4A6B"/>
    <w:rsid w:val="006D54B5"/>
    <w:rsid w:val="006D58A2"/>
    <w:rsid w:val="006D69D1"/>
    <w:rsid w:val="006D6E26"/>
    <w:rsid w:val="006D797A"/>
    <w:rsid w:val="006D79F4"/>
    <w:rsid w:val="006D7BAF"/>
    <w:rsid w:val="006D7E62"/>
    <w:rsid w:val="006D7F38"/>
    <w:rsid w:val="006E02ED"/>
    <w:rsid w:val="006E0605"/>
    <w:rsid w:val="006E0747"/>
    <w:rsid w:val="006E0D66"/>
    <w:rsid w:val="006E26DE"/>
    <w:rsid w:val="006E2A09"/>
    <w:rsid w:val="006E2DDE"/>
    <w:rsid w:val="006E3193"/>
    <w:rsid w:val="006E31F3"/>
    <w:rsid w:val="006E369D"/>
    <w:rsid w:val="006E3C55"/>
    <w:rsid w:val="006E3E26"/>
    <w:rsid w:val="006E3F64"/>
    <w:rsid w:val="006E4445"/>
    <w:rsid w:val="006E4530"/>
    <w:rsid w:val="006E46EC"/>
    <w:rsid w:val="006E4AA5"/>
    <w:rsid w:val="006E4D32"/>
    <w:rsid w:val="006E523C"/>
    <w:rsid w:val="006E54B2"/>
    <w:rsid w:val="006E5722"/>
    <w:rsid w:val="006E5BD0"/>
    <w:rsid w:val="006E6210"/>
    <w:rsid w:val="006E63F7"/>
    <w:rsid w:val="006E7206"/>
    <w:rsid w:val="006E7644"/>
    <w:rsid w:val="006F070F"/>
    <w:rsid w:val="006F0D49"/>
    <w:rsid w:val="006F0EAF"/>
    <w:rsid w:val="006F1329"/>
    <w:rsid w:val="006F1899"/>
    <w:rsid w:val="006F1C61"/>
    <w:rsid w:val="006F1E22"/>
    <w:rsid w:val="006F1EA1"/>
    <w:rsid w:val="006F2422"/>
    <w:rsid w:val="006F28EF"/>
    <w:rsid w:val="006F3330"/>
    <w:rsid w:val="006F3DF3"/>
    <w:rsid w:val="006F3E18"/>
    <w:rsid w:val="006F3F5B"/>
    <w:rsid w:val="006F3FC2"/>
    <w:rsid w:val="006F4163"/>
    <w:rsid w:val="006F444E"/>
    <w:rsid w:val="006F4DCC"/>
    <w:rsid w:val="006F4EA0"/>
    <w:rsid w:val="006F5FFF"/>
    <w:rsid w:val="006F65B7"/>
    <w:rsid w:val="006F6D4B"/>
    <w:rsid w:val="006F7210"/>
    <w:rsid w:val="006F734D"/>
    <w:rsid w:val="006F749D"/>
    <w:rsid w:val="006F76F2"/>
    <w:rsid w:val="006F7B3D"/>
    <w:rsid w:val="006F7DA4"/>
    <w:rsid w:val="00700192"/>
    <w:rsid w:val="00700B59"/>
    <w:rsid w:val="00700C0B"/>
    <w:rsid w:val="00700D92"/>
    <w:rsid w:val="00700DA7"/>
    <w:rsid w:val="00700DC2"/>
    <w:rsid w:val="00700E44"/>
    <w:rsid w:val="00700FA1"/>
    <w:rsid w:val="007015D5"/>
    <w:rsid w:val="00701C35"/>
    <w:rsid w:val="00702006"/>
    <w:rsid w:val="00702920"/>
    <w:rsid w:val="0070318A"/>
    <w:rsid w:val="00704DC2"/>
    <w:rsid w:val="00705214"/>
    <w:rsid w:val="00705F12"/>
    <w:rsid w:val="007061F4"/>
    <w:rsid w:val="00706A99"/>
    <w:rsid w:val="00706BB8"/>
    <w:rsid w:val="00707135"/>
    <w:rsid w:val="00707589"/>
    <w:rsid w:val="00707699"/>
    <w:rsid w:val="00707C05"/>
    <w:rsid w:val="00707EDE"/>
    <w:rsid w:val="00710644"/>
    <w:rsid w:val="007108B1"/>
    <w:rsid w:val="00710C14"/>
    <w:rsid w:val="00710E30"/>
    <w:rsid w:val="00711143"/>
    <w:rsid w:val="00711838"/>
    <w:rsid w:val="00711FEA"/>
    <w:rsid w:val="007120C1"/>
    <w:rsid w:val="007120F3"/>
    <w:rsid w:val="0071310C"/>
    <w:rsid w:val="00713301"/>
    <w:rsid w:val="00713402"/>
    <w:rsid w:val="00713787"/>
    <w:rsid w:val="00713EA5"/>
    <w:rsid w:val="007141D7"/>
    <w:rsid w:val="00714332"/>
    <w:rsid w:val="007145D8"/>
    <w:rsid w:val="007147F3"/>
    <w:rsid w:val="00714F57"/>
    <w:rsid w:val="0071533C"/>
    <w:rsid w:val="007154ED"/>
    <w:rsid w:val="00715F96"/>
    <w:rsid w:val="00715FA1"/>
    <w:rsid w:val="007165AA"/>
    <w:rsid w:val="00716611"/>
    <w:rsid w:val="0071756F"/>
    <w:rsid w:val="00717BB6"/>
    <w:rsid w:val="0072008E"/>
    <w:rsid w:val="00720C86"/>
    <w:rsid w:val="00720DEA"/>
    <w:rsid w:val="00720E51"/>
    <w:rsid w:val="00721801"/>
    <w:rsid w:val="00721F8C"/>
    <w:rsid w:val="00722709"/>
    <w:rsid w:val="007227A2"/>
    <w:rsid w:val="0072309C"/>
    <w:rsid w:val="007230B5"/>
    <w:rsid w:val="0072335B"/>
    <w:rsid w:val="00723843"/>
    <w:rsid w:val="00723875"/>
    <w:rsid w:val="0072451D"/>
    <w:rsid w:val="0072457B"/>
    <w:rsid w:val="00724656"/>
    <w:rsid w:val="007247FD"/>
    <w:rsid w:val="00724B06"/>
    <w:rsid w:val="00724B2B"/>
    <w:rsid w:val="00724EE0"/>
    <w:rsid w:val="00725D6A"/>
    <w:rsid w:val="007266B2"/>
    <w:rsid w:val="00726CE1"/>
    <w:rsid w:val="007270D2"/>
    <w:rsid w:val="007272B4"/>
    <w:rsid w:val="00727C97"/>
    <w:rsid w:val="007300F5"/>
    <w:rsid w:val="0073090E"/>
    <w:rsid w:val="00730986"/>
    <w:rsid w:val="00730C6B"/>
    <w:rsid w:val="00730D7E"/>
    <w:rsid w:val="007312CE"/>
    <w:rsid w:val="00731317"/>
    <w:rsid w:val="00731E83"/>
    <w:rsid w:val="00732E9E"/>
    <w:rsid w:val="0073303D"/>
    <w:rsid w:val="00733778"/>
    <w:rsid w:val="00733AED"/>
    <w:rsid w:val="00733C84"/>
    <w:rsid w:val="0073461C"/>
    <w:rsid w:val="00734B3C"/>
    <w:rsid w:val="00735042"/>
    <w:rsid w:val="00735BC0"/>
    <w:rsid w:val="00736283"/>
    <w:rsid w:val="00736968"/>
    <w:rsid w:val="00737BD4"/>
    <w:rsid w:val="00740E02"/>
    <w:rsid w:val="00740ECA"/>
    <w:rsid w:val="007410BC"/>
    <w:rsid w:val="007416AE"/>
    <w:rsid w:val="007417F1"/>
    <w:rsid w:val="00741EBC"/>
    <w:rsid w:val="0074216B"/>
    <w:rsid w:val="00742A46"/>
    <w:rsid w:val="007434D0"/>
    <w:rsid w:val="00743A7A"/>
    <w:rsid w:val="00743AA6"/>
    <w:rsid w:val="00743C75"/>
    <w:rsid w:val="00744296"/>
    <w:rsid w:val="00744662"/>
    <w:rsid w:val="00745A3D"/>
    <w:rsid w:val="007469FF"/>
    <w:rsid w:val="00746A90"/>
    <w:rsid w:val="00747075"/>
    <w:rsid w:val="0074727D"/>
    <w:rsid w:val="007473EC"/>
    <w:rsid w:val="00747960"/>
    <w:rsid w:val="00747993"/>
    <w:rsid w:val="0075025D"/>
    <w:rsid w:val="00750778"/>
    <w:rsid w:val="00750C26"/>
    <w:rsid w:val="00750C80"/>
    <w:rsid w:val="007510CB"/>
    <w:rsid w:val="0075129A"/>
    <w:rsid w:val="00751306"/>
    <w:rsid w:val="00751C07"/>
    <w:rsid w:val="00752032"/>
    <w:rsid w:val="007521D5"/>
    <w:rsid w:val="00752383"/>
    <w:rsid w:val="007524D0"/>
    <w:rsid w:val="00752B0A"/>
    <w:rsid w:val="00752D9E"/>
    <w:rsid w:val="00753421"/>
    <w:rsid w:val="00753592"/>
    <w:rsid w:val="00753778"/>
    <w:rsid w:val="007545DB"/>
    <w:rsid w:val="00754EF0"/>
    <w:rsid w:val="0075501C"/>
    <w:rsid w:val="007554EB"/>
    <w:rsid w:val="007557C1"/>
    <w:rsid w:val="00755C77"/>
    <w:rsid w:val="00755FFB"/>
    <w:rsid w:val="007561B8"/>
    <w:rsid w:val="007568DA"/>
    <w:rsid w:val="00756AE9"/>
    <w:rsid w:val="00756CEB"/>
    <w:rsid w:val="00757A87"/>
    <w:rsid w:val="00757D52"/>
    <w:rsid w:val="00760C61"/>
    <w:rsid w:val="00760FE1"/>
    <w:rsid w:val="0076108D"/>
    <w:rsid w:val="007611BC"/>
    <w:rsid w:val="007614D4"/>
    <w:rsid w:val="007619AB"/>
    <w:rsid w:val="00761BD2"/>
    <w:rsid w:val="00761D09"/>
    <w:rsid w:val="00761DD4"/>
    <w:rsid w:val="007629EE"/>
    <w:rsid w:val="00762D44"/>
    <w:rsid w:val="00762E86"/>
    <w:rsid w:val="007632AB"/>
    <w:rsid w:val="00763420"/>
    <w:rsid w:val="007634A9"/>
    <w:rsid w:val="0076387A"/>
    <w:rsid w:val="00763C50"/>
    <w:rsid w:val="00764397"/>
    <w:rsid w:val="0076489F"/>
    <w:rsid w:val="007649E6"/>
    <w:rsid w:val="00764A8F"/>
    <w:rsid w:val="00765709"/>
    <w:rsid w:val="00765991"/>
    <w:rsid w:val="00765B65"/>
    <w:rsid w:val="00765B9A"/>
    <w:rsid w:val="00766056"/>
    <w:rsid w:val="00766F74"/>
    <w:rsid w:val="007670AA"/>
    <w:rsid w:val="00767AB2"/>
    <w:rsid w:val="007700AA"/>
    <w:rsid w:val="007704C4"/>
    <w:rsid w:val="00770D41"/>
    <w:rsid w:val="00770E9D"/>
    <w:rsid w:val="007710EC"/>
    <w:rsid w:val="00771207"/>
    <w:rsid w:val="00771473"/>
    <w:rsid w:val="00771C96"/>
    <w:rsid w:val="00771DCE"/>
    <w:rsid w:val="00772907"/>
    <w:rsid w:val="00772A5B"/>
    <w:rsid w:val="0077367F"/>
    <w:rsid w:val="007738D8"/>
    <w:rsid w:val="007739E2"/>
    <w:rsid w:val="00773C48"/>
    <w:rsid w:val="00773C79"/>
    <w:rsid w:val="00773CA9"/>
    <w:rsid w:val="00774541"/>
    <w:rsid w:val="00774A88"/>
    <w:rsid w:val="0077516D"/>
    <w:rsid w:val="0077577E"/>
    <w:rsid w:val="00775957"/>
    <w:rsid w:val="00776EEF"/>
    <w:rsid w:val="0077791B"/>
    <w:rsid w:val="00777ACD"/>
    <w:rsid w:val="00777C12"/>
    <w:rsid w:val="0078052B"/>
    <w:rsid w:val="00780921"/>
    <w:rsid w:val="007809D9"/>
    <w:rsid w:val="00780BBE"/>
    <w:rsid w:val="00780C7C"/>
    <w:rsid w:val="00780EEE"/>
    <w:rsid w:val="00780FC0"/>
    <w:rsid w:val="00781441"/>
    <w:rsid w:val="00781673"/>
    <w:rsid w:val="007816F2"/>
    <w:rsid w:val="007820B0"/>
    <w:rsid w:val="00782D21"/>
    <w:rsid w:val="00782D71"/>
    <w:rsid w:val="00783185"/>
    <w:rsid w:val="0078344C"/>
    <w:rsid w:val="007837B6"/>
    <w:rsid w:val="0078382C"/>
    <w:rsid w:val="00784033"/>
    <w:rsid w:val="0078537D"/>
    <w:rsid w:val="007859BF"/>
    <w:rsid w:val="00785DED"/>
    <w:rsid w:val="00786BB1"/>
    <w:rsid w:val="00787295"/>
    <w:rsid w:val="007877C3"/>
    <w:rsid w:val="007879D1"/>
    <w:rsid w:val="007905C9"/>
    <w:rsid w:val="00790614"/>
    <w:rsid w:val="00790770"/>
    <w:rsid w:val="00790BFE"/>
    <w:rsid w:val="00790DEE"/>
    <w:rsid w:val="007910AC"/>
    <w:rsid w:val="007910CB"/>
    <w:rsid w:val="00791290"/>
    <w:rsid w:val="0079136D"/>
    <w:rsid w:val="00792229"/>
    <w:rsid w:val="007928CD"/>
    <w:rsid w:val="00792AC2"/>
    <w:rsid w:val="00792B02"/>
    <w:rsid w:val="00793928"/>
    <w:rsid w:val="00793E71"/>
    <w:rsid w:val="00794139"/>
    <w:rsid w:val="00794145"/>
    <w:rsid w:val="007942BB"/>
    <w:rsid w:val="00794858"/>
    <w:rsid w:val="00794DB7"/>
    <w:rsid w:val="00795201"/>
    <w:rsid w:val="00795B8D"/>
    <w:rsid w:val="00795EA0"/>
    <w:rsid w:val="00796164"/>
    <w:rsid w:val="00796215"/>
    <w:rsid w:val="00796444"/>
    <w:rsid w:val="007968A1"/>
    <w:rsid w:val="007969BC"/>
    <w:rsid w:val="00796E6B"/>
    <w:rsid w:val="00797B01"/>
    <w:rsid w:val="00797DAB"/>
    <w:rsid w:val="007A0190"/>
    <w:rsid w:val="007A0750"/>
    <w:rsid w:val="007A07E5"/>
    <w:rsid w:val="007A0C67"/>
    <w:rsid w:val="007A1258"/>
    <w:rsid w:val="007A1376"/>
    <w:rsid w:val="007A1863"/>
    <w:rsid w:val="007A1B4A"/>
    <w:rsid w:val="007A24DB"/>
    <w:rsid w:val="007A310D"/>
    <w:rsid w:val="007A3246"/>
    <w:rsid w:val="007A3573"/>
    <w:rsid w:val="007A3888"/>
    <w:rsid w:val="007A3EFE"/>
    <w:rsid w:val="007A4D72"/>
    <w:rsid w:val="007A5090"/>
    <w:rsid w:val="007A5695"/>
    <w:rsid w:val="007A5B39"/>
    <w:rsid w:val="007A5BD6"/>
    <w:rsid w:val="007A5D2E"/>
    <w:rsid w:val="007A6126"/>
    <w:rsid w:val="007A650D"/>
    <w:rsid w:val="007A686B"/>
    <w:rsid w:val="007A7247"/>
    <w:rsid w:val="007A7D61"/>
    <w:rsid w:val="007A7F0B"/>
    <w:rsid w:val="007B0074"/>
    <w:rsid w:val="007B0491"/>
    <w:rsid w:val="007B0A91"/>
    <w:rsid w:val="007B0A93"/>
    <w:rsid w:val="007B0C4E"/>
    <w:rsid w:val="007B0EA6"/>
    <w:rsid w:val="007B11D2"/>
    <w:rsid w:val="007B1A05"/>
    <w:rsid w:val="007B2814"/>
    <w:rsid w:val="007B2F07"/>
    <w:rsid w:val="007B2F65"/>
    <w:rsid w:val="007B355F"/>
    <w:rsid w:val="007B40CE"/>
    <w:rsid w:val="007B44D8"/>
    <w:rsid w:val="007B4D09"/>
    <w:rsid w:val="007B4DA3"/>
    <w:rsid w:val="007B5604"/>
    <w:rsid w:val="007B57D3"/>
    <w:rsid w:val="007B58B3"/>
    <w:rsid w:val="007B5B0D"/>
    <w:rsid w:val="007B637C"/>
    <w:rsid w:val="007B667F"/>
    <w:rsid w:val="007B6D61"/>
    <w:rsid w:val="007B6EB8"/>
    <w:rsid w:val="007B71CE"/>
    <w:rsid w:val="007B7B6E"/>
    <w:rsid w:val="007C025A"/>
    <w:rsid w:val="007C039C"/>
    <w:rsid w:val="007C0498"/>
    <w:rsid w:val="007C060B"/>
    <w:rsid w:val="007C0C03"/>
    <w:rsid w:val="007C0C5C"/>
    <w:rsid w:val="007C0DCB"/>
    <w:rsid w:val="007C18E1"/>
    <w:rsid w:val="007C1B41"/>
    <w:rsid w:val="007C2331"/>
    <w:rsid w:val="007C301F"/>
    <w:rsid w:val="007C4519"/>
    <w:rsid w:val="007C491B"/>
    <w:rsid w:val="007C491E"/>
    <w:rsid w:val="007C56C1"/>
    <w:rsid w:val="007C56CA"/>
    <w:rsid w:val="007C58AE"/>
    <w:rsid w:val="007C5D59"/>
    <w:rsid w:val="007C5F0B"/>
    <w:rsid w:val="007C6574"/>
    <w:rsid w:val="007C7050"/>
    <w:rsid w:val="007C73EC"/>
    <w:rsid w:val="007C7603"/>
    <w:rsid w:val="007C7D3B"/>
    <w:rsid w:val="007C7E86"/>
    <w:rsid w:val="007C7FF6"/>
    <w:rsid w:val="007D0465"/>
    <w:rsid w:val="007D055B"/>
    <w:rsid w:val="007D0921"/>
    <w:rsid w:val="007D0BB2"/>
    <w:rsid w:val="007D153D"/>
    <w:rsid w:val="007D1A37"/>
    <w:rsid w:val="007D1F67"/>
    <w:rsid w:val="007D2833"/>
    <w:rsid w:val="007D2E53"/>
    <w:rsid w:val="007D2FBE"/>
    <w:rsid w:val="007D3029"/>
    <w:rsid w:val="007D30F0"/>
    <w:rsid w:val="007D392A"/>
    <w:rsid w:val="007D3B21"/>
    <w:rsid w:val="007D3E5F"/>
    <w:rsid w:val="007D3EE2"/>
    <w:rsid w:val="007D4A56"/>
    <w:rsid w:val="007D4E8E"/>
    <w:rsid w:val="007D53CF"/>
    <w:rsid w:val="007D5ABA"/>
    <w:rsid w:val="007D5B0F"/>
    <w:rsid w:val="007D5EB7"/>
    <w:rsid w:val="007D61E1"/>
    <w:rsid w:val="007D7707"/>
    <w:rsid w:val="007D7A65"/>
    <w:rsid w:val="007E045B"/>
    <w:rsid w:val="007E04EE"/>
    <w:rsid w:val="007E06B8"/>
    <w:rsid w:val="007E074A"/>
    <w:rsid w:val="007E1103"/>
    <w:rsid w:val="007E12C8"/>
    <w:rsid w:val="007E151D"/>
    <w:rsid w:val="007E1B97"/>
    <w:rsid w:val="007E23EE"/>
    <w:rsid w:val="007E3558"/>
    <w:rsid w:val="007E45C9"/>
    <w:rsid w:val="007E5076"/>
    <w:rsid w:val="007E5C4C"/>
    <w:rsid w:val="007E5CAB"/>
    <w:rsid w:val="007E5E4D"/>
    <w:rsid w:val="007E61F2"/>
    <w:rsid w:val="007E645E"/>
    <w:rsid w:val="007E6873"/>
    <w:rsid w:val="007E6D9E"/>
    <w:rsid w:val="007E6EE3"/>
    <w:rsid w:val="007E745D"/>
    <w:rsid w:val="007E7569"/>
    <w:rsid w:val="007E7C29"/>
    <w:rsid w:val="007E7DE6"/>
    <w:rsid w:val="007E7E3D"/>
    <w:rsid w:val="007F0063"/>
    <w:rsid w:val="007F06AF"/>
    <w:rsid w:val="007F091C"/>
    <w:rsid w:val="007F0D2E"/>
    <w:rsid w:val="007F14AE"/>
    <w:rsid w:val="007F14D8"/>
    <w:rsid w:val="007F1CB6"/>
    <w:rsid w:val="007F2057"/>
    <w:rsid w:val="007F21A0"/>
    <w:rsid w:val="007F291F"/>
    <w:rsid w:val="007F2EB3"/>
    <w:rsid w:val="007F2ECD"/>
    <w:rsid w:val="007F3083"/>
    <w:rsid w:val="007F3856"/>
    <w:rsid w:val="007F3EAE"/>
    <w:rsid w:val="007F43DF"/>
    <w:rsid w:val="007F4837"/>
    <w:rsid w:val="007F531A"/>
    <w:rsid w:val="007F53C1"/>
    <w:rsid w:val="007F5796"/>
    <w:rsid w:val="007F5AD5"/>
    <w:rsid w:val="007F62C0"/>
    <w:rsid w:val="007F721D"/>
    <w:rsid w:val="007F75DB"/>
    <w:rsid w:val="007F77A5"/>
    <w:rsid w:val="007F797C"/>
    <w:rsid w:val="007F7B44"/>
    <w:rsid w:val="00800693"/>
    <w:rsid w:val="008006D0"/>
    <w:rsid w:val="0080086A"/>
    <w:rsid w:val="00800AE0"/>
    <w:rsid w:val="00800D28"/>
    <w:rsid w:val="00800FE9"/>
    <w:rsid w:val="00801601"/>
    <w:rsid w:val="00801665"/>
    <w:rsid w:val="00801B8A"/>
    <w:rsid w:val="00801F5E"/>
    <w:rsid w:val="00802310"/>
    <w:rsid w:val="008027A8"/>
    <w:rsid w:val="00802A4C"/>
    <w:rsid w:val="00802C41"/>
    <w:rsid w:val="00803816"/>
    <w:rsid w:val="00803C5B"/>
    <w:rsid w:val="00803F49"/>
    <w:rsid w:val="0080497A"/>
    <w:rsid w:val="008049DC"/>
    <w:rsid w:val="00804BBC"/>
    <w:rsid w:val="008052B1"/>
    <w:rsid w:val="00805655"/>
    <w:rsid w:val="008059B0"/>
    <w:rsid w:val="00805C93"/>
    <w:rsid w:val="00805F70"/>
    <w:rsid w:val="00805F8B"/>
    <w:rsid w:val="00805FA0"/>
    <w:rsid w:val="008060D3"/>
    <w:rsid w:val="008062B5"/>
    <w:rsid w:val="008064A8"/>
    <w:rsid w:val="00806D4E"/>
    <w:rsid w:val="0080704C"/>
    <w:rsid w:val="0080737A"/>
    <w:rsid w:val="00807789"/>
    <w:rsid w:val="00807805"/>
    <w:rsid w:val="0080785D"/>
    <w:rsid w:val="00807A7C"/>
    <w:rsid w:val="008110D7"/>
    <w:rsid w:val="0081130B"/>
    <w:rsid w:val="00812AEF"/>
    <w:rsid w:val="00812C38"/>
    <w:rsid w:val="00812C93"/>
    <w:rsid w:val="00813072"/>
    <w:rsid w:val="008134B6"/>
    <w:rsid w:val="00814398"/>
    <w:rsid w:val="0081470A"/>
    <w:rsid w:val="0081482F"/>
    <w:rsid w:val="00814E3C"/>
    <w:rsid w:val="00814F16"/>
    <w:rsid w:val="0081504E"/>
    <w:rsid w:val="008151B3"/>
    <w:rsid w:val="008151DF"/>
    <w:rsid w:val="008154AF"/>
    <w:rsid w:val="008154D7"/>
    <w:rsid w:val="00815571"/>
    <w:rsid w:val="008156FD"/>
    <w:rsid w:val="008159FC"/>
    <w:rsid w:val="00815ECF"/>
    <w:rsid w:val="008160CA"/>
    <w:rsid w:val="00817399"/>
    <w:rsid w:val="008176BB"/>
    <w:rsid w:val="00817894"/>
    <w:rsid w:val="00817D0D"/>
    <w:rsid w:val="00817EF6"/>
    <w:rsid w:val="00820157"/>
    <w:rsid w:val="008201B5"/>
    <w:rsid w:val="00820855"/>
    <w:rsid w:val="00820FB9"/>
    <w:rsid w:val="0082111B"/>
    <w:rsid w:val="00821A02"/>
    <w:rsid w:val="00821A0C"/>
    <w:rsid w:val="00821B62"/>
    <w:rsid w:val="00821BEB"/>
    <w:rsid w:val="00821DFB"/>
    <w:rsid w:val="00822728"/>
    <w:rsid w:val="0082277F"/>
    <w:rsid w:val="00822C2E"/>
    <w:rsid w:val="00822F2C"/>
    <w:rsid w:val="008236B5"/>
    <w:rsid w:val="00823888"/>
    <w:rsid w:val="00824744"/>
    <w:rsid w:val="00824B77"/>
    <w:rsid w:val="00825010"/>
    <w:rsid w:val="008253BC"/>
    <w:rsid w:val="00826591"/>
    <w:rsid w:val="00826934"/>
    <w:rsid w:val="00826A59"/>
    <w:rsid w:val="00826A99"/>
    <w:rsid w:val="00826D57"/>
    <w:rsid w:val="00827D97"/>
    <w:rsid w:val="008300D6"/>
    <w:rsid w:val="008300E7"/>
    <w:rsid w:val="008302F2"/>
    <w:rsid w:val="00830474"/>
    <w:rsid w:val="008307A2"/>
    <w:rsid w:val="00830ED3"/>
    <w:rsid w:val="00830F27"/>
    <w:rsid w:val="00831396"/>
    <w:rsid w:val="008313A9"/>
    <w:rsid w:val="00831FCD"/>
    <w:rsid w:val="0083288D"/>
    <w:rsid w:val="008328BA"/>
    <w:rsid w:val="00833A3A"/>
    <w:rsid w:val="00833C22"/>
    <w:rsid w:val="00833E4E"/>
    <w:rsid w:val="00833FB2"/>
    <w:rsid w:val="00834564"/>
    <w:rsid w:val="00834862"/>
    <w:rsid w:val="0083586C"/>
    <w:rsid w:val="00835A1B"/>
    <w:rsid w:val="00836179"/>
    <w:rsid w:val="008366A1"/>
    <w:rsid w:val="00836BD4"/>
    <w:rsid w:val="00836BD9"/>
    <w:rsid w:val="008371E5"/>
    <w:rsid w:val="00837919"/>
    <w:rsid w:val="0083797E"/>
    <w:rsid w:val="00837B4C"/>
    <w:rsid w:val="008405D8"/>
    <w:rsid w:val="00841D3E"/>
    <w:rsid w:val="00841F39"/>
    <w:rsid w:val="008428E7"/>
    <w:rsid w:val="008429BF"/>
    <w:rsid w:val="00842C47"/>
    <w:rsid w:val="00842FA0"/>
    <w:rsid w:val="00843339"/>
    <w:rsid w:val="008433AF"/>
    <w:rsid w:val="008435BF"/>
    <w:rsid w:val="00843C0C"/>
    <w:rsid w:val="00843D4E"/>
    <w:rsid w:val="00843D7E"/>
    <w:rsid w:val="00843E24"/>
    <w:rsid w:val="00843F05"/>
    <w:rsid w:val="00843F09"/>
    <w:rsid w:val="00843F3A"/>
    <w:rsid w:val="008440AA"/>
    <w:rsid w:val="00844C96"/>
    <w:rsid w:val="008452E4"/>
    <w:rsid w:val="00845807"/>
    <w:rsid w:val="0084592B"/>
    <w:rsid w:val="00845BF2"/>
    <w:rsid w:val="00846207"/>
    <w:rsid w:val="00846C3C"/>
    <w:rsid w:val="00846D72"/>
    <w:rsid w:val="00846E58"/>
    <w:rsid w:val="00847242"/>
    <w:rsid w:val="0084788E"/>
    <w:rsid w:val="00847DC6"/>
    <w:rsid w:val="00847EC7"/>
    <w:rsid w:val="008502A5"/>
    <w:rsid w:val="0085051B"/>
    <w:rsid w:val="00850684"/>
    <w:rsid w:val="00850985"/>
    <w:rsid w:val="00850A1C"/>
    <w:rsid w:val="00850BFB"/>
    <w:rsid w:val="00850E6F"/>
    <w:rsid w:val="00850EF7"/>
    <w:rsid w:val="0085119B"/>
    <w:rsid w:val="0085130D"/>
    <w:rsid w:val="008525B7"/>
    <w:rsid w:val="008526E7"/>
    <w:rsid w:val="008529AF"/>
    <w:rsid w:val="00853395"/>
    <w:rsid w:val="00853446"/>
    <w:rsid w:val="00853DD3"/>
    <w:rsid w:val="00853E3C"/>
    <w:rsid w:val="00853FDC"/>
    <w:rsid w:val="008542A3"/>
    <w:rsid w:val="00855DDE"/>
    <w:rsid w:val="00855F41"/>
    <w:rsid w:val="0085618E"/>
    <w:rsid w:val="00856B39"/>
    <w:rsid w:val="00857683"/>
    <w:rsid w:val="0085778D"/>
    <w:rsid w:val="0086087C"/>
    <w:rsid w:val="00860A34"/>
    <w:rsid w:val="00861337"/>
    <w:rsid w:val="00861974"/>
    <w:rsid w:val="0086211D"/>
    <w:rsid w:val="00862130"/>
    <w:rsid w:val="0086217C"/>
    <w:rsid w:val="0086244C"/>
    <w:rsid w:val="00862514"/>
    <w:rsid w:val="008626C7"/>
    <w:rsid w:val="00862758"/>
    <w:rsid w:val="0086296A"/>
    <w:rsid w:val="008631E6"/>
    <w:rsid w:val="008636EC"/>
    <w:rsid w:val="008637D5"/>
    <w:rsid w:val="00864488"/>
    <w:rsid w:val="00864762"/>
    <w:rsid w:val="00864A9F"/>
    <w:rsid w:val="00864C09"/>
    <w:rsid w:val="00864DB3"/>
    <w:rsid w:val="00864ED9"/>
    <w:rsid w:val="0086511A"/>
    <w:rsid w:val="00865EC9"/>
    <w:rsid w:val="0086619D"/>
    <w:rsid w:val="00866456"/>
    <w:rsid w:val="0086654B"/>
    <w:rsid w:val="00866D2A"/>
    <w:rsid w:val="00870088"/>
    <w:rsid w:val="00870352"/>
    <w:rsid w:val="008706BF"/>
    <w:rsid w:val="0087118B"/>
    <w:rsid w:val="008713B0"/>
    <w:rsid w:val="00871D68"/>
    <w:rsid w:val="00871ECE"/>
    <w:rsid w:val="00872570"/>
    <w:rsid w:val="00872690"/>
    <w:rsid w:val="008727CA"/>
    <w:rsid w:val="0087344E"/>
    <w:rsid w:val="0087348B"/>
    <w:rsid w:val="0087358D"/>
    <w:rsid w:val="00873603"/>
    <w:rsid w:val="0087423A"/>
    <w:rsid w:val="0087436A"/>
    <w:rsid w:val="00874829"/>
    <w:rsid w:val="00874841"/>
    <w:rsid w:val="0087530F"/>
    <w:rsid w:val="00875831"/>
    <w:rsid w:val="00875B25"/>
    <w:rsid w:val="00875CC6"/>
    <w:rsid w:val="00875E38"/>
    <w:rsid w:val="00876684"/>
    <w:rsid w:val="00877635"/>
    <w:rsid w:val="00877B3E"/>
    <w:rsid w:val="008806ED"/>
    <w:rsid w:val="00880898"/>
    <w:rsid w:val="00881BC0"/>
    <w:rsid w:val="00881D48"/>
    <w:rsid w:val="00881D6A"/>
    <w:rsid w:val="00881D86"/>
    <w:rsid w:val="00881E6F"/>
    <w:rsid w:val="00882755"/>
    <w:rsid w:val="008827B2"/>
    <w:rsid w:val="00882896"/>
    <w:rsid w:val="00882BC8"/>
    <w:rsid w:val="0088311D"/>
    <w:rsid w:val="00883C52"/>
    <w:rsid w:val="00884031"/>
    <w:rsid w:val="008843D7"/>
    <w:rsid w:val="0088494F"/>
    <w:rsid w:val="008857A1"/>
    <w:rsid w:val="00885D9A"/>
    <w:rsid w:val="00885F1A"/>
    <w:rsid w:val="008867CE"/>
    <w:rsid w:val="00886CA3"/>
    <w:rsid w:val="00886E56"/>
    <w:rsid w:val="00887832"/>
    <w:rsid w:val="00887BEF"/>
    <w:rsid w:val="00887ECD"/>
    <w:rsid w:val="00887FF6"/>
    <w:rsid w:val="008900A4"/>
    <w:rsid w:val="00890568"/>
    <w:rsid w:val="00890918"/>
    <w:rsid w:val="0089092B"/>
    <w:rsid w:val="0089095E"/>
    <w:rsid w:val="00890B71"/>
    <w:rsid w:val="008911D1"/>
    <w:rsid w:val="00891464"/>
    <w:rsid w:val="00891C0C"/>
    <w:rsid w:val="00891D84"/>
    <w:rsid w:val="00891DB6"/>
    <w:rsid w:val="00891F29"/>
    <w:rsid w:val="00891FAD"/>
    <w:rsid w:val="0089208A"/>
    <w:rsid w:val="00892459"/>
    <w:rsid w:val="00892718"/>
    <w:rsid w:val="008930A2"/>
    <w:rsid w:val="00893749"/>
    <w:rsid w:val="00893767"/>
    <w:rsid w:val="00893844"/>
    <w:rsid w:val="00893F31"/>
    <w:rsid w:val="008947E7"/>
    <w:rsid w:val="00894913"/>
    <w:rsid w:val="00894C1E"/>
    <w:rsid w:val="008950AA"/>
    <w:rsid w:val="008951FF"/>
    <w:rsid w:val="00895533"/>
    <w:rsid w:val="008955FF"/>
    <w:rsid w:val="00896033"/>
    <w:rsid w:val="008960BB"/>
    <w:rsid w:val="00896BC9"/>
    <w:rsid w:val="00896D6F"/>
    <w:rsid w:val="00896EFA"/>
    <w:rsid w:val="0089702F"/>
    <w:rsid w:val="008A043E"/>
    <w:rsid w:val="008A059B"/>
    <w:rsid w:val="008A073E"/>
    <w:rsid w:val="008A0902"/>
    <w:rsid w:val="008A0E98"/>
    <w:rsid w:val="008A0FA9"/>
    <w:rsid w:val="008A2461"/>
    <w:rsid w:val="008A2A2D"/>
    <w:rsid w:val="008A2AB6"/>
    <w:rsid w:val="008A2DC6"/>
    <w:rsid w:val="008A2E90"/>
    <w:rsid w:val="008A2FA3"/>
    <w:rsid w:val="008A3400"/>
    <w:rsid w:val="008A4454"/>
    <w:rsid w:val="008A541D"/>
    <w:rsid w:val="008A5AFA"/>
    <w:rsid w:val="008A6678"/>
    <w:rsid w:val="008A6BD5"/>
    <w:rsid w:val="008A7165"/>
    <w:rsid w:val="008A747C"/>
    <w:rsid w:val="008A7D4F"/>
    <w:rsid w:val="008B05E1"/>
    <w:rsid w:val="008B0FCA"/>
    <w:rsid w:val="008B1D02"/>
    <w:rsid w:val="008B24E6"/>
    <w:rsid w:val="008B29BD"/>
    <w:rsid w:val="008B2BC3"/>
    <w:rsid w:val="008B2D04"/>
    <w:rsid w:val="008B31CF"/>
    <w:rsid w:val="008B39E6"/>
    <w:rsid w:val="008B3CA1"/>
    <w:rsid w:val="008B3D84"/>
    <w:rsid w:val="008B4575"/>
    <w:rsid w:val="008B486B"/>
    <w:rsid w:val="008B49C4"/>
    <w:rsid w:val="008B4D53"/>
    <w:rsid w:val="008B5246"/>
    <w:rsid w:val="008B5EB5"/>
    <w:rsid w:val="008B68A9"/>
    <w:rsid w:val="008B7006"/>
    <w:rsid w:val="008B7B3C"/>
    <w:rsid w:val="008B7D19"/>
    <w:rsid w:val="008B7EC9"/>
    <w:rsid w:val="008C002B"/>
    <w:rsid w:val="008C025B"/>
    <w:rsid w:val="008C0768"/>
    <w:rsid w:val="008C08FD"/>
    <w:rsid w:val="008C0FB8"/>
    <w:rsid w:val="008C12AC"/>
    <w:rsid w:val="008C1303"/>
    <w:rsid w:val="008C14A4"/>
    <w:rsid w:val="008C14DA"/>
    <w:rsid w:val="008C1878"/>
    <w:rsid w:val="008C1C5F"/>
    <w:rsid w:val="008C21AD"/>
    <w:rsid w:val="008C235C"/>
    <w:rsid w:val="008C2722"/>
    <w:rsid w:val="008C2F30"/>
    <w:rsid w:val="008C327E"/>
    <w:rsid w:val="008C3A7A"/>
    <w:rsid w:val="008C3BB2"/>
    <w:rsid w:val="008C3CA3"/>
    <w:rsid w:val="008C41D4"/>
    <w:rsid w:val="008C4B73"/>
    <w:rsid w:val="008C4E1B"/>
    <w:rsid w:val="008C5BE7"/>
    <w:rsid w:val="008C5FE3"/>
    <w:rsid w:val="008C6B05"/>
    <w:rsid w:val="008C6BD0"/>
    <w:rsid w:val="008C7806"/>
    <w:rsid w:val="008C7953"/>
    <w:rsid w:val="008C7AA0"/>
    <w:rsid w:val="008C7E42"/>
    <w:rsid w:val="008D0413"/>
    <w:rsid w:val="008D053A"/>
    <w:rsid w:val="008D0AC0"/>
    <w:rsid w:val="008D11A2"/>
    <w:rsid w:val="008D131E"/>
    <w:rsid w:val="008D1622"/>
    <w:rsid w:val="008D1A26"/>
    <w:rsid w:val="008D1C15"/>
    <w:rsid w:val="008D1CCB"/>
    <w:rsid w:val="008D2465"/>
    <w:rsid w:val="008D24A3"/>
    <w:rsid w:val="008D2A68"/>
    <w:rsid w:val="008D2ACB"/>
    <w:rsid w:val="008D2E5A"/>
    <w:rsid w:val="008D2FC1"/>
    <w:rsid w:val="008D38DE"/>
    <w:rsid w:val="008D39E9"/>
    <w:rsid w:val="008D3CCC"/>
    <w:rsid w:val="008D4321"/>
    <w:rsid w:val="008D47B4"/>
    <w:rsid w:val="008D4CEC"/>
    <w:rsid w:val="008D4EAE"/>
    <w:rsid w:val="008D4F38"/>
    <w:rsid w:val="008D5B3D"/>
    <w:rsid w:val="008D670E"/>
    <w:rsid w:val="008D6F65"/>
    <w:rsid w:val="008D77B7"/>
    <w:rsid w:val="008D7E18"/>
    <w:rsid w:val="008E0255"/>
    <w:rsid w:val="008E038D"/>
    <w:rsid w:val="008E04B1"/>
    <w:rsid w:val="008E05DA"/>
    <w:rsid w:val="008E0F1C"/>
    <w:rsid w:val="008E107A"/>
    <w:rsid w:val="008E1574"/>
    <w:rsid w:val="008E18F1"/>
    <w:rsid w:val="008E1903"/>
    <w:rsid w:val="008E1C41"/>
    <w:rsid w:val="008E24D2"/>
    <w:rsid w:val="008E276C"/>
    <w:rsid w:val="008E296B"/>
    <w:rsid w:val="008E2A26"/>
    <w:rsid w:val="008E2D35"/>
    <w:rsid w:val="008E2D38"/>
    <w:rsid w:val="008E31F3"/>
    <w:rsid w:val="008E3553"/>
    <w:rsid w:val="008E380E"/>
    <w:rsid w:val="008E3BC8"/>
    <w:rsid w:val="008E407C"/>
    <w:rsid w:val="008E41E2"/>
    <w:rsid w:val="008E4573"/>
    <w:rsid w:val="008E470C"/>
    <w:rsid w:val="008E536B"/>
    <w:rsid w:val="008E53C9"/>
    <w:rsid w:val="008E57F0"/>
    <w:rsid w:val="008E5C28"/>
    <w:rsid w:val="008E5D8B"/>
    <w:rsid w:val="008E5DB6"/>
    <w:rsid w:val="008E62AA"/>
    <w:rsid w:val="008E65DC"/>
    <w:rsid w:val="008E67DB"/>
    <w:rsid w:val="008E6971"/>
    <w:rsid w:val="008E6DAD"/>
    <w:rsid w:val="008E6F2D"/>
    <w:rsid w:val="008E728D"/>
    <w:rsid w:val="008E72FB"/>
    <w:rsid w:val="008E79E7"/>
    <w:rsid w:val="008E7A9D"/>
    <w:rsid w:val="008E7CE0"/>
    <w:rsid w:val="008F02BF"/>
    <w:rsid w:val="008F043F"/>
    <w:rsid w:val="008F0C0B"/>
    <w:rsid w:val="008F115E"/>
    <w:rsid w:val="008F1A09"/>
    <w:rsid w:val="008F22FF"/>
    <w:rsid w:val="008F2B9A"/>
    <w:rsid w:val="008F4412"/>
    <w:rsid w:val="008F44E9"/>
    <w:rsid w:val="008F4929"/>
    <w:rsid w:val="008F4D53"/>
    <w:rsid w:val="008F5409"/>
    <w:rsid w:val="008F5A78"/>
    <w:rsid w:val="008F5E12"/>
    <w:rsid w:val="008F64F6"/>
    <w:rsid w:val="008F6F62"/>
    <w:rsid w:val="008F7AAC"/>
    <w:rsid w:val="008F7D33"/>
    <w:rsid w:val="008F7F74"/>
    <w:rsid w:val="00900683"/>
    <w:rsid w:val="009008FC"/>
    <w:rsid w:val="00900CD1"/>
    <w:rsid w:val="00901769"/>
    <w:rsid w:val="00901C6E"/>
    <w:rsid w:val="00902368"/>
    <w:rsid w:val="009023B5"/>
    <w:rsid w:val="0090307D"/>
    <w:rsid w:val="009030A7"/>
    <w:rsid w:val="00903495"/>
    <w:rsid w:val="009047A9"/>
    <w:rsid w:val="009051EB"/>
    <w:rsid w:val="009073EC"/>
    <w:rsid w:val="00907CD6"/>
    <w:rsid w:val="00910233"/>
    <w:rsid w:val="009102DA"/>
    <w:rsid w:val="0091061E"/>
    <w:rsid w:val="0091178E"/>
    <w:rsid w:val="00912454"/>
    <w:rsid w:val="00912A1A"/>
    <w:rsid w:val="00912A21"/>
    <w:rsid w:val="00913074"/>
    <w:rsid w:val="00913303"/>
    <w:rsid w:val="00913862"/>
    <w:rsid w:val="00913C74"/>
    <w:rsid w:val="00913E0E"/>
    <w:rsid w:val="009142F5"/>
    <w:rsid w:val="00914630"/>
    <w:rsid w:val="00914A4F"/>
    <w:rsid w:val="00914CDC"/>
    <w:rsid w:val="00914E18"/>
    <w:rsid w:val="00915DC6"/>
    <w:rsid w:val="00916965"/>
    <w:rsid w:val="00916FC8"/>
    <w:rsid w:val="0091742B"/>
    <w:rsid w:val="00917580"/>
    <w:rsid w:val="009200AA"/>
    <w:rsid w:val="00920526"/>
    <w:rsid w:val="00920A23"/>
    <w:rsid w:val="00920A96"/>
    <w:rsid w:val="009218D6"/>
    <w:rsid w:val="00921B8A"/>
    <w:rsid w:val="00921F6D"/>
    <w:rsid w:val="00922580"/>
    <w:rsid w:val="009237B6"/>
    <w:rsid w:val="009237E1"/>
    <w:rsid w:val="00924000"/>
    <w:rsid w:val="00924110"/>
    <w:rsid w:val="0092448C"/>
    <w:rsid w:val="009246D3"/>
    <w:rsid w:val="009247B1"/>
    <w:rsid w:val="009247E5"/>
    <w:rsid w:val="009253C9"/>
    <w:rsid w:val="0092562C"/>
    <w:rsid w:val="009262A6"/>
    <w:rsid w:val="00927270"/>
    <w:rsid w:val="00927674"/>
    <w:rsid w:val="009276C1"/>
    <w:rsid w:val="009277B9"/>
    <w:rsid w:val="00927A3E"/>
    <w:rsid w:val="0093024E"/>
    <w:rsid w:val="00930781"/>
    <w:rsid w:val="00930EA6"/>
    <w:rsid w:val="009318B2"/>
    <w:rsid w:val="0093200A"/>
    <w:rsid w:val="00932561"/>
    <w:rsid w:val="009327A8"/>
    <w:rsid w:val="00932E31"/>
    <w:rsid w:val="0093321A"/>
    <w:rsid w:val="0093341B"/>
    <w:rsid w:val="00933B57"/>
    <w:rsid w:val="00933D1C"/>
    <w:rsid w:val="0093423C"/>
    <w:rsid w:val="00934B1C"/>
    <w:rsid w:val="00934B57"/>
    <w:rsid w:val="009351F7"/>
    <w:rsid w:val="0093574C"/>
    <w:rsid w:val="0093638D"/>
    <w:rsid w:val="00936447"/>
    <w:rsid w:val="00936853"/>
    <w:rsid w:val="00936E97"/>
    <w:rsid w:val="00937980"/>
    <w:rsid w:val="009402C9"/>
    <w:rsid w:val="0094068D"/>
    <w:rsid w:val="00940B95"/>
    <w:rsid w:val="0094111B"/>
    <w:rsid w:val="0094135D"/>
    <w:rsid w:val="00941E8F"/>
    <w:rsid w:val="00941F1E"/>
    <w:rsid w:val="0094202C"/>
    <w:rsid w:val="00942086"/>
    <w:rsid w:val="0094214B"/>
    <w:rsid w:val="009427E2"/>
    <w:rsid w:val="009431B4"/>
    <w:rsid w:val="00943355"/>
    <w:rsid w:val="00943365"/>
    <w:rsid w:val="00943849"/>
    <w:rsid w:val="0094482C"/>
    <w:rsid w:val="00944D0C"/>
    <w:rsid w:val="00944DED"/>
    <w:rsid w:val="0094545F"/>
    <w:rsid w:val="00945643"/>
    <w:rsid w:val="009457AD"/>
    <w:rsid w:val="009459E2"/>
    <w:rsid w:val="009460DB"/>
    <w:rsid w:val="00946690"/>
    <w:rsid w:val="00946DA9"/>
    <w:rsid w:val="00946F62"/>
    <w:rsid w:val="00947AC5"/>
    <w:rsid w:val="00947BAF"/>
    <w:rsid w:val="009501E4"/>
    <w:rsid w:val="00950528"/>
    <w:rsid w:val="0095097A"/>
    <w:rsid w:val="00950989"/>
    <w:rsid w:val="009511BB"/>
    <w:rsid w:val="009514CB"/>
    <w:rsid w:val="00951558"/>
    <w:rsid w:val="009515B4"/>
    <w:rsid w:val="00951A1D"/>
    <w:rsid w:val="00951C6D"/>
    <w:rsid w:val="00951D72"/>
    <w:rsid w:val="00951EFB"/>
    <w:rsid w:val="00952060"/>
    <w:rsid w:val="009525A3"/>
    <w:rsid w:val="0095266D"/>
    <w:rsid w:val="0095269E"/>
    <w:rsid w:val="00952736"/>
    <w:rsid w:val="00952846"/>
    <w:rsid w:val="00953427"/>
    <w:rsid w:val="00953456"/>
    <w:rsid w:val="0095368B"/>
    <w:rsid w:val="0095376A"/>
    <w:rsid w:val="00953E0F"/>
    <w:rsid w:val="00953E2A"/>
    <w:rsid w:val="009541F5"/>
    <w:rsid w:val="00954536"/>
    <w:rsid w:val="0095479F"/>
    <w:rsid w:val="00954A05"/>
    <w:rsid w:val="00954AB1"/>
    <w:rsid w:val="009551EF"/>
    <w:rsid w:val="0095528F"/>
    <w:rsid w:val="00955AED"/>
    <w:rsid w:val="00955D2B"/>
    <w:rsid w:val="00955E0E"/>
    <w:rsid w:val="0095646C"/>
    <w:rsid w:val="009564F1"/>
    <w:rsid w:val="009571D5"/>
    <w:rsid w:val="009577F7"/>
    <w:rsid w:val="00957A48"/>
    <w:rsid w:val="00960771"/>
    <w:rsid w:val="00960C6A"/>
    <w:rsid w:val="00961083"/>
    <w:rsid w:val="0096117B"/>
    <w:rsid w:val="00961E3D"/>
    <w:rsid w:val="0096216B"/>
    <w:rsid w:val="00962935"/>
    <w:rsid w:val="00962A34"/>
    <w:rsid w:val="00962B49"/>
    <w:rsid w:val="0096317D"/>
    <w:rsid w:val="009634E6"/>
    <w:rsid w:val="00963B32"/>
    <w:rsid w:val="00963C78"/>
    <w:rsid w:val="009645A8"/>
    <w:rsid w:val="009648DD"/>
    <w:rsid w:val="00964F17"/>
    <w:rsid w:val="009653E7"/>
    <w:rsid w:val="009653FE"/>
    <w:rsid w:val="00966739"/>
    <w:rsid w:val="009667CC"/>
    <w:rsid w:val="00966B31"/>
    <w:rsid w:val="00967039"/>
    <w:rsid w:val="0096709C"/>
    <w:rsid w:val="00967560"/>
    <w:rsid w:val="00967B2A"/>
    <w:rsid w:val="0097023E"/>
    <w:rsid w:val="00970468"/>
    <w:rsid w:val="00970ABC"/>
    <w:rsid w:val="0097197B"/>
    <w:rsid w:val="0097218C"/>
    <w:rsid w:val="0097271E"/>
    <w:rsid w:val="00972B76"/>
    <w:rsid w:val="0097319C"/>
    <w:rsid w:val="0097356B"/>
    <w:rsid w:val="00973747"/>
    <w:rsid w:val="0097388D"/>
    <w:rsid w:val="00973F8B"/>
    <w:rsid w:val="0097455E"/>
    <w:rsid w:val="00974DF8"/>
    <w:rsid w:val="00974E2F"/>
    <w:rsid w:val="00974ECC"/>
    <w:rsid w:val="00975182"/>
    <w:rsid w:val="009765F1"/>
    <w:rsid w:val="0097661D"/>
    <w:rsid w:val="009769BC"/>
    <w:rsid w:val="00976D5C"/>
    <w:rsid w:val="00977EBE"/>
    <w:rsid w:val="00977F48"/>
    <w:rsid w:val="00980318"/>
    <w:rsid w:val="00980A2B"/>
    <w:rsid w:val="00980D28"/>
    <w:rsid w:val="00980EC1"/>
    <w:rsid w:val="0098149D"/>
    <w:rsid w:val="009817B9"/>
    <w:rsid w:val="00981809"/>
    <w:rsid w:val="0098191B"/>
    <w:rsid w:val="0098199D"/>
    <w:rsid w:val="00981C9D"/>
    <w:rsid w:val="00981F00"/>
    <w:rsid w:val="00981FCE"/>
    <w:rsid w:val="00982062"/>
    <w:rsid w:val="009820F9"/>
    <w:rsid w:val="009828DD"/>
    <w:rsid w:val="0098292B"/>
    <w:rsid w:val="00982D93"/>
    <w:rsid w:val="00983782"/>
    <w:rsid w:val="009839A9"/>
    <w:rsid w:val="0098443D"/>
    <w:rsid w:val="00984877"/>
    <w:rsid w:val="00984F62"/>
    <w:rsid w:val="009851A1"/>
    <w:rsid w:val="009854A0"/>
    <w:rsid w:val="0098568A"/>
    <w:rsid w:val="009860A7"/>
    <w:rsid w:val="00986149"/>
    <w:rsid w:val="009867FD"/>
    <w:rsid w:val="00986AAE"/>
    <w:rsid w:val="00987121"/>
    <w:rsid w:val="00987250"/>
    <w:rsid w:val="00987504"/>
    <w:rsid w:val="00987C29"/>
    <w:rsid w:val="00990F8D"/>
    <w:rsid w:val="00991B2A"/>
    <w:rsid w:val="0099212B"/>
    <w:rsid w:val="009922F2"/>
    <w:rsid w:val="00992445"/>
    <w:rsid w:val="00993337"/>
    <w:rsid w:val="00993F3A"/>
    <w:rsid w:val="009942F0"/>
    <w:rsid w:val="0099489B"/>
    <w:rsid w:val="0099521E"/>
    <w:rsid w:val="00995AA0"/>
    <w:rsid w:val="009968DB"/>
    <w:rsid w:val="00996AD2"/>
    <w:rsid w:val="00996ED9"/>
    <w:rsid w:val="0099790F"/>
    <w:rsid w:val="0099791B"/>
    <w:rsid w:val="00997D83"/>
    <w:rsid w:val="00997F8A"/>
    <w:rsid w:val="009A01E7"/>
    <w:rsid w:val="009A1CC9"/>
    <w:rsid w:val="009A2323"/>
    <w:rsid w:val="009A288B"/>
    <w:rsid w:val="009A2A65"/>
    <w:rsid w:val="009A2B11"/>
    <w:rsid w:val="009A32A7"/>
    <w:rsid w:val="009A3428"/>
    <w:rsid w:val="009A35C0"/>
    <w:rsid w:val="009A3623"/>
    <w:rsid w:val="009A394F"/>
    <w:rsid w:val="009A39FA"/>
    <w:rsid w:val="009A3DAD"/>
    <w:rsid w:val="009A4BE5"/>
    <w:rsid w:val="009A4CEB"/>
    <w:rsid w:val="009A511F"/>
    <w:rsid w:val="009A5A1D"/>
    <w:rsid w:val="009A607D"/>
    <w:rsid w:val="009A61E9"/>
    <w:rsid w:val="009A62E8"/>
    <w:rsid w:val="009A62FC"/>
    <w:rsid w:val="009A701E"/>
    <w:rsid w:val="009A7057"/>
    <w:rsid w:val="009A7254"/>
    <w:rsid w:val="009A79AF"/>
    <w:rsid w:val="009A7D2B"/>
    <w:rsid w:val="009B02EF"/>
    <w:rsid w:val="009B1CB1"/>
    <w:rsid w:val="009B203E"/>
    <w:rsid w:val="009B22BD"/>
    <w:rsid w:val="009B23DF"/>
    <w:rsid w:val="009B2628"/>
    <w:rsid w:val="009B265E"/>
    <w:rsid w:val="009B2AE6"/>
    <w:rsid w:val="009B2BBE"/>
    <w:rsid w:val="009B2E09"/>
    <w:rsid w:val="009B3665"/>
    <w:rsid w:val="009B3DCC"/>
    <w:rsid w:val="009B3F4A"/>
    <w:rsid w:val="009B3F88"/>
    <w:rsid w:val="009B42A8"/>
    <w:rsid w:val="009B4414"/>
    <w:rsid w:val="009B45F3"/>
    <w:rsid w:val="009B466F"/>
    <w:rsid w:val="009B4D8C"/>
    <w:rsid w:val="009B51D7"/>
    <w:rsid w:val="009B571C"/>
    <w:rsid w:val="009B5B1C"/>
    <w:rsid w:val="009B5C91"/>
    <w:rsid w:val="009B67EF"/>
    <w:rsid w:val="009B6946"/>
    <w:rsid w:val="009B6EC3"/>
    <w:rsid w:val="009B7B00"/>
    <w:rsid w:val="009C03FB"/>
    <w:rsid w:val="009C0670"/>
    <w:rsid w:val="009C0AB4"/>
    <w:rsid w:val="009C0C10"/>
    <w:rsid w:val="009C1672"/>
    <w:rsid w:val="009C17BE"/>
    <w:rsid w:val="009C1EB5"/>
    <w:rsid w:val="009C1FEE"/>
    <w:rsid w:val="009C29F9"/>
    <w:rsid w:val="009C2DCF"/>
    <w:rsid w:val="009C34E9"/>
    <w:rsid w:val="009C3AD8"/>
    <w:rsid w:val="009C3F7A"/>
    <w:rsid w:val="009C4217"/>
    <w:rsid w:val="009C4426"/>
    <w:rsid w:val="009C4641"/>
    <w:rsid w:val="009C4BD6"/>
    <w:rsid w:val="009C5833"/>
    <w:rsid w:val="009C5A78"/>
    <w:rsid w:val="009C5EAB"/>
    <w:rsid w:val="009C631C"/>
    <w:rsid w:val="009C65B0"/>
    <w:rsid w:val="009C6872"/>
    <w:rsid w:val="009C6CD3"/>
    <w:rsid w:val="009C749A"/>
    <w:rsid w:val="009C7C73"/>
    <w:rsid w:val="009C7CEA"/>
    <w:rsid w:val="009C7E3D"/>
    <w:rsid w:val="009D047B"/>
    <w:rsid w:val="009D09ED"/>
    <w:rsid w:val="009D0BBE"/>
    <w:rsid w:val="009D191D"/>
    <w:rsid w:val="009D22A2"/>
    <w:rsid w:val="009D2350"/>
    <w:rsid w:val="009D2594"/>
    <w:rsid w:val="009D2C76"/>
    <w:rsid w:val="009D3EDA"/>
    <w:rsid w:val="009D43B5"/>
    <w:rsid w:val="009D4656"/>
    <w:rsid w:val="009D4BFC"/>
    <w:rsid w:val="009D544E"/>
    <w:rsid w:val="009D5853"/>
    <w:rsid w:val="009D69A3"/>
    <w:rsid w:val="009D6EB1"/>
    <w:rsid w:val="009D7845"/>
    <w:rsid w:val="009D78A1"/>
    <w:rsid w:val="009D7CA4"/>
    <w:rsid w:val="009D7FD1"/>
    <w:rsid w:val="009E01E3"/>
    <w:rsid w:val="009E0B52"/>
    <w:rsid w:val="009E102A"/>
    <w:rsid w:val="009E1031"/>
    <w:rsid w:val="009E2218"/>
    <w:rsid w:val="009E2436"/>
    <w:rsid w:val="009E249F"/>
    <w:rsid w:val="009E24F6"/>
    <w:rsid w:val="009E2717"/>
    <w:rsid w:val="009E2D85"/>
    <w:rsid w:val="009E3111"/>
    <w:rsid w:val="009E3691"/>
    <w:rsid w:val="009E37F1"/>
    <w:rsid w:val="009E40A1"/>
    <w:rsid w:val="009E46F1"/>
    <w:rsid w:val="009E5DD4"/>
    <w:rsid w:val="009E639D"/>
    <w:rsid w:val="009E6A2D"/>
    <w:rsid w:val="009E6D75"/>
    <w:rsid w:val="009E7710"/>
    <w:rsid w:val="009E7AA0"/>
    <w:rsid w:val="009E7AA8"/>
    <w:rsid w:val="009F04A5"/>
    <w:rsid w:val="009F08BA"/>
    <w:rsid w:val="009F0BBC"/>
    <w:rsid w:val="009F0C1C"/>
    <w:rsid w:val="009F0CD8"/>
    <w:rsid w:val="009F0F24"/>
    <w:rsid w:val="009F1405"/>
    <w:rsid w:val="009F1605"/>
    <w:rsid w:val="009F171E"/>
    <w:rsid w:val="009F207F"/>
    <w:rsid w:val="009F2A74"/>
    <w:rsid w:val="009F2B5B"/>
    <w:rsid w:val="009F32D4"/>
    <w:rsid w:val="009F39BE"/>
    <w:rsid w:val="009F4496"/>
    <w:rsid w:val="009F478B"/>
    <w:rsid w:val="009F4970"/>
    <w:rsid w:val="009F4E8B"/>
    <w:rsid w:val="009F537F"/>
    <w:rsid w:val="009F5D8E"/>
    <w:rsid w:val="009F5FBE"/>
    <w:rsid w:val="009F6FB8"/>
    <w:rsid w:val="009F7095"/>
    <w:rsid w:val="009F7E29"/>
    <w:rsid w:val="009F7EF2"/>
    <w:rsid w:val="009F7FEF"/>
    <w:rsid w:val="00A0076B"/>
    <w:rsid w:val="00A00995"/>
    <w:rsid w:val="00A022F4"/>
    <w:rsid w:val="00A024F2"/>
    <w:rsid w:val="00A02A5D"/>
    <w:rsid w:val="00A02CA3"/>
    <w:rsid w:val="00A03B27"/>
    <w:rsid w:val="00A04294"/>
    <w:rsid w:val="00A04CDE"/>
    <w:rsid w:val="00A052A8"/>
    <w:rsid w:val="00A05F71"/>
    <w:rsid w:val="00A06923"/>
    <w:rsid w:val="00A06CBD"/>
    <w:rsid w:val="00A074AC"/>
    <w:rsid w:val="00A07DB6"/>
    <w:rsid w:val="00A1000B"/>
    <w:rsid w:val="00A104D8"/>
    <w:rsid w:val="00A104E4"/>
    <w:rsid w:val="00A10688"/>
    <w:rsid w:val="00A106AA"/>
    <w:rsid w:val="00A10A34"/>
    <w:rsid w:val="00A1117B"/>
    <w:rsid w:val="00A12075"/>
    <w:rsid w:val="00A12186"/>
    <w:rsid w:val="00A12208"/>
    <w:rsid w:val="00A1237F"/>
    <w:rsid w:val="00A1282E"/>
    <w:rsid w:val="00A129C6"/>
    <w:rsid w:val="00A131F7"/>
    <w:rsid w:val="00A133D2"/>
    <w:rsid w:val="00A134F9"/>
    <w:rsid w:val="00A13BD8"/>
    <w:rsid w:val="00A13F6C"/>
    <w:rsid w:val="00A14761"/>
    <w:rsid w:val="00A14A99"/>
    <w:rsid w:val="00A15176"/>
    <w:rsid w:val="00A15EF5"/>
    <w:rsid w:val="00A16E4F"/>
    <w:rsid w:val="00A1729F"/>
    <w:rsid w:val="00A1762D"/>
    <w:rsid w:val="00A205DD"/>
    <w:rsid w:val="00A2096C"/>
    <w:rsid w:val="00A20C84"/>
    <w:rsid w:val="00A20D48"/>
    <w:rsid w:val="00A21F14"/>
    <w:rsid w:val="00A22067"/>
    <w:rsid w:val="00A2269F"/>
    <w:rsid w:val="00A22D8F"/>
    <w:rsid w:val="00A238D4"/>
    <w:rsid w:val="00A239F8"/>
    <w:rsid w:val="00A23AA4"/>
    <w:rsid w:val="00A23BA0"/>
    <w:rsid w:val="00A23EA9"/>
    <w:rsid w:val="00A25315"/>
    <w:rsid w:val="00A25DA6"/>
    <w:rsid w:val="00A25FF6"/>
    <w:rsid w:val="00A26346"/>
    <w:rsid w:val="00A26C85"/>
    <w:rsid w:val="00A270E3"/>
    <w:rsid w:val="00A2765D"/>
    <w:rsid w:val="00A27C93"/>
    <w:rsid w:val="00A27E87"/>
    <w:rsid w:val="00A27F2D"/>
    <w:rsid w:val="00A30485"/>
    <w:rsid w:val="00A308A7"/>
    <w:rsid w:val="00A31591"/>
    <w:rsid w:val="00A321C8"/>
    <w:rsid w:val="00A3234C"/>
    <w:rsid w:val="00A33CD9"/>
    <w:rsid w:val="00A35028"/>
    <w:rsid w:val="00A356E5"/>
    <w:rsid w:val="00A35E2B"/>
    <w:rsid w:val="00A36F0E"/>
    <w:rsid w:val="00A3788F"/>
    <w:rsid w:val="00A37A1B"/>
    <w:rsid w:val="00A37A7D"/>
    <w:rsid w:val="00A40196"/>
    <w:rsid w:val="00A40261"/>
    <w:rsid w:val="00A40414"/>
    <w:rsid w:val="00A40A30"/>
    <w:rsid w:val="00A40FCE"/>
    <w:rsid w:val="00A410B8"/>
    <w:rsid w:val="00A41193"/>
    <w:rsid w:val="00A41AEC"/>
    <w:rsid w:val="00A41E79"/>
    <w:rsid w:val="00A42939"/>
    <w:rsid w:val="00A43602"/>
    <w:rsid w:val="00A43F77"/>
    <w:rsid w:val="00A44351"/>
    <w:rsid w:val="00A444FC"/>
    <w:rsid w:val="00A447B1"/>
    <w:rsid w:val="00A449A9"/>
    <w:rsid w:val="00A44A4C"/>
    <w:rsid w:val="00A44B37"/>
    <w:rsid w:val="00A44E6A"/>
    <w:rsid w:val="00A44F69"/>
    <w:rsid w:val="00A45403"/>
    <w:rsid w:val="00A45419"/>
    <w:rsid w:val="00A454AE"/>
    <w:rsid w:val="00A4621D"/>
    <w:rsid w:val="00A465D9"/>
    <w:rsid w:val="00A472C1"/>
    <w:rsid w:val="00A477B7"/>
    <w:rsid w:val="00A477FC"/>
    <w:rsid w:val="00A47BD7"/>
    <w:rsid w:val="00A47E3A"/>
    <w:rsid w:val="00A47F97"/>
    <w:rsid w:val="00A509A3"/>
    <w:rsid w:val="00A51566"/>
    <w:rsid w:val="00A51691"/>
    <w:rsid w:val="00A51797"/>
    <w:rsid w:val="00A51F13"/>
    <w:rsid w:val="00A52369"/>
    <w:rsid w:val="00A52D88"/>
    <w:rsid w:val="00A52DCE"/>
    <w:rsid w:val="00A53277"/>
    <w:rsid w:val="00A5354D"/>
    <w:rsid w:val="00A53E27"/>
    <w:rsid w:val="00A54136"/>
    <w:rsid w:val="00A54CE5"/>
    <w:rsid w:val="00A550C7"/>
    <w:rsid w:val="00A550D5"/>
    <w:rsid w:val="00A555EE"/>
    <w:rsid w:val="00A559CB"/>
    <w:rsid w:val="00A55FD2"/>
    <w:rsid w:val="00A56130"/>
    <w:rsid w:val="00A56FDE"/>
    <w:rsid w:val="00A5739B"/>
    <w:rsid w:val="00A573DF"/>
    <w:rsid w:val="00A575B2"/>
    <w:rsid w:val="00A60960"/>
    <w:rsid w:val="00A60DD0"/>
    <w:rsid w:val="00A60DEA"/>
    <w:rsid w:val="00A61348"/>
    <w:rsid w:val="00A61EAA"/>
    <w:rsid w:val="00A62CF6"/>
    <w:rsid w:val="00A62DD9"/>
    <w:rsid w:val="00A63753"/>
    <w:rsid w:val="00A637ED"/>
    <w:rsid w:val="00A63D7B"/>
    <w:rsid w:val="00A63ED7"/>
    <w:rsid w:val="00A64315"/>
    <w:rsid w:val="00A64331"/>
    <w:rsid w:val="00A643A9"/>
    <w:rsid w:val="00A647FC"/>
    <w:rsid w:val="00A64991"/>
    <w:rsid w:val="00A653D7"/>
    <w:rsid w:val="00A658FD"/>
    <w:rsid w:val="00A6617C"/>
    <w:rsid w:val="00A66486"/>
    <w:rsid w:val="00A6678F"/>
    <w:rsid w:val="00A66D92"/>
    <w:rsid w:val="00A66DC9"/>
    <w:rsid w:val="00A672F4"/>
    <w:rsid w:val="00A673B7"/>
    <w:rsid w:val="00A67475"/>
    <w:rsid w:val="00A7054A"/>
    <w:rsid w:val="00A706A6"/>
    <w:rsid w:val="00A70CAB"/>
    <w:rsid w:val="00A70EDA"/>
    <w:rsid w:val="00A71BE1"/>
    <w:rsid w:val="00A71E11"/>
    <w:rsid w:val="00A721A6"/>
    <w:rsid w:val="00A72336"/>
    <w:rsid w:val="00A72758"/>
    <w:rsid w:val="00A72BB1"/>
    <w:rsid w:val="00A72C67"/>
    <w:rsid w:val="00A731C4"/>
    <w:rsid w:val="00A735BB"/>
    <w:rsid w:val="00A73A46"/>
    <w:rsid w:val="00A73D35"/>
    <w:rsid w:val="00A7406F"/>
    <w:rsid w:val="00A75257"/>
    <w:rsid w:val="00A75752"/>
    <w:rsid w:val="00A757F3"/>
    <w:rsid w:val="00A75AA6"/>
    <w:rsid w:val="00A75CD3"/>
    <w:rsid w:val="00A76042"/>
    <w:rsid w:val="00A765B7"/>
    <w:rsid w:val="00A766ED"/>
    <w:rsid w:val="00A76963"/>
    <w:rsid w:val="00A76C29"/>
    <w:rsid w:val="00A77567"/>
    <w:rsid w:val="00A7785D"/>
    <w:rsid w:val="00A77916"/>
    <w:rsid w:val="00A77A15"/>
    <w:rsid w:val="00A77E52"/>
    <w:rsid w:val="00A804DE"/>
    <w:rsid w:val="00A8081C"/>
    <w:rsid w:val="00A80C50"/>
    <w:rsid w:val="00A80C99"/>
    <w:rsid w:val="00A80FD5"/>
    <w:rsid w:val="00A81946"/>
    <w:rsid w:val="00A819B8"/>
    <w:rsid w:val="00A8246D"/>
    <w:rsid w:val="00A82DA9"/>
    <w:rsid w:val="00A83CBC"/>
    <w:rsid w:val="00A84480"/>
    <w:rsid w:val="00A84547"/>
    <w:rsid w:val="00A846A4"/>
    <w:rsid w:val="00A84C2D"/>
    <w:rsid w:val="00A850BA"/>
    <w:rsid w:val="00A85738"/>
    <w:rsid w:val="00A85BAF"/>
    <w:rsid w:val="00A867D0"/>
    <w:rsid w:val="00A8699F"/>
    <w:rsid w:val="00A87890"/>
    <w:rsid w:val="00A900C8"/>
    <w:rsid w:val="00A9083A"/>
    <w:rsid w:val="00A9144B"/>
    <w:rsid w:val="00A915DB"/>
    <w:rsid w:val="00A916BC"/>
    <w:rsid w:val="00A9171A"/>
    <w:rsid w:val="00A917F9"/>
    <w:rsid w:val="00A91DF1"/>
    <w:rsid w:val="00A923EC"/>
    <w:rsid w:val="00A9273D"/>
    <w:rsid w:val="00A93074"/>
    <w:rsid w:val="00A930D6"/>
    <w:rsid w:val="00A931FA"/>
    <w:rsid w:val="00A93310"/>
    <w:rsid w:val="00A933AD"/>
    <w:rsid w:val="00A9381A"/>
    <w:rsid w:val="00A93860"/>
    <w:rsid w:val="00A941AA"/>
    <w:rsid w:val="00A94488"/>
    <w:rsid w:val="00A94FCB"/>
    <w:rsid w:val="00A95540"/>
    <w:rsid w:val="00A95994"/>
    <w:rsid w:val="00A95B6A"/>
    <w:rsid w:val="00A9714C"/>
    <w:rsid w:val="00A97755"/>
    <w:rsid w:val="00A97766"/>
    <w:rsid w:val="00A97D30"/>
    <w:rsid w:val="00AA09E9"/>
    <w:rsid w:val="00AA0FB4"/>
    <w:rsid w:val="00AA179D"/>
    <w:rsid w:val="00AA1B89"/>
    <w:rsid w:val="00AA2AAE"/>
    <w:rsid w:val="00AA2BED"/>
    <w:rsid w:val="00AA2C17"/>
    <w:rsid w:val="00AA2E11"/>
    <w:rsid w:val="00AA3805"/>
    <w:rsid w:val="00AA4426"/>
    <w:rsid w:val="00AA4658"/>
    <w:rsid w:val="00AA47C3"/>
    <w:rsid w:val="00AA4835"/>
    <w:rsid w:val="00AA5270"/>
    <w:rsid w:val="00AA5585"/>
    <w:rsid w:val="00AA55D9"/>
    <w:rsid w:val="00AA56CB"/>
    <w:rsid w:val="00AA5BE3"/>
    <w:rsid w:val="00AA61A0"/>
    <w:rsid w:val="00AA6210"/>
    <w:rsid w:val="00AA6346"/>
    <w:rsid w:val="00AA78DE"/>
    <w:rsid w:val="00AA7A9E"/>
    <w:rsid w:val="00AA7B49"/>
    <w:rsid w:val="00AB0F10"/>
    <w:rsid w:val="00AB10D2"/>
    <w:rsid w:val="00AB1BB6"/>
    <w:rsid w:val="00AB206A"/>
    <w:rsid w:val="00AB2345"/>
    <w:rsid w:val="00AB283A"/>
    <w:rsid w:val="00AB291A"/>
    <w:rsid w:val="00AB3183"/>
    <w:rsid w:val="00AB3223"/>
    <w:rsid w:val="00AB3A8A"/>
    <w:rsid w:val="00AB41FF"/>
    <w:rsid w:val="00AB475D"/>
    <w:rsid w:val="00AB4ED1"/>
    <w:rsid w:val="00AB5702"/>
    <w:rsid w:val="00AB6096"/>
    <w:rsid w:val="00AB63C6"/>
    <w:rsid w:val="00AB6591"/>
    <w:rsid w:val="00AB68AC"/>
    <w:rsid w:val="00AB6B86"/>
    <w:rsid w:val="00AB6FAF"/>
    <w:rsid w:val="00AB79A4"/>
    <w:rsid w:val="00AB7CA8"/>
    <w:rsid w:val="00AB7F5D"/>
    <w:rsid w:val="00AC0448"/>
    <w:rsid w:val="00AC06A3"/>
    <w:rsid w:val="00AC0994"/>
    <w:rsid w:val="00AC0A67"/>
    <w:rsid w:val="00AC0B64"/>
    <w:rsid w:val="00AC0E69"/>
    <w:rsid w:val="00AC16BD"/>
    <w:rsid w:val="00AC1866"/>
    <w:rsid w:val="00AC1F8D"/>
    <w:rsid w:val="00AC202D"/>
    <w:rsid w:val="00AC2419"/>
    <w:rsid w:val="00AC28FC"/>
    <w:rsid w:val="00AC3092"/>
    <w:rsid w:val="00AC3565"/>
    <w:rsid w:val="00AC35E3"/>
    <w:rsid w:val="00AC370A"/>
    <w:rsid w:val="00AC37A9"/>
    <w:rsid w:val="00AC3E5A"/>
    <w:rsid w:val="00AC4B35"/>
    <w:rsid w:val="00AC509D"/>
    <w:rsid w:val="00AC54EC"/>
    <w:rsid w:val="00AC5D9F"/>
    <w:rsid w:val="00AC5E69"/>
    <w:rsid w:val="00AC5E89"/>
    <w:rsid w:val="00AC6053"/>
    <w:rsid w:val="00AC61F0"/>
    <w:rsid w:val="00AC6325"/>
    <w:rsid w:val="00AC6426"/>
    <w:rsid w:val="00AC664C"/>
    <w:rsid w:val="00AC6790"/>
    <w:rsid w:val="00AC7918"/>
    <w:rsid w:val="00AC7D64"/>
    <w:rsid w:val="00AD0062"/>
    <w:rsid w:val="00AD0994"/>
    <w:rsid w:val="00AD09B1"/>
    <w:rsid w:val="00AD1A78"/>
    <w:rsid w:val="00AD1C5B"/>
    <w:rsid w:val="00AD1CCF"/>
    <w:rsid w:val="00AD1CF4"/>
    <w:rsid w:val="00AD1DA3"/>
    <w:rsid w:val="00AD21D8"/>
    <w:rsid w:val="00AD2744"/>
    <w:rsid w:val="00AD2987"/>
    <w:rsid w:val="00AD2AB0"/>
    <w:rsid w:val="00AD2AED"/>
    <w:rsid w:val="00AD2D29"/>
    <w:rsid w:val="00AD3825"/>
    <w:rsid w:val="00AD3DD7"/>
    <w:rsid w:val="00AD4059"/>
    <w:rsid w:val="00AD43C0"/>
    <w:rsid w:val="00AD4A47"/>
    <w:rsid w:val="00AD4E5C"/>
    <w:rsid w:val="00AD56E0"/>
    <w:rsid w:val="00AD5DD9"/>
    <w:rsid w:val="00AD5FBD"/>
    <w:rsid w:val="00AD61E9"/>
    <w:rsid w:val="00AD6760"/>
    <w:rsid w:val="00AD68D3"/>
    <w:rsid w:val="00AD6AD9"/>
    <w:rsid w:val="00AD6F99"/>
    <w:rsid w:val="00AD7903"/>
    <w:rsid w:val="00AD7CF8"/>
    <w:rsid w:val="00AE00C6"/>
    <w:rsid w:val="00AE0447"/>
    <w:rsid w:val="00AE045E"/>
    <w:rsid w:val="00AE0697"/>
    <w:rsid w:val="00AE083E"/>
    <w:rsid w:val="00AE1533"/>
    <w:rsid w:val="00AE1642"/>
    <w:rsid w:val="00AE245B"/>
    <w:rsid w:val="00AE2608"/>
    <w:rsid w:val="00AE2986"/>
    <w:rsid w:val="00AE2993"/>
    <w:rsid w:val="00AE3343"/>
    <w:rsid w:val="00AE3C0F"/>
    <w:rsid w:val="00AE3CC3"/>
    <w:rsid w:val="00AE4102"/>
    <w:rsid w:val="00AE4145"/>
    <w:rsid w:val="00AE4567"/>
    <w:rsid w:val="00AE4B6E"/>
    <w:rsid w:val="00AE4CCD"/>
    <w:rsid w:val="00AE55E3"/>
    <w:rsid w:val="00AE5A20"/>
    <w:rsid w:val="00AE5E95"/>
    <w:rsid w:val="00AE64DF"/>
    <w:rsid w:val="00AE6516"/>
    <w:rsid w:val="00AE69C4"/>
    <w:rsid w:val="00AE6E6D"/>
    <w:rsid w:val="00AE6EB7"/>
    <w:rsid w:val="00AE7117"/>
    <w:rsid w:val="00AE7A69"/>
    <w:rsid w:val="00AE7B25"/>
    <w:rsid w:val="00AE7CAB"/>
    <w:rsid w:val="00AF0181"/>
    <w:rsid w:val="00AF0FCF"/>
    <w:rsid w:val="00AF203C"/>
    <w:rsid w:val="00AF212B"/>
    <w:rsid w:val="00AF30A4"/>
    <w:rsid w:val="00AF3459"/>
    <w:rsid w:val="00AF35C4"/>
    <w:rsid w:val="00AF3707"/>
    <w:rsid w:val="00AF3943"/>
    <w:rsid w:val="00AF4760"/>
    <w:rsid w:val="00AF4857"/>
    <w:rsid w:val="00AF4AD3"/>
    <w:rsid w:val="00AF57D6"/>
    <w:rsid w:val="00AF68DE"/>
    <w:rsid w:val="00AF6AFE"/>
    <w:rsid w:val="00AF6D66"/>
    <w:rsid w:val="00AF78FB"/>
    <w:rsid w:val="00B000D1"/>
    <w:rsid w:val="00B0040F"/>
    <w:rsid w:val="00B004AC"/>
    <w:rsid w:val="00B00DE4"/>
    <w:rsid w:val="00B00E16"/>
    <w:rsid w:val="00B0106F"/>
    <w:rsid w:val="00B0155B"/>
    <w:rsid w:val="00B01563"/>
    <w:rsid w:val="00B01B3B"/>
    <w:rsid w:val="00B01D80"/>
    <w:rsid w:val="00B02116"/>
    <w:rsid w:val="00B02207"/>
    <w:rsid w:val="00B022FC"/>
    <w:rsid w:val="00B025D0"/>
    <w:rsid w:val="00B028A7"/>
    <w:rsid w:val="00B02C29"/>
    <w:rsid w:val="00B03929"/>
    <w:rsid w:val="00B04394"/>
    <w:rsid w:val="00B055BD"/>
    <w:rsid w:val="00B056A8"/>
    <w:rsid w:val="00B05C01"/>
    <w:rsid w:val="00B05EA5"/>
    <w:rsid w:val="00B060B5"/>
    <w:rsid w:val="00B06401"/>
    <w:rsid w:val="00B06BBD"/>
    <w:rsid w:val="00B06D26"/>
    <w:rsid w:val="00B07593"/>
    <w:rsid w:val="00B07CA2"/>
    <w:rsid w:val="00B07CF8"/>
    <w:rsid w:val="00B07FCA"/>
    <w:rsid w:val="00B07FD0"/>
    <w:rsid w:val="00B101DE"/>
    <w:rsid w:val="00B11027"/>
    <w:rsid w:val="00B123CB"/>
    <w:rsid w:val="00B127E9"/>
    <w:rsid w:val="00B12C0B"/>
    <w:rsid w:val="00B1326A"/>
    <w:rsid w:val="00B1356F"/>
    <w:rsid w:val="00B13894"/>
    <w:rsid w:val="00B13946"/>
    <w:rsid w:val="00B139DF"/>
    <w:rsid w:val="00B155D4"/>
    <w:rsid w:val="00B15C3C"/>
    <w:rsid w:val="00B15C8C"/>
    <w:rsid w:val="00B16112"/>
    <w:rsid w:val="00B1663B"/>
    <w:rsid w:val="00B170D5"/>
    <w:rsid w:val="00B17112"/>
    <w:rsid w:val="00B1712A"/>
    <w:rsid w:val="00B201B7"/>
    <w:rsid w:val="00B20512"/>
    <w:rsid w:val="00B2092E"/>
    <w:rsid w:val="00B21121"/>
    <w:rsid w:val="00B21196"/>
    <w:rsid w:val="00B21EBA"/>
    <w:rsid w:val="00B21FBE"/>
    <w:rsid w:val="00B21FE7"/>
    <w:rsid w:val="00B220AF"/>
    <w:rsid w:val="00B220DF"/>
    <w:rsid w:val="00B22352"/>
    <w:rsid w:val="00B22361"/>
    <w:rsid w:val="00B226B8"/>
    <w:rsid w:val="00B22A3F"/>
    <w:rsid w:val="00B22B43"/>
    <w:rsid w:val="00B235EE"/>
    <w:rsid w:val="00B23A22"/>
    <w:rsid w:val="00B23A67"/>
    <w:rsid w:val="00B240B2"/>
    <w:rsid w:val="00B24214"/>
    <w:rsid w:val="00B24973"/>
    <w:rsid w:val="00B24A71"/>
    <w:rsid w:val="00B24C39"/>
    <w:rsid w:val="00B25018"/>
    <w:rsid w:val="00B252C1"/>
    <w:rsid w:val="00B2530B"/>
    <w:rsid w:val="00B263B0"/>
    <w:rsid w:val="00B2646D"/>
    <w:rsid w:val="00B266AB"/>
    <w:rsid w:val="00B26AE9"/>
    <w:rsid w:val="00B278DA"/>
    <w:rsid w:val="00B278DB"/>
    <w:rsid w:val="00B27DF1"/>
    <w:rsid w:val="00B30D1C"/>
    <w:rsid w:val="00B3102D"/>
    <w:rsid w:val="00B318E3"/>
    <w:rsid w:val="00B31D32"/>
    <w:rsid w:val="00B31E0D"/>
    <w:rsid w:val="00B31FB7"/>
    <w:rsid w:val="00B32036"/>
    <w:rsid w:val="00B320F4"/>
    <w:rsid w:val="00B324FE"/>
    <w:rsid w:val="00B32727"/>
    <w:rsid w:val="00B32FD3"/>
    <w:rsid w:val="00B33312"/>
    <w:rsid w:val="00B3392E"/>
    <w:rsid w:val="00B342BC"/>
    <w:rsid w:val="00B3433F"/>
    <w:rsid w:val="00B3476D"/>
    <w:rsid w:val="00B35B24"/>
    <w:rsid w:val="00B366A0"/>
    <w:rsid w:val="00B367F4"/>
    <w:rsid w:val="00B36C97"/>
    <w:rsid w:val="00B371AB"/>
    <w:rsid w:val="00B37781"/>
    <w:rsid w:val="00B37909"/>
    <w:rsid w:val="00B37F56"/>
    <w:rsid w:val="00B404AC"/>
    <w:rsid w:val="00B40853"/>
    <w:rsid w:val="00B413FF"/>
    <w:rsid w:val="00B41B64"/>
    <w:rsid w:val="00B41BB3"/>
    <w:rsid w:val="00B41CEC"/>
    <w:rsid w:val="00B4233A"/>
    <w:rsid w:val="00B42B87"/>
    <w:rsid w:val="00B43389"/>
    <w:rsid w:val="00B438CC"/>
    <w:rsid w:val="00B43B60"/>
    <w:rsid w:val="00B43E26"/>
    <w:rsid w:val="00B44080"/>
    <w:rsid w:val="00B44385"/>
    <w:rsid w:val="00B4473A"/>
    <w:rsid w:val="00B44D9E"/>
    <w:rsid w:val="00B44E2A"/>
    <w:rsid w:val="00B451B9"/>
    <w:rsid w:val="00B452D5"/>
    <w:rsid w:val="00B45590"/>
    <w:rsid w:val="00B45BB3"/>
    <w:rsid w:val="00B464DD"/>
    <w:rsid w:val="00B46942"/>
    <w:rsid w:val="00B470D1"/>
    <w:rsid w:val="00B475EC"/>
    <w:rsid w:val="00B50AE8"/>
    <w:rsid w:val="00B50C9E"/>
    <w:rsid w:val="00B51D91"/>
    <w:rsid w:val="00B52678"/>
    <w:rsid w:val="00B52D2F"/>
    <w:rsid w:val="00B52FB2"/>
    <w:rsid w:val="00B53218"/>
    <w:rsid w:val="00B53C8C"/>
    <w:rsid w:val="00B53D75"/>
    <w:rsid w:val="00B54007"/>
    <w:rsid w:val="00B542BE"/>
    <w:rsid w:val="00B546BE"/>
    <w:rsid w:val="00B549DA"/>
    <w:rsid w:val="00B54BEC"/>
    <w:rsid w:val="00B555D8"/>
    <w:rsid w:val="00B55A75"/>
    <w:rsid w:val="00B55D96"/>
    <w:rsid w:val="00B562F8"/>
    <w:rsid w:val="00B568B1"/>
    <w:rsid w:val="00B57B08"/>
    <w:rsid w:val="00B57DEB"/>
    <w:rsid w:val="00B57FAD"/>
    <w:rsid w:val="00B60365"/>
    <w:rsid w:val="00B6044E"/>
    <w:rsid w:val="00B6049D"/>
    <w:rsid w:val="00B60896"/>
    <w:rsid w:val="00B60F25"/>
    <w:rsid w:val="00B6130B"/>
    <w:rsid w:val="00B6136F"/>
    <w:rsid w:val="00B62922"/>
    <w:rsid w:val="00B634B7"/>
    <w:rsid w:val="00B636BB"/>
    <w:rsid w:val="00B63B34"/>
    <w:rsid w:val="00B63D3E"/>
    <w:rsid w:val="00B63EEA"/>
    <w:rsid w:val="00B641E7"/>
    <w:rsid w:val="00B6488F"/>
    <w:rsid w:val="00B64967"/>
    <w:rsid w:val="00B649B9"/>
    <w:rsid w:val="00B650D9"/>
    <w:rsid w:val="00B651A3"/>
    <w:rsid w:val="00B651D5"/>
    <w:rsid w:val="00B65891"/>
    <w:rsid w:val="00B65F8C"/>
    <w:rsid w:val="00B662B5"/>
    <w:rsid w:val="00B6662A"/>
    <w:rsid w:val="00B66791"/>
    <w:rsid w:val="00B66A54"/>
    <w:rsid w:val="00B66D79"/>
    <w:rsid w:val="00B671D9"/>
    <w:rsid w:val="00B67550"/>
    <w:rsid w:val="00B67A61"/>
    <w:rsid w:val="00B67A64"/>
    <w:rsid w:val="00B67B34"/>
    <w:rsid w:val="00B67B50"/>
    <w:rsid w:val="00B67C35"/>
    <w:rsid w:val="00B67CA3"/>
    <w:rsid w:val="00B67E53"/>
    <w:rsid w:val="00B7017E"/>
    <w:rsid w:val="00B703CC"/>
    <w:rsid w:val="00B70700"/>
    <w:rsid w:val="00B7070B"/>
    <w:rsid w:val="00B70D7D"/>
    <w:rsid w:val="00B7148C"/>
    <w:rsid w:val="00B71D75"/>
    <w:rsid w:val="00B71FD9"/>
    <w:rsid w:val="00B72B4E"/>
    <w:rsid w:val="00B731DA"/>
    <w:rsid w:val="00B732A3"/>
    <w:rsid w:val="00B73CD3"/>
    <w:rsid w:val="00B7439F"/>
    <w:rsid w:val="00B74BEE"/>
    <w:rsid w:val="00B75354"/>
    <w:rsid w:val="00B75442"/>
    <w:rsid w:val="00B75E74"/>
    <w:rsid w:val="00B76116"/>
    <w:rsid w:val="00B76A64"/>
    <w:rsid w:val="00B77223"/>
    <w:rsid w:val="00B772AB"/>
    <w:rsid w:val="00B8041C"/>
    <w:rsid w:val="00B80568"/>
    <w:rsid w:val="00B80E47"/>
    <w:rsid w:val="00B80FB1"/>
    <w:rsid w:val="00B81EA3"/>
    <w:rsid w:val="00B82308"/>
    <w:rsid w:val="00B82813"/>
    <w:rsid w:val="00B82D65"/>
    <w:rsid w:val="00B831A0"/>
    <w:rsid w:val="00B83547"/>
    <w:rsid w:val="00B84326"/>
    <w:rsid w:val="00B84545"/>
    <w:rsid w:val="00B84BE6"/>
    <w:rsid w:val="00B84F8A"/>
    <w:rsid w:val="00B8533F"/>
    <w:rsid w:val="00B85645"/>
    <w:rsid w:val="00B85D6C"/>
    <w:rsid w:val="00B8611D"/>
    <w:rsid w:val="00B86454"/>
    <w:rsid w:val="00B86986"/>
    <w:rsid w:val="00B877EB"/>
    <w:rsid w:val="00B87AE7"/>
    <w:rsid w:val="00B901D4"/>
    <w:rsid w:val="00B903E2"/>
    <w:rsid w:val="00B90719"/>
    <w:rsid w:val="00B90F7C"/>
    <w:rsid w:val="00B91034"/>
    <w:rsid w:val="00B912ED"/>
    <w:rsid w:val="00B91C34"/>
    <w:rsid w:val="00B91E2F"/>
    <w:rsid w:val="00B928F2"/>
    <w:rsid w:val="00B92FCA"/>
    <w:rsid w:val="00B93182"/>
    <w:rsid w:val="00B932C3"/>
    <w:rsid w:val="00B93635"/>
    <w:rsid w:val="00B94F2E"/>
    <w:rsid w:val="00B95E79"/>
    <w:rsid w:val="00B9611A"/>
    <w:rsid w:val="00B965F3"/>
    <w:rsid w:val="00B966A0"/>
    <w:rsid w:val="00B96AF4"/>
    <w:rsid w:val="00B96D28"/>
    <w:rsid w:val="00B975E7"/>
    <w:rsid w:val="00B97DAF"/>
    <w:rsid w:val="00BA1568"/>
    <w:rsid w:val="00BA1617"/>
    <w:rsid w:val="00BA1985"/>
    <w:rsid w:val="00BA1ADC"/>
    <w:rsid w:val="00BA1B3E"/>
    <w:rsid w:val="00BA2173"/>
    <w:rsid w:val="00BA2CE5"/>
    <w:rsid w:val="00BA368B"/>
    <w:rsid w:val="00BA4B46"/>
    <w:rsid w:val="00BA50B2"/>
    <w:rsid w:val="00BA531E"/>
    <w:rsid w:val="00BA58C5"/>
    <w:rsid w:val="00BA5EB7"/>
    <w:rsid w:val="00BA63DA"/>
    <w:rsid w:val="00BA739A"/>
    <w:rsid w:val="00BA741F"/>
    <w:rsid w:val="00BA7960"/>
    <w:rsid w:val="00BA7DCE"/>
    <w:rsid w:val="00BB088B"/>
    <w:rsid w:val="00BB08EB"/>
    <w:rsid w:val="00BB0C78"/>
    <w:rsid w:val="00BB0DE1"/>
    <w:rsid w:val="00BB13E1"/>
    <w:rsid w:val="00BB149F"/>
    <w:rsid w:val="00BB18E8"/>
    <w:rsid w:val="00BB1AA9"/>
    <w:rsid w:val="00BB1B12"/>
    <w:rsid w:val="00BB1C57"/>
    <w:rsid w:val="00BB1E9D"/>
    <w:rsid w:val="00BB2DE5"/>
    <w:rsid w:val="00BB33FB"/>
    <w:rsid w:val="00BB3415"/>
    <w:rsid w:val="00BB371C"/>
    <w:rsid w:val="00BB3995"/>
    <w:rsid w:val="00BB451D"/>
    <w:rsid w:val="00BB45E6"/>
    <w:rsid w:val="00BB4E31"/>
    <w:rsid w:val="00BB4FD9"/>
    <w:rsid w:val="00BB50EE"/>
    <w:rsid w:val="00BB52DD"/>
    <w:rsid w:val="00BB5686"/>
    <w:rsid w:val="00BB5F19"/>
    <w:rsid w:val="00BB61B7"/>
    <w:rsid w:val="00BB6694"/>
    <w:rsid w:val="00BB68C4"/>
    <w:rsid w:val="00BB6BBC"/>
    <w:rsid w:val="00BB6EF8"/>
    <w:rsid w:val="00BB7160"/>
    <w:rsid w:val="00BB7177"/>
    <w:rsid w:val="00BB721F"/>
    <w:rsid w:val="00BB7433"/>
    <w:rsid w:val="00BC030A"/>
    <w:rsid w:val="00BC0391"/>
    <w:rsid w:val="00BC043C"/>
    <w:rsid w:val="00BC0E10"/>
    <w:rsid w:val="00BC1556"/>
    <w:rsid w:val="00BC19DA"/>
    <w:rsid w:val="00BC2356"/>
    <w:rsid w:val="00BC27A1"/>
    <w:rsid w:val="00BC2975"/>
    <w:rsid w:val="00BC2E98"/>
    <w:rsid w:val="00BC3830"/>
    <w:rsid w:val="00BC3903"/>
    <w:rsid w:val="00BC3BA8"/>
    <w:rsid w:val="00BC3CDA"/>
    <w:rsid w:val="00BC3D5B"/>
    <w:rsid w:val="00BC3D86"/>
    <w:rsid w:val="00BC493A"/>
    <w:rsid w:val="00BC4D45"/>
    <w:rsid w:val="00BC4F75"/>
    <w:rsid w:val="00BC6CB4"/>
    <w:rsid w:val="00BC6CEC"/>
    <w:rsid w:val="00BC70AF"/>
    <w:rsid w:val="00BC7136"/>
    <w:rsid w:val="00BC748C"/>
    <w:rsid w:val="00BC7876"/>
    <w:rsid w:val="00BD1085"/>
    <w:rsid w:val="00BD16E5"/>
    <w:rsid w:val="00BD240A"/>
    <w:rsid w:val="00BD267F"/>
    <w:rsid w:val="00BD2AE6"/>
    <w:rsid w:val="00BD2D23"/>
    <w:rsid w:val="00BD3548"/>
    <w:rsid w:val="00BD3CB4"/>
    <w:rsid w:val="00BD3D39"/>
    <w:rsid w:val="00BD4779"/>
    <w:rsid w:val="00BD48CD"/>
    <w:rsid w:val="00BD4B8D"/>
    <w:rsid w:val="00BD4CC0"/>
    <w:rsid w:val="00BD5287"/>
    <w:rsid w:val="00BD5701"/>
    <w:rsid w:val="00BD57A8"/>
    <w:rsid w:val="00BD5935"/>
    <w:rsid w:val="00BD5939"/>
    <w:rsid w:val="00BD5C46"/>
    <w:rsid w:val="00BD66A6"/>
    <w:rsid w:val="00BD6C05"/>
    <w:rsid w:val="00BD7A04"/>
    <w:rsid w:val="00BD7CB9"/>
    <w:rsid w:val="00BD7D5C"/>
    <w:rsid w:val="00BE0001"/>
    <w:rsid w:val="00BE0052"/>
    <w:rsid w:val="00BE0EEF"/>
    <w:rsid w:val="00BE1552"/>
    <w:rsid w:val="00BE1B1C"/>
    <w:rsid w:val="00BE2092"/>
    <w:rsid w:val="00BE241A"/>
    <w:rsid w:val="00BE27A5"/>
    <w:rsid w:val="00BE2EA9"/>
    <w:rsid w:val="00BE33B7"/>
    <w:rsid w:val="00BE34DF"/>
    <w:rsid w:val="00BE3DDD"/>
    <w:rsid w:val="00BE44C6"/>
    <w:rsid w:val="00BE498F"/>
    <w:rsid w:val="00BE52EE"/>
    <w:rsid w:val="00BE5561"/>
    <w:rsid w:val="00BE5688"/>
    <w:rsid w:val="00BE57EF"/>
    <w:rsid w:val="00BE5A62"/>
    <w:rsid w:val="00BE61DC"/>
    <w:rsid w:val="00BE6417"/>
    <w:rsid w:val="00BE667E"/>
    <w:rsid w:val="00BE6762"/>
    <w:rsid w:val="00BE67A4"/>
    <w:rsid w:val="00BE681A"/>
    <w:rsid w:val="00BE6EE4"/>
    <w:rsid w:val="00BE7419"/>
    <w:rsid w:val="00BE768D"/>
    <w:rsid w:val="00BE7B29"/>
    <w:rsid w:val="00BE7B4D"/>
    <w:rsid w:val="00BF14EA"/>
    <w:rsid w:val="00BF176B"/>
    <w:rsid w:val="00BF24AF"/>
    <w:rsid w:val="00BF2A35"/>
    <w:rsid w:val="00BF335D"/>
    <w:rsid w:val="00BF337C"/>
    <w:rsid w:val="00BF3812"/>
    <w:rsid w:val="00BF399A"/>
    <w:rsid w:val="00BF3B40"/>
    <w:rsid w:val="00BF3E6C"/>
    <w:rsid w:val="00BF4B56"/>
    <w:rsid w:val="00BF4D5F"/>
    <w:rsid w:val="00BF51CE"/>
    <w:rsid w:val="00BF55BB"/>
    <w:rsid w:val="00BF570D"/>
    <w:rsid w:val="00BF5E52"/>
    <w:rsid w:val="00BF62AC"/>
    <w:rsid w:val="00BF6428"/>
    <w:rsid w:val="00BF66A6"/>
    <w:rsid w:val="00BF687E"/>
    <w:rsid w:val="00BF6E99"/>
    <w:rsid w:val="00BF6EBD"/>
    <w:rsid w:val="00BF76A6"/>
    <w:rsid w:val="00BF7E02"/>
    <w:rsid w:val="00BF7F39"/>
    <w:rsid w:val="00C0004A"/>
    <w:rsid w:val="00C0122F"/>
    <w:rsid w:val="00C01313"/>
    <w:rsid w:val="00C0131E"/>
    <w:rsid w:val="00C01996"/>
    <w:rsid w:val="00C01C7F"/>
    <w:rsid w:val="00C021B7"/>
    <w:rsid w:val="00C023B0"/>
    <w:rsid w:val="00C02995"/>
    <w:rsid w:val="00C02D61"/>
    <w:rsid w:val="00C033D4"/>
    <w:rsid w:val="00C03601"/>
    <w:rsid w:val="00C037BC"/>
    <w:rsid w:val="00C038D3"/>
    <w:rsid w:val="00C0448E"/>
    <w:rsid w:val="00C04490"/>
    <w:rsid w:val="00C04BA0"/>
    <w:rsid w:val="00C04C2A"/>
    <w:rsid w:val="00C05580"/>
    <w:rsid w:val="00C0620E"/>
    <w:rsid w:val="00C075F7"/>
    <w:rsid w:val="00C079D1"/>
    <w:rsid w:val="00C07F2E"/>
    <w:rsid w:val="00C10735"/>
    <w:rsid w:val="00C108CA"/>
    <w:rsid w:val="00C10C6A"/>
    <w:rsid w:val="00C1176D"/>
    <w:rsid w:val="00C117F4"/>
    <w:rsid w:val="00C11B4D"/>
    <w:rsid w:val="00C12B90"/>
    <w:rsid w:val="00C12FEB"/>
    <w:rsid w:val="00C13791"/>
    <w:rsid w:val="00C13A96"/>
    <w:rsid w:val="00C144FE"/>
    <w:rsid w:val="00C14642"/>
    <w:rsid w:val="00C14701"/>
    <w:rsid w:val="00C15033"/>
    <w:rsid w:val="00C152FF"/>
    <w:rsid w:val="00C153FB"/>
    <w:rsid w:val="00C157A0"/>
    <w:rsid w:val="00C15BA7"/>
    <w:rsid w:val="00C15D13"/>
    <w:rsid w:val="00C15ED8"/>
    <w:rsid w:val="00C16734"/>
    <w:rsid w:val="00C16953"/>
    <w:rsid w:val="00C16CC4"/>
    <w:rsid w:val="00C17055"/>
    <w:rsid w:val="00C17E45"/>
    <w:rsid w:val="00C206D4"/>
    <w:rsid w:val="00C20A2C"/>
    <w:rsid w:val="00C20CF5"/>
    <w:rsid w:val="00C21B1D"/>
    <w:rsid w:val="00C2209A"/>
    <w:rsid w:val="00C22394"/>
    <w:rsid w:val="00C225DB"/>
    <w:rsid w:val="00C2260C"/>
    <w:rsid w:val="00C22F66"/>
    <w:rsid w:val="00C22FA8"/>
    <w:rsid w:val="00C23F70"/>
    <w:rsid w:val="00C25C9C"/>
    <w:rsid w:val="00C25E43"/>
    <w:rsid w:val="00C2620D"/>
    <w:rsid w:val="00C26ACE"/>
    <w:rsid w:val="00C26B0D"/>
    <w:rsid w:val="00C276BF"/>
    <w:rsid w:val="00C2775B"/>
    <w:rsid w:val="00C278BA"/>
    <w:rsid w:val="00C3070E"/>
    <w:rsid w:val="00C3098C"/>
    <w:rsid w:val="00C311DA"/>
    <w:rsid w:val="00C3207C"/>
    <w:rsid w:val="00C32158"/>
    <w:rsid w:val="00C32360"/>
    <w:rsid w:val="00C32ABE"/>
    <w:rsid w:val="00C32AC5"/>
    <w:rsid w:val="00C32B94"/>
    <w:rsid w:val="00C32F66"/>
    <w:rsid w:val="00C334EA"/>
    <w:rsid w:val="00C336FC"/>
    <w:rsid w:val="00C33F6C"/>
    <w:rsid w:val="00C34350"/>
    <w:rsid w:val="00C35526"/>
    <w:rsid w:val="00C36449"/>
    <w:rsid w:val="00C36A6C"/>
    <w:rsid w:val="00C36F56"/>
    <w:rsid w:val="00C37265"/>
    <w:rsid w:val="00C37F63"/>
    <w:rsid w:val="00C40111"/>
    <w:rsid w:val="00C40142"/>
    <w:rsid w:val="00C4018F"/>
    <w:rsid w:val="00C40D76"/>
    <w:rsid w:val="00C40F3E"/>
    <w:rsid w:val="00C41082"/>
    <w:rsid w:val="00C41648"/>
    <w:rsid w:val="00C417DA"/>
    <w:rsid w:val="00C42079"/>
    <w:rsid w:val="00C420C0"/>
    <w:rsid w:val="00C4285C"/>
    <w:rsid w:val="00C42F0D"/>
    <w:rsid w:val="00C42F44"/>
    <w:rsid w:val="00C431D7"/>
    <w:rsid w:val="00C4339F"/>
    <w:rsid w:val="00C44356"/>
    <w:rsid w:val="00C4486B"/>
    <w:rsid w:val="00C45061"/>
    <w:rsid w:val="00C457F7"/>
    <w:rsid w:val="00C45D39"/>
    <w:rsid w:val="00C45DA2"/>
    <w:rsid w:val="00C45E09"/>
    <w:rsid w:val="00C45EE3"/>
    <w:rsid w:val="00C463B8"/>
    <w:rsid w:val="00C46453"/>
    <w:rsid w:val="00C46496"/>
    <w:rsid w:val="00C46D7A"/>
    <w:rsid w:val="00C47045"/>
    <w:rsid w:val="00C47DA3"/>
    <w:rsid w:val="00C5015B"/>
    <w:rsid w:val="00C50CFE"/>
    <w:rsid w:val="00C50D4B"/>
    <w:rsid w:val="00C513E2"/>
    <w:rsid w:val="00C516EE"/>
    <w:rsid w:val="00C5245E"/>
    <w:rsid w:val="00C52717"/>
    <w:rsid w:val="00C52DB3"/>
    <w:rsid w:val="00C532E5"/>
    <w:rsid w:val="00C53319"/>
    <w:rsid w:val="00C536B8"/>
    <w:rsid w:val="00C5398B"/>
    <w:rsid w:val="00C53E4F"/>
    <w:rsid w:val="00C54B0A"/>
    <w:rsid w:val="00C5502A"/>
    <w:rsid w:val="00C55436"/>
    <w:rsid w:val="00C55489"/>
    <w:rsid w:val="00C5554F"/>
    <w:rsid w:val="00C5556C"/>
    <w:rsid w:val="00C55BFF"/>
    <w:rsid w:val="00C56470"/>
    <w:rsid w:val="00C5704C"/>
    <w:rsid w:val="00C571E7"/>
    <w:rsid w:val="00C5780A"/>
    <w:rsid w:val="00C57A58"/>
    <w:rsid w:val="00C57B3E"/>
    <w:rsid w:val="00C57B92"/>
    <w:rsid w:val="00C57E99"/>
    <w:rsid w:val="00C57FE0"/>
    <w:rsid w:val="00C6025C"/>
    <w:rsid w:val="00C6040E"/>
    <w:rsid w:val="00C60477"/>
    <w:rsid w:val="00C60C42"/>
    <w:rsid w:val="00C61030"/>
    <w:rsid w:val="00C6150D"/>
    <w:rsid w:val="00C61591"/>
    <w:rsid w:val="00C6162C"/>
    <w:rsid w:val="00C616DA"/>
    <w:rsid w:val="00C617E3"/>
    <w:rsid w:val="00C61B87"/>
    <w:rsid w:val="00C61C9C"/>
    <w:rsid w:val="00C622C2"/>
    <w:rsid w:val="00C624F9"/>
    <w:rsid w:val="00C6275B"/>
    <w:rsid w:val="00C629EB"/>
    <w:rsid w:val="00C62C14"/>
    <w:rsid w:val="00C62CF7"/>
    <w:rsid w:val="00C631DC"/>
    <w:rsid w:val="00C638B0"/>
    <w:rsid w:val="00C6392D"/>
    <w:rsid w:val="00C63FF5"/>
    <w:rsid w:val="00C651DB"/>
    <w:rsid w:val="00C65A0A"/>
    <w:rsid w:val="00C65B85"/>
    <w:rsid w:val="00C67033"/>
    <w:rsid w:val="00C674A5"/>
    <w:rsid w:val="00C675C9"/>
    <w:rsid w:val="00C67B21"/>
    <w:rsid w:val="00C67D9C"/>
    <w:rsid w:val="00C70180"/>
    <w:rsid w:val="00C7030D"/>
    <w:rsid w:val="00C70346"/>
    <w:rsid w:val="00C70805"/>
    <w:rsid w:val="00C70823"/>
    <w:rsid w:val="00C71592"/>
    <w:rsid w:val="00C717F4"/>
    <w:rsid w:val="00C7186B"/>
    <w:rsid w:val="00C720B5"/>
    <w:rsid w:val="00C7255C"/>
    <w:rsid w:val="00C726D8"/>
    <w:rsid w:val="00C72F85"/>
    <w:rsid w:val="00C72F90"/>
    <w:rsid w:val="00C734BC"/>
    <w:rsid w:val="00C73517"/>
    <w:rsid w:val="00C7406A"/>
    <w:rsid w:val="00C7432B"/>
    <w:rsid w:val="00C74573"/>
    <w:rsid w:val="00C74963"/>
    <w:rsid w:val="00C74C1D"/>
    <w:rsid w:val="00C74ECB"/>
    <w:rsid w:val="00C753A6"/>
    <w:rsid w:val="00C75582"/>
    <w:rsid w:val="00C75621"/>
    <w:rsid w:val="00C757E6"/>
    <w:rsid w:val="00C76813"/>
    <w:rsid w:val="00C7691A"/>
    <w:rsid w:val="00C76ABF"/>
    <w:rsid w:val="00C779DE"/>
    <w:rsid w:val="00C77A40"/>
    <w:rsid w:val="00C77E51"/>
    <w:rsid w:val="00C807FC"/>
    <w:rsid w:val="00C80C02"/>
    <w:rsid w:val="00C80C7D"/>
    <w:rsid w:val="00C80CF0"/>
    <w:rsid w:val="00C8146B"/>
    <w:rsid w:val="00C81A4B"/>
    <w:rsid w:val="00C81E5A"/>
    <w:rsid w:val="00C82338"/>
    <w:rsid w:val="00C8279E"/>
    <w:rsid w:val="00C82A98"/>
    <w:rsid w:val="00C82D39"/>
    <w:rsid w:val="00C8310A"/>
    <w:rsid w:val="00C83B90"/>
    <w:rsid w:val="00C83EBA"/>
    <w:rsid w:val="00C83F5E"/>
    <w:rsid w:val="00C8415D"/>
    <w:rsid w:val="00C841F8"/>
    <w:rsid w:val="00C8421F"/>
    <w:rsid w:val="00C846FE"/>
    <w:rsid w:val="00C85D94"/>
    <w:rsid w:val="00C85E01"/>
    <w:rsid w:val="00C8617E"/>
    <w:rsid w:val="00C861D6"/>
    <w:rsid w:val="00C867C7"/>
    <w:rsid w:val="00C86B11"/>
    <w:rsid w:val="00C86CD1"/>
    <w:rsid w:val="00C873B6"/>
    <w:rsid w:val="00C87468"/>
    <w:rsid w:val="00C87A54"/>
    <w:rsid w:val="00C87D39"/>
    <w:rsid w:val="00C87E59"/>
    <w:rsid w:val="00C90097"/>
    <w:rsid w:val="00C90447"/>
    <w:rsid w:val="00C90880"/>
    <w:rsid w:val="00C909BB"/>
    <w:rsid w:val="00C90A3A"/>
    <w:rsid w:val="00C90E56"/>
    <w:rsid w:val="00C90FAC"/>
    <w:rsid w:val="00C91166"/>
    <w:rsid w:val="00C9251A"/>
    <w:rsid w:val="00C92C47"/>
    <w:rsid w:val="00C92EA5"/>
    <w:rsid w:val="00C93405"/>
    <w:rsid w:val="00C93601"/>
    <w:rsid w:val="00C94385"/>
    <w:rsid w:val="00C94B8B"/>
    <w:rsid w:val="00C94E99"/>
    <w:rsid w:val="00C9639A"/>
    <w:rsid w:val="00C963ED"/>
    <w:rsid w:val="00C96859"/>
    <w:rsid w:val="00C97AEA"/>
    <w:rsid w:val="00CA018F"/>
    <w:rsid w:val="00CA0544"/>
    <w:rsid w:val="00CA0A87"/>
    <w:rsid w:val="00CA12F7"/>
    <w:rsid w:val="00CA136C"/>
    <w:rsid w:val="00CA22E8"/>
    <w:rsid w:val="00CA3302"/>
    <w:rsid w:val="00CA33B6"/>
    <w:rsid w:val="00CA3416"/>
    <w:rsid w:val="00CA36C3"/>
    <w:rsid w:val="00CA37A2"/>
    <w:rsid w:val="00CA3829"/>
    <w:rsid w:val="00CA38BB"/>
    <w:rsid w:val="00CA3AA5"/>
    <w:rsid w:val="00CA3E65"/>
    <w:rsid w:val="00CA433A"/>
    <w:rsid w:val="00CA441C"/>
    <w:rsid w:val="00CA4B25"/>
    <w:rsid w:val="00CA540B"/>
    <w:rsid w:val="00CA67CB"/>
    <w:rsid w:val="00CA6BB4"/>
    <w:rsid w:val="00CA6BD2"/>
    <w:rsid w:val="00CA6C3B"/>
    <w:rsid w:val="00CA7471"/>
    <w:rsid w:val="00CA7E9A"/>
    <w:rsid w:val="00CA7EA8"/>
    <w:rsid w:val="00CB0207"/>
    <w:rsid w:val="00CB0EAE"/>
    <w:rsid w:val="00CB0FDC"/>
    <w:rsid w:val="00CB129C"/>
    <w:rsid w:val="00CB1B9A"/>
    <w:rsid w:val="00CB2042"/>
    <w:rsid w:val="00CB237E"/>
    <w:rsid w:val="00CB2A8A"/>
    <w:rsid w:val="00CB3D3F"/>
    <w:rsid w:val="00CB42B3"/>
    <w:rsid w:val="00CB4459"/>
    <w:rsid w:val="00CB4BD9"/>
    <w:rsid w:val="00CB5091"/>
    <w:rsid w:val="00CB52E6"/>
    <w:rsid w:val="00CB52EF"/>
    <w:rsid w:val="00CB5565"/>
    <w:rsid w:val="00CB6193"/>
    <w:rsid w:val="00CB6256"/>
    <w:rsid w:val="00CB6533"/>
    <w:rsid w:val="00CB698F"/>
    <w:rsid w:val="00CB7346"/>
    <w:rsid w:val="00CB745F"/>
    <w:rsid w:val="00CB7892"/>
    <w:rsid w:val="00CB7B10"/>
    <w:rsid w:val="00CB7B74"/>
    <w:rsid w:val="00CC0426"/>
    <w:rsid w:val="00CC04CE"/>
    <w:rsid w:val="00CC0AA7"/>
    <w:rsid w:val="00CC0B15"/>
    <w:rsid w:val="00CC12B5"/>
    <w:rsid w:val="00CC12E9"/>
    <w:rsid w:val="00CC151A"/>
    <w:rsid w:val="00CC1711"/>
    <w:rsid w:val="00CC19EF"/>
    <w:rsid w:val="00CC22C9"/>
    <w:rsid w:val="00CC2357"/>
    <w:rsid w:val="00CC2CC5"/>
    <w:rsid w:val="00CC2F0A"/>
    <w:rsid w:val="00CC3B0D"/>
    <w:rsid w:val="00CC3BEE"/>
    <w:rsid w:val="00CC3DEA"/>
    <w:rsid w:val="00CC3E66"/>
    <w:rsid w:val="00CC42CF"/>
    <w:rsid w:val="00CC4792"/>
    <w:rsid w:val="00CC49B0"/>
    <w:rsid w:val="00CC4DEC"/>
    <w:rsid w:val="00CC4F12"/>
    <w:rsid w:val="00CC562C"/>
    <w:rsid w:val="00CC6137"/>
    <w:rsid w:val="00CC6C74"/>
    <w:rsid w:val="00CC70D2"/>
    <w:rsid w:val="00CC7279"/>
    <w:rsid w:val="00CC745F"/>
    <w:rsid w:val="00CC7989"/>
    <w:rsid w:val="00CC7B9E"/>
    <w:rsid w:val="00CC7C68"/>
    <w:rsid w:val="00CD0441"/>
    <w:rsid w:val="00CD0FD4"/>
    <w:rsid w:val="00CD1EED"/>
    <w:rsid w:val="00CD23F7"/>
    <w:rsid w:val="00CD2F1B"/>
    <w:rsid w:val="00CD2F6A"/>
    <w:rsid w:val="00CD374E"/>
    <w:rsid w:val="00CD3ED5"/>
    <w:rsid w:val="00CD41C9"/>
    <w:rsid w:val="00CD4998"/>
    <w:rsid w:val="00CD4B52"/>
    <w:rsid w:val="00CD61A2"/>
    <w:rsid w:val="00CD6809"/>
    <w:rsid w:val="00CD6A16"/>
    <w:rsid w:val="00CD6D2A"/>
    <w:rsid w:val="00CD6F4D"/>
    <w:rsid w:val="00CD7501"/>
    <w:rsid w:val="00CD7570"/>
    <w:rsid w:val="00CD759D"/>
    <w:rsid w:val="00CD77E6"/>
    <w:rsid w:val="00CD781F"/>
    <w:rsid w:val="00CE00C8"/>
    <w:rsid w:val="00CE0699"/>
    <w:rsid w:val="00CE07FB"/>
    <w:rsid w:val="00CE1E35"/>
    <w:rsid w:val="00CE1EE4"/>
    <w:rsid w:val="00CE24DD"/>
    <w:rsid w:val="00CE29B3"/>
    <w:rsid w:val="00CE2BE8"/>
    <w:rsid w:val="00CE3036"/>
    <w:rsid w:val="00CE323E"/>
    <w:rsid w:val="00CE40D6"/>
    <w:rsid w:val="00CE40F6"/>
    <w:rsid w:val="00CE4926"/>
    <w:rsid w:val="00CE5438"/>
    <w:rsid w:val="00CE56BF"/>
    <w:rsid w:val="00CE586C"/>
    <w:rsid w:val="00CE67C4"/>
    <w:rsid w:val="00CE6962"/>
    <w:rsid w:val="00CE6AAB"/>
    <w:rsid w:val="00CE6C83"/>
    <w:rsid w:val="00CE6D4D"/>
    <w:rsid w:val="00CE7C56"/>
    <w:rsid w:val="00CE7DAE"/>
    <w:rsid w:val="00CF19BA"/>
    <w:rsid w:val="00CF1C6A"/>
    <w:rsid w:val="00CF1D5C"/>
    <w:rsid w:val="00CF223B"/>
    <w:rsid w:val="00CF2E5F"/>
    <w:rsid w:val="00CF3015"/>
    <w:rsid w:val="00CF3581"/>
    <w:rsid w:val="00CF36F1"/>
    <w:rsid w:val="00CF3D42"/>
    <w:rsid w:val="00CF4BDB"/>
    <w:rsid w:val="00CF4D1C"/>
    <w:rsid w:val="00CF51D1"/>
    <w:rsid w:val="00CF5326"/>
    <w:rsid w:val="00CF58E6"/>
    <w:rsid w:val="00CF5C24"/>
    <w:rsid w:val="00CF5EAA"/>
    <w:rsid w:val="00CF69B8"/>
    <w:rsid w:val="00CF6D92"/>
    <w:rsid w:val="00CF6DCB"/>
    <w:rsid w:val="00CF742B"/>
    <w:rsid w:val="00CF758C"/>
    <w:rsid w:val="00CF7991"/>
    <w:rsid w:val="00D000F3"/>
    <w:rsid w:val="00D00D91"/>
    <w:rsid w:val="00D00DA4"/>
    <w:rsid w:val="00D01115"/>
    <w:rsid w:val="00D01614"/>
    <w:rsid w:val="00D01891"/>
    <w:rsid w:val="00D01A83"/>
    <w:rsid w:val="00D01E84"/>
    <w:rsid w:val="00D01F1F"/>
    <w:rsid w:val="00D02354"/>
    <w:rsid w:val="00D0380E"/>
    <w:rsid w:val="00D039DD"/>
    <w:rsid w:val="00D039ED"/>
    <w:rsid w:val="00D03CF6"/>
    <w:rsid w:val="00D03E0A"/>
    <w:rsid w:val="00D043D2"/>
    <w:rsid w:val="00D04B22"/>
    <w:rsid w:val="00D04E14"/>
    <w:rsid w:val="00D04F00"/>
    <w:rsid w:val="00D053E6"/>
    <w:rsid w:val="00D05467"/>
    <w:rsid w:val="00D05CA3"/>
    <w:rsid w:val="00D060FF"/>
    <w:rsid w:val="00D0645C"/>
    <w:rsid w:val="00D0650B"/>
    <w:rsid w:val="00D06748"/>
    <w:rsid w:val="00D078CF"/>
    <w:rsid w:val="00D07D4E"/>
    <w:rsid w:val="00D07F42"/>
    <w:rsid w:val="00D10109"/>
    <w:rsid w:val="00D1136B"/>
    <w:rsid w:val="00D115B5"/>
    <w:rsid w:val="00D11FFF"/>
    <w:rsid w:val="00D12166"/>
    <w:rsid w:val="00D12BBC"/>
    <w:rsid w:val="00D12DE8"/>
    <w:rsid w:val="00D12F7B"/>
    <w:rsid w:val="00D134FF"/>
    <w:rsid w:val="00D13967"/>
    <w:rsid w:val="00D13E0D"/>
    <w:rsid w:val="00D14636"/>
    <w:rsid w:val="00D146D5"/>
    <w:rsid w:val="00D14939"/>
    <w:rsid w:val="00D15194"/>
    <w:rsid w:val="00D151CD"/>
    <w:rsid w:val="00D1557E"/>
    <w:rsid w:val="00D15A6E"/>
    <w:rsid w:val="00D15C29"/>
    <w:rsid w:val="00D15F37"/>
    <w:rsid w:val="00D160DC"/>
    <w:rsid w:val="00D1620E"/>
    <w:rsid w:val="00D165C4"/>
    <w:rsid w:val="00D16A92"/>
    <w:rsid w:val="00D171C1"/>
    <w:rsid w:val="00D176B9"/>
    <w:rsid w:val="00D2022A"/>
    <w:rsid w:val="00D20237"/>
    <w:rsid w:val="00D20648"/>
    <w:rsid w:val="00D207C0"/>
    <w:rsid w:val="00D207C7"/>
    <w:rsid w:val="00D20D68"/>
    <w:rsid w:val="00D20DB6"/>
    <w:rsid w:val="00D20EC4"/>
    <w:rsid w:val="00D2184F"/>
    <w:rsid w:val="00D223FF"/>
    <w:rsid w:val="00D2258F"/>
    <w:rsid w:val="00D22666"/>
    <w:rsid w:val="00D2266B"/>
    <w:rsid w:val="00D227AD"/>
    <w:rsid w:val="00D22DD4"/>
    <w:rsid w:val="00D23191"/>
    <w:rsid w:val="00D234CC"/>
    <w:rsid w:val="00D23FA4"/>
    <w:rsid w:val="00D24010"/>
    <w:rsid w:val="00D24923"/>
    <w:rsid w:val="00D249BD"/>
    <w:rsid w:val="00D24AD1"/>
    <w:rsid w:val="00D24CBC"/>
    <w:rsid w:val="00D25AEE"/>
    <w:rsid w:val="00D25E66"/>
    <w:rsid w:val="00D25F61"/>
    <w:rsid w:val="00D2611D"/>
    <w:rsid w:val="00D267C8"/>
    <w:rsid w:val="00D2693B"/>
    <w:rsid w:val="00D272D3"/>
    <w:rsid w:val="00D27F62"/>
    <w:rsid w:val="00D30800"/>
    <w:rsid w:val="00D30E31"/>
    <w:rsid w:val="00D31130"/>
    <w:rsid w:val="00D3115E"/>
    <w:rsid w:val="00D3195F"/>
    <w:rsid w:val="00D31975"/>
    <w:rsid w:val="00D32040"/>
    <w:rsid w:val="00D32780"/>
    <w:rsid w:val="00D328F5"/>
    <w:rsid w:val="00D32B4F"/>
    <w:rsid w:val="00D32F49"/>
    <w:rsid w:val="00D33B88"/>
    <w:rsid w:val="00D33ED1"/>
    <w:rsid w:val="00D343B1"/>
    <w:rsid w:val="00D34ADF"/>
    <w:rsid w:val="00D34C2F"/>
    <w:rsid w:val="00D35569"/>
    <w:rsid w:val="00D36442"/>
    <w:rsid w:val="00D36AF2"/>
    <w:rsid w:val="00D37359"/>
    <w:rsid w:val="00D3784F"/>
    <w:rsid w:val="00D379F0"/>
    <w:rsid w:val="00D40D10"/>
    <w:rsid w:val="00D41612"/>
    <w:rsid w:val="00D41942"/>
    <w:rsid w:val="00D41ACB"/>
    <w:rsid w:val="00D4201F"/>
    <w:rsid w:val="00D43073"/>
    <w:rsid w:val="00D43372"/>
    <w:rsid w:val="00D44950"/>
    <w:rsid w:val="00D44A64"/>
    <w:rsid w:val="00D44D00"/>
    <w:rsid w:val="00D46520"/>
    <w:rsid w:val="00D46DD8"/>
    <w:rsid w:val="00D47672"/>
    <w:rsid w:val="00D50593"/>
    <w:rsid w:val="00D5099D"/>
    <w:rsid w:val="00D50C4B"/>
    <w:rsid w:val="00D50EC0"/>
    <w:rsid w:val="00D516AB"/>
    <w:rsid w:val="00D5170E"/>
    <w:rsid w:val="00D5176C"/>
    <w:rsid w:val="00D51924"/>
    <w:rsid w:val="00D519DE"/>
    <w:rsid w:val="00D52A11"/>
    <w:rsid w:val="00D538E2"/>
    <w:rsid w:val="00D5407F"/>
    <w:rsid w:val="00D54EAA"/>
    <w:rsid w:val="00D54ED9"/>
    <w:rsid w:val="00D55366"/>
    <w:rsid w:val="00D555D4"/>
    <w:rsid w:val="00D55EBC"/>
    <w:rsid w:val="00D56ABB"/>
    <w:rsid w:val="00D56F5F"/>
    <w:rsid w:val="00D5712D"/>
    <w:rsid w:val="00D578C5"/>
    <w:rsid w:val="00D579E1"/>
    <w:rsid w:val="00D57E4B"/>
    <w:rsid w:val="00D57F36"/>
    <w:rsid w:val="00D57F97"/>
    <w:rsid w:val="00D57FA2"/>
    <w:rsid w:val="00D601F7"/>
    <w:rsid w:val="00D60432"/>
    <w:rsid w:val="00D604F4"/>
    <w:rsid w:val="00D60BFC"/>
    <w:rsid w:val="00D62276"/>
    <w:rsid w:val="00D622A8"/>
    <w:rsid w:val="00D62978"/>
    <w:rsid w:val="00D62B5D"/>
    <w:rsid w:val="00D63087"/>
    <w:rsid w:val="00D63577"/>
    <w:rsid w:val="00D6382D"/>
    <w:rsid w:val="00D655F3"/>
    <w:rsid w:val="00D6560A"/>
    <w:rsid w:val="00D65D8A"/>
    <w:rsid w:val="00D65DF5"/>
    <w:rsid w:val="00D65E1E"/>
    <w:rsid w:val="00D66194"/>
    <w:rsid w:val="00D66199"/>
    <w:rsid w:val="00D67841"/>
    <w:rsid w:val="00D700ED"/>
    <w:rsid w:val="00D70631"/>
    <w:rsid w:val="00D70C3D"/>
    <w:rsid w:val="00D70C47"/>
    <w:rsid w:val="00D724CD"/>
    <w:rsid w:val="00D72616"/>
    <w:rsid w:val="00D73613"/>
    <w:rsid w:val="00D736FD"/>
    <w:rsid w:val="00D75482"/>
    <w:rsid w:val="00D75496"/>
    <w:rsid w:val="00D76144"/>
    <w:rsid w:val="00D76459"/>
    <w:rsid w:val="00D76C08"/>
    <w:rsid w:val="00D76D58"/>
    <w:rsid w:val="00D77410"/>
    <w:rsid w:val="00D804AE"/>
    <w:rsid w:val="00D80945"/>
    <w:rsid w:val="00D81211"/>
    <w:rsid w:val="00D812F1"/>
    <w:rsid w:val="00D8179F"/>
    <w:rsid w:val="00D81B2C"/>
    <w:rsid w:val="00D82930"/>
    <w:rsid w:val="00D832E9"/>
    <w:rsid w:val="00D833F9"/>
    <w:rsid w:val="00D83558"/>
    <w:rsid w:val="00D83805"/>
    <w:rsid w:val="00D83835"/>
    <w:rsid w:val="00D838DB"/>
    <w:rsid w:val="00D83D1A"/>
    <w:rsid w:val="00D83E5F"/>
    <w:rsid w:val="00D83EF4"/>
    <w:rsid w:val="00D84033"/>
    <w:rsid w:val="00D84068"/>
    <w:rsid w:val="00D845ED"/>
    <w:rsid w:val="00D84990"/>
    <w:rsid w:val="00D84A3E"/>
    <w:rsid w:val="00D8549C"/>
    <w:rsid w:val="00D8576C"/>
    <w:rsid w:val="00D85990"/>
    <w:rsid w:val="00D85D7E"/>
    <w:rsid w:val="00D8615C"/>
    <w:rsid w:val="00D86BA7"/>
    <w:rsid w:val="00D86CC1"/>
    <w:rsid w:val="00D86F08"/>
    <w:rsid w:val="00D87315"/>
    <w:rsid w:val="00D876D9"/>
    <w:rsid w:val="00D876E8"/>
    <w:rsid w:val="00D87915"/>
    <w:rsid w:val="00D9136D"/>
    <w:rsid w:val="00D913A1"/>
    <w:rsid w:val="00D92311"/>
    <w:rsid w:val="00D92CCE"/>
    <w:rsid w:val="00D92F8D"/>
    <w:rsid w:val="00D93707"/>
    <w:rsid w:val="00D938F7"/>
    <w:rsid w:val="00D93DCB"/>
    <w:rsid w:val="00D93F68"/>
    <w:rsid w:val="00D94097"/>
    <w:rsid w:val="00D94610"/>
    <w:rsid w:val="00D94A01"/>
    <w:rsid w:val="00D95100"/>
    <w:rsid w:val="00D951CF"/>
    <w:rsid w:val="00D9541C"/>
    <w:rsid w:val="00D955EC"/>
    <w:rsid w:val="00D9577F"/>
    <w:rsid w:val="00D957EC"/>
    <w:rsid w:val="00D95935"/>
    <w:rsid w:val="00D95DEA"/>
    <w:rsid w:val="00D97447"/>
    <w:rsid w:val="00D97A43"/>
    <w:rsid w:val="00D97C9A"/>
    <w:rsid w:val="00DA0644"/>
    <w:rsid w:val="00DA0A0C"/>
    <w:rsid w:val="00DA111D"/>
    <w:rsid w:val="00DA1306"/>
    <w:rsid w:val="00DA13FA"/>
    <w:rsid w:val="00DA1488"/>
    <w:rsid w:val="00DA189A"/>
    <w:rsid w:val="00DA190C"/>
    <w:rsid w:val="00DA297D"/>
    <w:rsid w:val="00DA2AE4"/>
    <w:rsid w:val="00DA37BA"/>
    <w:rsid w:val="00DA3969"/>
    <w:rsid w:val="00DA3B2D"/>
    <w:rsid w:val="00DA3D31"/>
    <w:rsid w:val="00DA41DB"/>
    <w:rsid w:val="00DA444F"/>
    <w:rsid w:val="00DA4AFB"/>
    <w:rsid w:val="00DA4B56"/>
    <w:rsid w:val="00DA4EAF"/>
    <w:rsid w:val="00DA508E"/>
    <w:rsid w:val="00DA5903"/>
    <w:rsid w:val="00DA5C25"/>
    <w:rsid w:val="00DA6013"/>
    <w:rsid w:val="00DA60EE"/>
    <w:rsid w:val="00DA6E33"/>
    <w:rsid w:val="00DA6F7D"/>
    <w:rsid w:val="00DA7583"/>
    <w:rsid w:val="00DA77CC"/>
    <w:rsid w:val="00DA7ABE"/>
    <w:rsid w:val="00DB06F0"/>
    <w:rsid w:val="00DB07DE"/>
    <w:rsid w:val="00DB08F3"/>
    <w:rsid w:val="00DB0C10"/>
    <w:rsid w:val="00DB0C1F"/>
    <w:rsid w:val="00DB0E0B"/>
    <w:rsid w:val="00DB1A24"/>
    <w:rsid w:val="00DB1DA7"/>
    <w:rsid w:val="00DB23BE"/>
    <w:rsid w:val="00DB267F"/>
    <w:rsid w:val="00DB2858"/>
    <w:rsid w:val="00DB288F"/>
    <w:rsid w:val="00DB2A32"/>
    <w:rsid w:val="00DB2AA2"/>
    <w:rsid w:val="00DB32EA"/>
    <w:rsid w:val="00DB354F"/>
    <w:rsid w:val="00DB3895"/>
    <w:rsid w:val="00DB3E28"/>
    <w:rsid w:val="00DB420B"/>
    <w:rsid w:val="00DB43FD"/>
    <w:rsid w:val="00DB46E5"/>
    <w:rsid w:val="00DB485D"/>
    <w:rsid w:val="00DB54A3"/>
    <w:rsid w:val="00DB58D6"/>
    <w:rsid w:val="00DB62F4"/>
    <w:rsid w:val="00DB6652"/>
    <w:rsid w:val="00DB694D"/>
    <w:rsid w:val="00DB741B"/>
    <w:rsid w:val="00DB7884"/>
    <w:rsid w:val="00DC0506"/>
    <w:rsid w:val="00DC067C"/>
    <w:rsid w:val="00DC08EB"/>
    <w:rsid w:val="00DC0AAC"/>
    <w:rsid w:val="00DC10E1"/>
    <w:rsid w:val="00DC1F6C"/>
    <w:rsid w:val="00DC1F9D"/>
    <w:rsid w:val="00DC1FEC"/>
    <w:rsid w:val="00DC2A52"/>
    <w:rsid w:val="00DC2BF2"/>
    <w:rsid w:val="00DC363E"/>
    <w:rsid w:val="00DC36DD"/>
    <w:rsid w:val="00DC3821"/>
    <w:rsid w:val="00DC3DC6"/>
    <w:rsid w:val="00DC48F8"/>
    <w:rsid w:val="00DC4F5F"/>
    <w:rsid w:val="00DC5257"/>
    <w:rsid w:val="00DC5532"/>
    <w:rsid w:val="00DC5659"/>
    <w:rsid w:val="00DC5BAA"/>
    <w:rsid w:val="00DC5D0D"/>
    <w:rsid w:val="00DC5E32"/>
    <w:rsid w:val="00DC6328"/>
    <w:rsid w:val="00DC7272"/>
    <w:rsid w:val="00DC72D1"/>
    <w:rsid w:val="00DC7B2C"/>
    <w:rsid w:val="00DC7B4A"/>
    <w:rsid w:val="00DC7BF0"/>
    <w:rsid w:val="00DC7DAC"/>
    <w:rsid w:val="00DC7DEB"/>
    <w:rsid w:val="00DC7E3E"/>
    <w:rsid w:val="00DD077B"/>
    <w:rsid w:val="00DD0912"/>
    <w:rsid w:val="00DD0990"/>
    <w:rsid w:val="00DD0E4B"/>
    <w:rsid w:val="00DD1512"/>
    <w:rsid w:val="00DD155C"/>
    <w:rsid w:val="00DD17CC"/>
    <w:rsid w:val="00DD1B9A"/>
    <w:rsid w:val="00DD1D56"/>
    <w:rsid w:val="00DD2165"/>
    <w:rsid w:val="00DD2211"/>
    <w:rsid w:val="00DD2774"/>
    <w:rsid w:val="00DD2CEA"/>
    <w:rsid w:val="00DD3057"/>
    <w:rsid w:val="00DD316D"/>
    <w:rsid w:val="00DD34D0"/>
    <w:rsid w:val="00DD3677"/>
    <w:rsid w:val="00DD3FDD"/>
    <w:rsid w:val="00DD42FD"/>
    <w:rsid w:val="00DD4785"/>
    <w:rsid w:val="00DD49A9"/>
    <w:rsid w:val="00DD4BBD"/>
    <w:rsid w:val="00DD5437"/>
    <w:rsid w:val="00DD59B7"/>
    <w:rsid w:val="00DD5C25"/>
    <w:rsid w:val="00DD5EF0"/>
    <w:rsid w:val="00DD7F7F"/>
    <w:rsid w:val="00DE0722"/>
    <w:rsid w:val="00DE088D"/>
    <w:rsid w:val="00DE0C21"/>
    <w:rsid w:val="00DE0D36"/>
    <w:rsid w:val="00DE1647"/>
    <w:rsid w:val="00DE1CB8"/>
    <w:rsid w:val="00DE1F20"/>
    <w:rsid w:val="00DE2217"/>
    <w:rsid w:val="00DE2299"/>
    <w:rsid w:val="00DE2647"/>
    <w:rsid w:val="00DE2919"/>
    <w:rsid w:val="00DE2F1A"/>
    <w:rsid w:val="00DE2FB3"/>
    <w:rsid w:val="00DE330A"/>
    <w:rsid w:val="00DE343E"/>
    <w:rsid w:val="00DE37D7"/>
    <w:rsid w:val="00DE3E1E"/>
    <w:rsid w:val="00DE3E82"/>
    <w:rsid w:val="00DE4303"/>
    <w:rsid w:val="00DE4521"/>
    <w:rsid w:val="00DE4527"/>
    <w:rsid w:val="00DE4CBA"/>
    <w:rsid w:val="00DE4D1B"/>
    <w:rsid w:val="00DE5B31"/>
    <w:rsid w:val="00DE6CB3"/>
    <w:rsid w:val="00DE7875"/>
    <w:rsid w:val="00DE796E"/>
    <w:rsid w:val="00DE7DD6"/>
    <w:rsid w:val="00DF04B0"/>
    <w:rsid w:val="00DF05B9"/>
    <w:rsid w:val="00DF092C"/>
    <w:rsid w:val="00DF0935"/>
    <w:rsid w:val="00DF0B34"/>
    <w:rsid w:val="00DF1591"/>
    <w:rsid w:val="00DF1AF6"/>
    <w:rsid w:val="00DF2049"/>
    <w:rsid w:val="00DF23DC"/>
    <w:rsid w:val="00DF278E"/>
    <w:rsid w:val="00DF2D2D"/>
    <w:rsid w:val="00DF30F8"/>
    <w:rsid w:val="00DF3256"/>
    <w:rsid w:val="00DF399F"/>
    <w:rsid w:val="00DF3E7F"/>
    <w:rsid w:val="00DF3EC4"/>
    <w:rsid w:val="00DF4046"/>
    <w:rsid w:val="00DF40F4"/>
    <w:rsid w:val="00DF417E"/>
    <w:rsid w:val="00DF4567"/>
    <w:rsid w:val="00DF4588"/>
    <w:rsid w:val="00DF4965"/>
    <w:rsid w:val="00DF4A60"/>
    <w:rsid w:val="00DF52F3"/>
    <w:rsid w:val="00DF551E"/>
    <w:rsid w:val="00DF55F0"/>
    <w:rsid w:val="00DF583D"/>
    <w:rsid w:val="00DF5AB9"/>
    <w:rsid w:val="00DF5B1E"/>
    <w:rsid w:val="00DF5C5C"/>
    <w:rsid w:val="00DF5F48"/>
    <w:rsid w:val="00DF61DD"/>
    <w:rsid w:val="00DF64F2"/>
    <w:rsid w:val="00DF6869"/>
    <w:rsid w:val="00DF6DB3"/>
    <w:rsid w:val="00DF7B5E"/>
    <w:rsid w:val="00DF7D4E"/>
    <w:rsid w:val="00E00468"/>
    <w:rsid w:val="00E019ED"/>
    <w:rsid w:val="00E01B6A"/>
    <w:rsid w:val="00E01BEE"/>
    <w:rsid w:val="00E025A5"/>
    <w:rsid w:val="00E0296F"/>
    <w:rsid w:val="00E0319E"/>
    <w:rsid w:val="00E03438"/>
    <w:rsid w:val="00E03899"/>
    <w:rsid w:val="00E03B18"/>
    <w:rsid w:val="00E04FB4"/>
    <w:rsid w:val="00E058A1"/>
    <w:rsid w:val="00E064B4"/>
    <w:rsid w:val="00E06956"/>
    <w:rsid w:val="00E06E77"/>
    <w:rsid w:val="00E07929"/>
    <w:rsid w:val="00E07A55"/>
    <w:rsid w:val="00E1083A"/>
    <w:rsid w:val="00E10885"/>
    <w:rsid w:val="00E1162F"/>
    <w:rsid w:val="00E11CC6"/>
    <w:rsid w:val="00E11DA8"/>
    <w:rsid w:val="00E1231F"/>
    <w:rsid w:val="00E12352"/>
    <w:rsid w:val="00E1282D"/>
    <w:rsid w:val="00E129AA"/>
    <w:rsid w:val="00E12E66"/>
    <w:rsid w:val="00E12EC9"/>
    <w:rsid w:val="00E13BF9"/>
    <w:rsid w:val="00E13CDB"/>
    <w:rsid w:val="00E1463E"/>
    <w:rsid w:val="00E146B3"/>
    <w:rsid w:val="00E148D7"/>
    <w:rsid w:val="00E14A6E"/>
    <w:rsid w:val="00E14BF8"/>
    <w:rsid w:val="00E14CF6"/>
    <w:rsid w:val="00E158C5"/>
    <w:rsid w:val="00E15ADE"/>
    <w:rsid w:val="00E15C16"/>
    <w:rsid w:val="00E15D92"/>
    <w:rsid w:val="00E1603B"/>
    <w:rsid w:val="00E16244"/>
    <w:rsid w:val="00E16B37"/>
    <w:rsid w:val="00E16DD9"/>
    <w:rsid w:val="00E17007"/>
    <w:rsid w:val="00E17104"/>
    <w:rsid w:val="00E17C47"/>
    <w:rsid w:val="00E17F29"/>
    <w:rsid w:val="00E206EF"/>
    <w:rsid w:val="00E211B7"/>
    <w:rsid w:val="00E213FF"/>
    <w:rsid w:val="00E21D0A"/>
    <w:rsid w:val="00E223E5"/>
    <w:rsid w:val="00E2275B"/>
    <w:rsid w:val="00E227DD"/>
    <w:rsid w:val="00E238E0"/>
    <w:rsid w:val="00E23ADB"/>
    <w:rsid w:val="00E23E99"/>
    <w:rsid w:val="00E2416A"/>
    <w:rsid w:val="00E2430E"/>
    <w:rsid w:val="00E24337"/>
    <w:rsid w:val="00E24D25"/>
    <w:rsid w:val="00E253D3"/>
    <w:rsid w:val="00E25462"/>
    <w:rsid w:val="00E254D4"/>
    <w:rsid w:val="00E25825"/>
    <w:rsid w:val="00E25A09"/>
    <w:rsid w:val="00E268A9"/>
    <w:rsid w:val="00E26AE0"/>
    <w:rsid w:val="00E26C52"/>
    <w:rsid w:val="00E27009"/>
    <w:rsid w:val="00E276EE"/>
    <w:rsid w:val="00E27A17"/>
    <w:rsid w:val="00E30308"/>
    <w:rsid w:val="00E30C2F"/>
    <w:rsid w:val="00E31841"/>
    <w:rsid w:val="00E31981"/>
    <w:rsid w:val="00E32015"/>
    <w:rsid w:val="00E32220"/>
    <w:rsid w:val="00E3231E"/>
    <w:rsid w:val="00E32F7D"/>
    <w:rsid w:val="00E34466"/>
    <w:rsid w:val="00E34697"/>
    <w:rsid w:val="00E346B1"/>
    <w:rsid w:val="00E3498F"/>
    <w:rsid w:val="00E34A49"/>
    <w:rsid w:val="00E34C5E"/>
    <w:rsid w:val="00E3590C"/>
    <w:rsid w:val="00E35E37"/>
    <w:rsid w:val="00E36264"/>
    <w:rsid w:val="00E364FB"/>
    <w:rsid w:val="00E36926"/>
    <w:rsid w:val="00E36D5D"/>
    <w:rsid w:val="00E36F84"/>
    <w:rsid w:val="00E36FAF"/>
    <w:rsid w:val="00E37EE7"/>
    <w:rsid w:val="00E400B1"/>
    <w:rsid w:val="00E4022F"/>
    <w:rsid w:val="00E404AC"/>
    <w:rsid w:val="00E40B78"/>
    <w:rsid w:val="00E4140E"/>
    <w:rsid w:val="00E4156B"/>
    <w:rsid w:val="00E41615"/>
    <w:rsid w:val="00E41A39"/>
    <w:rsid w:val="00E41D33"/>
    <w:rsid w:val="00E41D47"/>
    <w:rsid w:val="00E41E96"/>
    <w:rsid w:val="00E41F1C"/>
    <w:rsid w:val="00E42272"/>
    <w:rsid w:val="00E4282B"/>
    <w:rsid w:val="00E428C2"/>
    <w:rsid w:val="00E432DA"/>
    <w:rsid w:val="00E436EE"/>
    <w:rsid w:val="00E44F56"/>
    <w:rsid w:val="00E44FE4"/>
    <w:rsid w:val="00E458DC"/>
    <w:rsid w:val="00E45AFC"/>
    <w:rsid w:val="00E4674B"/>
    <w:rsid w:val="00E46C9D"/>
    <w:rsid w:val="00E46FF2"/>
    <w:rsid w:val="00E4709C"/>
    <w:rsid w:val="00E47EF2"/>
    <w:rsid w:val="00E50ABE"/>
    <w:rsid w:val="00E50B97"/>
    <w:rsid w:val="00E516C4"/>
    <w:rsid w:val="00E51E2E"/>
    <w:rsid w:val="00E5209C"/>
    <w:rsid w:val="00E52587"/>
    <w:rsid w:val="00E52661"/>
    <w:rsid w:val="00E52879"/>
    <w:rsid w:val="00E53180"/>
    <w:rsid w:val="00E53445"/>
    <w:rsid w:val="00E55033"/>
    <w:rsid w:val="00E555E6"/>
    <w:rsid w:val="00E5579F"/>
    <w:rsid w:val="00E55810"/>
    <w:rsid w:val="00E55990"/>
    <w:rsid w:val="00E55BFB"/>
    <w:rsid w:val="00E55EE7"/>
    <w:rsid w:val="00E56464"/>
    <w:rsid w:val="00E564A3"/>
    <w:rsid w:val="00E56A6A"/>
    <w:rsid w:val="00E57019"/>
    <w:rsid w:val="00E57995"/>
    <w:rsid w:val="00E57C95"/>
    <w:rsid w:val="00E57FF6"/>
    <w:rsid w:val="00E6011F"/>
    <w:rsid w:val="00E60CBE"/>
    <w:rsid w:val="00E60E49"/>
    <w:rsid w:val="00E60FC1"/>
    <w:rsid w:val="00E61489"/>
    <w:rsid w:val="00E61921"/>
    <w:rsid w:val="00E61F81"/>
    <w:rsid w:val="00E61FD9"/>
    <w:rsid w:val="00E621B7"/>
    <w:rsid w:val="00E629FD"/>
    <w:rsid w:val="00E63214"/>
    <w:rsid w:val="00E6369D"/>
    <w:rsid w:val="00E64179"/>
    <w:rsid w:val="00E64499"/>
    <w:rsid w:val="00E64879"/>
    <w:rsid w:val="00E649FF"/>
    <w:rsid w:val="00E66195"/>
    <w:rsid w:val="00E66514"/>
    <w:rsid w:val="00E6667B"/>
    <w:rsid w:val="00E66D1B"/>
    <w:rsid w:val="00E66E6C"/>
    <w:rsid w:val="00E67361"/>
    <w:rsid w:val="00E700B8"/>
    <w:rsid w:val="00E704FE"/>
    <w:rsid w:val="00E70555"/>
    <w:rsid w:val="00E70E79"/>
    <w:rsid w:val="00E7152D"/>
    <w:rsid w:val="00E7221D"/>
    <w:rsid w:val="00E7247E"/>
    <w:rsid w:val="00E725B3"/>
    <w:rsid w:val="00E7292A"/>
    <w:rsid w:val="00E72BF4"/>
    <w:rsid w:val="00E72FDB"/>
    <w:rsid w:val="00E733DC"/>
    <w:rsid w:val="00E736B5"/>
    <w:rsid w:val="00E73A7F"/>
    <w:rsid w:val="00E73E88"/>
    <w:rsid w:val="00E747C5"/>
    <w:rsid w:val="00E75365"/>
    <w:rsid w:val="00E75A7D"/>
    <w:rsid w:val="00E75E5E"/>
    <w:rsid w:val="00E76092"/>
    <w:rsid w:val="00E76185"/>
    <w:rsid w:val="00E763D5"/>
    <w:rsid w:val="00E769A3"/>
    <w:rsid w:val="00E76C23"/>
    <w:rsid w:val="00E775F8"/>
    <w:rsid w:val="00E77697"/>
    <w:rsid w:val="00E77859"/>
    <w:rsid w:val="00E77A55"/>
    <w:rsid w:val="00E77DCC"/>
    <w:rsid w:val="00E80059"/>
    <w:rsid w:val="00E807EA"/>
    <w:rsid w:val="00E80A0B"/>
    <w:rsid w:val="00E80F8E"/>
    <w:rsid w:val="00E812F5"/>
    <w:rsid w:val="00E8191A"/>
    <w:rsid w:val="00E81C0B"/>
    <w:rsid w:val="00E82258"/>
    <w:rsid w:val="00E822FF"/>
    <w:rsid w:val="00E82757"/>
    <w:rsid w:val="00E83821"/>
    <w:rsid w:val="00E839CB"/>
    <w:rsid w:val="00E83F60"/>
    <w:rsid w:val="00E842C5"/>
    <w:rsid w:val="00E84473"/>
    <w:rsid w:val="00E84480"/>
    <w:rsid w:val="00E84883"/>
    <w:rsid w:val="00E84EA5"/>
    <w:rsid w:val="00E85227"/>
    <w:rsid w:val="00E85C77"/>
    <w:rsid w:val="00E85E94"/>
    <w:rsid w:val="00E85FA4"/>
    <w:rsid w:val="00E8618F"/>
    <w:rsid w:val="00E86AAF"/>
    <w:rsid w:val="00E87018"/>
    <w:rsid w:val="00E87109"/>
    <w:rsid w:val="00E87447"/>
    <w:rsid w:val="00E87956"/>
    <w:rsid w:val="00E87B69"/>
    <w:rsid w:val="00E87DCF"/>
    <w:rsid w:val="00E900FE"/>
    <w:rsid w:val="00E90629"/>
    <w:rsid w:val="00E906AE"/>
    <w:rsid w:val="00E90DA5"/>
    <w:rsid w:val="00E91401"/>
    <w:rsid w:val="00E914F6"/>
    <w:rsid w:val="00E9231D"/>
    <w:rsid w:val="00E92BE1"/>
    <w:rsid w:val="00E93612"/>
    <w:rsid w:val="00E93A0E"/>
    <w:rsid w:val="00E93D84"/>
    <w:rsid w:val="00E93FD1"/>
    <w:rsid w:val="00E94B2F"/>
    <w:rsid w:val="00E95C79"/>
    <w:rsid w:val="00E95E9F"/>
    <w:rsid w:val="00E95F8C"/>
    <w:rsid w:val="00E96209"/>
    <w:rsid w:val="00E96410"/>
    <w:rsid w:val="00E96830"/>
    <w:rsid w:val="00E968F0"/>
    <w:rsid w:val="00E970A7"/>
    <w:rsid w:val="00E97230"/>
    <w:rsid w:val="00E9759F"/>
    <w:rsid w:val="00E976B1"/>
    <w:rsid w:val="00E97DBB"/>
    <w:rsid w:val="00EA0715"/>
    <w:rsid w:val="00EA097F"/>
    <w:rsid w:val="00EA0DE3"/>
    <w:rsid w:val="00EA1603"/>
    <w:rsid w:val="00EA1E34"/>
    <w:rsid w:val="00EA286C"/>
    <w:rsid w:val="00EA2976"/>
    <w:rsid w:val="00EA393B"/>
    <w:rsid w:val="00EA3A2E"/>
    <w:rsid w:val="00EA3DB7"/>
    <w:rsid w:val="00EA3EC0"/>
    <w:rsid w:val="00EA40FC"/>
    <w:rsid w:val="00EA42F6"/>
    <w:rsid w:val="00EA4567"/>
    <w:rsid w:val="00EA48E4"/>
    <w:rsid w:val="00EA5107"/>
    <w:rsid w:val="00EA561F"/>
    <w:rsid w:val="00EA572D"/>
    <w:rsid w:val="00EA5789"/>
    <w:rsid w:val="00EA638D"/>
    <w:rsid w:val="00EA64ED"/>
    <w:rsid w:val="00EA657C"/>
    <w:rsid w:val="00EA7E97"/>
    <w:rsid w:val="00EB04EF"/>
    <w:rsid w:val="00EB056D"/>
    <w:rsid w:val="00EB1A7B"/>
    <w:rsid w:val="00EB1F47"/>
    <w:rsid w:val="00EB20AD"/>
    <w:rsid w:val="00EB3299"/>
    <w:rsid w:val="00EB381C"/>
    <w:rsid w:val="00EB3D47"/>
    <w:rsid w:val="00EB3EBF"/>
    <w:rsid w:val="00EB45B0"/>
    <w:rsid w:val="00EB4CEA"/>
    <w:rsid w:val="00EB4E88"/>
    <w:rsid w:val="00EB523A"/>
    <w:rsid w:val="00EB5CCD"/>
    <w:rsid w:val="00EB5DBC"/>
    <w:rsid w:val="00EB5F3A"/>
    <w:rsid w:val="00EB6AE1"/>
    <w:rsid w:val="00EB6BB3"/>
    <w:rsid w:val="00EB7609"/>
    <w:rsid w:val="00EB78CA"/>
    <w:rsid w:val="00EB7986"/>
    <w:rsid w:val="00EB7B9D"/>
    <w:rsid w:val="00EC076B"/>
    <w:rsid w:val="00EC07A9"/>
    <w:rsid w:val="00EC099E"/>
    <w:rsid w:val="00EC09D4"/>
    <w:rsid w:val="00EC0D25"/>
    <w:rsid w:val="00EC18E7"/>
    <w:rsid w:val="00EC1A0B"/>
    <w:rsid w:val="00EC1E8F"/>
    <w:rsid w:val="00EC288B"/>
    <w:rsid w:val="00EC2D8A"/>
    <w:rsid w:val="00EC32E8"/>
    <w:rsid w:val="00EC3B65"/>
    <w:rsid w:val="00EC4221"/>
    <w:rsid w:val="00EC4539"/>
    <w:rsid w:val="00EC4686"/>
    <w:rsid w:val="00EC48A0"/>
    <w:rsid w:val="00EC4EB8"/>
    <w:rsid w:val="00EC5875"/>
    <w:rsid w:val="00EC59EC"/>
    <w:rsid w:val="00EC5ED0"/>
    <w:rsid w:val="00EC5FD1"/>
    <w:rsid w:val="00EC6243"/>
    <w:rsid w:val="00EC6487"/>
    <w:rsid w:val="00EC722C"/>
    <w:rsid w:val="00EC7416"/>
    <w:rsid w:val="00ED0410"/>
    <w:rsid w:val="00ED07CF"/>
    <w:rsid w:val="00ED0C12"/>
    <w:rsid w:val="00ED0CCD"/>
    <w:rsid w:val="00ED0F34"/>
    <w:rsid w:val="00ED0FC1"/>
    <w:rsid w:val="00ED1069"/>
    <w:rsid w:val="00ED1415"/>
    <w:rsid w:val="00ED1620"/>
    <w:rsid w:val="00ED1A44"/>
    <w:rsid w:val="00ED2DEE"/>
    <w:rsid w:val="00ED2F2B"/>
    <w:rsid w:val="00ED5804"/>
    <w:rsid w:val="00ED5CE7"/>
    <w:rsid w:val="00ED785D"/>
    <w:rsid w:val="00ED7B61"/>
    <w:rsid w:val="00EE0075"/>
    <w:rsid w:val="00EE014E"/>
    <w:rsid w:val="00EE02B0"/>
    <w:rsid w:val="00EE09AA"/>
    <w:rsid w:val="00EE11A2"/>
    <w:rsid w:val="00EE11DA"/>
    <w:rsid w:val="00EE17F6"/>
    <w:rsid w:val="00EE196D"/>
    <w:rsid w:val="00EE198A"/>
    <w:rsid w:val="00EE2C11"/>
    <w:rsid w:val="00EE3172"/>
    <w:rsid w:val="00EE365E"/>
    <w:rsid w:val="00EE3699"/>
    <w:rsid w:val="00EE3766"/>
    <w:rsid w:val="00EE3DFB"/>
    <w:rsid w:val="00EE4B00"/>
    <w:rsid w:val="00EE4E30"/>
    <w:rsid w:val="00EE4FF4"/>
    <w:rsid w:val="00EE51A0"/>
    <w:rsid w:val="00EE5211"/>
    <w:rsid w:val="00EE528E"/>
    <w:rsid w:val="00EE5B72"/>
    <w:rsid w:val="00EE5C3C"/>
    <w:rsid w:val="00EE5E36"/>
    <w:rsid w:val="00EE5FFF"/>
    <w:rsid w:val="00EE6068"/>
    <w:rsid w:val="00EE6094"/>
    <w:rsid w:val="00EE67D1"/>
    <w:rsid w:val="00EE6B08"/>
    <w:rsid w:val="00EE6EA6"/>
    <w:rsid w:val="00EE6FB9"/>
    <w:rsid w:val="00EE76F5"/>
    <w:rsid w:val="00EE79EB"/>
    <w:rsid w:val="00EF0635"/>
    <w:rsid w:val="00EF2651"/>
    <w:rsid w:val="00EF2A68"/>
    <w:rsid w:val="00EF33D8"/>
    <w:rsid w:val="00EF37B9"/>
    <w:rsid w:val="00EF37C7"/>
    <w:rsid w:val="00EF3A10"/>
    <w:rsid w:val="00EF3CB4"/>
    <w:rsid w:val="00EF59DE"/>
    <w:rsid w:val="00EF5CBA"/>
    <w:rsid w:val="00EF5D26"/>
    <w:rsid w:val="00EF5EFE"/>
    <w:rsid w:val="00EF6052"/>
    <w:rsid w:val="00EF6214"/>
    <w:rsid w:val="00EF65CA"/>
    <w:rsid w:val="00EF6646"/>
    <w:rsid w:val="00EF67C1"/>
    <w:rsid w:val="00EF7426"/>
    <w:rsid w:val="00EF74C4"/>
    <w:rsid w:val="00EF7505"/>
    <w:rsid w:val="00EF7E39"/>
    <w:rsid w:val="00EF7E77"/>
    <w:rsid w:val="00EF7E7D"/>
    <w:rsid w:val="00F0107F"/>
    <w:rsid w:val="00F01181"/>
    <w:rsid w:val="00F01582"/>
    <w:rsid w:val="00F017CD"/>
    <w:rsid w:val="00F01AE1"/>
    <w:rsid w:val="00F01CF9"/>
    <w:rsid w:val="00F01E80"/>
    <w:rsid w:val="00F0200F"/>
    <w:rsid w:val="00F024D5"/>
    <w:rsid w:val="00F02C53"/>
    <w:rsid w:val="00F03163"/>
    <w:rsid w:val="00F034AB"/>
    <w:rsid w:val="00F03BA3"/>
    <w:rsid w:val="00F03CDA"/>
    <w:rsid w:val="00F0402C"/>
    <w:rsid w:val="00F0454D"/>
    <w:rsid w:val="00F04D65"/>
    <w:rsid w:val="00F04E46"/>
    <w:rsid w:val="00F053DF"/>
    <w:rsid w:val="00F0595A"/>
    <w:rsid w:val="00F05BD5"/>
    <w:rsid w:val="00F05BFF"/>
    <w:rsid w:val="00F05C66"/>
    <w:rsid w:val="00F05FF8"/>
    <w:rsid w:val="00F06D08"/>
    <w:rsid w:val="00F071FA"/>
    <w:rsid w:val="00F103A9"/>
    <w:rsid w:val="00F10CED"/>
    <w:rsid w:val="00F11711"/>
    <w:rsid w:val="00F11FC3"/>
    <w:rsid w:val="00F120C4"/>
    <w:rsid w:val="00F1226D"/>
    <w:rsid w:val="00F126F2"/>
    <w:rsid w:val="00F13432"/>
    <w:rsid w:val="00F13542"/>
    <w:rsid w:val="00F1356E"/>
    <w:rsid w:val="00F13AF1"/>
    <w:rsid w:val="00F13E6D"/>
    <w:rsid w:val="00F14A5D"/>
    <w:rsid w:val="00F14E42"/>
    <w:rsid w:val="00F152E8"/>
    <w:rsid w:val="00F15639"/>
    <w:rsid w:val="00F15D46"/>
    <w:rsid w:val="00F169CE"/>
    <w:rsid w:val="00F16D92"/>
    <w:rsid w:val="00F16E23"/>
    <w:rsid w:val="00F16E78"/>
    <w:rsid w:val="00F17582"/>
    <w:rsid w:val="00F20A1B"/>
    <w:rsid w:val="00F20E15"/>
    <w:rsid w:val="00F21861"/>
    <w:rsid w:val="00F21EBE"/>
    <w:rsid w:val="00F22268"/>
    <w:rsid w:val="00F22458"/>
    <w:rsid w:val="00F224F7"/>
    <w:rsid w:val="00F22803"/>
    <w:rsid w:val="00F2333D"/>
    <w:rsid w:val="00F236FD"/>
    <w:rsid w:val="00F23F1F"/>
    <w:rsid w:val="00F24F13"/>
    <w:rsid w:val="00F2573D"/>
    <w:rsid w:val="00F2584E"/>
    <w:rsid w:val="00F25DAD"/>
    <w:rsid w:val="00F2655D"/>
    <w:rsid w:val="00F26688"/>
    <w:rsid w:val="00F26DB0"/>
    <w:rsid w:val="00F26E82"/>
    <w:rsid w:val="00F27002"/>
    <w:rsid w:val="00F27401"/>
    <w:rsid w:val="00F2771A"/>
    <w:rsid w:val="00F2791D"/>
    <w:rsid w:val="00F2795D"/>
    <w:rsid w:val="00F309F6"/>
    <w:rsid w:val="00F30A84"/>
    <w:rsid w:val="00F30B45"/>
    <w:rsid w:val="00F316B2"/>
    <w:rsid w:val="00F326A2"/>
    <w:rsid w:val="00F333A0"/>
    <w:rsid w:val="00F33781"/>
    <w:rsid w:val="00F33905"/>
    <w:rsid w:val="00F33B38"/>
    <w:rsid w:val="00F34524"/>
    <w:rsid w:val="00F34F9F"/>
    <w:rsid w:val="00F35222"/>
    <w:rsid w:val="00F3573A"/>
    <w:rsid w:val="00F35C75"/>
    <w:rsid w:val="00F360F3"/>
    <w:rsid w:val="00F3638C"/>
    <w:rsid w:val="00F369E0"/>
    <w:rsid w:val="00F36E73"/>
    <w:rsid w:val="00F37191"/>
    <w:rsid w:val="00F37801"/>
    <w:rsid w:val="00F378B9"/>
    <w:rsid w:val="00F37E37"/>
    <w:rsid w:val="00F40385"/>
    <w:rsid w:val="00F40715"/>
    <w:rsid w:val="00F41257"/>
    <w:rsid w:val="00F41ED1"/>
    <w:rsid w:val="00F4267E"/>
    <w:rsid w:val="00F42EF1"/>
    <w:rsid w:val="00F42F05"/>
    <w:rsid w:val="00F4313A"/>
    <w:rsid w:val="00F43A2F"/>
    <w:rsid w:val="00F43BA5"/>
    <w:rsid w:val="00F44045"/>
    <w:rsid w:val="00F4424D"/>
    <w:rsid w:val="00F44ECB"/>
    <w:rsid w:val="00F45164"/>
    <w:rsid w:val="00F45D16"/>
    <w:rsid w:val="00F45E8E"/>
    <w:rsid w:val="00F45FF4"/>
    <w:rsid w:val="00F4610A"/>
    <w:rsid w:val="00F4610B"/>
    <w:rsid w:val="00F46180"/>
    <w:rsid w:val="00F46201"/>
    <w:rsid w:val="00F465CC"/>
    <w:rsid w:val="00F46782"/>
    <w:rsid w:val="00F473CF"/>
    <w:rsid w:val="00F47AA7"/>
    <w:rsid w:val="00F502F6"/>
    <w:rsid w:val="00F509A3"/>
    <w:rsid w:val="00F509BA"/>
    <w:rsid w:val="00F50A50"/>
    <w:rsid w:val="00F51C9D"/>
    <w:rsid w:val="00F51D03"/>
    <w:rsid w:val="00F52291"/>
    <w:rsid w:val="00F522C3"/>
    <w:rsid w:val="00F5265C"/>
    <w:rsid w:val="00F52C8E"/>
    <w:rsid w:val="00F52F89"/>
    <w:rsid w:val="00F530D2"/>
    <w:rsid w:val="00F53B31"/>
    <w:rsid w:val="00F5442B"/>
    <w:rsid w:val="00F5473B"/>
    <w:rsid w:val="00F54B23"/>
    <w:rsid w:val="00F5534C"/>
    <w:rsid w:val="00F55C59"/>
    <w:rsid w:val="00F5680B"/>
    <w:rsid w:val="00F56981"/>
    <w:rsid w:val="00F56DE2"/>
    <w:rsid w:val="00F5725F"/>
    <w:rsid w:val="00F600AD"/>
    <w:rsid w:val="00F602E7"/>
    <w:rsid w:val="00F621E5"/>
    <w:rsid w:val="00F629B3"/>
    <w:rsid w:val="00F62ADF"/>
    <w:rsid w:val="00F63812"/>
    <w:rsid w:val="00F63BF7"/>
    <w:rsid w:val="00F63D5C"/>
    <w:rsid w:val="00F64265"/>
    <w:rsid w:val="00F64629"/>
    <w:rsid w:val="00F647C8"/>
    <w:rsid w:val="00F64E62"/>
    <w:rsid w:val="00F669B2"/>
    <w:rsid w:val="00F66F17"/>
    <w:rsid w:val="00F66F31"/>
    <w:rsid w:val="00F66F48"/>
    <w:rsid w:val="00F66F94"/>
    <w:rsid w:val="00F66F9E"/>
    <w:rsid w:val="00F671AA"/>
    <w:rsid w:val="00F67572"/>
    <w:rsid w:val="00F7087A"/>
    <w:rsid w:val="00F70C74"/>
    <w:rsid w:val="00F7201C"/>
    <w:rsid w:val="00F720AB"/>
    <w:rsid w:val="00F722D5"/>
    <w:rsid w:val="00F723AA"/>
    <w:rsid w:val="00F72647"/>
    <w:rsid w:val="00F7316E"/>
    <w:rsid w:val="00F744C4"/>
    <w:rsid w:val="00F7495F"/>
    <w:rsid w:val="00F754D3"/>
    <w:rsid w:val="00F7550D"/>
    <w:rsid w:val="00F75FAE"/>
    <w:rsid w:val="00F76A4E"/>
    <w:rsid w:val="00F773DA"/>
    <w:rsid w:val="00F775CF"/>
    <w:rsid w:val="00F77762"/>
    <w:rsid w:val="00F77E76"/>
    <w:rsid w:val="00F77F16"/>
    <w:rsid w:val="00F77FE8"/>
    <w:rsid w:val="00F81239"/>
    <w:rsid w:val="00F81A99"/>
    <w:rsid w:val="00F81B7D"/>
    <w:rsid w:val="00F827D9"/>
    <w:rsid w:val="00F82F6C"/>
    <w:rsid w:val="00F8334E"/>
    <w:rsid w:val="00F8368F"/>
    <w:rsid w:val="00F83BA3"/>
    <w:rsid w:val="00F83C8D"/>
    <w:rsid w:val="00F84749"/>
    <w:rsid w:val="00F84A85"/>
    <w:rsid w:val="00F84A95"/>
    <w:rsid w:val="00F84BB7"/>
    <w:rsid w:val="00F8518C"/>
    <w:rsid w:val="00F85870"/>
    <w:rsid w:val="00F85F64"/>
    <w:rsid w:val="00F8602D"/>
    <w:rsid w:val="00F8697A"/>
    <w:rsid w:val="00F87256"/>
    <w:rsid w:val="00F87264"/>
    <w:rsid w:val="00F87312"/>
    <w:rsid w:val="00F87D81"/>
    <w:rsid w:val="00F901ED"/>
    <w:rsid w:val="00F90268"/>
    <w:rsid w:val="00F903BA"/>
    <w:rsid w:val="00F905AA"/>
    <w:rsid w:val="00F90914"/>
    <w:rsid w:val="00F91490"/>
    <w:rsid w:val="00F916F2"/>
    <w:rsid w:val="00F917C8"/>
    <w:rsid w:val="00F91A30"/>
    <w:rsid w:val="00F93D55"/>
    <w:rsid w:val="00F93F39"/>
    <w:rsid w:val="00F94972"/>
    <w:rsid w:val="00F94E01"/>
    <w:rsid w:val="00F952A6"/>
    <w:rsid w:val="00F953B5"/>
    <w:rsid w:val="00F958A2"/>
    <w:rsid w:val="00F95E7D"/>
    <w:rsid w:val="00F968A2"/>
    <w:rsid w:val="00F96D91"/>
    <w:rsid w:val="00F9718B"/>
    <w:rsid w:val="00F97313"/>
    <w:rsid w:val="00F97621"/>
    <w:rsid w:val="00F97877"/>
    <w:rsid w:val="00F97B88"/>
    <w:rsid w:val="00F97CAF"/>
    <w:rsid w:val="00F97DB8"/>
    <w:rsid w:val="00FA04C3"/>
    <w:rsid w:val="00FA115C"/>
    <w:rsid w:val="00FA1C91"/>
    <w:rsid w:val="00FA2139"/>
    <w:rsid w:val="00FA2248"/>
    <w:rsid w:val="00FA25E6"/>
    <w:rsid w:val="00FA3A57"/>
    <w:rsid w:val="00FA3BCE"/>
    <w:rsid w:val="00FA59C1"/>
    <w:rsid w:val="00FA5B4F"/>
    <w:rsid w:val="00FA5F7E"/>
    <w:rsid w:val="00FA6CBE"/>
    <w:rsid w:val="00FA6DA4"/>
    <w:rsid w:val="00FA71BD"/>
    <w:rsid w:val="00FA7FE7"/>
    <w:rsid w:val="00FB025C"/>
    <w:rsid w:val="00FB13CF"/>
    <w:rsid w:val="00FB172C"/>
    <w:rsid w:val="00FB1801"/>
    <w:rsid w:val="00FB1A6D"/>
    <w:rsid w:val="00FB24B6"/>
    <w:rsid w:val="00FB257F"/>
    <w:rsid w:val="00FB2ACE"/>
    <w:rsid w:val="00FB2B98"/>
    <w:rsid w:val="00FB33DA"/>
    <w:rsid w:val="00FB3C28"/>
    <w:rsid w:val="00FB40FC"/>
    <w:rsid w:val="00FB476C"/>
    <w:rsid w:val="00FB49DA"/>
    <w:rsid w:val="00FB4FC1"/>
    <w:rsid w:val="00FB52F9"/>
    <w:rsid w:val="00FB57B6"/>
    <w:rsid w:val="00FB5B11"/>
    <w:rsid w:val="00FB633C"/>
    <w:rsid w:val="00FB6675"/>
    <w:rsid w:val="00FB6A7B"/>
    <w:rsid w:val="00FB6BC1"/>
    <w:rsid w:val="00FB7752"/>
    <w:rsid w:val="00FC0017"/>
    <w:rsid w:val="00FC025D"/>
    <w:rsid w:val="00FC0294"/>
    <w:rsid w:val="00FC0359"/>
    <w:rsid w:val="00FC0370"/>
    <w:rsid w:val="00FC04A2"/>
    <w:rsid w:val="00FC14B6"/>
    <w:rsid w:val="00FC14C3"/>
    <w:rsid w:val="00FC177A"/>
    <w:rsid w:val="00FC17E0"/>
    <w:rsid w:val="00FC17ED"/>
    <w:rsid w:val="00FC1857"/>
    <w:rsid w:val="00FC1B28"/>
    <w:rsid w:val="00FC204C"/>
    <w:rsid w:val="00FC25FC"/>
    <w:rsid w:val="00FC2818"/>
    <w:rsid w:val="00FC2985"/>
    <w:rsid w:val="00FC395B"/>
    <w:rsid w:val="00FC3DBA"/>
    <w:rsid w:val="00FC3DF3"/>
    <w:rsid w:val="00FC4981"/>
    <w:rsid w:val="00FC5428"/>
    <w:rsid w:val="00FC548A"/>
    <w:rsid w:val="00FC5922"/>
    <w:rsid w:val="00FC68BB"/>
    <w:rsid w:val="00FC6A11"/>
    <w:rsid w:val="00FC6BA6"/>
    <w:rsid w:val="00FC707D"/>
    <w:rsid w:val="00FC74D6"/>
    <w:rsid w:val="00FC7C0A"/>
    <w:rsid w:val="00FC7E94"/>
    <w:rsid w:val="00FD093D"/>
    <w:rsid w:val="00FD0A0F"/>
    <w:rsid w:val="00FD0A93"/>
    <w:rsid w:val="00FD11CB"/>
    <w:rsid w:val="00FD14CF"/>
    <w:rsid w:val="00FD1859"/>
    <w:rsid w:val="00FD2AC9"/>
    <w:rsid w:val="00FD2EB0"/>
    <w:rsid w:val="00FD4589"/>
    <w:rsid w:val="00FD47E4"/>
    <w:rsid w:val="00FD4D87"/>
    <w:rsid w:val="00FD4F9D"/>
    <w:rsid w:val="00FD506C"/>
    <w:rsid w:val="00FD570A"/>
    <w:rsid w:val="00FD5A54"/>
    <w:rsid w:val="00FD6ACF"/>
    <w:rsid w:val="00FD78CD"/>
    <w:rsid w:val="00FD7A87"/>
    <w:rsid w:val="00FD7D19"/>
    <w:rsid w:val="00FE0051"/>
    <w:rsid w:val="00FE0055"/>
    <w:rsid w:val="00FE09C7"/>
    <w:rsid w:val="00FE0EBA"/>
    <w:rsid w:val="00FE16FD"/>
    <w:rsid w:val="00FE1987"/>
    <w:rsid w:val="00FE19AC"/>
    <w:rsid w:val="00FE1B28"/>
    <w:rsid w:val="00FE1F46"/>
    <w:rsid w:val="00FE21AB"/>
    <w:rsid w:val="00FE2253"/>
    <w:rsid w:val="00FE22D2"/>
    <w:rsid w:val="00FE2512"/>
    <w:rsid w:val="00FE26AF"/>
    <w:rsid w:val="00FE3572"/>
    <w:rsid w:val="00FE493A"/>
    <w:rsid w:val="00FE4B92"/>
    <w:rsid w:val="00FE4FF8"/>
    <w:rsid w:val="00FE5487"/>
    <w:rsid w:val="00FE56D6"/>
    <w:rsid w:val="00FE5B2C"/>
    <w:rsid w:val="00FE5B3D"/>
    <w:rsid w:val="00FE5FA4"/>
    <w:rsid w:val="00FE6003"/>
    <w:rsid w:val="00FE61F4"/>
    <w:rsid w:val="00FE6654"/>
    <w:rsid w:val="00FE6F8A"/>
    <w:rsid w:val="00FE7C62"/>
    <w:rsid w:val="00FE7C9C"/>
    <w:rsid w:val="00FE7D3B"/>
    <w:rsid w:val="00FE7D5D"/>
    <w:rsid w:val="00FE7DFD"/>
    <w:rsid w:val="00FF0166"/>
    <w:rsid w:val="00FF0E9B"/>
    <w:rsid w:val="00FF18D7"/>
    <w:rsid w:val="00FF1AE6"/>
    <w:rsid w:val="00FF2043"/>
    <w:rsid w:val="00FF2449"/>
    <w:rsid w:val="00FF2605"/>
    <w:rsid w:val="00FF2719"/>
    <w:rsid w:val="00FF2784"/>
    <w:rsid w:val="00FF28AA"/>
    <w:rsid w:val="00FF2E07"/>
    <w:rsid w:val="00FF33D9"/>
    <w:rsid w:val="00FF365E"/>
    <w:rsid w:val="00FF3943"/>
    <w:rsid w:val="00FF3FA9"/>
    <w:rsid w:val="00FF473B"/>
    <w:rsid w:val="00FF48B6"/>
    <w:rsid w:val="00FF4CB2"/>
    <w:rsid w:val="00FF5034"/>
    <w:rsid w:val="00FF52A7"/>
    <w:rsid w:val="00FF6547"/>
    <w:rsid w:val="00FF7040"/>
    <w:rsid w:val="00FF7F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5CEE65F4"/>
  <w15:docId w15:val="{71D7F22E-C3A0-4429-A1E0-BF63D3479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4F17"/>
    <w:pPr>
      <w:spacing w:line="480" w:lineRule="auto"/>
    </w:pPr>
    <w:rPr>
      <w:sz w:val="24"/>
    </w:rPr>
  </w:style>
  <w:style w:type="paragraph" w:styleId="Heading1">
    <w:name w:val="heading 1"/>
    <w:basedOn w:val="Normal"/>
    <w:next w:val="Normal"/>
    <w:link w:val="Heading1Char"/>
    <w:uiPriority w:val="9"/>
    <w:qFormat/>
    <w:rsid w:val="004C20A9"/>
    <w:pPr>
      <w:outlineLvl w:val="0"/>
    </w:pPr>
    <w:rPr>
      <w:b/>
      <w:sz w:val="36"/>
      <w:szCs w:val="24"/>
    </w:rPr>
  </w:style>
  <w:style w:type="paragraph" w:styleId="Heading2">
    <w:name w:val="heading 2"/>
    <w:basedOn w:val="Normal"/>
    <w:next w:val="Normal"/>
    <w:link w:val="Heading2Char"/>
    <w:uiPriority w:val="9"/>
    <w:unhideWhenUsed/>
    <w:qFormat/>
    <w:rsid w:val="004C20A9"/>
    <w:pPr>
      <w:outlineLvl w:val="1"/>
    </w:pPr>
    <w:rPr>
      <w:b/>
      <w:sz w:val="32"/>
      <w:szCs w:val="24"/>
    </w:rPr>
  </w:style>
  <w:style w:type="paragraph" w:styleId="Heading3">
    <w:name w:val="heading 3"/>
    <w:basedOn w:val="Charttitle"/>
    <w:next w:val="Normal"/>
    <w:link w:val="Heading3Char"/>
    <w:uiPriority w:val="9"/>
    <w:unhideWhenUsed/>
    <w:qFormat/>
    <w:rsid w:val="00FE4B92"/>
    <w:pPr>
      <w:outlineLvl w:val="2"/>
    </w:pPr>
    <w:rPr>
      <w:rFonts w:asciiTheme="minorHAnsi" w:hAnsiTheme="minorHAnsi"/>
      <w:b w:val="0"/>
      <w:bCs/>
      <w:sz w:val="20"/>
    </w:rPr>
  </w:style>
  <w:style w:type="paragraph" w:styleId="Heading4">
    <w:name w:val="heading 4"/>
    <w:basedOn w:val="Normal"/>
    <w:next w:val="Normal"/>
    <w:link w:val="Heading4Char"/>
    <w:uiPriority w:val="9"/>
    <w:unhideWhenUsed/>
    <w:qFormat/>
    <w:rsid w:val="00DA37BA"/>
    <w:pPr>
      <w:spacing w:line="240" w:lineRule="auto"/>
      <w:outlineLvl w:val="3"/>
    </w:pPr>
    <w:rPr>
      <w:sz w:val="20"/>
      <w:szCs w:val="20"/>
    </w:rPr>
  </w:style>
  <w:style w:type="paragraph" w:styleId="Heading5">
    <w:name w:val="heading 5"/>
    <w:basedOn w:val="Normal"/>
    <w:next w:val="Normal"/>
    <w:link w:val="Heading5Char"/>
    <w:uiPriority w:val="9"/>
    <w:unhideWhenUsed/>
    <w:qFormat/>
    <w:rsid w:val="00DA37BA"/>
    <w:pPr>
      <w:jc w:val="both"/>
      <w:outlineLvl w:val="4"/>
    </w:pPr>
    <w:rPr>
      <w:b/>
      <w:sz w:val="28"/>
      <w:szCs w:val="24"/>
    </w:rPr>
  </w:style>
  <w:style w:type="paragraph" w:styleId="Heading6">
    <w:name w:val="heading 6"/>
    <w:basedOn w:val="advancedorganiser"/>
    <w:next w:val="Normal"/>
    <w:link w:val="Heading6Char"/>
    <w:uiPriority w:val="9"/>
    <w:unhideWhenUsed/>
    <w:qFormat/>
    <w:rsid w:val="00D03E0A"/>
    <w:pPr>
      <w:jc w:val="left"/>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20A9"/>
    <w:rPr>
      <w:b/>
      <w:sz w:val="36"/>
      <w:szCs w:val="24"/>
    </w:rPr>
  </w:style>
  <w:style w:type="character" w:customStyle="1" w:styleId="Heading2Char">
    <w:name w:val="Heading 2 Char"/>
    <w:basedOn w:val="DefaultParagraphFont"/>
    <w:link w:val="Heading2"/>
    <w:uiPriority w:val="9"/>
    <w:rsid w:val="004C20A9"/>
    <w:rPr>
      <w:b/>
      <w:sz w:val="32"/>
      <w:szCs w:val="24"/>
    </w:rPr>
  </w:style>
  <w:style w:type="paragraph" w:customStyle="1" w:styleId="Charttitle">
    <w:name w:val="Chart title"/>
    <w:basedOn w:val="Normal"/>
    <w:link w:val="CharttitleChar"/>
    <w:qFormat/>
    <w:rsid w:val="00FA1C91"/>
    <w:pPr>
      <w:spacing w:line="360" w:lineRule="auto"/>
      <w:jc w:val="both"/>
    </w:pPr>
    <w:rPr>
      <w:rFonts w:ascii="Gill Sans MT" w:hAnsi="Gill Sans MT" w:cs="Arial"/>
      <w:b/>
    </w:rPr>
  </w:style>
  <w:style w:type="character" w:customStyle="1" w:styleId="CharttitleChar">
    <w:name w:val="Chart title Char"/>
    <w:basedOn w:val="DefaultParagraphFont"/>
    <w:link w:val="Charttitle"/>
    <w:rsid w:val="00FA1C91"/>
    <w:rPr>
      <w:rFonts w:ascii="Gill Sans MT" w:hAnsi="Gill Sans MT" w:cs="Arial"/>
      <w:b/>
      <w:sz w:val="24"/>
    </w:rPr>
  </w:style>
  <w:style w:type="character" w:customStyle="1" w:styleId="Heading3Char">
    <w:name w:val="Heading 3 Char"/>
    <w:basedOn w:val="DefaultParagraphFont"/>
    <w:link w:val="Heading3"/>
    <w:uiPriority w:val="9"/>
    <w:rsid w:val="00FE4B92"/>
    <w:rPr>
      <w:rFonts w:cs="Arial"/>
      <w:bCs/>
      <w:sz w:val="20"/>
    </w:rPr>
  </w:style>
  <w:style w:type="character" w:customStyle="1" w:styleId="Heading4Char">
    <w:name w:val="Heading 4 Char"/>
    <w:basedOn w:val="DefaultParagraphFont"/>
    <w:link w:val="Heading4"/>
    <w:uiPriority w:val="9"/>
    <w:rsid w:val="00DA37BA"/>
    <w:rPr>
      <w:sz w:val="20"/>
      <w:szCs w:val="20"/>
    </w:rPr>
  </w:style>
  <w:style w:type="character" w:customStyle="1" w:styleId="Heading5Char">
    <w:name w:val="Heading 5 Char"/>
    <w:basedOn w:val="DefaultParagraphFont"/>
    <w:link w:val="Heading5"/>
    <w:uiPriority w:val="9"/>
    <w:rsid w:val="00DA37BA"/>
    <w:rPr>
      <w:b/>
      <w:sz w:val="28"/>
      <w:szCs w:val="24"/>
    </w:rPr>
  </w:style>
  <w:style w:type="paragraph" w:customStyle="1" w:styleId="advancedorganiser">
    <w:name w:val="advanced organiser"/>
    <w:basedOn w:val="Normal"/>
    <w:next w:val="Heading6"/>
    <w:link w:val="advancedorganiserChar"/>
    <w:qFormat/>
    <w:rsid w:val="00426E4F"/>
    <w:pPr>
      <w:jc w:val="center"/>
    </w:pPr>
    <w:rPr>
      <w:color w:val="1D1B11" w:themeColor="background2" w:themeShade="1A"/>
      <w:sz w:val="20"/>
    </w:rPr>
  </w:style>
  <w:style w:type="character" w:customStyle="1" w:styleId="advancedorganiserChar">
    <w:name w:val="advanced organiser Char"/>
    <w:basedOn w:val="DefaultParagraphFont"/>
    <w:link w:val="advancedorganiser"/>
    <w:rsid w:val="00426E4F"/>
    <w:rPr>
      <w:color w:val="1D1B11" w:themeColor="background2" w:themeShade="1A"/>
      <w:sz w:val="20"/>
    </w:rPr>
  </w:style>
  <w:style w:type="character" w:customStyle="1" w:styleId="Heading6Char">
    <w:name w:val="Heading 6 Char"/>
    <w:basedOn w:val="DefaultParagraphFont"/>
    <w:link w:val="Heading6"/>
    <w:uiPriority w:val="9"/>
    <w:rsid w:val="00D03E0A"/>
    <w:rPr>
      <w:color w:val="1D1B11" w:themeColor="background2" w:themeShade="1A"/>
      <w:sz w:val="20"/>
    </w:rPr>
  </w:style>
  <w:style w:type="character" w:customStyle="1" w:styleId="apple-converted-space">
    <w:name w:val="apple-converted-space"/>
    <w:basedOn w:val="DefaultParagraphFont"/>
    <w:rsid w:val="004A5A76"/>
  </w:style>
  <w:style w:type="paragraph" w:styleId="Footer">
    <w:name w:val="footer"/>
    <w:basedOn w:val="Normal"/>
    <w:link w:val="FooterChar"/>
    <w:uiPriority w:val="99"/>
    <w:unhideWhenUsed/>
    <w:rsid w:val="004A5A76"/>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5A76"/>
  </w:style>
  <w:style w:type="paragraph" w:customStyle="1" w:styleId="Bodytext1">
    <w:name w:val="Body text 1"/>
    <w:basedOn w:val="Normal"/>
    <w:rsid w:val="004A5A76"/>
    <w:pPr>
      <w:spacing w:after="0"/>
      <w:jc w:val="both"/>
    </w:pPr>
    <w:rPr>
      <w:rFonts w:ascii="Arial" w:eastAsia="Times New Roman" w:hAnsi="Arial" w:cs="Arial"/>
      <w:szCs w:val="24"/>
      <w:lang w:eastAsia="en-GB"/>
    </w:rPr>
  </w:style>
  <w:style w:type="character" w:styleId="Hyperlink">
    <w:name w:val="Hyperlink"/>
    <w:basedOn w:val="DefaultParagraphFont"/>
    <w:uiPriority w:val="99"/>
    <w:unhideWhenUsed/>
    <w:rsid w:val="00FA1C91"/>
    <w:rPr>
      <w:color w:val="0000FF"/>
      <w:u w:val="single"/>
    </w:rPr>
  </w:style>
  <w:style w:type="paragraph" w:styleId="FootnoteText">
    <w:name w:val="footnote text"/>
    <w:basedOn w:val="Normal"/>
    <w:link w:val="FootnoteTextChar"/>
    <w:uiPriority w:val="99"/>
    <w:unhideWhenUsed/>
    <w:rsid w:val="00FA1C91"/>
    <w:pPr>
      <w:spacing w:after="0" w:line="240" w:lineRule="auto"/>
    </w:pPr>
    <w:rPr>
      <w:rFonts w:eastAsiaTheme="minorEastAsia"/>
      <w:sz w:val="20"/>
      <w:szCs w:val="20"/>
      <w:lang w:eastAsia="en-GB"/>
    </w:rPr>
  </w:style>
  <w:style w:type="character" w:customStyle="1" w:styleId="FootnoteTextChar">
    <w:name w:val="Footnote Text Char"/>
    <w:basedOn w:val="DefaultParagraphFont"/>
    <w:link w:val="FootnoteText"/>
    <w:rsid w:val="00FA1C91"/>
    <w:rPr>
      <w:rFonts w:eastAsiaTheme="minorEastAsia"/>
      <w:sz w:val="20"/>
      <w:szCs w:val="20"/>
      <w:lang w:eastAsia="en-GB"/>
    </w:rPr>
  </w:style>
  <w:style w:type="character" w:styleId="FootnoteReference">
    <w:name w:val="footnote reference"/>
    <w:basedOn w:val="DefaultParagraphFont"/>
    <w:semiHidden/>
    <w:unhideWhenUsed/>
    <w:rsid w:val="00FA1C91"/>
    <w:rPr>
      <w:vertAlign w:val="superscript"/>
    </w:rPr>
  </w:style>
  <w:style w:type="paragraph" w:customStyle="1" w:styleId="BodytextStockport">
    <w:name w:val="Body text Stockport"/>
    <w:basedOn w:val="Normal"/>
    <w:qFormat/>
    <w:rsid w:val="00FA1C91"/>
    <w:pPr>
      <w:spacing w:line="360" w:lineRule="auto"/>
      <w:jc w:val="both"/>
    </w:pPr>
    <w:rPr>
      <w:rFonts w:ascii="Gill Sans MT" w:eastAsiaTheme="minorEastAsia" w:hAnsi="Gill Sans MT"/>
      <w:szCs w:val="24"/>
      <w:lang w:eastAsia="en-GB"/>
    </w:rPr>
  </w:style>
  <w:style w:type="character" w:customStyle="1" w:styleId="A13">
    <w:name w:val="A13"/>
    <w:uiPriority w:val="99"/>
    <w:rsid w:val="00FA1C91"/>
    <w:rPr>
      <w:rFonts w:cs="Minion Pro"/>
      <w:color w:val="000000"/>
    </w:rPr>
  </w:style>
  <w:style w:type="paragraph" w:styleId="NormalWeb">
    <w:name w:val="Normal (Web)"/>
    <w:basedOn w:val="Normal"/>
    <w:unhideWhenUsed/>
    <w:rsid w:val="00FA1C91"/>
    <w:rPr>
      <w:rFonts w:ascii="Times New Roman" w:hAnsi="Times New Roman" w:cs="Times New Roman"/>
      <w:szCs w:val="24"/>
    </w:rPr>
  </w:style>
  <w:style w:type="paragraph" w:styleId="Header">
    <w:name w:val="header"/>
    <w:basedOn w:val="Normal"/>
    <w:link w:val="HeaderChar"/>
    <w:uiPriority w:val="99"/>
    <w:unhideWhenUsed/>
    <w:rsid w:val="00FA1C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1C91"/>
  </w:style>
  <w:style w:type="table" w:styleId="TableGrid">
    <w:name w:val="Table Grid"/>
    <w:basedOn w:val="TableNormal"/>
    <w:uiPriority w:val="39"/>
    <w:rsid w:val="00FA1C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A1C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1C91"/>
    <w:rPr>
      <w:rFonts w:ascii="Tahoma" w:hAnsi="Tahoma" w:cs="Tahoma"/>
      <w:sz w:val="16"/>
      <w:szCs w:val="16"/>
    </w:rPr>
  </w:style>
  <w:style w:type="paragraph" w:customStyle="1" w:styleId="Quote1">
    <w:name w:val="Quote 1"/>
    <w:basedOn w:val="Normal"/>
    <w:link w:val="Quote1Char"/>
    <w:rsid w:val="00FA1C91"/>
    <w:pPr>
      <w:autoSpaceDE w:val="0"/>
      <w:autoSpaceDN w:val="0"/>
      <w:adjustRightInd w:val="0"/>
      <w:spacing w:after="0" w:line="360" w:lineRule="auto"/>
      <w:ind w:left="475" w:right="475"/>
    </w:pPr>
    <w:rPr>
      <w:rFonts w:ascii="Arial" w:eastAsia="Times New Roman" w:hAnsi="Arial" w:cs="Arial"/>
      <w:szCs w:val="24"/>
      <w:lang w:eastAsia="en-GB"/>
    </w:rPr>
  </w:style>
  <w:style w:type="character" w:customStyle="1" w:styleId="Quote1Char">
    <w:name w:val="Quote 1 Char"/>
    <w:basedOn w:val="DefaultParagraphFont"/>
    <w:link w:val="Quote1"/>
    <w:rsid w:val="00FA1C91"/>
    <w:rPr>
      <w:rFonts w:ascii="Arial" w:eastAsia="Times New Roman" w:hAnsi="Arial" w:cs="Arial"/>
      <w:sz w:val="24"/>
      <w:szCs w:val="24"/>
      <w:lang w:eastAsia="en-GB"/>
    </w:rPr>
  </w:style>
  <w:style w:type="character" w:styleId="CommentReference">
    <w:name w:val="annotation reference"/>
    <w:basedOn w:val="DefaultParagraphFont"/>
    <w:uiPriority w:val="99"/>
    <w:semiHidden/>
    <w:unhideWhenUsed/>
    <w:rsid w:val="00FA1C91"/>
    <w:rPr>
      <w:sz w:val="16"/>
      <w:szCs w:val="16"/>
    </w:rPr>
  </w:style>
  <w:style w:type="paragraph" w:styleId="CommentText">
    <w:name w:val="annotation text"/>
    <w:basedOn w:val="Normal"/>
    <w:link w:val="CommentTextChar"/>
    <w:uiPriority w:val="99"/>
    <w:semiHidden/>
    <w:unhideWhenUsed/>
    <w:rsid w:val="00FA1C91"/>
    <w:pPr>
      <w:spacing w:after="0" w:line="240" w:lineRule="auto"/>
    </w:pPr>
    <w:rPr>
      <w:rFonts w:ascii="Times" w:eastAsia="Times" w:hAnsi="Times" w:cs="Times New Roman"/>
      <w:sz w:val="20"/>
      <w:szCs w:val="20"/>
      <w:lang w:eastAsia="en-GB"/>
    </w:rPr>
  </w:style>
  <w:style w:type="character" w:customStyle="1" w:styleId="CommentTextChar">
    <w:name w:val="Comment Text Char"/>
    <w:basedOn w:val="DefaultParagraphFont"/>
    <w:link w:val="CommentText"/>
    <w:uiPriority w:val="99"/>
    <w:semiHidden/>
    <w:rsid w:val="00FA1C91"/>
    <w:rPr>
      <w:rFonts w:ascii="Times" w:eastAsia="Times" w:hAnsi="Times"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FA1C91"/>
    <w:rPr>
      <w:b/>
      <w:bCs/>
    </w:rPr>
  </w:style>
  <w:style w:type="character" w:customStyle="1" w:styleId="CommentSubjectChar">
    <w:name w:val="Comment Subject Char"/>
    <w:basedOn w:val="CommentTextChar"/>
    <w:link w:val="CommentSubject"/>
    <w:uiPriority w:val="99"/>
    <w:semiHidden/>
    <w:rsid w:val="00FA1C91"/>
    <w:rPr>
      <w:rFonts w:ascii="Times" w:eastAsia="Times" w:hAnsi="Times" w:cs="Times New Roman"/>
      <w:b/>
      <w:bCs/>
      <w:sz w:val="20"/>
      <w:szCs w:val="20"/>
      <w:lang w:eastAsia="en-GB"/>
    </w:rPr>
  </w:style>
  <w:style w:type="paragraph" w:customStyle="1" w:styleId="Default">
    <w:name w:val="Default"/>
    <w:rsid w:val="00FA1C91"/>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link w:val="ListParagraphChar"/>
    <w:uiPriority w:val="34"/>
    <w:qFormat/>
    <w:rsid w:val="005733BD"/>
    <w:pPr>
      <w:ind w:left="720"/>
      <w:contextualSpacing/>
    </w:pPr>
    <w:rPr>
      <w:rFonts w:eastAsiaTheme="minorEastAsia"/>
      <w:lang w:eastAsia="en-GB"/>
    </w:rPr>
  </w:style>
  <w:style w:type="character" w:customStyle="1" w:styleId="ListParagraphChar">
    <w:name w:val="List Paragraph Char"/>
    <w:basedOn w:val="DefaultParagraphFont"/>
    <w:link w:val="ListParagraph"/>
    <w:uiPriority w:val="99"/>
    <w:rsid w:val="005733BD"/>
    <w:rPr>
      <w:rFonts w:eastAsiaTheme="minorEastAsia"/>
      <w:lang w:eastAsia="en-GB"/>
    </w:rPr>
  </w:style>
  <w:style w:type="paragraph" w:customStyle="1" w:styleId="Stockportnormaltext">
    <w:name w:val="Stockport normal text"/>
    <w:basedOn w:val="Normal"/>
    <w:link w:val="StockportnormaltextChar"/>
    <w:qFormat/>
    <w:rsid w:val="005733BD"/>
    <w:pPr>
      <w:spacing w:after="0" w:line="360" w:lineRule="auto"/>
    </w:pPr>
    <w:rPr>
      <w:rFonts w:ascii="Gill Sans MT" w:eastAsia="Times New Roman" w:hAnsi="Gill Sans MT" w:cs="Times New Roman"/>
      <w:szCs w:val="24"/>
      <w:lang w:eastAsia="en-GB"/>
    </w:rPr>
  </w:style>
  <w:style w:type="character" w:customStyle="1" w:styleId="StockportnormaltextChar">
    <w:name w:val="Stockport normal text Char"/>
    <w:basedOn w:val="DefaultParagraphFont"/>
    <w:link w:val="Stockportnormaltext"/>
    <w:rsid w:val="005733BD"/>
    <w:rPr>
      <w:rFonts w:ascii="Gill Sans MT" w:eastAsia="Times New Roman" w:hAnsi="Gill Sans MT" w:cs="Times New Roman"/>
      <w:sz w:val="24"/>
      <w:szCs w:val="24"/>
      <w:lang w:eastAsia="en-GB"/>
    </w:rPr>
  </w:style>
  <w:style w:type="paragraph" w:customStyle="1" w:styleId="Stockportfigures">
    <w:name w:val="Stockport figures"/>
    <w:basedOn w:val="Normal"/>
    <w:link w:val="StockportfiguresChar"/>
    <w:qFormat/>
    <w:rsid w:val="005733BD"/>
    <w:pPr>
      <w:spacing w:after="0" w:line="360" w:lineRule="auto"/>
    </w:pPr>
    <w:rPr>
      <w:rFonts w:ascii="Gill Sans MT" w:eastAsia="Times New Roman" w:hAnsi="Gill Sans MT" w:cs="Times New Roman"/>
      <w:b/>
      <w:szCs w:val="24"/>
      <w:lang w:eastAsia="en-GB"/>
    </w:rPr>
  </w:style>
  <w:style w:type="character" w:customStyle="1" w:styleId="StockportfiguresChar">
    <w:name w:val="Stockport figures Char"/>
    <w:basedOn w:val="DefaultParagraphFont"/>
    <w:link w:val="Stockportfigures"/>
    <w:rsid w:val="005733BD"/>
    <w:rPr>
      <w:rFonts w:ascii="Gill Sans MT" w:eastAsia="Times New Roman" w:hAnsi="Gill Sans MT" w:cs="Times New Roman"/>
      <w:b/>
      <w:sz w:val="24"/>
      <w:szCs w:val="24"/>
      <w:lang w:eastAsia="en-GB"/>
    </w:rPr>
  </w:style>
  <w:style w:type="paragraph" w:customStyle="1" w:styleId="BulletlistStockport">
    <w:name w:val="Bullet list Stockport"/>
    <w:basedOn w:val="ListParagraph"/>
    <w:qFormat/>
    <w:rsid w:val="005733BD"/>
    <w:pPr>
      <w:spacing w:line="360" w:lineRule="auto"/>
      <w:ind w:left="357" w:hanging="357"/>
      <w:jc w:val="both"/>
    </w:pPr>
    <w:rPr>
      <w:rFonts w:ascii="Gill Sans MT" w:hAnsi="Gill Sans MT"/>
      <w:szCs w:val="24"/>
    </w:rPr>
  </w:style>
  <w:style w:type="paragraph" w:customStyle="1" w:styleId="L3headStockport">
    <w:name w:val="L3 head Stockport"/>
    <w:basedOn w:val="Normal"/>
    <w:qFormat/>
    <w:rsid w:val="005733BD"/>
    <w:pPr>
      <w:spacing w:after="0"/>
      <w:jc w:val="both"/>
    </w:pPr>
    <w:rPr>
      <w:rFonts w:ascii="Gill Sans MT" w:eastAsiaTheme="minorEastAsia" w:hAnsi="Gill Sans MT"/>
      <w:b/>
      <w:i/>
      <w:szCs w:val="24"/>
      <w:lang w:eastAsia="en-GB"/>
    </w:rPr>
  </w:style>
  <w:style w:type="paragraph" w:styleId="TOC1">
    <w:name w:val="toc 1"/>
    <w:basedOn w:val="Normal"/>
    <w:next w:val="Normal"/>
    <w:autoRedefine/>
    <w:uiPriority w:val="39"/>
    <w:unhideWhenUsed/>
    <w:rsid w:val="00045396"/>
    <w:pPr>
      <w:tabs>
        <w:tab w:val="right" w:leader="dot" w:pos="8220"/>
      </w:tabs>
      <w:spacing w:after="0" w:line="360" w:lineRule="auto"/>
    </w:pPr>
    <w:rPr>
      <w:noProof/>
    </w:rPr>
  </w:style>
  <w:style w:type="paragraph" w:styleId="TOC2">
    <w:name w:val="toc 2"/>
    <w:basedOn w:val="Normal"/>
    <w:next w:val="Normal"/>
    <w:autoRedefine/>
    <w:uiPriority w:val="39"/>
    <w:unhideWhenUsed/>
    <w:rsid w:val="005B39B5"/>
    <w:pPr>
      <w:tabs>
        <w:tab w:val="right" w:leader="dot" w:pos="8210"/>
      </w:tabs>
      <w:spacing w:after="0" w:line="360" w:lineRule="auto"/>
      <w:ind w:left="221"/>
    </w:pPr>
    <w:rPr>
      <w:noProof/>
    </w:rPr>
  </w:style>
  <w:style w:type="paragraph" w:styleId="TOC3">
    <w:name w:val="toc 3"/>
    <w:basedOn w:val="Normal"/>
    <w:next w:val="Normal"/>
    <w:autoRedefine/>
    <w:uiPriority w:val="39"/>
    <w:unhideWhenUsed/>
    <w:rsid w:val="00045396"/>
    <w:pPr>
      <w:tabs>
        <w:tab w:val="right" w:leader="dot" w:pos="8210"/>
      </w:tabs>
      <w:spacing w:after="0" w:line="360" w:lineRule="auto"/>
      <w:ind w:left="442"/>
    </w:pPr>
    <w:rPr>
      <w:noProof/>
    </w:rPr>
  </w:style>
  <w:style w:type="paragraph" w:styleId="TOC4">
    <w:name w:val="toc 4"/>
    <w:basedOn w:val="Normal"/>
    <w:next w:val="Normal"/>
    <w:autoRedefine/>
    <w:uiPriority w:val="39"/>
    <w:unhideWhenUsed/>
    <w:rsid w:val="004E0DBF"/>
    <w:pPr>
      <w:spacing w:after="100" w:line="259" w:lineRule="auto"/>
      <w:ind w:left="660"/>
    </w:pPr>
    <w:rPr>
      <w:rFonts w:eastAsiaTheme="minorEastAsia"/>
      <w:sz w:val="22"/>
      <w:lang w:eastAsia="en-GB"/>
    </w:rPr>
  </w:style>
  <w:style w:type="paragraph" w:styleId="TOC5">
    <w:name w:val="toc 5"/>
    <w:basedOn w:val="Normal"/>
    <w:next w:val="Normal"/>
    <w:autoRedefine/>
    <w:uiPriority w:val="39"/>
    <w:unhideWhenUsed/>
    <w:rsid w:val="004E0DBF"/>
    <w:pPr>
      <w:spacing w:after="100" w:line="259" w:lineRule="auto"/>
      <w:ind w:left="880"/>
    </w:pPr>
    <w:rPr>
      <w:rFonts w:eastAsiaTheme="minorEastAsia"/>
      <w:sz w:val="22"/>
      <w:lang w:eastAsia="en-GB"/>
    </w:rPr>
  </w:style>
  <w:style w:type="paragraph" w:styleId="TOC6">
    <w:name w:val="toc 6"/>
    <w:basedOn w:val="Normal"/>
    <w:next w:val="Normal"/>
    <w:autoRedefine/>
    <w:uiPriority w:val="39"/>
    <w:unhideWhenUsed/>
    <w:rsid w:val="004E0DBF"/>
    <w:pPr>
      <w:spacing w:after="100" w:line="259" w:lineRule="auto"/>
      <w:ind w:left="1100"/>
    </w:pPr>
    <w:rPr>
      <w:rFonts w:eastAsiaTheme="minorEastAsia"/>
      <w:sz w:val="22"/>
      <w:lang w:eastAsia="en-GB"/>
    </w:rPr>
  </w:style>
  <w:style w:type="paragraph" w:styleId="TOC7">
    <w:name w:val="toc 7"/>
    <w:basedOn w:val="Normal"/>
    <w:next w:val="Normal"/>
    <w:autoRedefine/>
    <w:uiPriority w:val="39"/>
    <w:unhideWhenUsed/>
    <w:rsid w:val="004E0DBF"/>
    <w:pPr>
      <w:spacing w:after="100" w:line="259" w:lineRule="auto"/>
      <w:ind w:left="1320"/>
    </w:pPr>
    <w:rPr>
      <w:rFonts w:eastAsiaTheme="minorEastAsia"/>
      <w:sz w:val="22"/>
      <w:lang w:eastAsia="en-GB"/>
    </w:rPr>
  </w:style>
  <w:style w:type="paragraph" w:styleId="TOC8">
    <w:name w:val="toc 8"/>
    <w:basedOn w:val="Normal"/>
    <w:next w:val="Normal"/>
    <w:autoRedefine/>
    <w:uiPriority w:val="39"/>
    <w:unhideWhenUsed/>
    <w:rsid w:val="004E0DBF"/>
    <w:pPr>
      <w:spacing w:after="100" w:line="259" w:lineRule="auto"/>
      <w:ind w:left="1540"/>
    </w:pPr>
    <w:rPr>
      <w:rFonts w:eastAsiaTheme="minorEastAsia"/>
      <w:sz w:val="22"/>
      <w:lang w:eastAsia="en-GB"/>
    </w:rPr>
  </w:style>
  <w:style w:type="paragraph" w:styleId="TOC9">
    <w:name w:val="toc 9"/>
    <w:basedOn w:val="Normal"/>
    <w:next w:val="Normal"/>
    <w:autoRedefine/>
    <w:uiPriority w:val="39"/>
    <w:unhideWhenUsed/>
    <w:rsid w:val="004E0DBF"/>
    <w:pPr>
      <w:spacing w:after="100" w:line="259" w:lineRule="auto"/>
      <w:ind w:left="1760"/>
    </w:pPr>
    <w:rPr>
      <w:rFonts w:eastAsiaTheme="minorEastAsia"/>
      <w:sz w:val="22"/>
      <w:lang w:eastAsia="en-GB"/>
    </w:rPr>
  </w:style>
  <w:style w:type="table" w:customStyle="1" w:styleId="PlainTable21">
    <w:name w:val="Plain Table 21"/>
    <w:basedOn w:val="TableNormal"/>
    <w:uiPriority w:val="42"/>
    <w:rsid w:val="004E27F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22">
    <w:name w:val="Plain Table 22"/>
    <w:basedOn w:val="TableNormal"/>
    <w:uiPriority w:val="42"/>
    <w:rsid w:val="0053297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1L1header">
    <w:name w:val="1 L1 header"/>
    <w:basedOn w:val="Heading1"/>
    <w:qFormat/>
    <w:rsid w:val="00C63FF5"/>
  </w:style>
  <w:style w:type="paragraph" w:customStyle="1" w:styleId="2L2header">
    <w:name w:val="2 L2 header"/>
    <w:basedOn w:val="Heading2"/>
    <w:qFormat/>
    <w:rsid w:val="00DA13FA"/>
    <w:pPr>
      <w:keepNext/>
      <w:spacing w:after="240" w:line="240" w:lineRule="auto"/>
    </w:pPr>
  </w:style>
  <w:style w:type="paragraph" w:customStyle="1" w:styleId="3L3header">
    <w:name w:val="3 L3 header"/>
    <w:basedOn w:val="Heading5"/>
    <w:qFormat/>
    <w:rsid w:val="00DA13FA"/>
    <w:pPr>
      <w:keepNext/>
      <w:spacing w:after="240" w:line="240" w:lineRule="auto"/>
    </w:pPr>
  </w:style>
  <w:style w:type="paragraph" w:customStyle="1" w:styleId="5bindentedbodytext">
    <w:name w:val="5b indented body text"/>
    <w:basedOn w:val="Normal"/>
    <w:qFormat/>
    <w:rsid w:val="00A21F14"/>
    <w:pPr>
      <w:spacing w:after="0"/>
      <w:ind w:firstLine="357"/>
    </w:pPr>
    <w:rPr>
      <w:rFonts w:ascii="Arial" w:hAnsi="Arial" w:cs="Arial"/>
      <w:sz w:val="22"/>
    </w:rPr>
  </w:style>
  <w:style w:type="paragraph" w:customStyle="1" w:styleId="5arangedleft">
    <w:name w:val="5a ranged left"/>
    <w:basedOn w:val="Normal"/>
    <w:qFormat/>
    <w:rsid w:val="002F0FD7"/>
    <w:pPr>
      <w:spacing w:line="360" w:lineRule="auto"/>
      <w:jc w:val="both"/>
    </w:pPr>
    <w:rPr>
      <w:szCs w:val="24"/>
    </w:rPr>
  </w:style>
  <w:style w:type="paragraph" w:customStyle="1" w:styleId="7bulletornumberedlist">
    <w:name w:val="7 bullet or numbered list"/>
    <w:basedOn w:val="5bindentedbodytext"/>
    <w:qFormat/>
    <w:rsid w:val="002F0FD7"/>
    <w:pPr>
      <w:spacing w:line="360" w:lineRule="auto"/>
      <w:ind w:left="357" w:hanging="357"/>
      <w:contextualSpacing/>
      <w:jc w:val="both"/>
    </w:pPr>
    <w:rPr>
      <w:rFonts w:asciiTheme="minorHAnsi" w:hAnsiTheme="minorHAnsi"/>
      <w:sz w:val="24"/>
      <w:szCs w:val="24"/>
    </w:rPr>
  </w:style>
  <w:style w:type="paragraph" w:customStyle="1" w:styleId="9afigurecaption">
    <w:name w:val="9a figure caption"/>
    <w:basedOn w:val="Normal"/>
    <w:qFormat/>
    <w:rsid w:val="00B634B7"/>
    <w:pPr>
      <w:spacing w:line="240" w:lineRule="auto"/>
    </w:pPr>
    <w:rPr>
      <w:rFonts w:cs="Arial"/>
      <w:b/>
      <w:i/>
      <w:szCs w:val="24"/>
    </w:rPr>
  </w:style>
  <w:style w:type="paragraph" w:customStyle="1" w:styleId="9btablecaption">
    <w:name w:val="9b table caption"/>
    <w:basedOn w:val="Normal"/>
    <w:qFormat/>
    <w:rsid w:val="00F017CD"/>
    <w:pPr>
      <w:spacing w:after="0" w:line="240" w:lineRule="auto"/>
    </w:pPr>
    <w:rPr>
      <w:rFonts w:cs="Arial"/>
      <w:b/>
      <w:i/>
      <w:szCs w:val="24"/>
    </w:rPr>
  </w:style>
  <w:style w:type="paragraph" w:customStyle="1" w:styleId="9dReferences">
    <w:name w:val="9d References"/>
    <w:basedOn w:val="Normal"/>
    <w:qFormat/>
    <w:rsid w:val="00A21F14"/>
    <w:pPr>
      <w:widowControl w:val="0"/>
      <w:spacing w:after="0" w:line="360" w:lineRule="auto"/>
      <w:ind w:left="357" w:hanging="357"/>
    </w:pPr>
    <w:rPr>
      <w:rFonts w:ascii="Arial" w:eastAsia="Times New Roman" w:hAnsi="Arial" w:cs="Arial"/>
      <w:color w:val="000000"/>
      <w:sz w:val="22"/>
      <w:lang w:eastAsia="en-GB"/>
    </w:rPr>
  </w:style>
  <w:style w:type="paragraph" w:customStyle="1" w:styleId="4L4header">
    <w:name w:val="4 L4 header"/>
    <w:basedOn w:val="Normal"/>
    <w:qFormat/>
    <w:rsid w:val="00C63FF5"/>
    <w:pPr>
      <w:keepNext/>
      <w:autoSpaceDE w:val="0"/>
      <w:autoSpaceDN w:val="0"/>
      <w:adjustRightInd w:val="0"/>
      <w:spacing w:line="276" w:lineRule="auto"/>
      <w:ind w:left="822" w:hanging="822"/>
    </w:pPr>
    <w:rPr>
      <w:rFonts w:ascii="Arial" w:eastAsia="Times New Roman" w:hAnsi="Arial" w:cs="Arial"/>
      <w:b/>
      <w:i/>
      <w:sz w:val="22"/>
      <w:lang w:eastAsia="en-GB"/>
    </w:rPr>
  </w:style>
  <w:style w:type="paragraph" w:customStyle="1" w:styleId="8unnumberedcross-head">
    <w:name w:val="8 unnumbered cross-head"/>
    <w:basedOn w:val="Normal"/>
    <w:qFormat/>
    <w:rsid w:val="006B4701"/>
    <w:pPr>
      <w:keepNext/>
      <w:spacing w:line="240" w:lineRule="auto"/>
    </w:pPr>
    <w:rPr>
      <w:b/>
    </w:rPr>
  </w:style>
  <w:style w:type="paragraph" w:styleId="Revision">
    <w:name w:val="Revision"/>
    <w:hidden/>
    <w:uiPriority w:val="99"/>
    <w:semiHidden/>
    <w:rsid w:val="00431971"/>
    <w:pPr>
      <w:spacing w:after="0" w:line="240" w:lineRule="auto"/>
    </w:pPr>
    <w:rPr>
      <w:sz w:val="24"/>
    </w:rPr>
  </w:style>
  <w:style w:type="paragraph" w:customStyle="1" w:styleId="6ablockquoteroman">
    <w:name w:val="6a block quote roman"/>
    <w:basedOn w:val="Normal"/>
    <w:qFormat/>
    <w:rsid w:val="002F0FD7"/>
    <w:pPr>
      <w:autoSpaceDE w:val="0"/>
      <w:autoSpaceDN w:val="0"/>
      <w:adjustRightInd w:val="0"/>
      <w:spacing w:line="240" w:lineRule="auto"/>
      <w:ind w:left="357" w:right="357"/>
      <w:jc w:val="both"/>
    </w:pPr>
    <w:rPr>
      <w:rFonts w:cs="AdvBasBE-R"/>
      <w:szCs w:val="24"/>
    </w:rPr>
  </w:style>
  <w:style w:type="paragraph" w:customStyle="1" w:styleId="6bblockquoteitalic">
    <w:name w:val="6b block quote italic"/>
    <w:basedOn w:val="6ablockquoteroman"/>
    <w:qFormat/>
    <w:rsid w:val="00C536B8"/>
    <w:rPr>
      <w:rFonts w:eastAsia="Arial"/>
      <w:i/>
    </w:rPr>
  </w:style>
  <w:style w:type="paragraph" w:customStyle="1" w:styleId="9ctableattrribution">
    <w:name w:val="9c table attrribution"/>
    <w:basedOn w:val="Normal"/>
    <w:qFormat/>
    <w:rsid w:val="00F017CD"/>
    <w:pPr>
      <w:spacing w:after="320" w:line="240" w:lineRule="auto"/>
      <w:jc w:val="both"/>
    </w:pPr>
    <w:rPr>
      <w:rFonts w:cs="Arial"/>
      <w:sz w:val="22"/>
    </w:rPr>
  </w:style>
  <w:style w:type="paragraph" w:customStyle="1" w:styleId="4aindentedbodytext">
    <w:name w:val="4a indented body text"/>
    <w:basedOn w:val="Normal"/>
    <w:qFormat/>
    <w:rsid w:val="00947BAF"/>
    <w:pPr>
      <w:spacing w:after="0"/>
      <w:ind w:firstLine="357"/>
    </w:pPr>
    <w:rPr>
      <w:rFonts w:ascii="Arial" w:hAnsi="Arial" w:cs="Arial"/>
      <w:sz w:val="22"/>
    </w:rPr>
  </w:style>
  <w:style w:type="paragraph" w:customStyle="1" w:styleId="4brangedleft">
    <w:name w:val="4b ranged left"/>
    <w:basedOn w:val="4aindentedbodytext"/>
    <w:qFormat/>
    <w:rsid w:val="002F0FD7"/>
    <w:pPr>
      <w:ind w:firstLine="0"/>
      <w:jc w:val="both"/>
    </w:pPr>
  </w:style>
  <w:style w:type="paragraph" w:customStyle="1" w:styleId="4cscenariotext">
    <w:name w:val="4c scenario text"/>
    <w:basedOn w:val="4aindentedbodytext"/>
    <w:qFormat/>
    <w:rsid w:val="00947BAF"/>
    <w:pPr>
      <w:spacing w:line="240" w:lineRule="auto"/>
    </w:pPr>
    <w:rPr>
      <w:i/>
    </w:rPr>
  </w:style>
  <w:style w:type="paragraph" w:customStyle="1" w:styleId="6bulletornumberedlist">
    <w:name w:val="6 bullet or numbered list"/>
    <w:basedOn w:val="4aindentedbodytext"/>
    <w:qFormat/>
    <w:rsid w:val="00947BAF"/>
    <w:pPr>
      <w:ind w:left="357" w:hanging="357"/>
    </w:pPr>
  </w:style>
  <w:style w:type="paragraph" w:customStyle="1" w:styleId="7abstracttext">
    <w:name w:val="7 abstract text"/>
    <w:basedOn w:val="Normal"/>
    <w:qFormat/>
    <w:rsid w:val="00947BAF"/>
    <w:pPr>
      <w:spacing w:line="276" w:lineRule="auto"/>
    </w:pPr>
    <w:rPr>
      <w:rFonts w:ascii="Arial" w:hAnsi="Arial" w:cs="Arial"/>
      <w:sz w:val="22"/>
    </w:rPr>
  </w:style>
  <w:style w:type="paragraph" w:customStyle="1" w:styleId="8quotedlist">
    <w:name w:val="8 quoted list"/>
    <w:basedOn w:val="6bulletornumberedlist"/>
    <w:qFormat/>
    <w:rsid w:val="00947BAF"/>
    <w:pPr>
      <w:ind w:left="1077" w:right="720"/>
    </w:pPr>
    <w:rPr>
      <w:i/>
    </w:rPr>
  </w:style>
  <w:style w:type="paragraph" w:customStyle="1" w:styleId="9atablecaption">
    <w:name w:val="9a table caption"/>
    <w:basedOn w:val="Normal"/>
    <w:qFormat/>
    <w:rsid w:val="00947BAF"/>
    <w:pPr>
      <w:spacing w:after="120" w:line="240" w:lineRule="auto"/>
    </w:pPr>
    <w:rPr>
      <w:rFonts w:ascii="Arial" w:hAnsi="Arial" w:cs="Arial"/>
      <w:b/>
      <w:i/>
      <w:sz w:val="22"/>
    </w:rPr>
  </w:style>
  <w:style w:type="paragraph" w:customStyle="1" w:styleId="9bfigurecaption">
    <w:name w:val="9b figure caption"/>
    <w:basedOn w:val="Normal"/>
    <w:qFormat/>
    <w:rsid w:val="00947BAF"/>
    <w:pPr>
      <w:spacing w:line="240" w:lineRule="auto"/>
    </w:pPr>
    <w:rPr>
      <w:rFonts w:ascii="Arial" w:hAnsi="Arial" w:cs="Arial"/>
      <w:b/>
      <w:i/>
      <w:sz w:val="22"/>
    </w:rPr>
  </w:style>
  <w:style w:type="paragraph" w:customStyle="1" w:styleId="5bblockqoutewithattribution">
    <w:name w:val="5b block qoute with attribution"/>
    <w:basedOn w:val="Normal"/>
    <w:qFormat/>
    <w:rsid w:val="00947BAF"/>
    <w:pPr>
      <w:spacing w:after="0" w:line="259" w:lineRule="auto"/>
    </w:pPr>
    <w:rPr>
      <w:sz w:val="22"/>
    </w:rPr>
  </w:style>
  <w:style w:type="paragraph" w:customStyle="1" w:styleId="5cquoteattribution">
    <w:name w:val="5c quote attribution"/>
    <w:basedOn w:val="Normal"/>
    <w:qFormat/>
    <w:rsid w:val="00947BAF"/>
    <w:pPr>
      <w:spacing w:line="240" w:lineRule="auto"/>
      <w:ind w:left="720" w:right="720"/>
      <w:jc w:val="right"/>
    </w:pPr>
    <w:rPr>
      <w:rFonts w:ascii="Arial" w:eastAsia="Times New Roman" w:hAnsi="Arial" w:cs="Arial"/>
      <w:sz w:val="22"/>
      <w:lang w:eastAsia="en-GB"/>
    </w:rPr>
  </w:style>
  <w:style w:type="paragraph" w:customStyle="1" w:styleId="5dhangingquote">
    <w:name w:val="5d hanging quote"/>
    <w:basedOn w:val="Normal"/>
    <w:qFormat/>
    <w:rsid w:val="00947BAF"/>
    <w:pPr>
      <w:spacing w:line="240" w:lineRule="auto"/>
      <w:ind w:left="1854" w:right="720" w:hanging="1134"/>
    </w:pPr>
    <w:rPr>
      <w:rFonts w:ascii="Arial" w:eastAsia="Times New Roman" w:hAnsi="Arial" w:cs="Arial"/>
      <w:i/>
      <w:sz w:val="22"/>
      <w:lang w:eastAsia="en-GB"/>
    </w:rPr>
  </w:style>
  <w:style w:type="paragraph" w:customStyle="1" w:styleId="9cReferences">
    <w:name w:val="9c References"/>
    <w:basedOn w:val="Normal"/>
    <w:qFormat/>
    <w:rsid w:val="00947BAF"/>
    <w:pPr>
      <w:widowControl w:val="0"/>
      <w:spacing w:after="0" w:line="360" w:lineRule="auto"/>
      <w:ind w:left="357" w:hanging="357"/>
    </w:pPr>
    <w:rPr>
      <w:rFonts w:ascii="Arial" w:eastAsia="Times New Roman" w:hAnsi="Arial" w:cs="Arial"/>
      <w:color w:val="000000"/>
      <w:sz w:val="22"/>
      <w:lang w:eastAsia="en-GB"/>
    </w:rPr>
  </w:style>
  <w:style w:type="paragraph" w:customStyle="1" w:styleId="3aL4header">
    <w:name w:val="3a L4 header"/>
    <w:basedOn w:val="Normal"/>
    <w:qFormat/>
    <w:rsid w:val="00947BAF"/>
    <w:pPr>
      <w:keepNext/>
      <w:autoSpaceDE w:val="0"/>
      <w:autoSpaceDN w:val="0"/>
      <w:adjustRightInd w:val="0"/>
      <w:spacing w:line="276" w:lineRule="auto"/>
      <w:ind w:left="822" w:hanging="822"/>
    </w:pPr>
    <w:rPr>
      <w:rFonts w:ascii="Arial" w:eastAsia="Times New Roman" w:hAnsi="Arial" w:cs="Arial"/>
      <w:b/>
      <w:i/>
      <w:sz w:val="22"/>
      <w:lang w:eastAsia="en-GB"/>
    </w:rPr>
  </w:style>
  <w:style w:type="paragraph" w:customStyle="1" w:styleId="3bunnumberedcross-head">
    <w:name w:val="3b unnumbered cross-head"/>
    <w:basedOn w:val="Normal"/>
    <w:qFormat/>
    <w:rsid w:val="00947BAF"/>
    <w:pPr>
      <w:keepNext/>
      <w:spacing w:line="276" w:lineRule="auto"/>
    </w:pPr>
    <w:rPr>
      <w:rFonts w:ascii="Arial" w:eastAsia="Times New Roman" w:hAnsi="Arial" w:cs="Arial"/>
      <w:b/>
      <w:i/>
      <w:sz w:val="22"/>
      <w:lang w:eastAsia="en-GB"/>
    </w:rPr>
  </w:style>
  <w:style w:type="paragraph" w:customStyle="1" w:styleId="5ablockquoteroman">
    <w:name w:val="5a block quote roman"/>
    <w:basedOn w:val="Normal"/>
    <w:qFormat/>
    <w:rsid w:val="00947BAF"/>
    <w:pPr>
      <w:spacing w:after="240" w:line="240" w:lineRule="auto"/>
      <w:ind w:left="720" w:right="720"/>
      <w:contextualSpacing/>
    </w:pPr>
    <w:rPr>
      <w:rFonts w:ascii="Arial" w:eastAsia="Times New Roman" w:hAnsi="Arial" w:cs="Arial"/>
      <w:sz w:val="22"/>
      <w:lang w:val="en-US" w:eastAsia="en-GB"/>
    </w:rPr>
  </w:style>
  <w:style w:type="paragraph" w:customStyle="1" w:styleId="5bblockqouteitalic">
    <w:name w:val="5b block qoute italic"/>
    <w:basedOn w:val="5ablockquoteroman"/>
    <w:qFormat/>
    <w:rsid w:val="00947BAF"/>
    <w:pPr>
      <w:contextualSpacing w:val="0"/>
    </w:pPr>
    <w:rPr>
      <w:rFonts w:eastAsia="Arial"/>
      <w:i/>
    </w:rPr>
  </w:style>
  <w:style w:type="paragraph" w:customStyle="1" w:styleId="Heading31">
    <w:name w:val="Heading 31"/>
    <w:basedOn w:val="Charttitle"/>
    <w:next w:val="Normal"/>
    <w:uiPriority w:val="9"/>
    <w:unhideWhenUsed/>
    <w:qFormat/>
    <w:rsid w:val="00947BAF"/>
  </w:style>
  <w:style w:type="numbering" w:customStyle="1" w:styleId="NoList1">
    <w:name w:val="No List1"/>
    <w:next w:val="NoList"/>
    <w:uiPriority w:val="99"/>
    <w:semiHidden/>
    <w:unhideWhenUsed/>
    <w:rsid w:val="00947BAF"/>
  </w:style>
  <w:style w:type="paragraph" w:customStyle="1" w:styleId="FootnoteText1">
    <w:name w:val="Footnote Text1"/>
    <w:basedOn w:val="Normal"/>
    <w:next w:val="FootnoteText"/>
    <w:unhideWhenUsed/>
    <w:rsid w:val="00947BAF"/>
    <w:pPr>
      <w:spacing w:after="0" w:line="240" w:lineRule="auto"/>
    </w:pPr>
    <w:rPr>
      <w:rFonts w:eastAsia="Times New Roman"/>
      <w:sz w:val="20"/>
      <w:szCs w:val="20"/>
      <w:lang w:eastAsia="en-GB"/>
    </w:rPr>
  </w:style>
  <w:style w:type="paragraph" w:customStyle="1" w:styleId="ListParagraph1">
    <w:name w:val="List Paragraph1"/>
    <w:basedOn w:val="Normal"/>
    <w:next w:val="ListParagraph"/>
    <w:uiPriority w:val="34"/>
    <w:qFormat/>
    <w:rsid w:val="00947BAF"/>
    <w:pPr>
      <w:ind w:left="720"/>
      <w:contextualSpacing/>
    </w:pPr>
    <w:rPr>
      <w:rFonts w:eastAsia="Times New Roman"/>
      <w:lang w:eastAsia="en-GB"/>
    </w:rPr>
  </w:style>
  <w:style w:type="paragraph" w:customStyle="1" w:styleId="TOC41">
    <w:name w:val="TOC 41"/>
    <w:basedOn w:val="Normal"/>
    <w:next w:val="Normal"/>
    <w:autoRedefine/>
    <w:uiPriority w:val="39"/>
    <w:unhideWhenUsed/>
    <w:rsid w:val="00947BAF"/>
    <w:pPr>
      <w:spacing w:after="100" w:line="259" w:lineRule="auto"/>
      <w:ind w:left="660"/>
    </w:pPr>
    <w:rPr>
      <w:rFonts w:eastAsia="Times New Roman"/>
      <w:sz w:val="22"/>
      <w:lang w:eastAsia="en-GB"/>
    </w:rPr>
  </w:style>
  <w:style w:type="paragraph" w:customStyle="1" w:styleId="TOC51">
    <w:name w:val="TOC 51"/>
    <w:basedOn w:val="Normal"/>
    <w:next w:val="Normal"/>
    <w:autoRedefine/>
    <w:uiPriority w:val="39"/>
    <w:unhideWhenUsed/>
    <w:rsid w:val="00947BAF"/>
    <w:pPr>
      <w:spacing w:after="100" w:line="259" w:lineRule="auto"/>
      <w:ind w:left="880"/>
    </w:pPr>
    <w:rPr>
      <w:rFonts w:eastAsia="Times New Roman"/>
      <w:sz w:val="22"/>
      <w:lang w:eastAsia="en-GB"/>
    </w:rPr>
  </w:style>
  <w:style w:type="paragraph" w:customStyle="1" w:styleId="TOC61">
    <w:name w:val="TOC 61"/>
    <w:basedOn w:val="Normal"/>
    <w:next w:val="Normal"/>
    <w:autoRedefine/>
    <w:uiPriority w:val="39"/>
    <w:unhideWhenUsed/>
    <w:rsid w:val="00947BAF"/>
    <w:pPr>
      <w:spacing w:after="100" w:line="259" w:lineRule="auto"/>
      <w:ind w:left="1100"/>
    </w:pPr>
    <w:rPr>
      <w:rFonts w:eastAsia="Times New Roman"/>
      <w:sz w:val="22"/>
      <w:lang w:eastAsia="en-GB"/>
    </w:rPr>
  </w:style>
  <w:style w:type="paragraph" w:customStyle="1" w:styleId="TOC71">
    <w:name w:val="TOC 71"/>
    <w:basedOn w:val="Normal"/>
    <w:next w:val="Normal"/>
    <w:autoRedefine/>
    <w:uiPriority w:val="39"/>
    <w:unhideWhenUsed/>
    <w:rsid w:val="00947BAF"/>
    <w:pPr>
      <w:spacing w:after="100" w:line="259" w:lineRule="auto"/>
      <w:ind w:left="1320"/>
    </w:pPr>
    <w:rPr>
      <w:rFonts w:eastAsia="Times New Roman"/>
      <w:sz w:val="22"/>
      <w:lang w:eastAsia="en-GB"/>
    </w:rPr>
  </w:style>
  <w:style w:type="paragraph" w:customStyle="1" w:styleId="TOC81">
    <w:name w:val="TOC 81"/>
    <w:basedOn w:val="Normal"/>
    <w:next w:val="Normal"/>
    <w:autoRedefine/>
    <w:uiPriority w:val="39"/>
    <w:unhideWhenUsed/>
    <w:rsid w:val="00947BAF"/>
    <w:pPr>
      <w:spacing w:after="100" w:line="259" w:lineRule="auto"/>
      <w:ind w:left="1540"/>
    </w:pPr>
    <w:rPr>
      <w:rFonts w:eastAsia="Times New Roman"/>
      <w:sz w:val="22"/>
      <w:lang w:eastAsia="en-GB"/>
    </w:rPr>
  </w:style>
  <w:style w:type="paragraph" w:customStyle="1" w:styleId="TOC91">
    <w:name w:val="TOC 91"/>
    <w:basedOn w:val="Normal"/>
    <w:next w:val="Normal"/>
    <w:autoRedefine/>
    <w:uiPriority w:val="39"/>
    <w:unhideWhenUsed/>
    <w:rsid w:val="00947BAF"/>
    <w:pPr>
      <w:spacing w:after="100" w:line="259" w:lineRule="auto"/>
      <w:ind w:left="1760"/>
    </w:pPr>
    <w:rPr>
      <w:rFonts w:eastAsia="Times New Roman"/>
      <w:sz w:val="22"/>
      <w:lang w:eastAsia="en-GB"/>
    </w:rPr>
  </w:style>
  <w:style w:type="character" w:customStyle="1" w:styleId="Heading3Char1">
    <w:name w:val="Heading 3 Char1"/>
    <w:basedOn w:val="DefaultParagraphFont"/>
    <w:uiPriority w:val="9"/>
    <w:semiHidden/>
    <w:rsid w:val="00947BAF"/>
    <w:rPr>
      <w:rFonts w:asciiTheme="majorHAnsi" w:eastAsiaTheme="majorEastAsia" w:hAnsiTheme="majorHAnsi" w:cstheme="majorBidi"/>
      <w:color w:val="243F60" w:themeColor="accent1" w:themeShade="7F"/>
      <w:sz w:val="24"/>
      <w:szCs w:val="24"/>
    </w:rPr>
  </w:style>
  <w:style w:type="character" w:customStyle="1" w:styleId="FootnoteTextChar1">
    <w:name w:val="Footnote Text Char1"/>
    <w:basedOn w:val="DefaultParagraphFont"/>
    <w:uiPriority w:val="99"/>
    <w:semiHidden/>
    <w:rsid w:val="00947BAF"/>
    <w:rPr>
      <w:sz w:val="20"/>
      <w:szCs w:val="20"/>
    </w:rPr>
  </w:style>
  <w:style w:type="character" w:styleId="Emphasis">
    <w:name w:val="Emphasis"/>
    <w:basedOn w:val="DefaultParagraphFont"/>
    <w:uiPriority w:val="20"/>
    <w:qFormat/>
    <w:rsid w:val="00947BA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389787">
      <w:bodyDiv w:val="1"/>
      <w:marLeft w:val="0"/>
      <w:marRight w:val="0"/>
      <w:marTop w:val="0"/>
      <w:marBottom w:val="0"/>
      <w:divBdr>
        <w:top w:val="none" w:sz="0" w:space="0" w:color="auto"/>
        <w:left w:val="none" w:sz="0" w:space="0" w:color="auto"/>
        <w:bottom w:val="none" w:sz="0" w:space="0" w:color="auto"/>
        <w:right w:val="none" w:sz="0" w:space="0" w:color="auto"/>
      </w:divBdr>
      <w:divsChild>
        <w:div w:id="164709803">
          <w:marLeft w:val="432"/>
          <w:marRight w:val="0"/>
          <w:marTop w:val="96"/>
          <w:marBottom w:val="0"/>
          <w:divBdr>
            <w:top w:val="none" w:sz="0" w:space="0" w:color="auto"/>
            <w:left w:val="none" w:sz="0" w:space="0" w:color="auto"/>
            <w:bottom w:val="none" w:sz="0" w:space="0" w:color="auto"/>
            <w:right w:val="none" w:sz="0" w:space="0" w:color="auto"/>
          </w:divBdr>
        </w:div>
        <w:div w:id="375929142">
          <w:marLeft w:val="432"/>
          <w:marRight w:val="0"/>
          <w:marTop w:val="96"/>
          <w:marBottom w:val="0"/>
          <w:divBdr>
            <w:top w:val="none" w:sz="0" w:space="0" w:color="auto"/>
            <w:left w:val="none" w:sz="0" w:space="0" w:color="auto"/>
            <w:bottom w:val="none" w:sz="0" w:space="0" w:color="auto"/>
            <w:right w:val="none" w:sz="0" w:space="0" w:color="auto"/>
          </w:divBdr>
        </w:div>
        <w:div w:id="524754309">
          <w:marLeft w:val="432"/>
          <w:marRight w:val="0"/>
          <w:marTop w:val="96"/>
          <w:marBottom w:val="0"/>
          <w:divBdr>
            <w:top w:val="none" w:sz="0" w:space="0" w:color="auto"/>
            <w:left w:val="none" w:sz="0" w:space="0" w:color="auto"/>
            <w:bottom w:val="none" w:sz="0" w:space="0" w:color="auto"/>
            <w:right w:val="none" w:sz="0" w:space="0" w:color="auto"/>
          </w:divBdr>
        </w:div>
        <w:div w:id="1876850602">
          <w:marLeft w:val="432"/>
          <w:marRight w:val="0"/>
          <w:marTop w:val="96"/>
          <w:marBottom w:val="0"/>
          <w:divBdr>
            <w:top w:val="none" w:sz="0" w:space="0" w:color="auto"/>
            <w:left w:val="none" w:sz="0" w:space="0" w:color="auto"/>
            <w:bottom w:val="none" w:sz="0" w:space="0" w:color="auto"/>
            <w:right w:val="none" w:sz="0" w:space="0" w:color="auto"/>
          </w:divBdr>
        </w:div>
        <w:div w:id="2137674999">
          <w:marLeft w:val="432"/>
          <w:marRight w:val="0"/>
          <w:marTop w:val="96"/>
          <w:marBottom w:val="0"/>
          <w:divBdr>
            <w:top w:val="none" w:sz="0" w:space="0" w:color="auto"/>
            <w:left w:val="none" w:sz="0" w:space="0" w:color="auto"/>
            <w:bottom w:val="none" w:sz="0" w:space="0" w:color="auto"/>
            <w:right w:val="none" w:sz="0" w:space="0" w:color="auto"/>
          </w:divBdr>
        </w:div>
      </w:divsChild>
    </w:div>
    <w:div w:id="146555589">
      <w:bodyDiv w:val="1"/>
      <w:marLeft w:val="0"/>
      <w:marRight w:val="0"/>
      <w:marTop w:val="0"/>
      <w:marBottom w:val="0"/>
      <w:divBdr>
        <w:top w:val="none" w:sz="0" w:space="0" w:color="auto"/>
        <w:left w:val="none" w:sz="0" w:space="0" w:color="auto"/>
        <w:bottom w:val="none" w:sz="0" w:space="0" w:color="auto"/>
        <w:right w:val="none" w:sz="0" w:space="0" w:color="auto"/>
      </w:divBdr>
    </w:div>
    <w:div w:id="184564672">
      <w:bodyDiv w:val="1"/>
      <w:marLeft w:val="0"/>
      <w:marRight w:val="0"/>
      <w:marTop w:val="0"/>
      <w:marBottom w:val="0"/>
      <w:divBdr>
        <w:top w:val="none" w:sz="0" w:space="0" w:color="auto"/>
        <w:left w:val="none" w:sz="0" w:space="0" w:color="auto"/>
        <w:bottom w:val="none" w:sz="0" w:space="0" w:color="auto"/>
        <w:right w:val="none" w:sz="0" w:space="0" w:color="auto"/>
      </w:divBdr>
    </w:div>
    <w:div w:id="189539223">
      <w:bodyDiv w:val="1"/>
      <w:marLeft w:val="0"/>
      <w:marRight w:val="0"/>
      <w:marTop w:val="0"/>
      <w:marBottom w:val="0"/>
      <w:divBdr>
        <w:top w:val="none" w:sz="0" w:space="0" w:color="auto"/>
        <w:left w:val="none" w:sz="0" w:space="0" w:color="auto"/>
        <w:bottom w:val="none" w:sz="0" w:space="0" w:color="auto"/>
        <w:right w:val="none" w:sz="0" w:space="0" w:color="auto"/>
      </w:divBdr>
    </w:div>
    <w:div w:id="201091482">
      <w:bodyDiv w:val="1"/>
      <w:marLeft w:val="0"/>
      <w:marRight w:val="0"/>
      <w:marTop w:val="0"/>
      <w:marBottom w:val="0"/>
      <w:divBdr>
        <w:top w:val="none" w:sz="0" w:space="0" w:color="auto"/>
        <w:left w:val="none" w:sz="0" w:space="0" w:color="auto"/>
        <w:bottom w:val="none" w:sz="0" w:space="0" w:color="auto"/>
        <w:right w:val="none" w:sz="0" w:space="0" w:color="auto"/>
      </w:divBdr>
      <w:divsChild>
        <w:div w:id="686176207">
          <w:marLeft w:val="0"/>
          <w:marRight w:val="0"/>
          <w:marTop w:val="0"/>
          <w:marBottom w:val="0"/>
          <w:divBdr>
            <w:top w:val="none" w:sz="0" w:space="0" w:color="auto"/>
            <w:left w:val="none" w:sz="0" w:space="0" w:color="auto"/>
            <w:bottom w:val="none" w:sz="0" w:space="0" w:color="auto"/>
            <w:right w:val="none" w:sz="0" w:space="0" w:color="auto"/>
          </w:divBdr>
        </w:div>
      </w:divsChild>
    </w:div>
    <w:div w:id="227964460">
      <w:bodyDiv w:val="1"/>
      <w:marLeft w:val="0"/>
      <w:marRight w:val="0"/>
      <w:marTop w:val="0"/>
      <w:marBottom w:val="0"/>
      <w:divBdr>
        <w:top w:val="none" w:sz="0" w:space="0" w:color="auto"/>
        <w:left w:val="none" w:sz="0" w:space="0" w:color="auto"/>
        <w:bottom w:val="none" w:sz="0" w:space="0" w:color="auto"/>
        <w:right w:val="none" w:sz="0" w:space="0" w:color="auto"/>
      </w:divBdr>
      <w:divsChild>
        <w:div w:id="180242154">
          <w:marLeft w:val="0"/>
          <w:marRight w:val="0"/>
          <w:marTop w:val="0"/>
          <w:marBottom w:val="0"/>
          <w:divBdr>
            <w:top w:val="none" w:sz="0" w:space="0" w:color="auto"/>
            <w:left w:val="none" w:sz="0" w:space="0" w:color="auto"/>
            <w:bottom w:val="none" w:sz="0" w:space="0" w:color="auto"/>
            <w:right w:val="none" w:sz="0" w:space="0" w:color="auto"/>
          </w:divBdr>
        </w:div>
        <w:div w:id="479463170">
          <w:marLeft w:val="0"/>
          <w:marRight w:val="0"/>
          <w:marTop w:val="0"/>
          <w:marBottom w:val="0"/>
          <w:divBdr>
            <w:top w:val="none" w:sz="0" w:space="0" w:color="auto"/>
            <w:left w:val="none" w:sz="0" w:space="0" w:color="auto"/>
            <w:bottom w:val="none" w:sz="0" w:space="0" w:color="auto"/>
            <w:right w:val="none" w:sz="0" w:space="0" w:color="auto"/>
          </w:divBdr>
        </w:div>
        <w:div w:id="1003895662">
          <w:marLeft w:val="0"/>
          <w:marRight w:val="0"/>
          <w:marTop w:val="0"/>
          <w:marBottom w:val="0"/>
          <w:divBdr>
            <w:top w:val="none" w:sz="0" w:space="0" w:color="auto"/>
            <w:left w:val="none" w:sz="0" w:space="0" w:color="auto"/>
            <w:bottom w:val="none" w:sz="0" w:space="0" w:color="auto"/>
            <w:right w:val="none" w:sz="0" w:space="0" w:color="auto"/>
          </w:divBdr>
        </w:div>
        <w:div w:id="1705784162">
          <w:marLeft w:val="0"/>
          <w:marRight w:val="0"/>
          <w:marTop w:val="0"/>
          <w:marBottom w:val="0"/>
          <w:divBdr>
            <w:top w:val="none" w:sz="0" w:space="0" w:color="auto"/>
            <w:left w:val="none" w:sz="0" w:space="0" w:color="auto"/>
            <w:bottom w:val="none" w:sz="0" w:space="0" w:color="auto"/>
            <w:right w:val="none" w:sz="0" w:space="0" w:color="auto"/>
          </w:divBdr>
        </w:div>
        <w:div w:id="1713580491">
          <w:marLeft w:val="0"/>
          <w:marRight w:val="0"/>
          <w:marTop w:val="0"/>
          <w:marBottom w:val="0"/>
          <w:divBdr>
            <w:top w:val="none" w:sz="0" w:space="0" w:color="auto"/>
            <w:left w:val="none" w:sz="0" w:space="0" w:color="auto"/>
            <w:bottom w:val="none" w:sz="0" w:space="0" w:color="auto"/>
            <w:right w:val="none" w:sz="0" w:space="0" w:color="auto"/>
          </w:divBdr>
        </w:div>
        <w:div w:id="1865168008">
          <w:marLeft w:val="0"/>
          <w:marRight w:val="0"/>
          <w:marTop w:val="0"/>
          <w:marBottom w:val="0"/>
          <w:divBdr>
            <w:top w:val="none" w:sz="0" w:space="0" w:color="auto"/>
            <w:left w:val="none" w:sz="0" w:space="0" w:color="auto"/>
            <w:bottom w:val="none" w:sz="0" w:space="0" w:color="auto"/>
            <w:right w:val="none" w:sz="0" w:space="0" w:color="auto"/>
          </w:divBdr>
        </w:div>
      </w:divsChild>
    </w:div>
    <w:div w:id="297689001">
      <w:bodyDiv w:val="1"/>
      <w:marLeft w:val="0"/>
      <w:marRight w:val="0"/>
      <w:marTop w:val="0"/>
      <w:marBottom w:val="0"/>
      <w:divBdr>
        <w:top w:val="none" w:sz="0" w:space="0" w:color="auto"/>
        <w:left w:val="none" w:sz="0" w:space="0" w:color="auto"/>
        <w:bottom w:val="none" w:sz="0" w:space="0" w:color="auto"/>
        <w:right w:val="none" w:sz="0" w:space="0" w:color="auto"/>
      </w:divBdr>
      <w:divsChild>
        <w:div w:id="1310020651">
          <w:marLeft w:val="547"/>
          <w:marRight w:val="0"/>
          <w:marTop w:val="67"/>
          <w:marBottom w:val="0"/>
          <w:divBdr>
            <w:top w:val="none" w:sz="0" w:space="0" w:color="auto"/>
            <w:left w:val="none" w:sz="0" w:space="0" w:color="auto"/>
            <w:bottom w:val="none" w:sz="0" w:space="0" w:color="auto"/>
            <w:right w:val="none" w:sz="0" w:space="0" w:color="auto"/>
          </w:divBdr>
        </w:div>
      </w:divsChild>
    </w:div>
    <w:div w:id="432626018">
      <w:bodyDiv w:val="1"/>
      <w:marLeft w:val="0"/>
      <w:marRight w:val="0"/>
      <w:marTop w:val="0"/>
      <w:marBottom w:val="0"/>
      <w:divBdr>
        <w:top w:val="none" w:sz="0" w:space="0" w:color="auto"/>
        <w:left w:val="none" w:sz="0" w:space="0" w:color="auto"/>
        <w:bottom w:val="none" w:sz="0" w:space="0" w:color="auto"/>
        <w:right w:val="none" w:sz="0" w:space="0" w:color="auto"/>
      </w:divBdr>
    </w:div>
    <w:div w:id="450784124">
      <w:bodyDiv w:val="1"/>
      <w:marLeft w:val="0"/>
      <w:marRight w:val="0"/>
      <w:marTop w:val="0"/>
      <w:marBottom w:val="0"/>
      <w:divBdr>
        <w:top w:val="none" w:sz="0" w:space="0" w:color="auto"/>
        <w:left w:val="none" w:sz="0" w:space="0" w:color="auto"/>
        <w:bottom w:val="none" w:sz="0" w:space="0" w:color="auto"/>
        <w:right w:val="none" w:sz="0" w:space="0" w:color="auto"/>
      </w:divBdr>
    </w:div>
    <w:div w:id="458300080">
      <w:bodyDiv w:val="1"/>
      <w:marLeft w:val="0"/>
      <w:marRight w:val="0"/>
      <w:marTop w:val="0"/>
      <w:marBottom w:val="0"/>
      <w:divBdr>
        <w:top w:val="none" w:sz="0" w:space="0" w:color="auto"/>
        <w:left w:val="none" w:sz="0" w:space="0" w:color="auto"/>
        <w:bottom w:val="none" w:sz="0" w:space="0" w:color="auto"/>
        <w:right w:val="none" w:sz="0" w:space="0" w:color="auto"/>
      </w:divBdr>
      <w:divsChild>
        <w:div w:id="1759596448">
          <w:marLeft w:val="0"/>
          <w:marRight w:val="0"/>
          <w:marTop w:val="0"/>
          <w:marBottom w:val="0"/>
          <w:divBdr>
            <w:top w:val="none" w:sz="0" w:space="0" w:color="auto"/>
            <w:left w:val="none" w:sz="0" w:space="0" w:color="auto"/>
            <w:bottom w:val="none" w:sz="0" w:space="0" w:color="auto"/>
            <w:right w:val="none" w:sz="0" w:space="0" w:color="auto"/>
          </w:divBdr>
        </w:div>
      </w:divsChild>
    </w:div>
    <w:div w:id="686751994">
      <w:bodyDiv w:val="1"/>
      <w:marLeft w:val="0"/>
      <w:marRight w:val="0"/>
      <w:marTop w:val="0"/>
      <w:marBottom w:val="0"/>
      <w:divBdr>
        <w:top w:val="none" w:sz="0" w:space="0" w:color="auto"/>
        <w:left w:val="none" w:sz="0" w:space="0" w:color="auto"/>
        <w:bottom w:val="none" w:sz="0" w:space="0" w:color="auto"/>
        <w:right w:val="none" w:sz="0" w:space="0" w:color="auto"/>
      </w:divBdr>
    </w:div>
    <w:div w:id="785469573">
      <w:bodyDiv w:val="1"/>
      <w:marLeft w:val="0"/>
      <w:marRight w:val="0"/>
      <w:marTop w:val="0"/>
      <w:marBottom w:val="0"/>
      <w:divBdr>
        <w:top w:val="none" w:sz="0" w:space="0" w:color="auto"/>
        <w:left w:val="none" w:sz="0" w:space="0" w:color="auto"/>
        <w:bottom w:val="none" w:sz="0" w:space="0" w:color="auto"/>
        <w:right w:val="none" w:sz="0" w:space="0" w:color="auto"/>
      </w:divBdr>
    </w:div>
    <w:div w:id="786193598">
      <w:bodyDiv w:val="1"/>
      <w:marLeft w:val="0"/>
      <w:marRight w:val="0"/>
      <w:marTop w:val="0"/>
      <w:marBottom w:val="0"/>
      <w:divBdr>
        <w:top w:val="none" w:sz="0" w:space="0" w:color="auto"/>
        <w:left w:val="none" w:sz="0" w:space="0" w:color="auto"/>
        <w:bottom w:val="none" w:sz="0" w:space="0" w:color="auto"/>
        <w:right w:val="none" w:sz="0" w:space="0" w:color="auto"/>
      </w:divBdr>
      <w:divsChild>
        <w:div w:id="495800224">
          <w:marLeft w:val="0"/>
          <w:marRight w:val="0"/>
          <w:marTop w:val="0"/>
          <w:marBottom w:val="0"/>
          <w:divBdr>
            <w:top w:val="none" w:sz="0" w:space="0" w:color="auto"/>
            <w:left w:val="none" w:sz="0" w:space="0" w:color="auto"/>
            <w:bottom w:val="none" w:sz="0" w:space="0" w:color="auto"/>
            <w:right w:val="none" w:sz="0" w:space="0" w:color="auto"/>
          </w:divBdr>
        </w:div>
        <w:div w:id="1578899748">
          <w:marLeft w:val="0"/>
          <w:marRight w:val="0"/>
          <w:marTop w:val="0"/>
          <w:marBottom w:val="0"/>
          <w:divBdr>
            <w:top w:val="none" w:sz="0" w:space="0" w:color="auto"/>
            <w:left w:val="none" w:sz="0" w:space="0" w:color="auto"/>
            <w:bottom w:val="none" w:sz="0" w:space="0" w:color="auto"/>
            <w:right w:val="none" w:sz="0" w:space="0" w:color="auto"/>
          </w:divBdr>
        </w:div>
        <w:div w:id="2063169812">
          <w:marLeft w:val="0"/>
          <w:marRight w:val="0"/>
          <w:marTop w:val="0"/>
          <w:marBottom w:val="0"/>
          <w:divBdr>
            <w:top w:val="none" w:sz="0" w:space="0" w:color="auto"/>
            <w:left w:val="none" w:sz="0" w:space="0" w:color="auto"/>
            <w:bottom w:val="none" w:sz="0" w:space="0" w:color="auto"/>
            <w:right w:val="none" w:sz="0" w:space="0" w:color="auto"/>
          </w:divBdr>
        </w:div>
      </w:divsChild>
    </w:div>
    <w:div w:id="827137641">
      <w:bodyDiv w:val="1"/>
      <w:marLeft w:val="0"/>
      <w:marRight w:val="0"/>
      <w:marTop w:val="0"/>
      <w:marBottom w:val="0"/>
      <w:divBdr>
        <w:top w:val="none" w:sz="0" w:space="0" w:color="auto"/>
        <w:left w:val="none" w:sz="0" w:space="0" w:color="auto"/>
        <w:bottom w:val="none" w:sz="0" w:space="0" w:color="auto"/>
        <w:right w:val="none" w:sz="0" w:space="0" w:color="auto"/>
      </w:divBdr>
      <w:divsChild>
        <w:div w:id="1180048102">
          <w:marLeft w:val="0"/>
          <w:marRight w:val="0"/>
          <w:marTop w:val="0"/>
          <w:marBottom w:val="0"/>
          <w:divBdr>
            <w:top w:val="none" w:sz="0" w:space="0" w:color="auto"/>
            <w:left w:val="none" w:sz="0" w:space="0" w:color="auto"/>
            <w:bottom w:val="none" w:sz="0" w:space="0" w:color="auto"/>
            <w:right w:val="none" w:sz="0" w:space="0" w:color="auto"/>
          </w:divBdr>
        </w:div>
        <w:div w:id="68579227">
          <w:marLeft w:val="0"/>
          <w:marRight w:val="0"/>
          <w:marTop w:val="0"/>
          <w:marBottom w:val="0"/>
          <w:divBdr>
            <w:top w:val="none" w:sz="0" w:space="0" w:color="auto"/>
            <w:left w:val="none" w:sz="0" w:space="0" w:color="auto"/>
            <w:bottom w:val="none" w:sz="0" w:space="0" w:color="auto"/>
            <w:right w:val="none" w:sz="0" w:space="0" w:color="auto"/>
          </w:divBdr>
        </w:div>
        <w:div w:id="1076131319">
          <w:marLeft w:val="0"/>
          <w:marRight w:val="0"/>
          <w:marTop w:val="0"/>
          <w:marBottom w:val="0"/>
          <w:divBdr>
            <w:top w:val="none" w:sz="0" w:space="0" w:color="auto"/>
            <w:left w:val="none" w:sz="0" w:space="0" w:color="auto"/>
            <w:bottom w:val="none" w:sz="0" w:space="0" w:color="auto"/>
            <w:right w:val="none" w:sz="0" w:space="0" w:color="auto"/>
          </w:divBdr>
        </w:div>
      </w:divsChild>
    </w:div>
    <w:div w:id="838353098">
      <w:bodyDiv w:val="1"/>
      <w:marLeft w:val="0"/>
      <w:marRight w:val="0"/>
      <w:marTop w:val="0"/>
      <w:marBottom w:val="0"/>
      <w:divBdr>
        <w:top w:val="none" w:sz="0" w:space="0" w:color="auto"/>
        <w:left w:val="none" w:sz="0" w:space="0" w:color="auto"/>
        <w:bottom w:val="none" w:sz="0" w:space="0" w:color="auto"/>
        <w:right w:val="none" w:sz="0" w:space="0" w:color="auto"/>
      </w:divBdr>
      <w:divsChild>
        <w:div w:id="263803221">
          <w:marLeft w:val="547"/>
          <w:marRight w:val="0"/>
          <w:marTop w:val="106"/>
          <w:marBottom w:val="0"/>
          <w:divBdr>
            <w:top w:val="none" w:sz="0" w:space="0" w:color="auto"/>
            <w:left w:val="none" w:sz="0" w:space="0" w:color="auto"/>
            <w:bottom w:val="none" w:sz="0" w:space="0" w:color="auto"/>
            <w:right w:val="none" w:sz="0" w:space="0" w:color="auto"/>
          </w:divBdr>
        </w:div>
        <w:div w:id="1799956754">
          <w:marLeft w:val="547"/>
          <w:marRight w:val="0"/>
          <w:marTop w:val="106"/>
          <w:marBottom w:val="0"/>
          <w:divBdr>
            <w:top w:val="none" w:sz="0" w:space="0" w:color="auto"/>
            <w:left w:val="none" w:sz="0" w:space="0" w:color="auto"/>
            <w:bottom w:val="none" w:sz="0" w:space="0" w:color="auto"/>
            <w:right w:val="none" w:sz="0" w:space="0" w:color="auto"/>
          </w:divBdr>
        </w:div>
      </w:divsChild>
    </w:div>
    <w:div w:id="858398229">
      <w:bodyDiv w:val="1"/>
      <w:marLeft w:val="0"/>
      <w:marRight w:val="0"/>
      <w:marTop w:val="0"/>
      <w:marBottom w:val="0"/>
      <w:divBdr>
        <w:top w:val="none" w:sz="0" w:space="0" w:color="auto"/>
        <w:left w:val="none" w:sz="0" w:space="0" w:color="auto"/>
        <w:bottom w:val="none" w:sz="0" w:space="0" w:color="auto"/>
        <w:right w:val="none" w:sz="0" w:space="0" w:color="auto"/>
      </w:divBdr>
      <w:divsChild>
        <w:div w:id="53889801">
          <w:marLeft w:val="547"/>
          <w:marRight w:val="0"/>
          <w:marTop w:val="115"/>
          <w:marBottom w:val="0"/>
          <w:divBdr>
            <w:top w:val="none" w:sz="0" w:space="0" w:color="auto"/>
            <w:left w:val="none" w:sz="0" w:space="0" w:color="auto"/>
            <w:bottom w:val="none" w:sz="0" w:space="0" w:color="auto"/>
            <w:right w:val="none" w:sz="0" w:space="0" w:color="auto"/>
          </w:divBdr>
        </w:div>
      </w:divsChild>
    </w:div>
    <w:div w:id="964972290">
      <w:bodyDiv w:val="1"/>
      <w:marLeft w:val="0"/>
      <w:marRight w:val="0"/>
      <w:marTop w:val="0"/>
      <w:marBottom w:val="0"/>
      <w:divBdr>
        <w:top w:val="none" w:sz="0" w:space="0" w:color="auto"/>
        <w:left w:val="none" w:sz="0" w:space="0" w:color="auto"/>
        <w:bottom w:val="none" w:sz="0" w:space="0" w:color="auto"/>
        <w:right w:val="none" w:sz="0" w:space="0" w:color="auto"/>
      </w:divBdr>
      <w:divsChild>
        <w:div w:id="147719760">
          <w:marLeft w:val="0"/>
          <w:marRight w:val="0"/>
          <w:marTop w:val="0"/>
          <w:marBottom w:val="0"/>
          <w:divBdr>
            <w:top w:val="none" w:sz="0" w:space="0" w:color="auto"/>
            <w:left w:val="none" w:sz="0" w:space="0" w:color="auto"/>
            <w:bottom w:val="none" w:sz="0" w:space="0" w:color="auto"/>
            <w:right w:val="none" w:sz="0" w:space="0" w:color="auto"/>
          </w:divBdr>
        </w:div>
        <w:div w:id="488599111">
          <w:marLeft w:val="0"/>
          <w:marRight w:val="0"/>
          <w:marTop w:val="0"/>
          <w:marBottom w:val="0"/>
          <w:divBdr>
            <w:top w:val="none" w:sz="0" w:space="0" w:color="auto"/>
            <w:left w:val="none" w:sz="0" w:space="0" w:color="auto"/>
            <w:bottom w:val="none" w:sz="0" w:space="0" w:color="auto"/>
            <w:right w:val="none" w:sz="0" w:space="0" w:color="auto"/>
          </w:divBdr>
        </w:div>
        <w:div w:id="568535083">
          <w:marLeft w:val="0"/>
          <w:marRight w:val="0"/>
          <w:marTop w:val="0"/>
          <w:marBottom w:val="0"/>
          <w:divBdr>
            <w:top w:val="none" w:sz="0" w:space="0" w:color="auto"/>
            <w:left w:val="none" w:sz="0" w:space="0" w:color="auto"/>
            <w:bottom w:val="none" w:sz="0" w:space="0" w:color="auto"/>
            <w:right w:val="none" w:sz="0" w:space="0" w:color="auto"/>
          </w:divBdr>
        </w:div>
        <w:div w:id="1028066663">
          <w:marLeft w:val="0"/>
          <w:marRight w:val="0"/>
          <w:marTop w:val="0"/>
          <w:marBottom w:val="0"/>
          <w:divBdr>
            <w:top w:val="none" w:sz="0" w:space="0" w:color="auto"/>
            <w:left w:val="none" w:sz="0" w:space="0" w:color="auto"/>
            <w:bottom w:val="none" w:sz="0" w:space="0" w:color="auto"/>
            <w:right w:val="none" w:sz="0" w:space="0" w:color="auto"/>
          </w:divBdr>
        </w:div>
      </w:divsChild>
    </w:div>
    <w:div w:id="1042511291">
      <w:bodyDiv w:val="1"/>
      <w:marLeft w:val="0"/>
      <w:marRight w:val="0"/>
      <w:marTop w:val="0"/>
      <w:marBottom w:val="0"/>
      <w:divBdr>
        <w:top w:val="none" w:sz="0" w:space="0" w:color="auto"/>
        <w:left w:val="none" w:sz="0" w:space="0" w:color="auto"/>
        <w:bottom w:val="none" w:sz="0" w:space="0" w:color="auto"/>
        <w:right w:val="none" w:sz="0" w:space="0" w:color="auto"/>
      </w:divBdr>
    </w:div>
    <w:div w:id="1049038552">
      <w:bodyDiv w:val="1"/>
      <w:marLeft w:val="0"/>
      <w:marRight w:val="0"/>
      <w:marTop w:val="0"/>
      <w:marBottom w:val="0"/>
      <w:divBdr>
        <w:top w:val="none" w:sz="0" w:space="0" w:color="auto"/>
        <w:left w:val="none" w:sz="0" w:space="0" w:color="auto"/>
        <w:bottom w:val="none" w:sz="0" w:space="0" w:color="auto"/>
        <w:right w:val="none" w:sz="0" w:space="0" w:color="auto"/>
      </w:divBdr>
    </w:div>
    <w:div w:id="1056048280">
      <w:bodyDiv w:val="1"/>
      <w:marLeft w:val="0"/>
      <w:marRight w:val="0"/>
      <w:marTop w:val="0"/>
      <w:marBottom w:val="0"/>
      <w:divBdr>
        <w:top w:val="none" w:sz="0" w:space="0" w:color="auto"/>
        <w:left w:val="none" w:sz="0" w:space="0" w:color="auto"/>
        <w:bottom w:val="none" w:sz="0" w:space="0" w:color="auto"/>
        <w:right w:val="none" w:sz="0" w:space="0" w:color="auto"/>
      </w:divBdr>
    </w:div>
    <w:div w:id="1255087537">
      <w:bodyDiv w:val="1"/>
      <w:marLeft w:val="0"/>
      <w:marRight w:val="0"/>
      <w:marTop w:val="0"/>
      <w:marBottom w:val="0"/>
      <w:divBdr>
        <w:top w:val="none" w:sz="0" w:space="0" w:color="auto"/>
        <w:left w:val="none" w:sz="0" w:space="0" w:color="auto"/>
        <w:bottom w:val="none" w:sz="0" w:space="0" w:color="auto"/>
        <w:right w:val="none" w:sz="0" w:space="0" w:color="auto"/>
      </w:divBdr>
    </w:div>
    <w:div w:id="1265109300">
      <w:bodyDiv w:val="1"/>
      <w:marLeft w:val="0"/>
      <w:marRight w:val="0"/>
      <w:marTop w:val="0"/>
      <w:marBottom w:val="0"/>
      <w:divBdr>
        <w:top w:val="none" w:sz="0" w:space="0" w:color="auto"/>
        <w:left w:val="none" w:sz="0" w:space="0" w:color="auto"/>
        <w:bottom w:val="none" w:sz="0" w:space="0" w:color="auto"/>
        <w:right w:val="none" w:sz="0" w:space="0" w:color="auto"/>
      </w:divBdr>
    </w:div>
    <w:div w:id="1306230740">
      <w:bodyDiv w:val="1"/>
      <w:marLeft w:val="0"/>
      <w:marRight w:val="0"/>
      <w:marTop w:val="0"/>
      <w:marBottom w:val="0"/>
      <w:divBdr>
        <w:top w:val="none" w:sz="0" w:space="0" w:color="auto"/>
        <w:left w:val="none" w:sz="0" w:space="0" w:color="auto"/>
        <w:bottom w:val="none" w:sz="0" w:space="0" w:color="auto"/>
        <w:right w:val="none" w:sz="0" w:space="0" w:color="auto"/>
      </w:divBdr>
    </w:div>
    <w:div w:id="1380665240">
      <w:bodyDiv w:val="1"/>
      <w:marLeft w:val="0"/>
      <w:marRight w:val="0"/>
      <w:marTop w:val="0"/>
      <w:marBottom w:val="0"/>
      <w:divBdr>
        <w:top w:val="none" w:sz="0" w:space="0" w:color="auto"/>
        <w:left w:val="none" w:sz="0" w:space="0" w:color="auto"/>
        <w:bottom w:val="none" w:sz="0" w:space="0" w:color="auto"/>
        <w:right w:val="none" w:sz="0" w:space="0" w:color="auto"/>
      </w:divBdr>
    </w:div>
    <w:div w:id="1513182743">
      <w:bodyDiv w:val="1"/>
      <w:marLeft w:val="0"/>
      <w:marRight w:val="0"/>
      <w:marTop w:val="0"/>
      <w:marBottom w:val="0"/>
      <w:divBdr>
        <w:top w:val="none" w:sz="0" w:space="0" w:color="auto"/>
        <w:left w:val="none" w:sz="0" w:space="0" w:color="auto"/>
        <w:bottom w:val="none" w:sz="0" w:space="0" w:color="auto"/>
        <w:right w:val="none" w:sz="0" w:space="0" w:color="auto"/>
      </w:divBdr>
      <w:divsChild>
        <w:div w:id="336658632">
          <w:marLeft w:val="0"/>
          <w:marRight w:val="0"/>
          <w:marTop w:val="0"/>
          <w:marBottom w:val="0"/>
          <w:divBdr>
            <w:top w:val="none" w:sz="0" w:space="0" w:color="auto"/>
            <w:left w:val="none" w:sz="0" w:space="0" w:color="auto"/>
            <w:bottom w:val="none" w:sz="0" w:space="0" w:color="auto"/>
            <w:right w:val="none" w:sz="0" w:space="0" w:color="auto"/>
          </w:divBdr>
        </w:div>
        <w:div w:id="2076967768">
          <w:marLeft w:val="0"/>
          <w:marRight w:val="0"/>
          <w:marTop w:val="0"/>
          <w:marBottom w:val="0"/>
          <w:divBdr>
            <w:top w:val="none" w:sz="0" w:space="0" w:color="auto"/>
            <w:left w:val="none" w:sz="0" w:space="0" w:color="auto"/>
            <w:bottom w:val="none" w:sz="0" w:space="0" w:color="auto"/>
            <w:right w:val="none" w:sz="0" w:space="0" w:color="auto"/>
          </w:divBdr>
        </w:div>
        <w:div w:id="1108619650">
          <w:marLeft w:val="0"/>
          <w:marRight w:val="0"/>
          <w:marTop w:val="0"/>
          <w:marBottom w:val="0"/>
          <w:divBdr>
            <w:top w:val="none" w:sz="0" w:space="0" w:color="auto"/>
            <w:left w:val="none" w:sz="0" w:space="0" w:color="auto"/>
            <w:bottom w:val="none" w:sz="0" w:space="0" w:color="auto"/>
            <w:right w:val="none" w:sz="0" w:space="0" w:color="auto"/>
          </w:divBdr>
        </w:div>
      </w:divsChild>
    </w:div>
    <w:div w:id="1543246166">
      <w:bodyDiv w:val="1"/>
      <w:marLeft w:val="0"/>
      <w:marRight w:val="0"/>
      <w:marTop w:val="0"/>
      <w:marBottom w:val="0"/>
      <w:divBdr>
        <w:top w:val="none" w:sz="0" w:space="0" w:color="auto"/>
        <w:left w:val="none" w:sz="0" w:space="0" w:color="auto"/>
        <w:bottom w:val="none" w:sz="0" w:space="0" w:color="auto"/>
        <w:right w:val="none" w:sz="0" w:space="0" w:color="auto"/>
      </w:divBdr>
      <w:divsChild>
        <w:div w:id="1845899996">
          <w:marLeft w:val="0"/>
          <w:marRight w:val="0"/>
          <w:marTop w:val="0"/>
          <w:marBottom w:val="0"/>
          <w:divBdr>
            <w:top w:val="none" w:sz="0" w:space="0" w:color="auto"/>
            <w:left w:val="none" w:sz="0" w:space="0" w:color="auto"/>
            <w:bottom w:val="none" w:sz="0" w:space="0" w:color="auto"/>
            <w:right w:val="none" w:sz="0" w:space="0" w:color="auto"/>
          </w:divBdr>
        </w:div>
        <w:div w:id="1189105197">
          <w:marLeft w:val="0"/>
          <w:marRight w:val="0"/>
          <w:marTop w:val="0"/>
          <w:marBottom w:val="0"/>
          <w:divBdr>
            <w:top w:val="none" w:sz="0" w:space="0" w:color="auto"/>
            <w:left w:val="none" w:sz="0" w:space="0" w:color="auto"/>
            <w:bottom w:val="none" w:sz="0" w:space="0" w:color="auto"/>
            <w:right w:val="none" w:sz="0" w:space="0" w:color="auto"/>
          </w:divBdr>
        </w:div>
        <w:div w:id="722170170">
          <w:marLeft w:val="0"/>
          <w:marRight w:val="0"/>
          <w:marTop w:val="0"/>
          <w:marBottom w:val="0"/>
          <w:divBdr>
            <w:top w:val="none" w:sz="0" w:space="0" w:color="auto"/>
            <w:left w:val="none" w:sz="0" w:space="0" w:color="auto"/>
            <w:bottom w:val="none" w:sz="0" w:space="0" w:color="auto"/>
            <w:right w:val="none" w:sz="0" w:space="0" w:color="auto"/>
          </w:divBdr>
        </w:div>
      </w:divsChild>
    </w:div>
    <w:div w:id="1558932324">
      <w:bodyDiv w:val="1"/>
      <w:marLeft w:val="0"/>
      <w:marRight w:val="0"/>
      <w:marTop w:val="0"/>
      <w:marBottom w:val="0"/>
      <w:divBdr>
        <w:top w:val="none" w:sz="0" w:space="0" w:color="auto"/>
        <w:left w:val="none" w:sz="0" w:space="0" w:color="auto"/>
        <w:bottom w:val="none" w:sz="0" w:space="0" w:color="auto"/>
        <w:right w:val="none" w:sz="0" w:space="0" w:color="auto"/>
      </w:divBdr>
      <w:divsChild>
        <w:div w:id="842432351">
          <w:marLeft w:val="0"/>
          <w:marRight w:val="0"/>
          <w:marTop w:val="0"/>
          <w:marBottom w:val="0"/>
          <w:divBdr>
            <w:top w:val="none" w:sz="0" w:space="0" w:color="auto"/>
            <w:left w:val="none" w:sz="0" w:space="0" w:color="auto"/>
            <w:bottom w:val="none" w:sz="0" w:space="0" w:color="auto"/>
            <w:right w:val="none" w:sz="0" w:space="0" w:color="auto"/>
          </w:divBdr>
        </w:div>
      </w:divsChild>
    </w:div>
    <w:div w:id="1585139177">
      <w:bodyDiv w:val="1"/>
      <w:marLeft w:val="0"/>
      <w:marRight w:val="0"/>
      <w:marTop w:val="0"/>
      <w:marBottom w:val="0"/>
      <w:divBdr>
        <w:top w:val="none" w:sz="0" w:space="0" w:color="auto"/>
        <w:left w:val="none" w:sz="0" w:space="0" w:color="auto"/>
        <w:bottom w:val="none" w:sz="0" w:space="0" w:color="auto"/>
        <w:right w:val="none" w:sz="0" w:space="0" w:color="auto"/>
      </w:divBdr>
      <w:divsChild>
        <w:div w:id="284585449">
          <w:marLeft w:val="0"/>
          <w:marRight w:val="0"/>
          <w:marTop w:val="0"/>
          <w:marBottom w:val="0"/>
          <w:divBdr>
            <w:top w:val="none" w:sz="0" w:space="0" w:color="auto"/>
            <w:left w:val="none" w:sz="0" w:space="0" w:color="auto"/>
            <w:bottom w:val="none" w:sz="0" w:space="0" w:color="auto"/>
            <w:right w:val="none" w:sz="0" w:space="0" w:color="auto"/>
          </w:divBdr>
        </w:div>
        <w:div w:id="779497933">
          <w:marLeft w:val="0"/>
          <w:marRight w:val="0"/>
          <w:marTop w:val="0"/>
          <w:marBottom w:val="0"/>
          <w:divBdr>
            <w:top w:val="none" w:sz="0" w:space="0" w:color="auto"/>
            <w:left w:val="none" w:sz="0" w:space="0" w:color="auto"/>
            <w:bottom w:val="none" w:sz="0" w:space="0" w:color="auto"/>
            <w:right w:val="none" w:sz="0" w:space="0" w:color="auto"/>
          </w:divBdr>
        </w:div>
        <w:div w:id="788282121">
          <w:marLeft w:val="0"/>
          <w:marRight w:val="0"/>
          <w:marTop w:val="0"/>
          <w:marBottom w:val="0"/>
          <w:divBdr>
            <w:top w:val="none" w:sz="0" w:space="0" w:color="auto"/>
            <w:left w:val="none" w:sz="0" w:space="0" w:color="auto"/>
            <w:bottom w:val="none" w:sz="0" w:space="0" w:color="auto"/>
            <w:right w:val="none" w:sz="0" w:space="0" w:color="auto"/>
          </w:divBdr>
        </w:div>
      </w:divsChild>
    </w:div>
    <w:div w:id="1600992673">
      <w:bodyDiv w:val="1"/>
      <w:marLeft w:val="0"/>
      <w:marRight w:val="0"/>
      <w:marTop w:val="0"/>
      <w:marBottom w:val="0"/>
      <w:divBdr>
        <w:top w:val="none" w:sz="0" w:space="0" w:color="auto"/>
        <w:left w:val="none" w:sz="0" w:space="0" w:color="auto"/>
        <w:bottom w:val="none" w:sz="0" w:space="0" w:color="auto"/>
        <w:right w:val="none" w:sz="0" w:space="0" w:color="auto"/>
      </w:divBdr>
      <w:divsChild>
        <w:div w:id="817694726">
          <w:marLeft w:val="0"/>
          <w:marRight w:val="0"/>
          <w:marTop w:val="0"/>
          <w:marBottom w:val="0"/>
          <w:divBdr>
            <w:top w:val="none" w:sz="0" w:space="0" w:color="auto"/>
            <w:left w:val="none" w:sz="0" w:space="0" w:color="auto"/>
            <w:bottom w:val="none" w:sz="0" w:space="0" w:color="auto"/>
            <w:right w:val="none" w:sz="0" w:space="0" w:color="auto"/>
          </w:divBdr>
        </w:div>
        <w:div w:id="1204173003">
          <w:marLeft w:val="0"/>
          <w:marRight w:val="0"/>
          <w:marTop w:val="0"/>
          <w:marBottom w:val="0"/>
          <w:divBdr>
            <w:top w:val="none" w:sz="0" w:space="0" w:color="auto"/>
            <w:left w:val="none" w:sz="0" w:space="0" w:color="auto"/>
            <w:bottom w:val="none" w:sz="0" w:space="0" w:color="auto"/>
            <w:right w:val="none" w:sz="0" w:space="0" w:color="auto"/>
          </w:divBdr>
        </w:div>
        <w:div w:id="1892114560">
          <w:marLeft w:val="0"/>
          <w:marRight w:val="0"/>
          <w:marTop w:val="0"/>
          <w:marBottom w:val="0"/>
          <w:divBdr>
            <w:top w:val="none" w:sz="0" w:space="0" w:color="auto"/>
            <w:left w:val="none" w:sz="0" w:space="0" w:color="auto"/>
            <w:bottom w:val="none" w:sz="0" w:space="0" w:color="auto"/>
            <w:right w:val="none" w:sz="0" w:space="0" w:color="auto"/>
          </w:divBdr>
        </w:div>
      </w:divsChild>
    </w:div>
    <w:div w:id="1710573263">
      <w:bodyDiv w:val="1"/>
      <w:marLeft w:val="0"/>
      <w:marRight w:val="0"/>
      <w:marTop w:val="0"/>
      <w:marBottom w:val="0"/>
      <w:divBdr>
        <w:top w:val="none" w:sz="0" w:space="0" w:color="auto"/>
        <w:left w:val="none" w:sz="0" w:space="0" w:color="auto"/>
        <w:bottom w:val="none" w:sz="0" w:space="0" w:color="auto"/>
        <w:right w:val="none" w:sz="0" w:space="0" w:color="auto"/>
      </w:divBdr>
      <w:divsChild>
        <w:div w:id="216673366">
          <w:marLeft w:val="0"/>
          <w:marRight w:val="0"/>
          <w:marTop w:val="0"/>
          <w:marBottom w:val="0"/>
          <w:divBdr>
            <w:top w:val="none" w:sz="0" w:space="0" w:color="auto"/>
            <w:left w:val="none" w:sz="0" w:space="0" w:color="auto"/>
            <w:bottom w:val="none" w:sz="0" w:space="0" w:color="auto"/>
            <w:right w:val="none" w:sz="0" w:space="0" w:color="auto"/>
          </w:divBdr>
        </w:div>
      </w:divsChild>
    </w:div>
    <w:div w:id="1760980096">
      <w:bodyDiv w:val="1"/>
      <w:marLeft w:val="0"/>
      <w:marRight w:val="0"/>
      <w:marTop w:val="0"/>
      <w:marBottom w:val="0"/>
      <w:divBdr>
        <w:top w:val="none" w:sz="0" w:space="0" w:color="auto"/>
        <w:left w:val="none" w:sz="0" w:space="0" w:color="auto"/>
        <w:bottom w:val="none" w:sz="0" w:space="0" w:color="auto"/>
        <w:right w:val="none" w:sz="0" w:space="0" w:color="auto"/>
      </w:divBdr>
      <w:divsChild>
        <w:div w:id="499584257">
          <w:marLeft w:val="547"/>
          <w:marRight w:val="0"/>
          <w:marTop w:val="115"/>
          <w:marBottom w:val="0"/>
          <w:divBdr>
            <w:top w:val="none" w:sz="0" w:space="0" w:color="auto"/>
            <w:left w:val="none" w:sz="0" w:space="0" w:color="auto"/>
            <w:bottom w:val="none" w:sz="0" w:space="0" w:color="auto"/>
            <w:right w:val="none" w:sz="0" w:space="0" w:color="auto"/>
          </w:divBdr>
        </w:div>
      </w:divsChild>
    </w:div>
    <w:div w:id="1764764865">
      <w:bodyDiv w:val="1"/>
      <w:marLeft w:val="0"/>
      <w:marRight w:val="0"/>
      <w:marTop w:val="0"/>
      <w:marBottom w:val="0"/>
      <w:divBdr>
        <w:top w:val="none" w:sz="0" w:space="0" w:color="auto"/>
        <w:left w:val="none" w:sz="0" w:space="0" w:color="auto"/>
        <w:bottom w:val="none" w:sz="0" w:space="0" w:color="auto"/>
        <w:right w:val="none" w:sz="0" w:space="0" w:color="auto"/>
      </w:divBdr>
    </w:div>
    <w:div w:id="1859659392">
      <w:bodyDiv w:val="1"/>
      <w:marLeft w:val="0"/>
      <w:marRight w:val="0"/>
      <w:marTop w:val="0"/>
      <w:marBottom w:val="0"/>
      <w:divBdr>
        <w:top w:val="none" w:sz="0" w:space="0" w:color="auto"/>
        <w:left w:val="none" w:sz="0" w:space="0" w:color="auto"/>
        <w:bottom w:val="none" w:sz="0" w:space="0" w:color="auto"/>
        <w:right w:val="none" w:sz="0" w:space="0" w:color="auto"/>
      </w:divBdr>
      <w:divsChild>
        <w:div w:id="1397319271">
          <w:marLeft w:val="0"/>
          <w:marRight w:val="0"/>
          <w:marTop w:val="0"/>
          <w:marBottom w:val="0"/>
          <w:divBdr>
            <w:top w:val="none" w:sz="0" w:space="0" w:color="auto"/>
            <w:left w:val="none" w:sz="0" w:space="0" w:color="auto"/>
            <w:bottom w:val="none" w:sz="0" w:space="0" w:color="auto"/>
            <w:right w:val="none" w:sz="0" w:space="0" w:color="auto"/>
          </w:divBdr>
        </w:div>
        <w:div w:id="658920784">
          <w:marLeft w:val="0"/>
          <w:marRight w:val="0"/>
          <w:marTop w:val="0"/>
          <w:marBottom w:val="0"/>
          <w:divBdr>
            <w:top w:val="none" w:sz="0" w:space="0" w:color="auto"/>
            <w:left w:val="none" w:sz="0" w:space="0" w:color="auto"/>
            <w:bottom w:val="none" w:sz="0" w:space="0" w:color="auto"/>
            <w:right w:val="none" w:sz="0" w:space="0" w:color="auto"/>
          </w:divBdr>
        </w:div>
        <w:div w:id="311298895">
          <w:marLeft w:val="0"/>
          <w:marRight w:val="0"/>
          <w:marTop w:val="0"/>
          <w:marBottom w:val="0"/>
          <w:divBdr>
            <w:top w:val="none" w:sz="0" w:space="0" w:color="auto"/>
            <w:left w:val="none" w:sz="0" w:space="0" w:color="auto"/>
            <w:bottom w:val="none" w:sz="0" w:space="0" w:color="auto"/>
            <w:right w:val="none" w:sz="0" w:space="0" w:color="auto"/>
          </w:divBdr>
        </w:div>
      </w:divsChild>
    </w:div>
    <w:div w:id="1929803834">
      <w:bodyDiv w:val="1"/>
      <w:marLeft w:val="0"/>
      <w:marRight w:val="0"/>
      <w:marTop w:val="0"/>
      <w:marBottom w:val="0"/>
      <w:divBdr>
        <w:top w:val="none" w:sz="0" w:space="0" w:color="auto"/>
        <w:left w:val="none" w:sz="0" w:space="0" w:color="auto"/>
        <w:bottom w:val="none" w:sz="0" w:space="0" w:color="auto"/>
        <w:right w:val="none" w:sz="0" w:space="0" w:color="auto"/>
      </w:divBdr>
      <w:divsChild>
        <w:div w:id="33893701">
          <w:marLeft w:val="0"/>
          <w:marRight w:val="0"/>
          <w:marTop w:val="0"/>
          <w:marBottom w:val="0"/>
          <w:divBdr>
            <w:top w:val="none" w:sz="0" w:space="0" w:color="auto"/>
            <w:left w:val="none" w:sz="0" w:space="0" w:color="auto"/>
            <w:bottom w:val="none" w:sz="0" w:space="0" w:color="auto"/>
            <w:right w:val="none" w:sz="0" w:space="0" w:color="auto"/>
          </w:divBdr>
        </w:div>
        <w:div w:id="592322558">
          <w:marLeft w:val="0"/>
          <w:marRight w:val="0"/>
          <w:marTop w:val="0"/>
          <w:marBottom w:val="0"/>
          <w:divBdr>
            <w:top w:val="none" w:sz="0" w:space="0" w:color="auto"/>
            <w:left w:val="none" w:sz="0" w:space="0" w:color="auto"/>
            <w:bottom w:val="none" w:sz="0" w:space="0" w:color="auto"/>
            <w:right w:val="none" w:sz="0" w:space="0" w:color="auto"/>
          </w:divBdr>
        </w:div>
        <w:div w:id="1096365341">
          <w:marLeft w:val="0"/>
          <w:marRight w:val="0"/>
          <w:marTop w:val="0"/>
          <w:marBottom w:val="0"/>
          <w:divBdr>
            <w:top w:val="none" w:sz="0" w:space="0" w:color="auto"/>
            <w:left w:val="none" w:sz="0" w:space="0" w:color="auto"/>
            <w:bottom w:val="none" w:sz="0" w:space="0" w:color="auto"/>
            <w:right w:val="none" w:sz="0" w:space="0" w:color="auto"/>
          </w:divBdr>
        </w:div>
        <w:div w:id="1236550360">
          <w:marLeft w:val="0"/>
          <w:marRight w:val="0"/>
          <w:marTop w:val="0"/>
          <w:marBottom w:val="0"/>
          <w:divBdr>
            <w:top w:val="none" w:sz="0" w:space="0" w:color="auto"/>
            <w:left w:val="none" w:sz="0" w:space="0" w:color="auto"/>
            <w:bottom w:val="none" w:sz="0" w:space="0" w:color="auto"/>
            <w:right w:val="none" w:sz="0" w:space="0" w:color="auto"/>
          </w:divBdr>
        </w:div>
        <w:div w:id="1613509128">
          <w:marLeft w:val="0"/>
          <w:marRight w:val="0"/>
          <w:marTop w:val="0"/>
          <w:marBottom w:val="0"/>
          <w:divBdr>
            <w:top w:val="none" w:sz="0" w:space="0" w:color="auto"/>
            <w:left w:val="none" w:sz="0" w:space="0" w:color="auto"/>
            <w:bottom w:val="none" w:sz="0" w:space="0" w:color="auto"/>
            <w:right w:val="none" w:sz="0" w:space="0" w:color="auto"/>
          </w:divBdr>
        </w:div>
        <w:div w:id="1622177847">
          <w:marLeft w:val="0"/>
          <w:marRight w:val="0"/>
          <w:marTop w:val="0"/>
          <w:marBottom w:val="0"/>
          <w:divBdr>
            <w:top w:val="none" w:sz="0" w:space="0" w:color="auto"/>
            <w:left w:val="none" w:sz="0" w:space="0" w:color="auto"/>
            <w:bottom w:val="none" w:sz="0" w:space="0" w:color="auto"/>
            <w:right w:val="none" w:sz="0" w:space="0" w:color="auto"/>
          </w:divBdr>
        </w:div>
        <w:div w:id="1744177172">
          <w:marLeft w:val="0"/>
          <w:marRight w:val="0"/>
          <w:marTop w:val="0"/>
          <w:marBottom w:val="0"/>
          <w:divBdr>
            <w:top w:val="none" w:sz="0" w:space="0" w:color="auto"/>
            <w:left w:val="none" w:sz="0" w:space="0" w:color="auto"/>
            <w:bottom w:val="none" w:sz="0" w:space="0" w:color="auto"/>
            <w:right w:val="none" w:sz="0" w:space="0" w:color="auto"/>
          </w:divBdr>
        </w:div>
      </w:divsChild>
    </w:div>
    <w:div w:id="1936403445">
      <w:bodyDiv w:val="1"/>
      <w:marLeft w:val="0"/>
      <w:marRight w:val="0"/>
      <w:marTop w:val="0"/>
      <w:marBottom w:val="0"/>
      <w:divBdr>
        <w:top w:val="none" w:sz="0" w:space="0" w:color="auto"/>
        <w:left w:val="none" w:sz="0" w:space="0" w:color="auto"/>
        <w:bottom w:val="none" w:sz="0" w:space="0" w:color="auto"/>
        <w:right w:val="none" w:sz="0" w:space="0" w:color="auto"/>
      </w:divBdr>
    </w:div>
    <w:div w:id="1950818678">
      <w:bodyDiv w:val="1"/>
      <w:marLeft w:val="0"/>
      <w:marRight w:val="0"/>
      <w:marTop w:val="0"/>
      <w:marBottom w:val="0"/>
      <w:divBdr>
        <w:top w:val="none" w:sz="0" w:space="0" w:color="auto"/>
        <w:left w:val="none" w:sz="0" w:space="0" w:color="auto"/>
        <w:bottom w:val="none" w:sz="0" w:space="0" w:color="auto"/>
        <w:right w:val="none" w:sz="0" w:space="0" w:color="auto"/>
      </w:divBdr>
      <w:divsChild>
        <w:div w:id="1370380687">
          <w:marLeft w:val="0"/>
          <w:marRight w:val="0"/>
          <w:marTop w:val="0"/>
          <w:marBottom w:val="0"/>
          <w:divBdr>
            <w:top w:val="none" w:sz="0" w:space="0" w:color="auto"/>
            <w:left w:val="none" w:sz="0" w:space="0" w:color="auto"/>
            <w:bottom w:val="none" w:sz="0" w:space="0" w:color="auto"/>
            <w:right w:val="none" w:sz="0" w:space="0" w:color="auto"/>
          </w:divBdr>
        </w:div>
        <w:div w:id="1763524274">
          <w:marLeft w:val="0"/>
          <w:marRight w:val="0"/>
          <w:marTop w:val="0"/>
          <w:marBottom w:val="0"/>
          <w:divBdr>
            <w:top w:val="none" w:sz="0" w:space="0" w:color="auto"/>
            <w:left w:val="none" w:sz="0" w:space="0" w:color="auto"/>
            <w:bottom w:val="none" w:sz="0" w:space="0" w:color="auto"/>
            <w:right w:val="none" w:sz="0" w:space="0" w:color="auto"/>
          </w:divBdr>
        </w:div>
        <w:div w:id="1930845604">
          <w:marLeft w:val="0"/>
          <w:marRight w:val="0"/>
          <w:marTop w:val="0"/>
          <w:marBottom w:val="0"/>
          <w:divBdr>
            <w:top w:val="none" w:sz="0" w:space="0" w:color="auto"/>
            <w:left w:val="none" w:sz="0" w:space="0" w:color="auto"/>
            <w:bottom w:val="none" w:sz="0" w:space="0" w:color="auto"/>
            <w:right w:val="none" w:sz="0" w:space="0" w:color="auto"/>
          </w:divBdr>
        </w:div>
        <w:div w:id="1957902369">
          <w:marLeft w:val="0"/>
          <w:marRight w:val="0"/>
          <w:marTop w:val="0"/>
          <w:marBottom w:val="0"/>
          <w:divBdr>
            <w:top w:val="none" w:sz="0" w:space="0" w:color="auto"/>
            <w:left w:val="none" w:sz="0" w:space="0" w:color="auto"/>
            <w:bottom w:val="none" w:sz="0" w:space="0" w:color="auto"/>
            <w:right w:val="none" w:sz="0" w:space="0" w:color="auto"/>
          </w:divBdr>
        </w:div>
      </w:divsChild>
    </w:div>
    <w:div w:id="1977877770">
      <w:bodyDiv w:val="1"/>
      <w:marLeft w:val="0"/>
      <w:marRight w:val="0"/>
      <w:marTop w:val="0"/>
      <w:marBottom w:val="0"/>
      <w:divBdr>
        <w:top w:val="none" w:sz="0" w:space="0" w:color="auto"/>
        <w:left w:val="none" w:sz="0" w:space="0" w:color="auto"/>
        <w:bottom w:val="none" w:sz="0" w:space="0" w:color="auto"/>
        <w:right w:val="none" w:sz="0" w:space="0" w:color="auto"/>
      </w:divBdr>
      <w:divsChild>
        <w:div w:id="43023323">
          <w:marLeft w:val="0"/>
          <w:marRight w:val="0"/>
          <w:marTop w:val="0"/>
          <w:marBottom w:val="0"/>
          <w:divBdr>
            <w:top w:val="none" w:sz="0" w:space="0" w:color="auto"/>
            <w:left w:val="none" w:sz="0" w:space="0" w:color="auto"/>
            <w:bottom w:val="none" w:sz="0" w:space="0" w:color="auto"/>
            <w:right w:val="none" w:sz="0" w:space="0" w:color="auto"/>
          </w:divBdr>
        </w:div>
        <w:div w:id="140467728">
          <w:marLeft w:val="0"/>
          <w:marRight w:val="0"/>
          <w:marTop w:val="0"/>
          <w:marBottom w:val="0"/>
          <w:divBdr>
            <w:top w:val="none" w:sz="0" w:space="0" w:color="auto"/>
            <w:left w:val="none" w:sz="0" w:space="0" w:color="auto"/>
            <w:bottom w:val="none" w:sz="0" w:space="0" w:color="auto"/>
            <w:right w:val="none" w:sz="0" w:space="0" w:color="auto"/>
          </w:divBdr>
        </w:div>
        <w:div w:id="407120258">
          <w:marLeft w:val="0"/>
          <w:marRight w:val="0"/>
          <w:marTop w:val="0"/>
          <w:marBottom w:val="0"/>
          <w:divBdr>
            <w:top w:val="none" w:sz="0" w:space="0" w:color="auto"/>
            <w:left w:val="none" w:sz="0" w:space="0" w:color="auto"/>
            <w:bottom w:val="none" w:sz="0" w:space="0" w:color="auto"/>
            <w:right w:val="none" w:sz="0" w:space="0" w:color="auto"/>
          </w:divBdr>
        </w:div>
        <w:div w:id="423694512">
          <w:marLeft w:val="0"/>
          <w:marRight w:val="0"/>
          <w:marTop w:val="0"/>
          <w:marBottom w:val="0"/>
          <w:divBdr>
            <w:top w:val="none" w:sz="0" w:space="0" w:color="auto"/>
            <w:left w:val="none" w:sz="0" w:space="0" w:color="auto"/>
            <w:bottom w:val="none" w:sz="0" w:space="0" w:color="auto"/>
            <w:right w:val="none" w:sz="0" w:space="0" w:color="auto"/>
          </w:divBdr>
        </w:div>
        <w:div w:id="465393047">
          <w:marLeft w:val="0"/>
          <w:marRight w:val="0"/>
          <w:marTop w:val="0"/>
          <w:marBottom w:val="0"/>
          <w:divBdr>
            <w:top w:val="none" w:sz="0" w:space="0" w:color="auto"/>
            <w:left w:val="none" w:sz="0" w:space="0" w:color="auto"/>
            <w:bottom w:val="none" w:sz="0" w:space="0" w:color="auto"/>
            <w:right w:val="none" w:sz="0" w:space="0" w:color="auto"/>
          </w:divBdr>
        </w:div>
        <w:div w:id="634799388">
          <w:marLeft w:val="0"/>
          <w:marRight w:val="0"/>
          <w:marTop w:val="0"/>
          <w:marBottom w:val="0"/>
          <w:divBdr>
            <w:top w:val="none" w:sz="0" w:space="0" w:color="auto"/>
            <w:left w:val="none" w:sz="0" w:space="0" w:color="auto"/>
            <w:bottom w:val="none" w:sz="0" w:space="0" w:color="auto"/>
            <w:right w:val="none" w:sz="0" w:space="0" w:color="auto"/>
          </w:divBdr>
        </w:div>
        <w:div w:id="747657517">
          <w:marLeft w:val="0"/>
          <w:marRight w:val="0"/>
          <w:marTop w:val="0"/>
          <w:marBottom w:val="0"/>
          <w:divBdr>
            <w:top w:val="none" w:sz="0" w:space="0" w:color="auto"/>
            <w:left w:val="none" w:sz="0" w:space="0" w:color="auto"/>
            <w:bottom w:val="none" w:sz="0" w:space="0" w:color="auto"/>
            <w:right w:val="none" w:sz="0" w:space="0" w:color="auto"/>
          </w:divBdr>
        </w:div>
        <w:div w:id="751662800">
          <w:marLeft w:val="0"/>
          <w:marRight w:val="0"/>
          <w:marTop w:val="0"/>
          <w:marBottom w:val="0"/>
          <w:divBdr>
            <w:top w:val="none" w:sz="0" w:space="0" w:color="auto"/>
            <w:left w:val="none" w:sz="0" w:space="0" w:color="auto"/>
            <w:bottom w:val="none" w:sz="0" w:space="0" w:color="auto"/>
            <w:right w:val="none" w:sz="0" w:space="0" w:color="auto"/>
          </w:divBdr>
        </w:div>
        <w:div w:id="915554492">
          <w:marLeft w:val="0"/>
          <w:marRight w:val="0"/>
          <w:marTop w:val="0"/>
          <w:marBottom w:val="0"/>
          <w:divBdr>
            <w:top w:val="none" w:sz="0" w:space="0" w:color="auto"/>
            <w:left w:val="none" w:sz="0" w:space="0" w:color="auto"/>
            <w:bottom w:val="none" w:sz="0" w:space="0" w:color="auto"/>
            <w:right w:val="none" w:sz="0" w:space="0" w:color="auto"/>
          </w:divBdr>
        </w:div>
        <w:div w:id="980160675">
          <w:marLeft w:val="0"/>
          <w:marRight w:val="0"/>
          <w:marTop w:val="0"/>
          <w:marBottom w:val="0"/>
          <w:divBdr>
            <w:top w:val="none" w:sz="0" w:space="0" w:color="auto"/>
            <w:left w:val="none" w:sz="0" w:space="0" w:color="auto"/>
            <w:bottom w:val="none" w:sz="0" w:space="0" w:color="auto"/>
            <w:right w:val="none" w:sz="0" w:space="0" w:color="auto"/>
          </w:divBdr>
        </w:div>
        <w:div w:id="1035468946">
          <w:marLeft w:val="0"/>
          <w:marRight w:val="0"/>
          <w:marTop w:val="0"/>
          <w:marBottom w:val="0"/>
          <w:divBdr>
            <w:top w:val="none" w:sz="0" w:space="0" w:color="auto"/>
            <w:left w:val="none" w:sz="0" w:space="0" w:color="auto"/>
            <w:bottom w:val="none" w:sz="0" w:space="0" w:color="auto"/>
            <w:right w:val="none" w:sz="0" w:space="0" w:color="auto"/>
          </w:divBdr>
        </w:div>
        <w:div w:id="1035815026">
          <w:marLeft w:val="0"/>
          <w:marRight w:val="0"/>
          <w:marTop w:val="0"/>
          <w:marBottom w:val="0"/>
          <w:divBdr>
            <w:top w:val="none" w:sz="0" w:space="0" w:color="auto"/>
            <w:left w:val="none" w:sz="0" w:space="0" w:color="auto"/>
            <w:bottom w:val="none" w:sz="0" w:space="0" w:color="auto"/>
            <w:right w:val="none" w:sz="0" w:space="0" w:color="auto"/>
          </w:divBdr>
        </w:div>
        <w:div w:id="1044257615">
          <w:marLeft w:val="0"/>
          <w:marRight w:val="0"/>
          <w:marTop w:val="0"/>
          <w:marBottom w:val="0"/>
          <w:divBdr>
            <w:top w:val="none" w:sz="0" w:space="0" w:color="auto"/>
            <w:left w:val="none" w:sz="0" w:space="0" w:color="auto"/>
            <w:bottom w:val="none" w:sz="0" w:space="0" w:color="auto"/>
            <w:right w:val="none" w:sz="0" w:space="0" w:color="auto"/>
          </w:divBdr>
        </w:div>
        <w:div w:id="1209875516">
          <w:marLeft w:val="0"/>
          <w:marRight w:val="0"/>
          <w:marTop w:val="0"/>
          <w:marBottom w:val="0"/>
          <w:divBdr>
            <w:top w:val="none" w:sz="0" w:space="0" w:color="auto"/>
            <w:left w:val="none" w:sz="0" w:space="0" w:color="auto"/>
            <w:bottom w:val="none" w:sz="0" w:space="0" w:color="auto"/>
            <w:right w:val="none" w:sz="0" w:space="0" w:color="auto"/>
          </w:divBdr>
        </w:div>
        <w:div w:id="1212955885">
          <w:marLeft w:val="0"/>
          <w:marRight w:val="0"/>
          <w:marTop w:val="0"/>
          <w:marBottom w:val="0"/>
          <w:divBdr>
            <w:top w:val="none" w:sz="0" w:space="0" w:color="auto"/>
            <w:left w:val="none" w:sz="0" w:space="0" w:color="auto"/>
            <w:bottom w:val="none" w:sz="0" w:space="0" w:color="auto"/>
            <w:right w:val="none" w:sz="0" w:space="0" w:color="auto"/>
          </w:divBdr>
        </w:div>
        <w:div w:id="1771702838">
          <w:marLeft w:val="0"/>
          <w:marRight w:val="0"/>
          <w:marTop w:val="0"/>
          <w:marBottom w:val="0"/>
          <w:divBdr>
            <w:top w:val="none" w:sz="0" w:space="0" w:color="auto"/>
            <w:left w:val="none" w:sz="0" w:space="0" w:color="auto"/>
            <w:bottom w:val="none" w:sz="0" w:space="0" w:color="auto"/>
            <w:right w:val="none" w:sz="0" w:space="0" w:color="auto"/>
          </w:divBdr>
        </w:div>
        <w:div w:id="1773940632">
          <w:marLeft w:val="0"/>
          <w:marRight w:val="0"/>
          <w:marTop w:val="0"/>
          <w:marBottom w:val="0"/>
          <w:divBdr>
            <w:top w:val="none" w:sz="0" w:space="0" w:color="auto"/>
            <w:left w:val="none" w:sz="0" w:space="0" w:color="auto"/>
            <w:bottom w:val="none" w:sz="0" w:space="0" w:color="auto"/>
            <w:right w:val="none" w:sz="0" w:space="0" w:color="auto"/>
          </w:divBdr>
        </w:div>
        <w:div w:id="1795128726">
          <w:marLeft w:val="0"/>
          <w:marRight w:val="0"/>
          <w:marTop w:val="0"/>
          <w:marBottom w:val="0"/>
          <w:divBdr>
            <w:top w:val="none" w:sz="0" w:space="0" w:color="auto"/>
            <w:left w:val="none" w:sz="0" w:space="0" w:color="auto"/>
            <w:bottom w:val="none" w:sz="0" w:space="0" w:color="auto"/>
            <w:right w:val="none" w:sz="0" w:space="0" w:color="auto"/>
          </w:divBdr>
        </w:div>
        <w:div w:id="1806461773">
          <w:marLeft w:val="0"/>
          <w:marRight w:val="0"/>
          <w:marTop w:val="0"/>
          <w:marBottom w:val="0"/>
          <w:divBdr>
            <w:top w:val="none" w:sz="0" w:space="0" w:color="auto"/>
            <w:left w:val="none" w:sz="0" w:space="0" w:color="auto"/>
            <w:bottom w:val="none" w:sz="0" w:space="0" w:color="auto"/>
            <w:right w:val="none" w:sz="0" w:space="0" w:color="auto"/>
          </w:divBdr>
        </w:div>
        <w:div w:id="1911455646">
          <w:marLeft w:val="0"/>
          <w:marRight w:val="0"/>
          <w:marTop w:val="0"/>
          <w:marBottom w:val="0"/>
          <w:divBdr>
            <w:top w:val="none" w:sz="0" w:space="0" w:color="auto"/>
            <w:left w:val="none" w:sz="0" w:space="0" w:color="auto"/>
            <w:bottom w:val="none" w:sz="0" w:space="0" w:color="auto"/>
            <w:right w:val="none" w:sz="0" w:space="0" w:color="auto"/>
          </w:divBdr>
        </w:div>
        <w:div w:id="2142914837">
          <w:marLeft w:val="0"/>
          <w:marRight w:val="0"/>
          <w:marTop w:val="0"/>
          <w:marBottom w:val="0"/>
          <w:divBdr>
            <w:top w:val="none" w:sz="0" w:space="0" w:color="auto"/>
            <w:left w:val="none" w:sz="0" w:space="0" w:color="auto"/>
            <w:bottom w:val="none" w:sz="0" w:space="0" w:color="auto"/>
            <w:right w:val="none" w:sz="0" w:space="0" w:color="auto"/>
          </w:divBdr>
        </w:div>
      </w:divsChild>
    </w:div>
    <w:div w:id="1998342149">
      <w:bodyDiv w:val="1"/>
      <w:marLeft w:val="0"/>
      <w:marRight w:val="0"/>
      <w:marTop w:val="0"/>
      <w:marBottom w:val="0"/>
      <w:divBdr>
        <w:top w:val="none" w:sz="0" w:space="0" w:color="auto"/>
        <w:left w:val="none" w:sz="0" w:space="0" w:color="auto"/>
        <w:bottom w:val="none" w:sz="0" w:space="0" w:color="auto"/>
        <w:right w:val="none" w:sz="0" w:space="0" w:color="auto"/>
      </w:divBdr>
    </w:div>
    <w:div w:id="2105177670">
      <w:bodyDiv w:val="1"/>
      <w:marLeft w:val="0"/>
      <w:marRight w:val="0"/>
      <w:marTop w:val="0"/>
      <w:marBottom w:val="0"/>
      <w:divBdr>
        <w:top w:val="none" w:sz="0" w:space="0" w:color="auto"/>
        <w:left w:val="none" w:sz="0" w:space="0" w:color="auto"/>
        <w:bottom w:val="none" w:sz="0" w:space="0" w:color="auto"/>
        <w:right w:val="none" w:sz="0" w:space="0" w:color="auto"/>
      </w:divBdr>
      <w:divsChild>
        <w:div w:id="187328936">
          <w:marLeft w:val="0"/>
          <w:marRight w:val="0"/>
          <w:marTop w:val="0"/>
          <w:marBottom w:val="0"/>
          <w:divBdr>
            <w:top w:val="none" w:sz="0" w:space="0" w:color="auto"/>
            <w:left w:val="none" w:sz="0" w:space="0" w:color="auto"/>
            <w:bottom w:val="none" w:sz="0" w:space="0" w:color="auto"/>
            <w:right w:val="none" w:sz="0" w:space="0" w:color="auto"/>
          </w:divBdr>
        </w:div>
        <w:div w:id="191188333">
          <w:marLeft w:val="0"/>
          <w:marRight w:val="0"/>
          <w:marTop w:val="0"/>
          <w:marBottom w:val="0"/>
          <w:divBdr>
            <w:top w:val="none" w:sz="0" w:space="0" w:color="auto"/>
            <w:left w:val="none" w:sz="0" w:space="0" w:color="auto"/>
            <w:bottom w:val="none" w:sz="0" w:space="0" w:color="auto"/>
            <w:right w:val="none" w:sz="0" w:space="0" w:color="auto"/>
          </w:divBdr>
        </w:div>
        <w:div w:id="1006707830">
          <w:marLeft w:val="0"/>
          <w:marRight w:val="0"/>
          <w:marTop w:val="0"/>
          <w:marBottom w:val="0"/>
          <w:divBdr>
            <w:top w:val="none" w:sz="0" w:space="0" w:color="auto"/>
            <w:left w:val="none" w:sz="0" w:space="0" w:color="auto"/>
            <w:bottom w:val="none" w:sz="0" w:space="0" w:color="auto"/>
            <w:right w:val="none" w:sz="0" w:space="0" w:color="auto"/>
          </w:divBdr>
        </w:div>
        <w:div w:id="1433670347">
          <w:marLeft w:val="0"/>
          <w:marRight w:val="0"/>
          <w:marTop w:val="0"/>
          <w:marBottom w:val="0"/>
          <w:divBdr>
            <w:top w:val="none" w:sz="0" w:space="0" w:color="auto"/>
            <w:left w:val="none" w:sz="0" w:space="0" w:color="auto"/>
            <w:bottom w:val="none" w:sz="0" w:space="0" w:color="auto"/>
            <w:right w:val="none" w:sz="0" w:space="0" w:color="auto"/>
          </w:divBdr>
        </w:div>
        <w:div w:id="1536307770">
          <w:marLeft w:val="0"/>
          <w:marRight w:val="0"/>
          <w:marTop w:val="0"/>
          <w:marBottom w:val="0"/>
          <w:divBdr>
            <w:top w:val="none" w:sz="0" w:space="0" w:color="auto"/>
            <w:left w:val="none" w:sz="0" w:space="0" w:color="auto"/>
            <w:bottom w:val="none" w:sz="0" w:space="0" w:color="auto"/>
            <w:right w:val="none" w:sz="0" w:space="0" w:color="auto"/>
          </w:divBdr>
        </w:div>
        <w:div w:id="16369076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3.JPG"/><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5.xml"/><Relationship Id="rId10" Type="http://schemas.openxmlformats.org/officeDocument/2006/relationships/footer" Target="footer2.xml"/><Relationship Id="rId19" Type="http://schemas.openxmlformats.org/officeDocument/2006/relationships/image" Target="media/image4.JP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6.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E:\PUBLICATION\Table%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ceosttelling\My%20Documents\charlotte\Stockport%20sds\Spreadsheet\interim%20analysis\Combined%20y1%202%20as%20of%2008.09.1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ceosttelling\My%20Documents\charlotte\Stockport%20sds\Spreadsheet\interim%20analysis\Combined%20y1%202%20as%20of%2008.09.1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Tameside%20SPSS\excel%20database\tameside%20combined%20interviews.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en-GB"/>
              <a:t>Items Bought With Individual Recovery  Budget</a:t>
            </a:r>
          </a:p>
        </c:rich>
      </c:tx>
      <c:layout>
        <c:manualLayout>
          <c:xMode val="edge"/>
          <c:yMode val="edge"/>
          <c:x val="0.38986561462425939"/>
          <c:y val="2.0338934712957151E-2"/>
        </c:manualLayout>
      </c:layout>
      <c:overlay val="1"/>
    </c:title>
    <c:autoTitleDeleted val="0"/>
    <c:plotArea>
      <c:layout>
        <c:manualLayout>
          <c:layoutTarget val="inner"/>
          <c:xMode val="edge"/>
          <c:yMode val="edge"/>
          <c:x val="4.2743881420199928E-2"/>
          <c:y val="0.15254237288135614"/>
          <c:w val="0.9441571871768355"/>
          <c:h val="0.45593220338983087"/>
        </c:manualLayout>
      </c:layout>
      <c:barChart>
        <c:barDir val="col"/>
        <c:grouping val="clustered"/>
        <c:varyColors val="1"/>
        <c:ser>
          <c:idx val="0"/>
          <c:order val="0"/>
          <c:invertIfNegative val="1"/>
          <c:cat>
            <c:strRef>
              <c:f>'[1]Items bought'!$B$113:$B$135</c:f>
              <c:strCache>
                <c:ptCount val="23"/>
                <c:pt idx="0">
                  <c:v>Courses</c:v>
                </c:pt>
                <c:pt idx="1">
                  <c:v>Gym</c:v>
                </c:pt>
                <c:pt idx="2">
                  <c:v>Computers and equipment</c:v>
                </c:pt>
                <c:pt idx="3">
                  <c:v>Flat deposit</c:v>
                </c:pt>
                <c:pt idx="4">
                  <c:v>Book voucher</c:v>
                </c:pt>
                <c:pt idx="5">
                  <c:v>Holidays</c:v>
                </c:pt>
                <c:pt idx="6">
                  <c:v>Mobile phone / credit</c:v>
                </c:pt>
                <c:pt idx="7">
                  <c:v>Driving lessons</c:v>
                </c:pt>
                <c:pt idx="8">
                  <c:v>Broadband</c:v>
                </c:pt>
                <c:pt idx="9">
                  <c:v>Home improvements</c:v>
                </c:pt>
                <c:pt idx="10">
                  <c:v>Clothing</c:v>
                </c:pt>
                <c:pt idx="11">
                  <c:v>Musical instruments / lessons</c:v>
                </c:pt>
                <c:pt idx="12">
                  <c:v>Recording equipment</c:v>
                </c:pt>
                <c:pt idx="13">
                  <c:v>Sports equipment / lessons</c:v>
                </c:pt>
                <c:pt idx="14">
                  <c:v>Personal appearance</c:v>
                </c:pt>
                <c:pt idx="15">
                  <c:v>Camera</c:v>
                </c:pt>
                <c:pt idx="16">
                  <c:v>Delivery charge</c:v>
                </c:pt>
                <c:pt idx="17">
                  <c:v>Help in the home</c:v>
                </c:pt>
                <c:pt idx="18">
                  <c:v>Art equipment</c:v>
                </c:pt>
                <c:pt idx="19">
                  <c:v>Pets</c:v>
                </c:pt>
                <c:pt idx="20">
                  <c:v>Car tax</c:v>
                </c:pt>
                <c:pt idx="21">
                  <c:v>Bus pass</c:v>
                </c:pt>
                <c:pt idx="22">
                  <c:v>Food voucher</c:v>
                </c:pt>
              </c:strCache>
            </c:strRef>
          </c:cat>
          <c:val>
            <c:numRef>
              <c:f>'[1]Items bought'!$D$113:$D$135</c:f>
              <c:numCache>
                <c:formatCode>General</c:formatCode>
                <c:ptCount val="23"/>
                <c:pt idx="0">
                  <c:v>6</c:v>
                </c:pt>
                <c:pt idx="1">
                  <c:v>11</c:v>
                </c:pt>
                <c:pt idx="2">
                  <c:v>13</c:v>
                </c:pt>
                <c:pt idx="3">
                  <c:v>1</c:v>
                </c:pt>
                <c:pt idx="4">
                  <c:v>1</c:v>
                </c:pt>
                <c:pt idx="5">
                  <c:v>4</c:v>
                </c:pt>
                <c:pt idx="6">
                  <c:v>3</c:v>
                </c:pt>
                <c:pt idx="7">
                  <c:v>10</c:v>
                </c:pt>
                <c:pt idx="8">
                  <c:v>2</c:v>
                </c:pt>
                <c:pt idx="9">
                  <c:v>10</c:v>
                </c:pt>
                <c:pt idx="10">
                  <c:v>1</c:v>
                </c:pt>
                <c:pt idx="11">
                  <c:v>5</c:v>
                </c:pt>
                <c:pt idx="12">
                  <c:v>9</c:v>
                </c:pt>
                <c:pt idx="13">
                  <c:v>21</c:v>
                </c:pt>
                <c:pt idx="14">
                  <c:v>1</c:v>
                </c:pt>
                <c:pt idx="15">
                  <c:v>1</c:v>
                </c:pt>
                <c:pt idx="16">
                  <c:v>1</c:v>
                </c:pt>
                <c:pt idx="17">
                  <c:v>1</c:v>
                </c:pt>
                <c:pt idx="18">
                  <c:v>1</c:v>
                </c:pt>
                <c:pt idx="19">
                  <c:v>1</c:v>
                </c:pt>
                <c:pt idx="20">
                  <c:v>1</c:v>
                </c:pt>
                <c:pt idx="21">
                  <c:v>1</c:v>
                </c:pt>
                <c:pt idx="22">
                  <c:v>1</c:v>
                </c:pt>
              </c:numCache>
            </c:numRef>
          </c:val>
        </c:ser>
        <c:dLbls>
          <c:showLegendKey val="0"/>
          <c:showVal val="0"/>
          <c:showCatName val="0"/>
          <c:showSerName val="0"/>
          <c:showPercent val="0"/>
          <c:showBubbleSize val="0"/>
        </c:dLbls>
        <c:gapWidth val="150"/>
        <c:axId val="168338784"/>
        <c:axId val="196513400"/>
      </c:barChart>
      <c:catAx>
        <c:axId val="168338784"/>
        <c:scaling>
          <c:orientation val="minMax"/>
        </c:scaling>
        <c:delete val="1"/>
        <c:axPos val="b"/>
        <c:numFmt formatCode="General" sourceLinked="1"/>
        <c:majorTickMark val="cross"/>
        <c:minorTickMark val="cross"/>
        <c:tickLblPos val="nextTo"/>
        <c:crossAx val="196513400"/>
        <c:crosses val="autoZero"/>
        <c:auto val="1"/>
        <c:lblAlgn val="ctr"/>
        <c:lblOffset val="100"/>
        <c:tickLblSkip val="1"/>
        <c:tickMarkSkip val="1"/>
        <c:noMultiLvlLbl val="1"/>
      </c:catAx>
      <c:valAx>
        <c:axId val="196513400"/>
        <c:scaling>
          <c:orientation val="minMax"/>
        </c:scaling>
        <c:delete val="1"/>
        <c:axPos val="l"/>
        <c:majorGridlines/>
        <c:numFmt formatCode="General" sourceLinked="1"/>
        <c:majorTickMark val="cross"/>
        <c:minorTickMark val="cross"/>
        <c:tickLblPos val="nextTo"/>
        <c:crossAx val="168338784"/>
        <c:crosses val="autoZero"/>
        <c:crossBetween val="between"/>
      </c:valAx>
    </c:plotArea>
    <c:plotVisOnly val="1"/>
    <c:dispBlanksAs val="gap"/>
    <c:showDLblsOverMax val="1"/>
  </c:chart>
  <c:txPr>
    <a:bodyPr/>
    <a:lstStyle/>
    <a:p>
      <a:pPr>
        <a:defRPr>
          <a:solidFill>
            <a:sysClr val="windowText" lastClr="000000"/>
          </a:solidFill>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1"/>
    <c:plotArea>
      <c:layout>
        <c:manualLayout>
          <c:layoutTarget val="inner"/>
          <c:xMode val="edge"/>
          <c:yMode val="edge"/>
          <c:x val="6.7518656343608555E-2"/>
          <c:y val="3.5652309795365641E-2"/>
          <c:w val="0.90003614058903958"/>
          <c:h val="0.86663647519429765"/>
        </c:manualLayout>
      </c:layout>
      <c:areaChart>
        <c:grouping val="stacked"/>
        <c:varyColors val="0"/>
        <c:ser>
          <c:idx val="0"/>
          <c:order val="0"/>
          <c:tx>
            <c:strRef>
              <c:f>'Number of cases'!$R$1</c:f>
              <c:strCache>
                <c:ptCount val="1"/>
                <c:pt idx="0">
                  <c:v>Number of service users on pilot Y1</c:v>
                </c:pt>
              </c:strCache>
            </c:strRef>
          </c:tx>
          <c:dLbls>
            <c:dLbl>
              <c:idx val="0"/>
              <c:layout>
                <c:manualLayout>
                  <c:x val="0.14189800833554109"/>
                  <c:y val="-2.0846232281523888E-3"/>
                </c:manualLayout>
              </c:layout>
              <c:tx>
                <c:rich>
                  <a:bodyPr/>
                  <a:lstStyle/>
                  <a:p>
                    <a:r>
                      <a:rPr lang="en-US" sz="1600" b="1">
                        <a:solidFill>
                          <a:schemeClr val="bg1"/>
                        </a:solidFill>
                      </a:rPr>
                      <a:t>Year 1</a:t>
                    </a:r>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sz="1600" b="1">
                    <a:solidFill>
                      <a:schemeClr val="bg1"/>
                    </a:solidFill>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'Number of cases'!$Q$2:$Q$16</c:f>
              <c:numCache>
                <c:formatCode>mmm\-yy</c:formatCode>
                <c:ptCount val="15"/>
                <c:pt idx="0">
                  <c:v>39934</c:v>
                </c:pt>
                <c:pt idx="1">
                  <c:v>39995</c:v>
                </c:pt>
                <c:pt idx="2">
                  <c:v>40026</c:v>
                </c:pt>
                <c:pt idx="3">
                  <c:v>40057</c:v>
                </c:pt>
                <c:pt idx="4">
                  <c:v>40087</c:v>
                </c:pt>
                <c:pt idx="5">
                  <c:v>40118</c:v>
                </c:pt>
                <c:pt idx="6">
                  <c:v>40148</c:v>
                </c:pt>
                <c:pt idx="7">
                  <c:v>40179</c:v>
                </c:pt>
                <c:pt idx="8">
                  <c:v>40210</c:v>
                </c:pt>
                <c:pt idx="9">
                  <c:v>40238</c:v>
                </c:pt>
                <c:pt idx="10">
                  <c:v>40269</c:v>
                </c:pt>
                <c:pt idx="11">
                  <c:v>40299</c:v>
                </c:pt>
                <c:pt idx="12">
                  <c:v>40330</c:v>
                </c:pt>
                <c:pt idx="13">
                  <c:v>40360</c:v>
                </c:pt>
                <c:pt idx="14">
                  <c:v>40391</c:v>
                </c:pt>
              </c:numCache>
            </c:numRef>
          </c:cat>
          <c:val>
            <c:numRef>
              <c:f>'Number of cases'!$R$2:$R$16</c:f>
              <c:numCache>
                <c:formatCode>General</c:formatCode>
                <c:ptCount val="15"/>
                <c:pt idx="0">
                  <c:v>15</c:v>
                </c:pt>
                <c:pt idx="1">
                  <c:v>28</c:v>
                </c:pt>
                <c:pt idx="2">
                  <c:v>36</c:v>
                </c:pt>
                <c:pt idx="3">
                  <c:v>42</c:v>
                </c:pt>
                <c:pt idx="4">
                  <c:v>44</c:v>
                </c:pt>
                <c:pt idx="5">
                  <c:v>50</c:v>
                </c:pt>
                <c:pt idx="6">
                  <c:v>58</c:v>
                </c:pt>
                <c:pt idx="7">
                  <c:v>64</c:v>
                </c:pt>
                <c:pt idx="8">
                  <c:v>78</c:v>
                </c:pt>
                <c:pt idx="9">
                  <c:v>77</c:v>
                </c:pt>
                <c:pt idx="10">
                  <c:v>91</c:v>
                </c:pt>
                <c:pt idx="11">
                  <c:v>93</c:v>
                </c:pt>
                <c:pt idx="12">
                  <c:v>93</c:v>
                </c:pt>
                <c:pt idx="13">
                  <c:v>94</c:v>
                </c:pt>
                <c:pt idx="14">
                  <c:v>94</c:v>
                </c:pt>
              </c:numCache>
            </c:numRef>
          </c:val>
        </c:ser>
        <c:ser>
          <c:idx val="1"/>
          <c:order val="1"/>
          <c:tx>
            <c:strRef>
              <c:f>'Number of cases'!$S$1</c:f>
              <c:strCache>
                <c:ptCount val="1"/>
                <c:pt idx="0">
                  <c:v>Number of service users on pilot Y2</c:v>
                </c:pt>
              </c:strCache>
            </c:strRef>
          </c:tx>
          <c:dLbls>
            <c:dLbl>
              <c:idx val="0"/>
              <c:layout>
                <c:manualLayout>
                  <c:x val="0.32199932660757402"/>
                  <c:y val="-0.23973167123751768"/>
                </c:manualLayout>
              </c:layout>
              <c:tx>
                <c:rich>
                  <a:bodyPr/>
                  <a:lstStyle/>
                  <a:p>
                    <a:r>
                      <a:rPr lang="en-US" sz="1600" b="1">
                        <a:solidFill>
                          <a:schemeClr val="bg1"/>
                        </a:solidFill>
                      </a:rPr>
                      <a:t> Year 2</a:t>
                    </a:r>
                  </a:p>
                </c:rich>
              </c:tx>
              <c:showLegendKey val="0"/>
              <c:showVal val="0"/>
              <c:showCatName val="0"/>
              <c:showSerName val="1"/>
              <c:showPercent val="0"/>
              <c:showBubbleSize val="0"/>
              <c:extLst>
                <c:ext xmlns:c15="http://schemas.microsoft.com/office/drawing/2012/chart" uri="{CE6537A1-D6FC-4f65-9D91-7224C49458BB}"/>
              </c:extLst>
            </c:dLbl>
            <c:spPr>
              <a:noFill/>
              <a:ln>
                <a:noFill/>
              </a:ln>
              <a:effectLst/>
            </c:spPr>
            <c:txPr>
              <a:bodyPr/>
              <a:lstStyle/>
              <a:p>
                <a:pPr>
                  <a:defRPr sz="1600" b="1">
                    <a:solidFill>
                      <a:schemeClr val="bg1"/>
                    </a:solidFill>
                  </a:defRPr>
                </a:pPr>
                <a:endParaRPr lang="en-US"/>
              </a:p>
            </c:txPr>
            <c:showLegendKey val="0"/>
            <c:showVal val="0"/>
            <c:showCatName val="0"/>
            <c:showSerName val="1"/>
            <c:showPercent val="0"/>
            <c:showBubbleSize val="0"/>
            <c:showLeaderLines val="0"/>
            <c:extLst>
              <c:ext xmlns:c15="http://schemas.microsoft.com/office/drawing/2012/chart" uri="{CE6537A1-D6FC-4f65-9D91-7224C49458BB}">
                <c15:showLeaderLines val="0"/>
              </c:ext>
            </c:extLst>
          </c:dLbls>
          <c:cat>
            <c:numRef>
              <c:f>'Number of cases'!$Q$2:$Q$16</c:f>
              <c:numCache>
                <c:formatCode>mmm\-yy</c:formatCode>
                <c:ptCount val="15"/>
                <c:pt idx="0">
                  <c:v>39934</c:v>
                </c:pt>
                <c:pt idx="1">
                  <c:v>39995</c:v>
                </c:pt>
                <c:pt idx="2">
                  <c:v>40026</c:v>
                </c:pt>
                <c:pt idx="3">
                  <c:v>40057</c:v>
                </c:pt>
                <c:pt idx="4">
                  <c:v>40087</c:v>
                </c:pt>
                <c:pt idx="5">
                  <c:v>40118</c:v>
                </c:pt>
                <c:pt idx="6">
                  <c:v>40148</c:v>
                </c:pt>
                <c:pt idx="7">
                  <c:v>40179</c:v>
                </c:pt>
                <c:pt idx="8">
                  <c:v>40210</c:v>
                </c:pt>
                <c:pt idx="9">
                  <c:v>40238</c:v>
                </c:pt>
                <c:pt idx="10">
                  <c:v>40269</c:v>
                </c:pt>
                <c:pt idx="11">
                  <c:v>40299</c:v>
                </c:pt>
                <c:pt idx="12">
                  <c:v>40330</c:v>
                </c:pt>
                <c:pt idx="13">
                  <c:v>40360</c:v>
                </c:pt>
                <c:pt idx="14">
                  <c:v>40391</c:v>
                </c:pt>
              </c:numCache>
            </c:numRef>
          </c:cat>
          <c:val>
            <c:numRef>
              <c:f>'Number of cases'!$S$2:$S$16</c:f>
              <c:numCache>
                <c:formatCode>General</c:formatCode>
                <c:ptCount val="15"/>
                <c:pt idx="0">
                  <c:v>0</c:v>
                </c:pt>
                <c:pt idx="1">
                  <c:v>0</c:v>
                </c:pt>
                <c:pt idx="2">
                  <c:v>0</c:v>
                </c:pt>
                <c:pt idx="3">
                  <c:v>0</c:v>
                </c:pt>
                <c:pt idx="4">
                  <c:v>0</c:v>
                </c:pt>
                <c:pt idx="5">
                  <c:v>0</c:v>
                </c:pt>
                <c:pt idx="6">
                  <c:v>0</c:v>
                </c:pt>
                <c:pt idx="7">
                  <c:v>0</c:v>
                </c:pt>
                <c:pt idx="8">
                  <c:v>0</c:v>
                </c:pt>
                <c:pt idx="9">
                  <c:v>24</c:v>
                </c:pt>
                <c:pt idx="10">
                  <c:v>15</c:v>
                </c:pt>
                <c:pt idx="11">
                  <c:v>43</c:v>
                </c:pt>
                <c:pt idx="12">
                  <c:v>56</c:v>
                </c:pt>
                <c:pt idx="13">
                  <c:v>74</c:v>
                </c:pt>
                <c:pt idx="14">
                  <c:v>87</c:v>
                </c:pt>
              </c:numCache>
            </c:numRef>
          </c:val>
        </c:ser>
        <c:dLbls>
          <c:showLegendKey val="0"/>
          <c:showVal val="1"/>
          <c:showCatName val="0"/>
          <c:showSerName val="0"/>
          <c:showPercent val="0"/>
          <c:showBubbleSize val="0"/>
        </c:dLbls>
        <c:axId val="196514576"/>
        <c:axId val="196514968"/>
      </c:areaChart>
      <c:dateAx>
        <c:axId val="196514576"/>
        <c:scaling>
          <c:orientation val="minMax"/>
        </c:scaling>
        <c:delete val="0"/>
        <c:axPos val="b"/>
        <c:numFmt formatCode="mmm\-yy" sourceLinked="1"/>
        <c:majorTickMark val="out"/>
        <c:minorTickMark val="none"/>
        <c:tickLblPos val="nextTo"/>
        <c:crossAx val="196514968"/>
        <c:crosses val="autoZero"/>
        <c:auto val="1"/>
        <c:lblOffset val="100"/>
        <c:baseTimeUnit val="months"/>
      </c:dateAx>
      <c:valAx>
        <c:axId val="196514968"/>
        <c:scaling>
          <c:orientation val="minMax"/>
        </c:scaling>
        <c:delete val="0"/>
        <c:axPos val="l"/>
        <c:majorGridlines/>
        <c:numFmt formatCode="General" sourceLinked="1"/>
        <c:majorTickMark val="out"/>
        <c:minorTickMark val="none"/>
        <c:tickLblPos val="nextTo"/>
        <c:crossAx val="196514576"/>
        <c:crosses val="autoZero"/>
        <c:crossBetween val="midCat"/>
      </c:valAx>
    </c:plotArea>
    <c:plotVisOnly val="1"/>
    <c:dispBlanksAs val="zero"/>
    <c:showDLblsOverMax val="0"/>
  </c:chart>
  <c:spPr>
    <a:ln>
      <a:solidFill>
        <a:schemeClr val="tx1">
          <a:alpha val="67000"/>
        </a:schemeClr>
      </a:solid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plotArea>
      <c:layout/>
      <c:barChart>
        <c:barDir val="bar"/>
        <c:grouping val="clustered"/>
        <c:varyColors val="0"/>
        <c:ser>
          <c:idx val="0"/>
          <c:order val="0"/>
          <c:invertIfNegative val="0"/>
          <c:cat>
            <c:strRef>
              <c:f>'Money spent on'!$T$3:$T$28</c:f>
              <c:strCache>
                <c:ptCount val="26"/>
                <c:pt idx="0">
                  <c:v>Childcare</c:v>
                </c:pt>
                <c:pt idx="1">
                  <c:v>Electronic equipment</c:v>
                </c:pt>
                <c:pt idx="2">
                  <c:v>Enterprise funding</c:v>
                </c:pt>
                <c:pt idx="3">
                  <c:v>Cycle</c:v>
                </c:pt>
                <c:pt idx="4">
                  <c:v>Bills</c:v>
                </c:pt>
                <c:pt idx="5">
                  <c:v>Driving lessons</c:v>
                </c:pt>
                <c:pt idx="6">
                  <c:v>Gardening equipment / supplies</c:v>
                </c:pt>
                <c:pt idx="7">
                  <c:v>Other</c:v>
                </c:pt>
                <c:pt idx="8">
                  <c:v>The arts</c:v>
                </c:pt>
                <c:pt idx="9">
                  <c:v>Specialist clothing</c:v>
                </c:pt>
                <c:pt idx="10">
                  <c:v>Membership fees / entrance fees</c:v>
                </c:pt>
                <c:pt idx="11">
                  <c:v>Wellness</c:v>
                </c:pt>
                <c:pt idx="12">
                  <c:v>Days out</c:v>
                </c:pt>
                <c:pt idx="13">
                  <c:v>Sports activities</c:v>
                </c:pt>
                <c:pt idx="14">
                  <c:v>Studying / education</c:v>
                </c:pt>
                <c:pt idx="15">
                  <c:v>Home improvements</c:v>
                </c:pt>
                <c:pt idx="16">
                  <c:v>Support in social activities</c:v>
                </c:pt>
                <c:pt idx="17">
                  <c:v>Computing equipment</c:v>
                </c:pt>
                <c:pt idx="18">
                  <c:v>Transport</c:v>
                </c:pt>
                <c:pt idx="19">
                  <c:v>Personal assistant</c:v>
                </c:pt>
                <c:pt idx="20">
                  <c:v>Domestic help</c:v>
                </c:pt>
                <c:pt idx="21">
                  <c:v>Gym membership</c:v>
                </c:pt>
                <c:pt idx="22">
                  <c:v>Leisure activities</c:v>
                </c:pt>
                <c:pt idx="23">
                  <c:v>TBA</c:v>
                </c:pt>
                <c:pt idx="24">
                  <c:v>Holiday / short break</c:v>
                </c:pt>
                <c:pt idx="25">
                  <c:v>Support worker</c:v>
                </c:pt>
              </c:strCache>
            </c:strRef>
          </c:cat>
          <c:val>
            <c:numRef>
              <c:f>'Money spent on'!$U$3:$U$28</c:f>
              <c:numCache>
                <c:formatCode>General</c:formatCode>
                <c:ptCount val="26"/>
                <c:pt idx="0">
                  <c:v>2</c:v>
                </c:pt>
                <c:pt idx="1">
                  <c:v>3</c:v>
                </c:pt>
                <c:pt idx="2">
                  <c:v>4</c:v>
                </c:pt>
                <c:pt idx="3">
                  <c:v>4</c:v>
                </c:pt>
                <c:pt idx="4">
                  <c:v>4</c:v>
                </c:pt>
                <c:pt idx="5">
                  <c:v>5</c:v>
                </c:pt>
                <c:pt idx="6">
                  <c:v>5</c:v>
                </c:pt>
                <c:pt idx="7">
                  <c:v>6</c:v>
                </c:pt>
                <c:pt idx="8">
                  <c:v>7</c:v>
                </c:pt>
                <c:pt idx="9">
                  <c:v>7</c:v>
                </c:pt>
                <c:pt idx="10">
                  <c:v>8</c:v>
                </c:pt>
                <c:pt idx="11">
                  <c:v>9</c:v>
                </c:pt>
                <c:pt idx="12">
                  <c:v>13</c:v>
                </c:pt>
                <c:pt idx="13">
                  <c:v>14</c:v>
                </c:pt>
                <c:pt idx="14">
                  <c:v>17</c:v>
                </c:pt>
                <c:pt idx="15">
                  <c:v>18</c:v>
                </c:pt>
                <c:pt idx="16">
                  <c:v>19</c:v>
                </c:pt>
                <c:pt idx="17">
                  <c:v>20</c:v>
                </c:pt>
                <c:pt idx="18">
                  <c:v>20</c:v>
                </c:pt>
                <c:pt idx="19">
                  <c:v>23</c:v>
                </c:pt>
                <c:pt idx="20">
                  <c:v>24</c:v>
                </c:pt>
                <c:pt idx="21">
                  <c:v>24</c:v>
                </c:pt>
                <c:pt idx="22">
                  <c:v>27</c:v>
                </c:pt>
                <c:pt idx="23">
                  <c:v>27</c:v>
                </c:pt>
                <c:pt idx="24">
                  <c:v>28</c:v>
                </c:pt>
                <c:pt idx="25">
                  <c:v>28</c:v>
                </c:pt>
              </c:numCache>
            </c:numRef>
          </c:val>
        </c:ser>
        <c:dLbls>
          <c:showLegendKey val="0"/>
          <c:showVal val="0"/>
          <c:showCatName val="0"/>
          <c:showSerName val="0"/>
          <c:showPercent val="0"/>
          <c:showBubbleSize val="0"/>
        </c:dLbls>
        <c:gapWidth val="63"/>
        <c:axId val="196515752"/>
        <c:axId val="196516144"/>
      </c:barChart>
      <c:catAx>
        <c:axId val="196515752"/>
        <c:scaling>
          <c:orientation val="minMax"/>
        </c:scaling>
        <c:delete val="0"/>
        <c:axPos val="l"/>
        <c:numFmt formatCode="General" sourceLinked="0"/>
        <c:majorTickMark val="out"/>
        <c:minorTickMark val="none"/>
        <c:tickLblPos val="nextTo"/>
        <c:crossAx val="196516144"/>
        <c:crosses val="autoZero"/>
        <c:auto val="1"/>
        <c:lblAlgn val="ctr"/>
        <c:lblOffset val="100"/>
        <c:noMultiLvlLbl val="0"/>
      </c:catAx>
      <c:valAx>
        <c:axId val="196516144"/>
        <c:scaling>
          <c:orientation val="minMax"/>
        </c:scaling>
        <c:delete val="0"/>
        <c:axPos val="b"/>
        <c:numFmt formatCode="General" sourceLinked="1"/>
        <c:majorTickMark val="out"/>
        <c:minorTickMark val="none"/>
        <c:tickLblPos val="nextTo"/>
        <c:crossAx val="196515752"/>
        <c:crosses val="autoZero"/>
        <c:crossBetween val="between"/>
      </c:valAx>
      <c:spPr>
        <a:ln>
          <a:noFill/>
        </a:ln>
      </c:spPr>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col"/>
        <c:grouping val="clustered"/>
        <c:varyColors val="0"/>
        <c:ser>
          <c:idx val="1"/>
          <c:order val="0"/>
          <c:tx>
            <c:strRef>
              <c:f>'Age group by time in service'!$E$3</c:f>
              <c:strCache>
                <c:ptCount val="1"/>
                <c:pt idx="0">
                  <c:v>New to service</c:v>
                </c:pt>
              </c:strCache>
            </c:strRef>
          </c:tx>
          <c:invertIfNegative val="0"/>
          <c:cat>
            <c:strRef>
              <c:f>'Age group by time in service'!$F$1:$L$1</c:f>
              <c:strCache>
                <c:ptCount val="7"/>
                <c:pt idx="0">
                  <c:v>16-19</c:v>
                </c:pt>
                <c:pt idx="1">
                  <c:v>20-29</c:v>
                </c:pt>
                <c:pt idx="2">
                  <c:v>30-39</c:v>
                </c:pt>
                <c:pt idx="3">
                  <c:v>40-49</c:v>
                </c:pt>
                <c:pt idx="4">
                  <c:v>50-59</c:v>
                </c:pt>
                <c:pt idx="5">
                  <c:v>60-69</c:v>
                </c:pt>
                <c:pt idx="6">
                  <c:v>70+</c:v>
                </c:pt>
              </c:strCache>
            </c:strRef>
          </c:cat>
          <c:val>
            <c:numRef>
              <c:f>'Age group by time in service'!$F$3:$L$3</c:f>
              <c:numCache>
                <c:formatCode>General</c:formatCode>
                <c:ptCount val="7"/>
                <c:pt idx="0">
                  <c:v>1</c:v>
                </c:pt>
                <c:pt idx="1">
                  <c:v>4</c:v>
                </c:pt>
                <c:pt idx="2">
                  <c:v>1</c:v>
                </c:pt>
                <c:pt idx="3">
                  <c:v>1</c:v>
                </c:pt>
                <c:pt idx="4">
                  <c:v>1</c:v>
                </c:pt>
                <c:pt idx="5">
                  <c:v>0</c:v>
                </c:pt>
                <c:pt idx="6">
                  <c:v>0</c:v>
                </c:pt>
              </c:numCache>
            </c:numRef>
          </c:val>
        </c:ser>
        <c:ser>
          <c:idx val="0"/>
          <c:order val="1"/>
          <c:tx>
            <c:strRef>
              <c:f>'Age group by time in service'!$E$2</c:f>
              <c:strCache>
                <c:ptCount val="1"/>
                <c:pt idx="0">
                  <c:v>3 years +</c:v>
                </c:pt>
              </c:strCache>
            </c:strRef>
          </c:tx>
          <c:invertIfNegative val="0"/>
          <c:cat>
            <c:strRef>
              <c:f>'Age group by time in service'!$F$1:$L$1</c:f>
              <c:strCache>
                <c:ptCount val="7"/>
                <c:pt idx="0">
                  <c:v>16-19</c:v>
                </c:pt>
                <c:pt idx="1">
                  <c:v>20-29</c:v>
                </c:pt>
                <c:pt idx="2">
                  <c:v>30-39</c:v>
                </c:pt>
                <c:pt idx="3">
                  <c:v>40-49</c:v>
                </c:pt>
                <c:pt idx="4">
                  <c:v>50-59</c:v>
                </c:pt>
                <c:pt idx="5">
                  <c:v>60-69</c:v>
                </c:pt>
                <c:pt idx="6">
                  <c:v>70+</c:v>
                </c:pt>
              </c:strCache>
            </c:strRef>
          </c:cat>
          <c:val>
            <c:numRef>
              <c:f>'Age group by time in service'!$F$2:$L$2</c:f>
              <c:numCache>
                <c:formatCode>General</c:formatCode>
                <c:ptCount val="7"/>
                <c:pt idx="0">
                  <c:v>0</c:v>
                </c:pt>
                <c:pt idx="1">
                  <c:v>1</c:v>
                </c:pt>
                <c:pt idx="2">
                  <c:v>3</c:v>
                </c:pt>
                <c:pt idx="3">
                  <c:v>2</c:v>
                </c:pt>
                <c:pt idx="4">
                  <c:v>2</c:v>
                </c:pt>
                <c:pt idx="5">
                  <c:v>0</c:v>
                </c:pt>
                <c:pt idx="6">
                  <c:v>0</c:v>
                </c:pt>
              </c:numCache>
            </c:numRef>
          </c:val>
        </c:ser>
        <c:dLbls>
          <c:showLegendKey val="0"/>
          <c:showVal val="0"/>
          <c:showCatName val="0"/>
          <c:showSerName val="0"/>
          <c:showPercent val="0"/>
          <c:showBubbleSize val="0"/>
        </c:dLbls>
        <c:gapWidth val="150"/>
        <c:axId val="196516928"/>
        <c:axId val="196391640"/>
      </c:barChart>
      <c:catAx>
        <c:axId val="196516928"/>
        <c:scaling>
          <c:orientation val="minMax"/>
        </c:scaling>
        <c:delete val="0"/>
        <c:axPos val="b"/>
        <c:numFmt formatCode="General" sourceLinked="0"/>
        <c:majorTickMark val="out"/>
        <c:minorTickMark val="none"/>
        <c:tickLblPos val="nextTo"/>
        <c:crossAx val="196391640"/>
        <c:crosses val="autoZero"/>
        <c:auto val="1"/>
        <c:lblAlgn val="ctr"/>
        <c:lblOffset val="100"/>
        <c:noMultiLvlLbl val="0"/>
      </c:catAx>
      <c:valAx>
        <c:axId val="196391640"/>
        <c:scaling>
          <c:orientation val="minMax"/>
          <c:min val="0"/>
        </c:scaling>
        <c:delete val="0"/>
        <c:axPos val="l"/>
        <c:majorGridlines/>
        <c:numFmt formatCode="General" sourceLinked="1"/>
        <c:majorTickMark val="out"/>
        <c:minorTickMark val="none"/>
        <c:tickLblPos val="nextTo"/>
        <c:crossAx val="196516928"/>
        <c:crosses val="autoZero"/>
        <c:crossBetween val="between"/>
        <c:majorUnit val="1"/>
      </c:valAx>
    </c:plotArea>
    <c:legend>
      <c:legendPos val="r"/>
      <c:layout>
        <c:manualLayout>
          <c:xMode val="edge"/>
          <c:yMode val="edge"/>
          <c:x val="0.74073528299728353"/>
          <c:y val="0.36145759400871724"/>
          <c:w val="0.24317085870339081"/>
          <c:h val="0.19068908208035334"/>
        </c:manualLayout>
      </c:layout>
      <c:overlay val="1"/>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col"/>
        <c:grouping val="clustered"/>
        <c:varyColors val="0"/>
        <c:ser>
          <c:idx val="0"/>
          <c:order val="0"/>
          <c:tx>
            <c:v>Before pilot</c:v>
          </c:tx>
          <c:invertIfNegative val="0"/>
          <c:cat>
            <c:strRef>
              <c:f>'Q3 help'!$B$2:$O$2</c:f>
              <c:strCache>
                <c:ptCount val="14"/>
                <c:pt idx="0">
                  <c:v>A place in residential detox</c:v>
                </c:pt>
                <c:pt idx="1">
                  <c:v>Supported housing</c:v>
                </c:pt>
                <c:pt idx="2">
                  <c:v>Help to detox at home</c:v>
                </c:pt>
                <c:pt idx="3">
                  <c:v>Someone to help you in your home</c:v>
                </c:pt>
                <c:pt idx="4">
                  <c:v>Adaptations to your home</c:v>
                </c:pt>
                <c:pt idx="5">
                  <c:v>NHS support, e.g. methadone</c:v>
                </c:pt>
                <c:pt idx="6">
                  <c:v>Counsellor</c:v>
                </c:pt>
                <c:pt idx="7">
                  <c:v>Help from family members</c:v>
                </c:pt>
                <c:pt idx="8">
                  <c:v>Friends to help</c:v>
                </c:pt>
                <c:pt idx="9">
                  <c:v>Education or training</c:v>
                </c:pt>
                <c:pt idx="10">
                  <c:v>Leisure activities</c:v>
                </c:pt>
                <c:pt idx="11">
                  <c:v>Holidays</c:v>
                </c:pt>
                <c:pt idx="12">
                  <c:v>Public transport or taxis</c:v>
                </c:pt>
                <c:pt idx="13">
                  <c:v>Probation worker</c:v>
                </c:pt>
              </c:strCache>
            </c:strRef>
          </c:cat>
          <c:val>
            <c:numRef>
              <c:f>'Q3 help'!$B$12:$O$12</c:f>
              <c:numCache>
                <c:formatCode>0.00</c:formatCode>
                <c:ptCount val="14"/>
                <c:pt idx="0">
                  <c:v>0</c:v>
                </c:pt>
                <c:pt idx="1">
                  <c:v>12.5</c:v>
                </c:pt>
                <c:pt idx="2">
                  <c:v>6.25</c:v>
                </c:pt>
                <c:pt idx="3">
                  <c:v>6.25</c:v>
                </c:pt>
                <c:pt idx="4">
                  <c:v>0</c:v>
                </c:pt>
                <c:pt idx="5">
                  <c:v>56.25</c:v>
                </c:pt>
                <c:pt idx="6">
                  <c:v>50</c:v>
                </c:pt>
                <c:pt idx="7">
                  <c:v>50</c:v>
                </c:pt>
                <c:pt idx="8">
                  <c:v>31.25</c:v>
                </c:pt>
                <c:pt idx="9">
                  <c:v>12.5</c:v>
                </c:pt>
                <c:pt idx="10">
                  <c:v>12.5</c:v>
                </c:pt>
                <c:pt idx="11">
                  <c:v>0</c:v>
                </c:pt>
                <c:pt idx="12">
                  <c:v>0</c:v>
                </c:pt>
                <c:pt idx="13">
                  <c:v>18.75</c:v>
                </c:pt>
              </c:numCache>
            </c:numRef>
          </c:val>
        </c:ser>
        <c:ser>
          <c:idx val="1"/>
          <c:order val="1"/>
          <c:tx>
            <c:v>After pilot</c:v>
          </c:tx>
          <c:invertIfNegative val="0"/>
          <c:cat>
            <c:strRef>
              <c:f>'Q3 help'!$B$2:$O$2</c:f>
              <c:strCache>
                <c:ptCount val="14"/>
                <c:pt idx="0">
                  <c:v>A place in residential detox</c:v>
                </c:pt>
                <c:pt idx="1">
                  <c:v>Supported housing</c:v>
                </c:pt>
                <c:pt idx="2">
                  <c:v>Help to detox at home</c:v>
                </c:pt>
                <c:pt idx="3">
                  <c:v>Someone to help you in your home</c:v>
                </c:pt>
                <c:pt idx="4">
                  <c:v>Adaptations to your home</c:v>
                </c:pt>
                <c:pt idx="5">
                  <c:v>NHS support, e.g. methadone</c:v>
                </c:pt>
                <c:pt idx="6">
                  <c:v>Counsellor</c:v>
                </c:pt>
                <c:pt idx="7">
                  <c:v>Help from family members</c:v>
                </c:pt>
                <c:pt idx="8">
                  <c:v>Friends to help</c:v>
                </c:pt>
                <c:pt idx="9">
                  <c:v>Education or training</c:v>
                </c:pt>
                <c:pt idx="10">
                  <c:v>Leisure activities</c:v>
                </c:pt>
                <c:pt idx="11">
                  <c:v>Holidays</c:v>
                </c:pt>
                <c:pt idx="12">
                  <c:v>Public transport or taxis</c:v>
                </c:pt>
                <c:pt idx="13">
                  <c:v>Probation worker</c:v>
                </c:pt>
              </c:strCache>
            </c:strRef>
          </c:cat>
          <c:val>
            <c:numRef>
              <c:f>'Q3 help'!$B$14:$O$14</c:f>
              <c:numCache>
                <c:formatCode>0.00</c:formatCode>
                <c:ptCount val="14"/>
                <c:pt idx="0">
                  <c:v>0</c:v>
                </c:pt>
                <c:pt idx="1">
                  <c:v>16.666666666666664</c:v>
                </c:pt>
                <c:pt idx="2">
                  <c:v>0</c:v>
                </c:pt>
                <c:pt idx="3">
                  <c:v>16.666666666666664</c:v>
                </c:pt>
                <c:pt idx="4">
                  <c:v>16.666666666666664</c:v>
                </c:pt>
                <c:pt idx="5">
                  <c:v>50</c:v>
                </c:pt>
                <c:pt idx="6">
                  <c:v>66.666666666666657</c:v>
                </c:pt>
                <c:pt idx="7">
                  <c:v>66.666666666666657</c:v>
                </c:pt>
                <c:pt idx="8">
                  <c:v>16.666666666666664</c:v>
                </c:pt>
                <c:pt idx="9">
                  <c:v>33.333333333333329</c:v>
                </c:pt>
                <c:pt idx="10">
                  <c:v>16.666666666666664</c:v>
                </c:pt>
                <c:pt idx="11">
                  <c:v>0</c:v>
                </c:pt>
                <c:pt idx="12">
                  <c:v>16.666666666666664</c:v>
                </c:pt>
                <c:pt idx="13">
                  <c:v>16.666666666666664</c:v>
                </c:pt>
              </c:numCache>
            </c:numRef>
          </c:val>
        </c:ser>
        <c:dLbls>
          <c:showLegendKey val="0"/>
          <c:showVal val="0"/>
          <c:showCatName val="0"/>
          <c:showSerName val="0"/>
          <c:showPercent val="0"/>
          <c:showBubbleSize val="0"/>
        </c:dLbls>
        <c:gapWidth val="150"/>
        <c:axId val="196392424"/>
        <c:axId val="196392816"/>
      </c:barChart>
      <c:catAx>
        <c:axId val="196392424"/>
        <c:scaling>
          <c:orientation val="minMax"/>
        </c:scaling>
        <c:delete val="0"/>
        <c:axPos val="b"/>
        <c:numFmt formatCode="General" sourceLinked="0"/>
        <c:majorTickMark val="none"/>
        <c:minorTickMark val="none"/>
        <c:tickLblPos val="nextTo"/>
        <c:crossAx val="196392816"/>
        <c:crosses val="autoZero"/>
        <c:auto val="1"/>
        <c:lblAlgn val="ctr"/>
        <c:lblOffset val="100"/>
        <c:noMultiLvlLbl val="0"/>
      </c:catAx>
      <c:valAx>
        <c:axId val="196392816"/>
        <c:scaling>
          <c:orientation val="minMax"/>
          <c:max val="70"/>
          <c:min val="0"/>
        </c:scaling>
        <c:delete val="0"/>
        <c:axPos val="l"/>
        <c:majorGridlines/>
        <c:numFmt formatCode="0" sourceLinked="0"/>
        <c:majorTickMark val="none"/>
        <c:minorTickMark val="none"/>
        <c:tickLblPos val="nextTo"/>
        <c:crossAx val="196392424"/>
        <c:crosses val="autoZero"/>
        <c:crossBetween val="between"/>
        <c:majorUnit val="10"/>
        <c:minorUnit val="2"/>
      </c:valAx>
    </c:plotArea>
    <c:legend>
      <c:legendPos val="r"/>
      <c:layout>
        <c:manualLayout>
          <c:xMode val="edge"/>
          <c:yMode val="edge"/>
          <c:x val="0.74490184875001952"/>
          <c:y val="4.3672610927544889E-2"/>
          <c:w val="0.22784466920584628"/>
          <c:h val="0.22706185395464618"/>
        </c:manualLayout>
      </c:layout>
      <c:overlay val="1"/>
      <c:spPr>
        <a:solidFill>
          <a:schemeClr val="bg1"/>
        </a:solidFill>
      </c:spPr>
    </c:legend>
    <c:plotVisOnly val="1"/>
    <c:dispBlanksAs val="gap"/>
    <c:showDLblsOverMax val="0"/>
  </c:chart>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5752381" cy="3504762"/>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0.79148</cdr:x>
      <cdr:y>0.1049</cdr:y>
    </cdr:from>
    <cdr:to>
      <cdr:x>0.93126</cdr:x>
      <cdr:y>0.27617</cdr:y>
    </cdr:to>
    <cdr:grpSp>
      <cdr:nvGrpSpPr>
        <cdr:cNvPr id="4" name="Group 3"/>
        <cdr:cNvGrpSpPr/>
      </cdr:nvGrpSpPr>
      <cdr:grpSpPr>
        <a:xfrm xmlns:a="http://schemas.openxmlformats.org/drawingml/2006/main">
          <a:off x="4044828" y="340644"/>
          <a:ext cx="714355" cy="556176"/>
          <a:chOff x="4179624" y="287869"/>
          <a:chExt cx="714375" cy="556186"/>
        </a:xfrm>
      </cdr:grpSpPr>
      <cdr:sp macro="" textlink="">
        <cdr:nvSpPr>
          <cdr:cNvPr id="2" name="TextBox 1"/>
          <cdr:cNvSpPr txBox="1"/>
        </cdr:nvSpPr>
        <cdr:spPr>
          <a:xfrm xmlns:a="http://schemas.openxmlformats.org/drawingml/2006/main">
            <a:off x="4186991" y="287869"/>
            <a:ext cx="669768" cy="176826"/>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r>
              <a:rPr lang="en-GB" sz="1100"/>
              <a:t>n=16</a:t>
            </a:r>
          </a:p>
        </cdr:txBody>
      </cdr:sp>
      <cdr:sp macro="" textlink="">
        <cdr:nvSpPr>
          <cdr:cNvPr id="3" name="TextBox 1"/>
          <cdr:cNvSpPr txBox="1"/>
        </cdr:nvSpPr>
        <cdr:spPr>
          <a:xfrm xmlns:a="http://schemas.openxmlformats.org/drawingml/2006/main">
            <a:off x="4179624" y="663080"/>
            <a:ext cx="714375" cy="180975"/>
          </a:xfrm>
          <a:prstGeom xmlns:a="http://schemas.openxmlformats.org/drawingml/2006/main" prst="rect">
            <a:avLst/>
          </a:prstGeom>
        </cdr:spPr>
        <cdr:txBody>
          <a:bodyPr xmlns:a="http://schemas.openxmlformats.org/drawingml/2006/main" wrap="square" lIns="0" tIns="0" rIns="0" bIns="0"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GB" sz="1100"/>
              <a:t>n=6</a:t>
            </a:r>
          </a:p>
        </cdr:txBody>
      </cdr:sp>
    </cdr:grp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9C6A95-2280-40F7-A956-DFAA16756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7808F12F.dotm</Template>
  <TotalTime>80</TotalTime>
  <Pages>313</Pages>
  <Words>98862</Words>
  <Characters>563517</Characters>
  <Application>Microsoft Office Word</Application>
  <DocSecurity>0</DocSecurity>
  <Lines>4695</Lines>
  <Paragraphs>1322</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661057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 Coyle</dc:creator>
  <cp:lastModifiedBy>David Coyle</cp:lastModifiedBy>
  <cp:revision>13</cp:revision>
  <cp:lastPrinted>2016-11-12T15:42:00Z</cp:lastPrinted>
  <dcterms:created xsi:type="dcterms:W3CDTF">2016-11-13T10:40:00Z</dcterms:created>
  <dcterms:modified xsi:type="dcterms:W3CDTF">2016-11-28T10:23:00Z</dcterms:modified>
</cp:coreProperties>
</file>